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152">
        <w:r>
          <w:rPr>
            <w:rFonts w:ascii="Arial" w:cs="Arial" w:eastAsia="Arial" w:hAnsi="Arial"/>
            <w:sz w:val="21"/>
            <w:szCs w:val="21"/>
            <w:u w:val="single" w:color="auto"/>
            <w:color w:val="0000EE"/>
          </w:rPr>
          <w:t>TABLE OF CONTENTS 2</w:t>
        </w:r>
      </w:hyperlink>
    </w:p>
    <w:p>
      <w:pPr>
        <w:spacing w:after="0" w:line="199" w:lineRule="exact"/>
        <w:rPr>
          <w:sz w:val="24"/>
          <w:szCs w:val="24"/>
          <w:color w:val="auto"/>
        </w:rPr>
      </w:pPr>
    </w:p>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As filed with the Securities and Exchange Commission on August 13, 2013</w:t>
      </w:r>
    </w:p>
    <w:p>
      <w:pPr>
        <w:spacing w:after="0" w:line="204" w:lineRule="exact"/>
        <w:rPr>
          <w:sz w:val="24"/>
          <w:szCs w:val="24"/>
          <w:color w:val="auto"/>
        </w:rPr>
      </w:pPr>
    </w:p>
    <w:p>
      <w:pPr>
        <w:jc w:val="right"/>
        <w:ind w:right="400"/>
        <w:spacing w:after="0"/>
        <w:rPr>
          <w:sz w:val="20"/>
          <w:szCs w:val="20"/>
          <w:color w:val="auto"/>
        </w:rPr>
      </w:pPr>
      <w:r>
        <w:rPr>
          <w:rFonts w:ascii="Arial" w:cs="Arial" w:eastAsia="Arial" w:hAnsi="Arial"/>
          <w:sz w:val="13"/>
          <w:szCs w:val="13"/>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128905</wp:posOffset>
            </wp:positionV>
            <wp:extent cx="1823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S-1</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REGISTRATION STATEMENT</w:t>
      </w:r>
    </w:p>
    <w:p>
      <w:pPr>
        <w:jc w:val="center"/>
        <w:ind w:right="-39"/>
        <w:spacing w:after="0" w:line="231" w:lineRule="auto"/>
        <w:rPr>
          <w:sz w:val="20"/>
          <w:szCs w:val="20"/>
          <w:color w:val="auto"/>
        </w:rPr>
      </w:pPr>
      <w:r>
        <w:rPr>
          <w:rFonts w:ascii="Arial" w:cs="Arial" w:eastAsia="Arial" w:hAnsi="Arial"/>
          <w:sz w:val="13"/>
          <w:szCs w:val="13"/>
          <w:b w:val="1"/>
          <w:bCs w:val="1"/>
          <w:color w:val="auto"/>
        </w:rPr>
        <w:t>UNDER</w:t>
      </w:r>
    </w:p>
    <w:p>
      <w:pPr>
        <w:jc w:val="center"/>
        <w:ind w:right="-39"/>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128905</wp:posOffset>
            </wp:positionV>
            <wp:extent cx="18230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Applied Optoelectronics,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(Exact Name of Registrant as Specified in Its Charter)</w:t>
      </w:r>
    </w:p>
    <w:p>
      <w:pPr>
        <w:spacing w:after="0" w:line="189" w:lineRule="exact"/>
        <w:rPr>
          <w:sz w:val="24"/>
          <w:szCs w:val="24"/>
          <w:color w:val="auto"/>
        </w:rPr>
      </w:pPr>
    </w:p>
    <w:tbl>
      <w:tblPr>
        <w:tblLayout w:type="fixed"/>
        <w:tblInd w:w="3100" w:type="dxa"/>
        <w:tblCellMar>
          <w:top w:w="0" w:type="dxa"/>
          <w:left w:w="0" w:type="dxa"/>
          <w:bottom w:w="0" w:type="dxa"/>
          <w:right w:w="0" w:type="dxa"/>
        </w:tblCellMar>
      </w:tblPr>
      <w:tr>
        <w:trPr>
          <w:trHeight w:val="149"/>
        </w:trPr>
        <w:tc>
          <w:tcPr>
            <w:tcW w:w="1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Delaware</w:t>
            </w:r>
          </w:p>
        </w:tc>
        <w:tc>
          <w:tcPr>
            <w:tcW w:w="1880" w:type="dxa"/>
            <w:vAlign w:val="bottom"/>
          </w:tcPr>
          <w:p>
            <w:pPr>
              <w:jc w:val="center"/>
              <w:ind w:right="34"/>
              <w:spacing w:after="0"/>
              <w:rPr>
                <w:sz w:val="20"/>
                <w:szCs w:val="20"/>
                <w:color w:val="auto"/>
              </w:rPr>
            </w:pPr>
            <w:r>
              <w:rPr>
                <w:rFonts w:ascii="Arial" w:cs="Arial" w:eastAsia="Arial" w:hAnsi="Arial"/>
                <w:sz w:val="13"/>
                <w:szCs w:val="13"/>
                <w:b w:val="1"/>
                <w:bCs w:val="1"/>
                <w:color w:val="auto"/>
                <w:w w:val="89"/>
              </w:rPr>
              <w:t>3674</w:t>
            </w:r>
          </w:p>
        </w:tc>
        <w:tc>
          <w:tcPr>
            <w:tcW w:w="1420" w:type="dxa"/>
            <w:vAlign w:val="bottom"/>
            <w:gridSpan w:val="2"/>
          </w:tcPr>
          <w:p>
            <w:pPr>
              <w:jc w:val="center"/>
              <w:ind w:left="154"/>
              <w:spacing w:after="0"/>
              <w:rPr>
                <w:sz w:val="20"/>
                <w:szCs w:val="20"/>
                <w:color w:val="auto"/>
              </w:rPr>
            </w:pPr>
            <w:r>
              <w:rPr>
                <w:rFonts w:ascii="Arial" w:cs="Arial" w:eastAsia="Arial" w:hAnsi="Arial"/>
                <w:sz w:val="13"/>
                <w:szCs w:val="13"/>
                <w:b w:val="1"/>
                <w:bCs w:val="1"/>
                <w:color w:val="auto"/>
                <w:w w:val="92"/>
              </w:rPr>
              <w:t>76-0533927</w:t>
            </w:r>
          </w:p>
        </w:tc>
      </w:tr>
      <w:tr>
        <w:trPr>
          <w:trHeight w:val="144"/>
        </w:trPr>
        <w:tc>
          <w:tcPr>
            <w:tcW w:w="1720" w:type="dxa"/>
            <w:vAlign w:val="bottom"/>
            <w:gridSpan w:val="2"/>
          </w:tcPr>
          <w:p>
            <w:pPr>
              <w:jc w:val="center"/>
              <w:ind w:right="120"/>
              <w:spacing w:after="0" w:line="144" w:lineRule="exact"/>
              <w:rPr>
                <w:sz w:val="20"/>
                <w:szCs w:val="20"/>
                <w:color w:val="auto"/>
              </w:rPr>
            </w:pPr>
            <w:r>
              <w:rPr>
                <w:rFonts w:ascii="Arial" w:cs="Arial" w:eastAsia="Arial" w:hAnsi="Arial"/>
                <w:sz w:val="13"/>
                <w:szCs w:val="13"/>
                <w:color w:val="auto"/>
                <w:w w:val="92"/>
              </w:rPr>
              <w:t>(State or Other Jurisdiction of</w:t>
            </w:r>
          </w:p>
        </w:tc>
        <w:tc>
          <w:tcPr>
            <w:tcW w:w="1880" w:type="dxa"/>
            <w:vAlign w:val="bottom"/>
          </w:tcPr>
          <w:p>
            <w:pPr>
              <w:jc w:val="center"/>
              <w:ind w:right="34"/>
              <w:spacing w:after="0" w:line="144" w:lineRule="exact"/>
              <w:rPr>
                <w:sz w:val="20"/>
                <w:szCs w:val="20"/>
                <w:color w:val="auto"/>
              </w:rPr>
            </w:pPr>
            <w:r>
              <w:rPr>
                <w:rFonts w:ascii="Arial" w:cs="Arial" w:eastAsia="Arial" w:hAnsi="Arial"/>
                <w:sz w:val="13"/>
                <w:szCs w:val="13"/>
                <w:color w:val="auto"/>
                <w:w w:val="92"/>
              </w:rPr>
              <w:t>(Primary Standard Industrial</w:t>
            </w:r>
          </w:p>
        </w:tc>
        <w:tc>
          <w:tcPr>
            <w:tcW w:w="1420" w:type="dxa"/>
            <w:vAlign w:val="bottom"/>
            <w:gridSpan w:val="2"/>
          </w:tcPr>
          <w:p>
            <w:pPr>
              <w:jc w:val="center"/>
              <w:ind w:left="174"/>
              <w:spacing w:after="0" w:line="144" w:lineRule="exact"/>
              <w:rPr>
                <w:sz w:val="20"/>
                <w:szCs w:val="20"/>
                <w:color w:val="auto"/>
              </w:rPr>
            </w:pPr>
            <w:r>
              <w:rPr>
                <w:rFonts w:ascii="Arial" w:cs="Arial" w:eastAsia="Arial" w:hAnsi="Arial"/>
                <w:sz w:val="13"/>
                <w:szCs w:val="13"/>
                <w:color w:val="auto"/>
                <w:w w:val="94"/>
              </w:rPr>
              <w:t>(I.R.S. Employer</w:t>
            </w:r>
          </w:p>
        </w:tc>
      </w:tr>
      <w:tr>
        <w:trPr>
          <w:trHeight w:val="165"/>
        </w:trPr>
        <w:tc>
          <w:tcPr>
            <w:tcW w:w="172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Incorporation or Organization)</w:t>
            </w:r>
          </w:p>
        </w:tc>
        <w:tc>
          <w:tcPr>
            <w:tcW w:w="1880" w:type="dxa"/>
            <w:vAlign w:val="bottom"/>
          </w:tcPr>
          <w:p>
            <w:pPr>
              <w:jc w:val="center"/>
              <w:ind w:right="34"/>
              <w:spacing w:after="0"/>
              <w:rPr>
                <w:sz w:val="20"/>
                <w:szCs w:val="20"/>
                <w:color w:val="auto"/>
              </w:rPr>
            </w:pPr>
            <w:r>
              <w:rPr>
                <w:rFonts w:ascii="Arial" w:cs="Arial" w:eastAsia="Arial" w:hAnsi="Arial"/>
                <w:sz w:val="13"/>
                <w:szCs w:val="13"/>
                <w:color w:val="auto"/>
                <w:w w:val="93"/>
              </w:rPr>
              <w:t>Classification Code Number)</w:t>
            </w:r>
          </w:p>
        </w:tc>
        <w:tc>
          <w:tcPr>
            <w:tcW w:w="1420" w:type="dxa"/>
            <w:vAlign w:val="bottom"/>
            <w:gridSpan w:val="2"/>
          </w:tcPr>
          <w:p>
            <w:pPr>
              <w:jc w:val="center"/>
              <w:ind w:left="154"/>
              <w:spacing w:after="0"/>
              <w:rPr>
                <w:sz w:val="20"/>
                <w:szCs w:val="20"/>
                <w:color w:val="auto"/>
              </w:rPr>
            </w:pPr>
            <w:r>
              <w:rPr>
                <w:rFonts w:ascii="Arial" w:cs="Arial" w:eastAsia="Arial" w:hAnsi="Arial"/>
                <w:sz w:val="13"/>
                <w:szCs w:val="13"/>
                <w:color w:val="auto"/>
                <w:w w:val="94"/>
              </w:rPr>
              <w:t>Identification Number)</w:t>
            </w:r>
          </w:p>
        </w:tc>
      </w:tr>
      <w:tr>
        <w:trPr>
          <w:trHeight w:val="198"/>
        </w:trPr>
        <w:tc>
          <w:tcPr>
            <w:tcW w:w="11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80" w:type="dxa"/>
            <w:vAlign w:val="bottom"/>
          </w:tcPr>
          <w:p>
            <w:pPr>
              <w:spacing w:after="0"/>
              <w:rPr>
                <w:sz w:val="17"/>
                <w:szCs w:val="17"/>
                <w:color w:val="auto"/>
              </w:rPr>
            </w:pPr>
          </w:p>
        </w:tc>
      </w:tr>
    </w:tbl>
    <w:p>
      <w:pPr>
        <w:spacing w:after="0" w:line="200" w:lineRule="exact"/>
        <w:rPr>
          <w:sz w:val="24"/>
          <w:szCs w:val="24"/>
          <w:color w:val="auto"/>
        </w:rPr>
      </w:pP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13115 Jess Pirtle Blvd.</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Sugar Land, TX 77478</w:t>
      </w:r>
    </w:p>
    <w:p>
      <w:pPr>
        <w:jc w:val="center"/>
        <w:ind w:right="-39"/>
        <w:spacing w:after="0" w:line="231" w:lineRule="auto"/>
        <w:rPr>
          <w:sz w:val="20"/>
          <w:szCs w:val="20"/>
          <w:color w:val="auto"/>
        </w:rPr>
      </w:pPr>
      <w:r>
        <w:rPr>
          <w:rFonts w:ascii="Arial" w:cs="Arial" w:eastAsia="Arial" w:hAnsi="Arial"/>
          <w:sz w:val="13"/>
          <w:szCs w:val="13"/>
          <w:b w:val="1"/>
          <w:bCs w:val="1"/>
          <w:color w:val="auto"/>
        </w:rPr>
        <w:t>(281) 295-1800</w:t>
      </w:r>
    </w:p>
    <w:p>
      <w:pPr>
        <w:jc w:val="center"/>
        <w:ind w:right="-39"/>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Chih-Hsiang (Thompson) Lin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President and Chief Executive Officer</w:t>
      </w:r>
    </w:p>
    <w:p>
      <w:pPr>
        <w:jc w:val="center"/>
        <w:ind w:right="-39"/>
        <w:spacing w:after="0" w:line="231" w:lineRule="auto"/>
        <w:rPr>
          <w:sz w:val="20"/>
          <w:szCs w:val="20"/>
          <w:color w:val="auto"/>
        </w:rPr>
      </w:pPr>
      <w:r>
        <w:rPr>
          <w:rFonts w:ascii="Arial" w:cs="Arial" w:eastAsia="Arial" w:hAnsi="Arial"/>
          <w:sz w:val="13"/>
          <w:szCs w:val="13"/>
          <w:b w:val="1"/>
          <w:bCs w:val="1"/>
          <w:color w:val="auto"/>
        </w:rPr>
        <w:t>13115 Jess Pirtle Blvd.</w:t>
      </w:r>
    </w:p>
    <w:p>
      <w:pPr>
        <w:jc w:val="center"/>
        <w:ind w:right="-39"/>
        <w:spacing w:after="0" w:line="232" w:lineRule="auto"/>
        <w:rPr>
          <w:sz w:val="20"/>
          <w:szCs w:val="20"/>
          <w:color w:val="auto"/>
        </w:rPr>
      </w:pPr>
      <w:r>
        <w:rPr>
          <w:rFonts w:ascii="Arial" w:cs="Arial" w:eastAsia="Arial" w:hAnsi="Arial"/>
          <w:sz w:val="13"/>
          <w:szCs w:val="13"/>
          <w:b w:val="1"/>
          <w:bCs w:val="1"/>
          <w:color w:val="auto"/>
        </w:rPr>
        <w:t>Sugar Land, TX 77478</w:t>
      </w:r>
    </w:p>
    <w:p>
      <w:pPr>
        <w:jc w:val="center"/>
        <w:ind w:right="-39"/>
        <w:spacing w:after="0" w:line="231" w:lineRule="auto"/>
        <w:rPr>
          <w:sz w:val="20"/>
          <w:szCs w:val="20"/>
          <w:color w:val="auto"/>
        </w:rPr>
      </w:pPr>
      <w:r>
        <w:rPr>
          <w:rFonts w:ascii="Arial" w:cs="Arial" w:eastAsia="Arial" w:hAnsi="Arial"/>
          <w:sz w:val="13"/>
          <w:szCs w:val="13"/>
          <w:b w:val="1"/>
          <w:bCs w:val="1"/>
          <w:color w:val="auto"/>
        </w:rPr>
        <w:t>(281) 295-1800</w:t>
      </w:r>
    </w:p>
    <w:p>
      <w:pPr>
        <w:jc w:val="center"/>
        <w:ind w:right="-39"/>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128905</wp:posOffset>
            </wp:positionV>
            <wp:extent cx="18230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tbl>
      <w:tblPr>
        <w:tblLayout w:type="fixed"/>
        <w:tblInd w:w="2680" w:type="dxa"/>
        <w:tblCellMar>
          <w:top w:w="0" w:type="dxa"/>
          <w:left w:w="0" w:type="dxa"/>
          <w:bottom w:w="0" w:type="dxa"/>
          <w:right w:w="0" w:type="dxa"/>
        </w:tblCellMar>
      </w:tblPr>
      <w:tr>
        <w:trPr>
          <w:trHeight w:val="169"/>
        </w:trPr>
        <w:tc>
          <w:tcPr>
            <w:tcW w:w="1600" w:type="dxa"/>
            <w:vAlign w:val="bottom"/>
          </w:tcPr>
          <w:p>
            <w:pPr>
              <w:spacing w:after="0"/>
              <w:rPr>
                <w:sz w:val="14"/>
                <w:szCs w:val="14"/>
                <w:color w:val="auto"/>
              </w:rPr>
            </w:pPr>
          </w:p>
        </w:tc>
        <w:tc>
          <w:tcPr>
            <w:tcW w:w="2620" w:type="dxa"/>
            <w:vAlign w:val="bottom"/>
          </w:tcPr>
          <w:p>
            <w:pPr>
              <w:jc w:val="center"/>
              <w:ind w:left="174"/>
              <w:spacing w:after="0"/>
              <w:rPr>
                <w:sz w:val="20"/>
                <w:szCs w:val="20"/>
                <w:color w:val="auto"/>
              </w:rPr>
            </w:pPr>
            <w:r>
              <w:rPr>
                <w:rFonts w:ascii="Arial" w:cs="Arial" w:eastAsia="Arial" w:hAnsi="Arial"/>
                <w:sz w:val="13"/>
                <w:szCs w:val="13"/>
                <w:b w:val="1"/>
                <w:bCs w:val="1"/>
                <w:color w:val="auto"/>
                <w:w w:val="91"/>
              </w:rPr>
              <w:t>Copies of All Communications to:</w:t>
            </w:r>
          </w:p>
        </w:tc>
        <w:tc>
          <w:tcPr>
            <w:tcW w:w="2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29"/>
        </w:trPr>
        <w:tc>
          <w:tcPr>
            <w:tcW w:w="1600" w:type="dxa"/>
            <w:vAlign w:val="bottom"/>
          </w:tcPr>
          <w:p>
            <w:pPr>
              <w:jc w:val="center"/>
              <w:ind w:right="314"/>
              <w:spacing w:after="0"/>
              <w:rPr>
                <w:sz w:val="20"/>
                <w:szCs w:val="20"/>
                <w:color w:val="auto"/>
              </w:rPr>
            </w:pPr>
            <w:r>
              <w:rPr>
                <w:rFonts w:ascii="Arial" w:cs="Arial" w:eastAsia="Arial" w:hAnsi="Arial"/>
                <w:sz w:val="13"/>
                <w:szCs w:val="13"/>
                <w:b w:val="1"/>
                <w:bCs w:val="1"/>
                <w:color w:val="auto"/>
                <w:w w:val="92"/>
              </w:rPr>
              <w:t>Frank S. Wu, Esq.</w:t>
            </w:r>
          </w:p>
        </w:tc>
        <w:tc>
          <w:tcPr>
            <w:tcW w:w="2620" w:type="dxa"/>
            <w:vAlign w:val="bottom"/>
          </w:tcPr>
          <w:p>
            <w:pPr>
              <w:jc w:val="center"/>
              <w:ind w:left="194"/>
              <w:spacing w:after="0"/>
              <w:rPr>
                <w:sz w:val="20"/>
                <w:szCs w:val="20"/>
                <w:color w:val="auto"/>
              </w:rPr>
            </w:pPr>
            <w:r>
              <w:rPr>
                <w:rFonts w:ascii="Arial" w:cs="Arial" w:eastAsia="Arial" w:hAnsi="Arial"/>
                <w:sz w:val="13"/>
                <w:szCs w:val="13"/>
                <w:b w:val="1"/>
                <w:bCs w:val="1"/>
                <w:color w:val="auto"/>
                <w:w w:val="92"/>
              </w:rPr>
              <w:t>David Kuo, Esq.</w:t>
            </w:r>
          </w:p>
        </w:tc>
        <w:tc>
          <w:tcPr>
            <w:tcW w:w="2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3"/>
                <w:szCs w:val="13"/>
                <w:b w:val="1"/>
                <w:bCs w:val="1"/>
                <w:color w:val="auto"/>
                <w:w w:val="90"/>
              </w:rPr>
              <w:t>J. Robert Suffoletta, Esq.</w:t>
            </w:r>
          </w:p>
        </w:tc>
      </w:tr>
      <w:tr>
        <w:trPr>
          <w:trHeight w:val="144"/>
        </w:trPr>
        <w:tc>
          <w:tcPr>
            <w:tcW w:w="1600" w:type="dxa"/>
            <w:vAlign w:val="bottom"/>
          </w:tcPr>
          <w:p>
            <w:pPr>
              <w:jc w:val="center"/>
              <w:ind w:right="334"/>
              <w:spacing w:after="0" w:line="144" w:lineRule="exact"/>
              <w:rPr>
                <w:sz w:val="20"/>
                <w:szCs w:val="20"/>
                <w:color w:val="auto"/>
              </w:rPr>
            </w:pPr>
            <w:r>
              <w:rPr>
                <w:rFonts w:ascii="Arial" w:cs="Arial" w:eastAsia="Arial" w:hAnsi="Arial"/>
                <w:sz w:val="13"/>
                <w:szCs w:val="13"/>
                <w:b w:val="1"/>
                <w:bCs w:val="1"/>
                <w:color w:val="auto"/>
                <w:w w:val="90"/>
              </w:rPr>
              <w:t>Philip Russell, Esq.</w:t>
            </w:r>
          </w:p>
        </w:tc>
        <w:tc>
          <w:tcPr>
            <w:tcW w:w="2620" w:type="dxa"/>
            <w:vAlign w:val="bottom"/>
          </w:tcPr>
          <w:p>
            <w:pPr>
              <w:jc w:val="center"/>
              <w:ind w:left="194"/>
              <w:spacing w:after="0" w:line="144" w:lineRule="exact"/>
              <w:rPr>
                <w:sz w:val="20"/>
                <w:szCs w:val="20"/>
                <w:color w:val="auto"/>
              </w:rPr>
            </w:pPr>
            <w:r>
              <w:rPr>
                <w:rFonts w:ascii="Arial" w:cs="Arial" w:eastAsia="Arial" w:hAnsi="Arial"/>
                <w:sz w:val="13"/>
                <w:szCs w:val="13"/>
                <w:b w:val="1"/>
                <w:bCs w:val="1"/>
                <w:color w:val="auto"/>
                <w:w w:val="89"/>
              </w:rPr>
              <w:t>Assistant General Counsel</w:t>
            </w:r>
          </w:p>
        </w:tc>
        <w:tc>
          <w:tcPr>
            <w:tcW w:w="240" w:type="dxa"/>
            <w:vAlign w:val="bottom"/>
          </w:tcPr>
          <w:p>
            <w:pPr>
              <w:spacing w:after="0"/>
              <w:rPr>
                <w:sz w:val="12"/>
                <w:szCs w:val="12"/>
                <w:color w:val="auto"/>
              </w:rPr>
            </w:pPr>
          </w:p>
        </w:tc>
        <w:tc>
          <w:tcPr>
            <w:tcW w:w="2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Wilson Sonsini Goodrich &amp; Rosati,</w:t>
            </w:r>
          </w:p>
        </w:tc>
      </w:tr>
      <w:tr>
        <w:trPr>
          <w:trHeight w:val="144"/>
        </w:trPr>
        <w:tc>
          <w:tcPr>
            <w:tcW w:w="1600" w:type="dxa"/>
            <w:vAlign w:val="bottom"/>
          </w:tcPr>
          <w:p>
            <w:pPr>
              <w:jc w:val="center"/>
              <w:ind w:right="314"/>
              <w:spacing w:after="0" w:line="144" w:lineRule="exact"/>
              <w:rPr>
                <w:sz w:val="20"/>
                <w:szCs w:val="20"/>
                <w:color w:val="auto"/>
              </w:rPr>
            </w:pPr>
            <w:r>
              <w:rPr>
                <w:rFonts w:ascii="Arial" w:cs="Arial" w:eastAsia="Arial" w:hAnsi="Arial"/>
                <w:sz w:val="13"/>
                <w:szCs w:val="13"/>
                <w:b w:val="1"/>
                <w:bCs w:val="1"/>
                <w:color w:val="auto"/>
                <w:w w:val="97"/>
              </w:rPr>
              <w:t>DLA Piper LLP (US)</w:t>
            </w:r>
          </w:p>
        </w:tc>
        <w:tc>
          <w:tcPr>
            <w:tcW w:w="2620" w:type="dxa"/>
            <w:vAlign w:val="bottom"/>
          </w:tcPr>
          <w:p>
            <w:pPr>
              <w:jc w:val="center"/>
              <w:ind w:left="194"/>
              <w:spacing w:after="0" w:line="144" w:lineRule="exact"/>
              <w:rPr>
                <w:sz w:val="20"/>
                <w:szCs w:val="20"/>
                <w:color w:val="auto"/>
              </w:rPr>
            </w:pPr>
            <w:r>
              <w:rPr>
                <w:rFonts w:ascii="Arial" w:cs="Arial" w:eastAsia="Arial" w:hAnsi="Arial"/>
                <w:sz w:val="13"/>
                <w:szCs w:val="13"/>
                <w:b w:val="1"/>
                <w:bCs w:val="1"/>
                <w:color w:val="auto"/>
                <w:w w:val="91"/>
              </w:rPr>
              <w:t>Applied Optoelectronics, Inc.</w:t>
            </w:r>
          </w:p>
        </w:tc>
        <w:tc>
          <w:tcPr>
            <w:tcW w:w="240" w:type="dxa"/>
            <w:vAlign w:val="bottom"/>
          </w:tcPr>
          <w:p>
            <w:pPr>
              <w:spacing w:after="0"/>
              <w:rPr>
                <w:sz w:val="12"/>
                <w:szCs w:val="12"/>
                <w:color w:val="auto"/>
              </w:rPr>
            </w:pPr>
          </w:p>
        </w:tc>
        <w:tc>
          <w:tcPr>
            <w:tcW w:w="2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PC</w:t>
            </w:r>
          </w:p>
        </w:tc>
      </w:tr>
      <w:tr>
        <w:trPr>
          <w:trHeight w:val="144"/>
        </w:trPr>
        <w:tc>
          <w:tcPr>
            <w:tcW w:w="1600" w:type="dxa"/>
            <w:vAlign w:val="bottom"/>
          </w:tcPr>
          <w:p>
            <w:pPr>
              <w:jc w:val="center"/>
              <w:ind w:right="314"/>
              <w:spacing w:after="0" w:line="144" w:lineRule="exact"/>
              <w:rPr>
                <w:sz w:val="20"/>
                <w:szCs w:val="20"/>
                <w:color w:val="auto"/>
              </w:rPr>
            </w:pPr>
            <w:r>
              <w:rPr>
                <w:rFonts w:ascii="Arial" w:cs="Arial" w:eastAsia="Arial" w:hAnsi="Arial"/>
                <w:sz w:val="13"/>
                <w:szCs w:val="13"/>
                <w:b w:val="1"/>
                <w:bCs w:val="1"/>
                <w:color w:val="auto"/>
                <w:w w:val="91"/>
              </w:rPr>
              <w:t>1000 Louisiana Street</w:t>
            </w:r>
          </w:p>
        </w:tc>
        <w:tc>
          <w:tcPr>
            <w:tcW w:w="2620" w:type="dxa"/>
            <w:vAlign w:val="bottom"/>
          </w:tcPr>
          <w:p>
            <w:pPr>
              <w:jc w:val="center"/>
              <w:ind w:left="174"/>
              <w:spacing w:after="0" w:line="144" w:lineRule="exact"/>
              <w:rPr>
                <w:sz w:val="20"/>
                <w:szCs w:val="20"/>
                <w:color w:val="auto"/>
              </w:rPr>
            </w:pPr>
            <w:r>
              <w:rPr>
                <w:rFonts w:ascii="Arial" w:cs="Arial" w:eastAsia="Arial" w:hAnsi="Arial"/>
                <w:sz w:val="13"/>
                <w:szCs w:val="13"/>
                <w:b w:val="1"/>
                <w:bCs w:val="1"/>
                <w:color w:val="auto"/>
                <w:w w:val="89"/>
              </w:rPr>
              <w:t>13115 Jess Pirtle Blvd.</w:t>
            </w:r>
          </w:p>
        </w:tc>
        <w:tc>
          <w:tcPr>
            <w:tcW w:w="2260" w:type="dxa"/>
            <w:vAlign w:val="bottom"/>
            <w:gridSpan w:val="2"/>
          </w:tcPr>
          <w:p>
            <w:pPr>
              <w:jc w:val="center"/>
              <w:ind w:left="154"/>
              <w:spacing w:after="0" w:line="144" w:lineRule="exact"/>
              <w:rPr>
                <w:sz w:val="20"/>
                <w:szCs w:val="20"/>
                <w:color w:val="auto"/>
              </w:rPr>
            </w:pPr>
            <w:r>
              <w:rPr>
                <w:rFonts w:ascii="Arial" w:cs="Arial" w:eastAsia="Arial" w:hAnsi="Arial"/>
                <w:sz w:val="13"/>
                <w:szCs w:val="13"/>
                <w:b w:val="1"/>
                <w:bCs w:val="1"/>
                <w:color w:val="auto"/>
                <w:w w:val="91"/>
              </w:rPr>
              <w:t>900 South Capital of Texas Highway</w:t>
            </w:r>
          </w:p>
        </w:tc>
      </w:tr>
      <w:tr>
        <w:trPr>
          <w:trHeight w:val="144"/>
        </w:trPr>
        <w:tc>
          <w:tcPr>
            <w:tcW w:w="1600" w:type="dxa"/>
            <w:vAlign w:val="bottom"/>
          </w:tcPr>
          <w:p>
            <w:pPr>
              <w:jc w:val="center"/>
              <w:ind w:right="314"/>
              <w:spacing w:after="0" w:line="144" w:lineRule="exact"/>
              <w:rPr>
                <w:sz w:val="20"/>
                <w:szCs w:val="20"/>
                <w:color w:val="auto"/>
              </w:rPr>
            </w:pPr>
            <w:r>
              <w:rPr>
                <w:rFonts w:ascii="Arial" w:cs="Arial" w:eastAsia="Arial" w:hAnsi="Arial"/>
                <w:sz w:val="13"/>
                <w:szCs w:val="13"/>
                <w:b w:val="1"/>
                <w:bCs w:val="1"/>
                <w:color w:val="auto"/>
                <w:w w:val="90"/>
              </w:rPr>
              <w:t>Suite 2800</w:t>
            </w:r>
          </w:p>
        </w:tc>
        <w:tc>
          <w:tcPr>
            <w:tcW w:w="2620" w:type="dxa"/>
            <w:vAlign w:val="bottom"/>
          </w:tcPr>
          <w:p>
            <w:pPr>
              <w:jc w:val="center"/>
              <w:ind w:left="194"/>
              <w:spacing w:after="0" w:line="144" w:lineRule="exact"/>
              <w:rPr>
                <w:sz w:val="20"/>
                <w:szCs w:val="20"/>
                <w:color w:val="auto"/>
              </w:rPr>
            </w:pPr>
            <w:r>
              <w:rPr>
                <w:rFonts w:ascii="Arial" w:cs="Arial" w:eastAsia="Arial" w:hAnsi="Arial"/>
                <w:sz w:val="13"/>
                <w:szCs w:val="13"/>
                <w:b w:val="1"/>
                <w:bCs w:val="1"/>
                <w:color w:val="auto"/>
                <w:w w:val="94"/>
              </w:rPr>
              <w:t>Sugar Land, TX 77478</w:t>
            </w:r>
          </w:p>
        </w:tc>
        <w:tc>
          <w:tcPr>
            <w:tcW w:w="240" w:type="dxa"/>
            <w:vAlign w:val="bottom"/>
          </w:tcPr>
          <w:p>
            <w:pPr>
              <w:spacing w:after="0"/>
              <w:rPr>
                <w:sz w:val="12"/>
                <w:szCs w:val="12"/>
                <w:color w:val="auto"/>
              </w:rPr>
            </w:pPr>
          </w:p>
        </w:tc>
        <w:tc>
          <w:tcPr>
            <w:tcW w:w="2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Las Cimas IV, Fifth Floor</w:t>
            </w:r>
          </w:p>
        </w:tc>
      </w:tr>
      <w:tr>
        <w:trPr>
          <w:trHeight w:val="144"/>
        </w:trPr>
        <w:tc>
          <w:tcPr>
            <w:tcW w:w="1600" w:type="dxa"/>
            <w:vAlign w:val="bottom"/>
          </w:tcPr>
          <w:p>
            <w:pPr>
              <w:jc w:val="center"/>
              <w:ind w:right="334"/>
              <w:spacing w:after="0" w:line="144" w:lineRule="exact"/>
              <w:rPr>
                <w:sz w:val="20"/>
                <w:szCs w:val="20"/>
                <w:color w:val="auto"/>
              </w:rPr>
            </w:pPr>
            <w:r>
              <w:rPr>
                <w:rFonts w:ascii="Arial" w:cs="Arial" w:eastAsia="Arial" w:hAnsi="Arial"/>
                <w:sz w:val="13"/>
                <w:szCs w:val="13"/>
                <w:b w:val="1"/>
                <w:bCs w:val="1"/>
                <w:color w:val="auto"/>
                <w:w w:val="92"/>
              </w:rPr>
              <w:t>Houston, TX 77002</w:t>
            </w:r>
          </w:p>
        </w:tc>
        <w:tc>
          <w:tcPr>
            <w:tcW w:w="2620" w:type="dxa"/>
            <w:vAlign w:val="bottom"/>
          </w:tcPr>
          <w:p>
            <w:pPr>
              <w:jc w:val="center"/>
              <w:ind w:left="174"/>
              <w:spacing w:after="0" w:line="144" w:lineRule="exact"/>
              <w:rPr>
                <w:sz w:val="20"/>
                <w:szCs w:val="20"/>
                <w:color w:val="auto"/>
              </w:rPr>
            </w:pPr>
            <w:r>
              <w:rPr>
                <w:rFonts w:ascii="Arial" w:cs="Arial" w:eastAsia="Arial" w:hAnsi="Arial"/>
                <w:sz w:val="13"/>
                <w:szCs w:val="13"/>
                <w:b w:val="1"/>
                <w:bCs w:val="1"/>
                <w:color w:val="auto"/>
                <w:w w:val="92"/>
              </w:rPr>
              <w:t>(281) 295-1800</w:t>
            </w:r>
          </w:p>
        </w:tc>
        <w:tc>
          <w:tcPr>
            <w:tcW w:w="240" w:type="dxa"/>
            <w:vAlign w:val="bottom"/>
          </w:tcPr>
          <w:p>
            <w:pPr>
              <w:spacing w:after="0"/>
              <w:rPr>
                <w:sz w:val="12"/>
                <w:szCs w:val="12"/>
                <w:color w:val="auto"/>
              </w:rPr>
            </w:pPr>
          </w:p>
        </w:tc>
        <w:tc>
          <w:tcPr>
            <w:tcW w:w="2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Austin, TX 78746</w:t>
            </w:r>
          </w:p>
        </w:tc>
      </w:tr>
      <w:tr>
        <w:trPr>
          <w:trHeight w:val="169"/>
        </w:trPr>
        <w:tc>
          <w:tcPr>
            <w:tcW w:w="1600" w:type="dxa"/>
            <w:vAlign w:val="bottom"/>
          </w:tcPr>
          <w:p>
            <w:pPr>
              <w:jc w:val="center"/>
              <w:ind w:right="314"/>
              <w:spacing w:after="0"/>
              <w:rPr>
                <w:sz w:val="20"/>
                <w:szCs w:val="20"/>
                <w:color w:val="auto"/>
              </w:rPr>
            </w:pPr>
            <w:r>
              <w:rPr>
                <w:rFonts w:ascii="Arial" w:cs="Arial" w:eastAsia="Arial" w:hAnsi="Arial"/>
                <w:sz w:val="13"/>
                <w:szCs w:val="13"/>
                <w:b w:val="1"/>
                <w:bCs w:val="1"/>
                <w:color w:val="auto"/>
                <w:w w:val="92"/>
              </w:rPr>
              <w:t>(713) 425-8400</w:t>
            </w:r>
          </w:p>
        </w:tc>
        <w:tc>
          <w:tcPr>
            <w:tcW w:w="2620" w:type="dxa"/>
            <w:vAlign w:val="bottom"/>
          </w:tcPr>
          <w:p>
            <w:pPr>
              <w:spacing w:after="0"/>
              <w:rPr>
                <w:sz w:val="14"/>
                <w:szCs w:val="14"/>
                <w:color w:val="auto"/>
              </w:rPr>
            </w:pPr>
          </w:p>
        </w:tc>
        <w:tc>
          <w:tcPr>
            <w:tcW w:w="2260" w:type="dxa"/>
            <w:vAlign w:val="bottom"/>
            <w:gridSpan w:val="2"/>
          </w:tcPr>
          <w:p>
            <w:pPr>
              <w:jc w:val="center"/>
              <w:ind w:left="134"/>
              <w:spacing w:after="0"/>
              <w:rPr>
                <w:sz w:val="20"/>
                <w:szCs w:val="20"/>
                <w:color w:val="auto"/>
              </w:rPr>
            </w:pPr>
            <w:r>
              <w:rPr>
                <w:rFonts w:ascii="Arial" w:cs="Arial" w:eastAsia="Arial" w:hAnsi="Arial"/>
                <w:sz w:val="13"/>
                <w:szCs w:val="13"/>
                <w:b w:val="1"/>
                <w:bCs w:val="1"/>
                <w:color w:val="auto"/>
                <w:w w:val="92"/>
              </w:rPr>
              <w:t>(512) 338-5400</w:t>
            </w:r>
          </w:p>
        </w:tc>
      </w:tr>
      <w:tr>
        <w:trPr>
          <w:trHeight w:val="198"/>
        </w:trPr>
        <w:tc>
          <w:tcPr>
            <w:tcW w:w="1600" w:type="dxa"/>
            <w:vAlign w:val="bottom"/>
          </w:tcPr>
          <w:p>
            <w:pPr>
              <w:spacing w:after="0"/>
              <w:rPr>
                <w:sz w:val="17"/>
                <w:szCs w:val="17"/>
                <w:color w:val="auto"/>
              </w:rPr>
            </w:pPr>
          </w:p>
        </w:tc>
        <w:tc>
          <w:tcPr>
            <w:tcW w:w="26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20" w:type="dxa"/>
            <w:vAlign w:val="bottom"/>
          </w:tcPr>
          <w:p>
            <w:pPr>
              <w:spacing w:after="0"/>
              <w:rPr>
                <w:sz w:val="17"/>
                <w:szCs w:val="17"/>
                <w:color w:val="auto"/>
              </w:rPr>
            </w:pPr>
          </w:p>
        </w:tc>
      </w:tr>
    </w:tbl>
    <w:p>
      <w:pPr>
        <w:spacing w:after="0" w:line="200" w:lineRule="exact"/>
        <w:rPr>
          <w:sz w:val="24"/>
          <w:szCs w:val="24"/>
          <w:color w:val="auto"/>
        </w:rPr>
      </w:pPr>
    </w:p>
    <w:p>
      <w:pPr>
        <w:sectPr>
          <w:pgSz w:w="11900" w:h="16838" w:orient="portrait"/>
          <w:cols w:equalWidth="0" w:num="1">
            <w:col w:w="11400"/>
          </w:cols>
          <w:pgMar w:left="240" w:top="669" w:right="259" w:bottom="0" w:gutter="0" w:footer="0" w:header="0"/>
        </w:sectPr>
      </w:pPr>
    </w:p>
    <w:p>
      <w:pPr>
        <w:spacing w:after="0" w:line="246" w:lineRule="exact"/>
        <w:rPr>
          <w:sz w:val="24"/>
          <w:szCs w:val="24"/>
          <w:color w:val="auto"/>
        </w:rPr>
      </w:pPr>
    </w:p>
    <w:p>
      <w:pPr>
        <w:ind w:left="1280"/>
        <w:spacing w:after="0"/>
        <w:rPr>
          <w:sz w:val="20"/>
          <w:szCs w:val="20"/>
          <w:color w:val="auto"/>
        </w:rPr>
      </w:pPr>
      <w:r>
        <w:rPr>
          <w:rFonts w:ascii="Arial" w:cs="Arial" w:eastAsia="Arial" w:hAnsi="Arial"/>
          <w:sz w:val="11"/>
          <w:szCs w:val="11"/>
          <w:b w:val="1"/>
          <w:bCs w:val="1"/>
          <w:color w:val="auto"/>
        </w:rPr>
        <w:t>Approximate date of commencement of proposed</w:t>
      </w:r>
    </w:p>
    <w:p>
      <w:pPr>
        <w:spacing w:after="0" w:line="32" w:lineRule="exact"/>
        <w:rPr>
          <w:sz w:val="24"/>
          <w:szCs w:val="24"/>
          <w:color w:val="auto"/>
        </w:rPr>
      </w:pPr>
    </w:p>
    <w:p>
      <w:pPr>
        <w:ind w:left="1280"/>
        <w:spacing w:after="0"/>
        <w:rPr>
          <w:sz w:val="20"/>
          <w:szCs w:val="20"/>
          <w:color w:val="auto"/>
        </w:rPr>
      </w:pPr>
      <w:r>
        <w:rPr>
          <w:rFonts w:ascii="Arial" w:cs="Arial" w:eastAsia="Arial" w:hAnsi="Arial"/>
          <w:sz w:val="13"/>
          <w:szCs w:val="13"/>
          <w:b w:val="1"/>
          <w:bCs w:val="1"/>
          <w:color w:val="auto"/>
        </w:rPr>
        <w:t>sale to the public:</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As soon as practicable after this Registration</w:t>
      </w:r>
    </w:p>
    <w:p>
      <w:pPr>
        <w:spacing w:after="0" w:line="3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Statement becomes effective.</w:t>
      </w:r>
    </w:p>
    <w:p>
      <w:pPr>
        <w:spacing w:after="0" w:line="194" w:lineRule="exact"/>
        <w:rPr>
          <w:sz w:val="24"/>
          <w:szCs w:val="24"/>
          <w:color w:val="auto"/>
        </w:rPr>
      </w:pPr>
    </w:p>
    <w:p>
      <w:pPr>
        <w:sectPr>
          <w:pgSz w:w="11900" w:h="16838" w:orient="portrait"/>
          <w:cols w:equalWidth="0" w:num="2">
            <w:col w:w="5080" w:space="720"/>
            <w:col w:w="5600"/>
          </w:cols>
          <w:pgMar w:left="240" w:top="669" w:right="259" w:bottom="0" w:gutter="0" w:footer="0" w:header="0"/>
          <w:type w:val="continuous"/>
        </w:sectPr>
      </w:pPr>
    </w:p>
    <w:p>
      <w:pPr>
        <w:ind w:left="36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o</w:t>
      </w:r>
    </w:p>
    <w:p>
      <w:pPr>
        <w:spacing w:after="0" w:line="204" w:lineRule="exact"/>
        <w:rPr>
          <w:sz w:val="24"/>
          <w:szCs w:val="24"/>
          <w:color w:val="auto"/>
        </w:rPr>
      </w:pPr>
    </w:p>
    <w:p>
      <w:pPr>
        <w:ind w:firstLine="361"/>
        <w:spacing w:after="0" w:line="25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right="480" w:firstLine="361"/>
        <w:spacing w:after="0" w:line="256"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right="480" w:firstLine="361"/>
        <w:spacing w:after="0" w:line="25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right="300" w:firstLine="361"/>
        <w:spacing w:after="0" w:line="25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54" w:lineRule="exact"/>
        <w:rPr>
          <w:sz w:val="24"/>
          <w:szCs w:val="24"/>
          <w:color w:val="auto"/>
        </w:rPr>
      </w:pPr>
    </w:p>
    <w:p>
      <w:pPr>
        <w:jc w:val="center"/>
        <w:spacing w:after="0" w:line="150" w:lineRule="exact"/>
        <w:tabs>
          <w:tab w:leader="none" w:pos="980" w:val="left"/>
          <w:tab w:leader="none" w:pos="1380" w:val="left"/>
          <w:tab w:leader="none" w:pos="140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Accelerated filer o</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Smaller reporting company o</w:t>
      </w:r>
    </w:p>
    <w:p>
      <w:pPr>
        <w:spacing w:after="0" w:line="24" w:lineRule="exact"/>
        <w:rPr>
          <w:sz w:val="24"/>
          <w:szCs w:val="24"/>
          <w:color w:val="auto"/>
        </w:rPr>
      </w:pPr>
    </w:p>
    <w:p>
      <w:pPr>
        <w:jc w:val="center"/>
        <w:ind w:left="1680"/>
        <w:spacing w:after="0"/>
        <w:rPr>
          <w:sz w:val="20"/>
          <w:szCs w:val="20"/>
          <w:color w:val="auto"/>
        </w:rPr>
      </w:pPr>
      <w:r>
        <w:rPr>
          <w:rFonts w:ascii="Arial" w:cs="Arial" w:eastAsia="Arial" w:hAnsi="Arial"/>
          <w:sz w:val="13"/>
          <w:szCs w:val="13"/>
          <w:color w:val="auto"/>
        </w:rPr>
        <w:t>(Do not check if a</w:t>
      </w:r>
    </w:p>
    <w:p>
      <w:pPr>
        <w:jc w:val="center"/>
        <w:ind w:left="1680"/>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128905</wp:posOffset>
            </wp:positionV>
            <wp:extent cx="1823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1068705</wp:posOffset>
            </wp:positionH>
            <wp:positionV relativeFrom="paragraph">
              <wp:posOffset>246380</wp:posOffset>
            </wp:positionV>
            <wp:extent cx="5119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1937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262890</wp:posOffset>
            </wp:positionV>
            <wp:extent cx="5119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19370" cy="8255"/>
                    </a:xfrm>
                    <a:prstGeom prst="rect">
                      <a:avLst/>
                    </a:prstGeom>
                    <a:noFill/>
                  </pic:spPr>
                </pic:pic>
              </a:graphicData>
            </a:graphic>
          </wp:anchor>
        </w:drawing>
      </w:r>
    </w:p>
    <w:p>
      <w:pPr>
        <w:sectPr>
          <w:pgSz w:w="11900" w:h="16838" w:orient="portrait"/>
          <w:cols w:equalWidth="0" w:num="1">
            <w:col w:w="11400"/>
          </w:cols>
          <w:pgMar w:left="240" w:top="669" w:right="259" w:bottom="0" w:gutter="0" w:footer="0" w:header="0"/>
          <w:type w:val="continuous"/>
        </w:sectPr>
      </w:pPr>
    </w:p>
    <w:p>
      <w:pPr>
        <w:spacing w:after="0" w:line="200" w:lineRule="exact"/>
        <w:rPr>
          <w:sz w:val="24"/>
          <w:szCs w:val="24"/>
          <w:color w:val="auto"/>
        </w:rPr>
      </w:pPr>
    </w:p>
    <w:p>
      <w:pPr>
        <w:spacing w:after="0" w:line="214" w:lineRule="exact"/>
        <w:rPr>
          <w:sz w:val="24"/>
          <w:szCs w:val="24"/>
          <w:color w:val="auto"/>
        </w:rPr>
      </w:pPr>
    </w:p>
    <w:p>
      <w:pPr>
        <w:ind w:left="3220"/>
        <w:spacing w:after="0"/>
        <w:tabs>
          <w:tab w:leader="none" w:pos="6820" w:val="left"/>
          <w:tab w:leader="none" w:pos="8700" w:val="left"/>
        </w:tabs>
        <w:rPr>
          <w:sz w:val="20"/>
          <w:szCs w:val="20"/>
          <w:color w:val="auto"/>
        </w:rPr>
      </w:pPr>
      <w:r>
        <w:rPr>
          <w:rFonts w:ascii="Arial" w:cs="Arial" w:eastAsia="Arial" w:hAnsi="Arial"/>
          <w:sz w:val="13"/>
          <w:szCs w:val="13"/>
          <w:b w:val="1"/>
          <w:bCs w:val="1"/>
          <w:color w:val="auto"/>
        </w:rPr>
        <w:t>Title of Each Class of Securities</w:t>
      </w:r>
      <w:r>
        <w:rPr>
          <w:sz w:val="20"/>
          <w:szCs w:val="20"/>
          <w:color w:val="auto"/>
        </w:rPr>
        <w:tab/>
      </w:r>
      <w:r>
        <w:rPr>
          <w:rFonts w:ascii="Arial" w:cs="Arial" w:eastAsia="Arial" w:hAnsi="Arial"/>
          <w:sz w:val="13"/>
          <w:szCs w:val="13"/>
          <w:b w:val="1"/>
          <w:bCs w:val="1"/>
          <w:color w:val="auto"/>
        </w:rPr>
        <w:t>Proposed Maximum</w:t>
      </w:r>
      <w:r>
        <w:rPr>
          <w:sz w:val="20"/>
          <w:szCs w:val="20"/>
          <w:color w:val="auto"/>
        </w:rPr>
        <w:tab/>
      </w:r>
      <w:r>
        <w:rPr>
          <w:rFonts w:ascii="Arial" w:cs="Arial" w:eastAsia="Arial" w:hAnsi="Arial"/>
          <w:sz w:val="11"/>
          <w:szCs w:val="11"/>
          <w:b w:val="1"/>
          <w:bCs w:val="1"/>
          <w:color w:val="auto"/>
        </w:rPr>
        <w:t>Amount of</w:t>
      </w:r>
    </w:p>
    <w:p>
      <w:pPr>
        <w:sectPr>
          <w:pgSz w:w="11900" w:h="16838" w:orient="portrait"/>
          <w:cols w:equalWidth="0" w:num="1">
            <w:col w:w="11400"/>
          </w:cols>
          <w:pgMar w:left="240" w:top="669" w:right="259" w:bottom="0" w:gutter="0" w:footer="0" w:header="0"/>
          <w:type w:val="continuous"/>
        </w:sectPr>
      </w:pPr>
    </w:p>
    <w:bookmarkStart w:id="1" w:name="page2"/>
    <w:bookmarkEnd w:id="1"/>
    <w:tbl>
      <w:tblPr>
        <w:tblLayout w:type="fixed"/>
        <w:tblInd w:w="16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00" w:type="dxa"/>
            <w:vAlign w:val="bottom"/>
          </w:tcPr>
          <w:p>
            <w:pPr>
              <w:ind w:left="1960"/>
              <w:spacing w:after="0"/>
              <w:rPr>
                <w:sz w:val="20"/>
                <w:szCs w:val="20"/>
                <w:color w:val="auto"/>
              </w:rPr>
            </w:pPr>
            <w:r>
              <w:rPr>
                <w:rFonts w:ascii="Arial" w:cs="Arial" w:eastAsia="Arial" w:hAnsi="Arial"/>
                <w:sz w:val="13"/>
                <w:szCs w:val="13"/>
                <w:b w:val="1"/>
                <w:bCs w:val="1"/>
                <w:color w:val="auto"/>
              </w:rPr>
              <w:t>to be Registered</w:t>
            </w:r>
          </w:p>
        </w:tc>
        <w:tc>
          <w:tcPr>
            <w:tcW w:w="2520" w:type="dxa"/>
            <w:vAlign w:val="bottom"/>
          </w:tcPr>
          <w:p>
            <w:pPr>
              <w:ind w:left="1160"/>
              <w:spacing w:after="0"/>
              <w:rPr>
                <w:sz w:val="20"/>
                <w:szCs w:val="20"/>
                <w:color w:val="auto"/>
              </w:rPr>
            </w:pPr>
            <w:r>
              <w:rPr>
                <w:rFonts w:ascii="Arial" w:cs="Arial" w:eastAsia="Arial" w:hAnsi="Arial"/>
                <w:sz w:val="13"/>
                <w:szCs w:val="13"/>
                <w:b w:val="1"/>
                <w:bCs w:val="1"/>
                <w:color w:val="auto"/>
              </w:rPr>
              <w:t>Aggregate Offering</w:t>
            </w:r>
          </w:p>
        </w:tc>
        <w:tc>
          <w:tcPr>
            <w:tcW w:w="1520" w:type="dxa"/>
            <w:vAlign w:val="bottom"/>
          </w:tcPr>
          <w:p>
            <w:pPr>
              <w:jc w:val="center"/>
              <w:ind w:left="14"/>
              <w:spacing w:after="0"/>
              <w:rPr>
                <w:sz w:val="20"/>
                <w:szCs w:val="20"/>
                <w:color w:val="auto"/>
              </w:rPr>
            </w:pPr>
            <w:r>
              <w:rPr>
                <w:rFonts w:ascii="Arial" w:cs="Arial" w:eastAsia="Arial" w:hAnsi="Arial"/>
                <w:sz w:val="13"/>
                <w:szCs w:val="13"/>
                <w:b w:val="1"/>
                <w:bCs w:val="1"/>
                <w:color w:val="auto"/>
                <w:w w:val="91"/>
              </w:rPr>
              <w:t>Registration Fee(3)</w:t>
            </w:r>
          </w:p>
        </w:tc>
      </w:tr>
      <w:tr>
        <w:trPr>
          <w:trHeight w:val="176"/>
        </w:trPr>
        <w:tc>
          <w:tcPr>
            <w:tcW w:w="20" w:type="dxa"/>
            <w:vAlign w:val="bottom"/>
          </w:tcPr>
          <w:p>
            <w:pPr>
              <w:spacing w:after="0"/>
              <w:rPr>
                <w:sz w:val="15"/>
                <w:szCs w:val="15"/>
                <w:color w:val="auto"/>
              </w:rPr>
            </w:pPr>
          </w:p>
        </w:tc>
        <w:tc>
          <w:tcPr>
            <w:tcW w:w="40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jc w:val="center"/>
              <w:ind w:left="814"/>
              <w:spacing w:after="0"/>
              <w:rPr>
                <w:sz w:val="20"/>
                <w:szCs w:val="20"/>
                <w:color w:val="auto"/>
              </w:rPr>
            </w:pPr>
            <w:r>
              <w:rPr>
                <w:rFonts w:ascii="Arial" w:cs="Arial" w:eastAsia="Arial" w:hAnsi="Arial"/>
                <w:sz w:val="13"/>
                <w:szCs w:val="13"/>
                <w:b w:val="1"/>
                <w:bCs w:val="1"/>
                <w:color w:val="auto"/>
                <w:w w:val="94"/>
              </w:rPr>
              <w:t>Price(1)(2)</w:t>
            </w:r>
          </w:p>
        </w:tc>
        <w:tc>
          <w:tcPr>
            <w:tcW w:w="1520" w:type="dxa"/>
            <w:vAlign w:val="bottom"/>
            <w:tcBorders>
              <w:bottom w:val="single" w:sz="8" w:color="auto"/>
            </w:tcBorders>
          </w:tcPr>
          <w:p>
            <w:pPr>
              <w:spacing w:after="0"/>
              <w:rPr>
                <w:sz w:val="15"/>
                <w:szCs w:val="15"/>
                <w:color w:val="auto"/>
              </w:rPr>
            </w:pPr>
          </w:p>
        </w:tc>
      </w:tr>
      <w:tr>
        <w:trPr>
          <w:trHeight w:val="168"/>
        </w:trPr>
        <w:tc>
          <w:tcPr>
            <w:tcW w:w="2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Common Stock, $0.001 par value per share</w:t>
            </w:r>
          </w:p>
        </w:tc>
        <w:tc>
          <w:tcPr>
            <w:tcW w:w="252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color w:val="auto"/>
              </w:rPr>
              <w:t>$50,000,000</w:t>
            </w:r>
          </w:p>
        </w:tc>
        <w:tc>
          <w:tcPr>
            <w:tcW w:w="152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rPr>
              <w:t>$6,820.00</w:t>
            </w:r>
          </w:p>
        </w:tc>
      </w:tr>
      <w:tr>
        <w:trPr>
          <w:trHeight w:val="20"/>
        </w:trPr>
        <w:tc>
          <w:tcPr>
            <w:tcW w:w="2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20" w:hanging="515"/>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of 1933, as amended (the "Securities Act").</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shares which the underwriters have the option to purchase to cover over-allotments, if any.</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pursuant to Rule 457(o) under the Securities Act based on the proposed maximum offering price.</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w:t>
      </w:r>
    </w:p>
    <w:p>
      <w:pPr>
        <w:spacing w:after="0" w:line="32" w:lineRule="exact"/>
        <w:rPr>
          <w:sz w:val="20"/>
          <w:szCs w:val="20"/>
          <w:color w:val="auto"/>
        </w:rPr>
      </w:pPr>
    </w:p>
    <w:p>
      <w:pPr>
        <w:spacing w:after="0" w:line="262" w:lineRule="auto"/>
        <w:rPr>
          <w:sz w:val="20"/>
          <w:szCs w:val="20"/>
          <w:color w:val="auto"/>
        </w:rPr>
      </w:pPr>
      <w:r>
        <w:rPr>
          <w:rFonts w:ascii="Arial" w:cs="Arial" w:eastAsia="Arial" w:hAnsi="Arial"/>
          <w:sz w:val="13"/>
          <w:szCs w:val="13"/>
          <w:b w:val="1"/>
          <w:bCs w:val="1"/>
          <w:color w:val="auto"/>
        </w:rPr>
        <w:t>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283845</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300355</wp:posOffset>
            </wp:positionV>
            <wp:extent cx="7250430"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464820</wp:posOffset>
            </wp:positionV>
            <wp:extent cx="72548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b w:val="1"/>
          <w:bCs w:val="1"/>
          <w:color w:val="FC1921"/>
        </w:rPr>
        <w:t>The information in this prospectus is not complete and may be changed. We may not sell these securities until the registration statement filed with the Securities and Exchange Commission is effective. This preliminary prospectus is not an offer to sell these securities and we are not soliciting an offer to buy these securities in any jurisdiction where the offer or sale is not permitted.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C1921"/>
        </w:rPr>
        <w:t>Subject to Completion, Dated August 13,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PRELIMINARY PROSPECTUS</w:t>
      </w:r>
    </w:p>
    <w:p>
      <w:pPr>
        <w:spacing w:after="0" w:line="210" w:lineRule="exact"/>
        <w:rPr>
          <w:sz w:val="20"/>
          <w:szCs w:val="20"/>
          <w:color w:val="auto"/>
        </w:rPr>
      </w:pPr>
    </w:p>
    <w:p>
      <w:pPr>
        <w:ind w:left="596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2184400</wp:posOffset>
            </wp:positionH>
            <wp:positionV relativeFrom="paragraph">
              <wp:posOffset>149860</wp:posOffset>
            </wp:positionV>
            <wp:extent cx="2896870" cy="1356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6870" cy="1356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149860</wp:posOffset>
            </wp:positionV>
            <wp:extent cx="19062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tabs>
          <w:tab w:leader="none" w:pos="5680" w:val="left"/>
        </w:tabs>
        <w:rPr>
          <w:sz w:val="20"/>
          <w:szCs w:val="20"/>
          <w:color w:val="auto"/>
        </w:rPr>
      </w:pPr>
      <w:r>
        <w:rPr>
          <w:rFonts w:ascii="Arial" w:cs="Arial" w:eastAsia="Arial" w:hAnsi="Arial"/>
          <w:sz w:val="17"/>
          <w:szCs w:val="17"/>
          <w:i w:val="1"/>
          <w:iCs w:val="1"/>
          <w:color w:val="auto"/>
        </w:rPr>
        <w:t>This is our initial public offering of common stock. We are offering</w:t>
      </w:r>
      <w:r>
        <w:rPr>
          <w:sz w:val="20"/>
          <w:szCs w:val="20"/>
          <w:color w:val="auto"/>
        </w:rPr>
        <w:tab/>
      </w:r>
      <w:r>
        <w:rPr>
          <w:rFonts w:ascii="Arial" w:cs="Arial" w:eastAsia="Arial" w:hAnsi="Arial"/>
          <w:sz w:val="15"/>
          <w:szCs w:val="15"/>
          <w:i w:val="1"/>
          <w:iCs w:val="1"/>
          <w:color w:val="auto"/>
        </w:rPr>
        <w:t>shares and the selling stockholders identified in this prospectus are</w:t>
      </w:r>
    </w:p>
    <w:p>
      <w:pPr>
        <w:spacing w:after="0" w:line="20" w:lineRule="exact"/>
        <w:rPr>
          <w:sz w:val="20"/>
          <w:szCs w:val="20"/>
          <w:color w:val="auto"/>
        </w:rPr>
      </w:pPr>
    </w:p>
    <w:p>
      <w:pPr>
        <w:spacing w:after="0"/>
        <w:tabs>
          <w:tab w:leader="none" w:pos="1340" w:val="left"/>
        </w:tabs>
        <w:rPr>
          <w:sz w:val="20"/>
          <w:szCs w:val="20"/>
          <w:color w:val="auto"/>
        </w:rPr>
      </w:pPr>
      <w:r>
        <w:rPr>
          <w:rFonts w:ascii="Arial" w:cs="Arial" w:eastAsia="Arial" w:hAnsi="Arial"/>
          <w:sz w:val="15"/>
          <w:szCs w:val="15"/>
          <w:i w:val="1"/>
          <w:iCs w:val="1"/>
          <w:color w:val="auto"/>
        </w:rPr>
        <w:t>offering</w:t>
      </w:r>
      <w:r>
        <w:rPr>
          <w:sz w:val="20"/>
          <w:szCs w:val="20"/>
          <w:color w:val="auto"/>
        </w:rPr>
        <w:tab/>
      </w:r>
      <w:r>
        <w:rPr>
          <w:rFonts w:ascii="Arial" w:cs="Arial" w:eastAsia="Arial" w:hAnsi="Arial"/>
          <w:sz w:val="15"/>
          <w:szCs w:val="15"/>
          <w:i w:val="1"/>
          <w:iCs w:val="1"/>
          <w:color w:val="auto"/>
        </w:rPr>
        <w:t>shares. We will not receive any of the proceeds from the sale of the shares being sold by the selling stockholders. Prior to this offering, no public</w:t>
      </w:r>
    </w:p>
    <w:p>
      <w:pPr>
        <w:spacing w:after="0" w:line="37" w:lineRule="exact"/>
        <w:rPr>
          <w:sz w:val="20"/>
          <w:szCs w:val="20"/>
          <w:color w:val="auto"/>
        </w:rPr>
      </w:pPr>
    </w:p>
    <w:p>
      <w:pPr>
        <w:spacing w:after="0"/>
        <w:tabs>
          <w:tab w:leader="none" w:pos="8420" w:val="left"/>
          <w:tab w:leader="none" w:pos="9180" w:val="left"/>
        </w:tabs>
        <w:rPr>
          <w:sz w:val="20"/>
          <w:szCs w:val="20"/>
          <w:color w:val="auto"/>
        </w:rPr>
      </w:pPr>
      <w:r>
        <w:rPr>
          <w:rFonts w:ascii="Arial" w:cs="Arial" w:eastAsia="Arial" w:hAnsi="Arial"/>
          <w:sz w:val="17"/>
          <w:szCs w:val="17"/>
          <w:i w:val="1"/>
          <w:iCs w:val="1"/>
          <w:color w:val="auto"/>
        </w:rPr>
        <w:t>market has existed for our common stock. We currently estimate that the initial public offering price will be between $</w:t>
      </w:r>
      <w:r>
        <w:rPr>
          <w:sz w:val="20"/>
          <w:szCs w:val="20"/>
          <w:color w:val="auto"/>
        </w:rPr>
        <w:tab/>
      </w:r>
      <w:r>
        <w:rPr>
          <w:rFonts w:ascii="Arial" w:cs="Arial" w:eastAsia="Arial" w:hAnsi="Arial"/>
          <w:sz w:val="17"/>
          <w:szCs w:val="17"/>
          <w:i w:val="1"/>
          <w:iCs w:val="1"/>
          <w:color w:val="auto"/>
        </w:rPr>
        <w:t>and $</w:t>
      </w:r>
      <w:r>
        <w:rPr>
          <w:sz w:val="20"/>
          <w:szCs w:val="20"/>
          <w:color w:val="auto"/>
        </w:rPr>
        <w:tab/>
      </w:r>
      <w:r>
        <w:rPr>
          <w:rFonts w:ascii="Arial" w:cs="Arial" w:eastAsia="Arial" w:hAnsi="Arial"/>
          <w:sz w:val="15"/>
          <w:szCs w:val="15"/>
          <w:i w:val="1"/>
          <w:iCs w:val="1"/>
          <w:color w:val="auto"/>
        </w:rPr>
        <w:t>per share. We have applied to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list our common stock on the NASDAQ Global Market under the symbol "AAOI."</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in our common stock involves a high degree of risk. See "Risk Factors" beginning on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150495</wp:posOffset>
            </wp:positionV>
            <wp:extent cx="19062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6060" w:type="dxa"/>
            <w:vAlign w:val="bottom"/>
            <w:gridSpan w:val="2"/>
            <w:vMerge w:val="restart"/>
          </w:tcPr>
          <w:p>
            <w:pPr>
              <w:spacing w:after="0"/>
              <w:rPr>
                <w:sz w:val="20"/>
                <w:szCs w:val="20"/>
                <w:color w:val="auto"/>
              </w:rPr>
            </w:pPr>
            <w:r>
              <w:rPr>
                <w:rFonts w:ascii="Arial" w:cs="Arial" w:eastAsia="Arial" w:hAnsi="Arial"/>
                <w:sz w:val="17"/>
                <w:szCs w:val="17"/>
                <w:color w:val="auto"/>
              </w:rPr>
              <w:t>Initial public offering price</w:t>
            </w:r>
          </w:p>
        </w:tc>
        <w:tc>
          <w:tcPr>
            <w:tcW w:w="1360" w:type="dxa"/>
            <w:vAlign w:val="bottom"/>
          </w:tcPr>
          <w:p>
            <w:pPr>
              <w:spacing w:after="0"/>
              <w:rPr>
                <w:sz w:val="13"/>
                <w:szCs w:val="13"/>
                <w:color w:val="auto"/>
              </w:rPr>
            </w:pPr>
          </w:p>
        </w:tc>
        <w:tc>
          <w:tcPr>
            <w:tcW w:w="74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Per share</w:t>
            </w:r>
          </w:p>
        </w:tc>
        <w:tc>
          <w:tcPr>
            <w:tcW w:w="140" w:type="dxa"/>
            <w:vAlign w:val="bottom"/>
          </w:tcPr>
          <w:p>
            <w:pPr>
              <w:spacing w:after="0"/>
              <w:rPr>
                <w:sz w:val="13"/>
                <w:szCs w:val="13"/>
                <w:color w:val="auto"/>
              </w:rPr>
            </w:pPr>
          </w:p>
        </w:tc>
        <w:tc>
          <w:tcPr>
            <w:tcW w:w="660" w:type="dxa"/>
            <w:vAlign w:val="bottom"/>
            <w:tcBorders>
              <w:bottom w:val="single" w:sz="8" w:color="auto"/>
            </w:tcBorders>
          </w:tcPr>
          <w:p>
            <w:pPr>
              <w:jc w:val="right"/>
              <w:ind w:right="10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4"/>
        </w:trPr>
        <w:tc>
          <w:tcPr>
            <w:tcW w:w="6060" w:type="dxa"/>
            <w:vAlign w:val="bottom"/>
            <w:gridSpan w:val="2"/>
            <w:vMerge w:val="continue"/>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jc w:val="right"/>
              <w:ind w:right="565"/>
              <w:spacing w:after="0" w:line="194" w:lineRule="exact"/>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6"/>
                <w:szCs w:val="16"/>
                <w:color w:val="auto"/>
              </w:rPr>
            </w:pPr>
          </w:p>
        </w:tc>
        <w:tc>
          <w:tcPr>
            <w:tcW w:w="660" w:type="dxa"/>
            <w:vAlign w:val="bottom"/>
          </w:tcPr>
          <w:p>
            <w:pPr>
              <w:jc w:val="right"/>
              <w:ind w:right="485"/>
              <w:spacing w:after="0" w:line="194" w:lineRule="exact"/>
              <w:rPr>
                <w:sz w:val="20"/>
                <w:szCs w:val="20"/>
                <w:color w:val="auto"/>
              </w:rPr>
            </w:pPr>
            <w:r>
              <w:rPr>
                <w:rFonts w:ascii="Arial" w:cs="Arial" w:eastAsia="Arial" w:hAnsi="Arial"/>
                <w:sz w:val="17"/>
                <w:szCs w:val="17"/>
                <w:color w:val="auto"/>
                <w:w w:val="84"/>
              </w:rPr>
              <w:t>$</w:t>
            </w:r>
          </w:p>
        </w:tc>
        <w:tc>
          <w:tcPr>
            <w:tcW w:w="0" w:type="dxa"/>
            <w:vAlign w:val="bottom"/>
          </w:tcPr>
          <w:p>
            <w:pPr>
              <w:spacing w:after="0"/>
              <w:rPr>
                <w:sz w:val="1"/>
                <w:szCs w:val="1"/>
                <w:color w:val="auto"/>
              </w:rPr>
            </w:pPr>
          </w:p>
        </w:tc>
      </w:tr>
      <w:tr>
        <w:trPr>
          <w:trHeight w:val="210"/>
        </w:trPr>
        <w:tc>
          <w:tcPr>
            <w:tcW w:w="6060" w:type="dxa"/>
            <w:vAlign w:val="bottom"/>
            <w:gridSpan w:val="2"/>
          </w:tcPr>
          <w:p>
            <w:pPr>
              <w:spacing w:after="0"/>
              <w:rPr>
                <w:sz w:val="20"/>
                <w:szCs w:val="20"/>
                <w:color w:val="auto"/>
              </w:rPr>
            </w:pPr>
            <w:r>
              <w:rPr>
                <w:rFonts w:ascii="Arial" w:cs="Arial" w:eastAsia="Arial" w:hAnsi="Arial"/>
                <w:sz w:val="17"/>
                <w:szCs w:val="17"/>
                <w:color w:val="auto"/>
              </w:rPr>
              <w:t>Underwriting discounts and commissions</w:t>
            </w:r>
          </w:p>
        </w:tc>
        <w:tc>
          <w:tcPr>
            <w:tcW w:w="2100" w:type="dxa"/>
            <w:vAlign w:val="bottom"/>
            <w:gridSpan w:val="2"/>
          </w:tcPr>
          <w:p>
            <w:pPr>
              <w:jc w:val="right"/>
              <w:ind w:right="565"/>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8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060" w:type="dxa"/>
            <w:vAlign w:val="bottom"/>
            <w:gridSpan w:val="2"/>
          </w:tcPr>
          <w:p>
            <w:pPr>
              <w:spacing w:after="0"/>
              <w:rPr>
                <w:sz w:val="20"/>
                <w:szCs w:val="20"/>
                <w:color w:val="auto"/>
              </w:rPr>
            </w:pPr>
            <w:r>
              <w:rPr>
                <w:rFonts w:ascii="Arial" w:cs="Arial" w:eastAsia="Arial" w:hAnsi="Arial"/>
                <w:sz w:val="17"/>
                <w:szCs w:val="17"/>
                <w:color w:val="auto"/>
              </w:rPr>
              <w:t>Proceeds to us, before expenses</w:t>
            </w:r>
          </w:p>
        </w:tc>
        <w:tc>
          <w:tcPr>
            <w:tcW w:w="2100" w:type="dxa"/>
            <w:vAlign w:val="bottom"/>
            <w:gridSpan w:val="2"/>
          </w:tcPr>
          <w:p>
            <w:pPr>
              <w:jc w:val="right"/>
              <w:ind w:right="565"/>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8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7"/>
                <w:szCs w:val="17"/>
                <w:color w:val="auto"/>
              </w:rPr>
              <w:t>Proceeds to selling stockholders, before expenses</w:t>
            </w:r>
          </w:p>
        </w:tc>
        <w:tc>
          <w:tcPr>
            <w:tcW w:w="2100" w:type="dxa"/>
            <w:vAlign w:val="bottom"/>
            <w:gridSpan w:val="2"/>
          </w:tcPr>
          <w:p>
            <w:pPr>
              <w:jc w:val="right"/>
              <w:ind w:right="565"/>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8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ind w:left="340"/>
        <w:spacing w:after="0"/>
        <w:tabs>
          <w:tab w:leader="none" w:pos="8880" w:val="left"/>
        </w:tabs>
        <w:rPr>
          <w:sz w:val="20"/>
          <w:szCs w:val="20"/>
          <w:color w:val="auto"/>
        </w:rPr>
      </w:pPr>
      <w:r>
        <w:rPr>
          <w:rFonts w:ascii="Arial" w:cs="Arial" w:eastAsia="Arial" w:hAnsi="Arial"/>
          <w:sz w:val="17"/>
          <w:szCs w:val="17"/>
          <w:i w:val="1"/>
          <w:iCs w:val="1"/>
          <w:color w:val="auto"/>
        </w:rPr>
        <w:t>We and the selling stockholders have granted the underwriters an option for a period of 30 days to purchase up to</w:t>
      </w:r>
      <w:r>
        <w:rPr>
          <w:sz w:val="20"/>
          <w:szCs w:val="20"/>
          <w:color w:val="auto"/>
        </w:rPr>
        <w:tab/>
      </w:r>
      <w:r>
        <w:rPr>
          <w:rFonts w:ascii="Arial" w:cs="Arial" w:eastAsia="Arial" w:hAnsi="Arial"/>
          <w:sz w:val="15"/>
          <w:szCs w:val="15"/>
          <w:i w:val="1"/>
          <w:iCs w:val="1"/>
          <w:color w:val="auto"/>
        </w:rPr>
        <w:t>additional shares of common stock</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 cover over-allotments.</w:t>
      </w:r>
    </w:p>
    <w:p>
      <w:pPr>
        <w:spacing w:after="0" w:line="218" w:lineRule="exact"/>
        <w:rPr>
          <w:sz w:val="20"/>
          <w:szCs w:val="20"/>
          <w:color w:val="auto"/>
        </w:rPr>
      </w:pPr>
    </w:p>
    <w:p>
      <w:pPr>
        <w:ind w:right="280" w:firstLine="341"/>
        <w:spacing w:after="0" w:line="282" w:lineRule="auto"/>
        <w:rPr>
          <w:sz w:val="20"/>
          <w:szCs w:val="20"/>
          <w:color w:val="auto"/>
        </w:rPr>
      </w:pPr>
      <w:r>
        <w:rPr>
          <w:rFonts w:ascii="Arial" w:cs="Arial" w:eastAsia="Arial" w:hAnsi="Arial"/>
          <w:sz w:val="17"/>
          <w:szCs w:val="17"/>
          <w:i w:val="1"/>
          <w:iCs w:val="1"/>
          <w:color w:val="auto"/>
        </w:rPr>
        <w:t>We are an "emerging growth company" as defined under the federal securities laws and, as such, have elected to comply with certain reduced public company reporting requirements.</w:t>
      </w:r>
    </w:p>
    <w:p>
      <w:pPr>
        <w:spacing w:after="0" w:line="166" w:lineRule="exact"/>
        <w:rPr>
          <w:sz w:val="20"/>
          <w:szCs w:val="20"/>
          <w:color w:val="auto"/>
        </w:rPr>
      </w:pPr>
    </w:p>
    <w:p>
      <w:pPr>
        <w:ind w:right="520"/>
        <w:spacing w:after="0" w:line="287"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880" w:type="dxa"/>
            <w:vAlign w:val="bottom"/>
            <w:gridSpan w:val="2"/>
          </w:tcPr>
          <w:p>
            <w:pPr>
              <w:spacing w:after="0"/>
              <w:rPr>
                <w:sz w:val="20"/>
                <w:szCs w:val="20"/>
                <w:color w:val="auto"/>
              </w:rPr>
            </w:pPr>
            <w:r>
              <w:rPr>
                <w:rFonts w:ascii="Arial" w:cs="Arial" w:eastAsia="Arial" w:hAnsi="Arial"/>
                <w:sz w:val="17"/>
                <w:szCs w:val="17"/>
                <w:i w:val="1"/>
                <w:iCs w:val="1"/>
                <w:color w:val="auto"/>
              </w:rPr>
              <w:t>The underwriters expect to deliver the shares of common stock to purchasers on or about</w:t>
            </w:r>
          </w:p>
        </w:tc>
        <w:tc>
          <w:tcPr>
            <w:tcW w:w="740" w:type="dxa"/>
            <w:vAlign w:val="bottom"/>
          </w:tcPr>
          <w:p>
            <w:pPr>
              <w:jc w:val="right"/>
              <w:spacing w:after="0"/>
              <w:rPr>
                <w:sz w:val="20"/>
                <w:szCs w:val="20"/>
                <w:color w:val="auto"/>
              </w:rPr>
            </w:pPr>
            <w:r>
              <w:rPr>
                <w:rFonts w:ascii="Arial" w:cs="Arial" w:eastAsia="Arial" w:hAnsi="Arial"/>
                <w:sz w:val="17"/>
                <w:szCs w:val="17"/>
                <w:i w:val="1"/>
                <w:iCs w:val="1"/>
                <w:color w:val="auto"/>
              </w:rPr>
              <w:t>, 2013.</w:t>
            </w:r>
          </w:p>
        </w:tc>
      </w:tr>
      <w:tr>
        <w:trPr>
          <w:trHeight w:val="212"/>
        </w:trPr>
        <w:tc>
          <w:tcPr>
            <w:tcW w:w="3880" w:type="dxa"/>
            <w:vAlign w:val="bottom"/>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bl>
    <w:p>
      <w:pPr>
        <w:spacing w:after="0" w:line="200" w:lineRule="exact"/>
        <w:rPr>
          <w:sz w:val="20"/>
          <w:szCs w:val="20"/>
          <w:color w:val="auto"/>
        </w:rPr>
      </w:pPr>
    </w:p>
    <w:p>
      <w:pPr>
        <w:spacing w:after="0" w:line="288" w:lineRule="exact"/>
        <w:rPr>
          <w:sz w:val="20"/>
          <w:szCs w:val="20"/>
          <w:color w:val="auto"/>
        </w:rPr>
      </w:pPr>
    </w:p>
    <w:p>
      <w:pPr>
        <w:spacing w:after="0"/>
        <w:tabs>
          <w:tab w:leader="none" w:pos="8940" w:val="left"/>
        </w:tabs>
        <w:rPr>
          <w:sz w:val="20"/>
          <w:szCs w:val="20"/>
          <w:color w:val="auto"/>
        </w:rPr>
      </w:pPr>
      <w:r>
        <w:rPr>
          <w:rFonts w:ascii="Arial" w:cs="Arial" w:eastAsia="Arial" w:hAnsi="Arial"/>
          <w:sz w:val="31"/>
          <w:szCs w:val="31"/>
          <w:b w:val="1"/>
          <w:bCs w:val="1"/>
          <w:color w:val="auto"/>
        </w:rPr>
        <w:t>RAYMOND JAMES</w:t>
      </w:r>
      <w:r>
        <w:rPr>
          <w:sz w:val="20"/>
          <w:szCs w:val="20"/>
          <w:color w:val="auto"/>
        </w:rPr>
        <w:tab/>
      </w:r>
      <w:r>
        <w:rPr>
          <w:rFonts w:ascii="Arial" w:cs="Arial" w:eastAsia="Arial" w:hAnsi="Arial"/>
          <w:sz w:val="31"/>
          <w:szCs w:val="31"/>
          <w:b w:val="1"/>
          <w:bCs w:val="1"/>
          <w:color w:val="auto"/>
        </w:rPr>
        <w:t>PIPER JAFFRAY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163195</wp:posOffset>
            </wp:positionV>
            <wp:extent cx="19062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8320" w:val="left"/>
        </w:tabs>
        <w:rPr>
          <w:sz w:val="20"/>
          <w:szCs w:val="20"/>
          <w:color w:val="auto"/>
        </w:rPr>
      </w:pPr>
      <w:r>
        <w:rPr>
          <w:rFonts w:ascii="Arial" w:cs="Arial" w:eastAsia="Arial" w:hAnsi="Arial"/>
          <w:sz w:val="24"/>
          <w:szCs w:val="24"/>
          <w:b w:val="1"/>
          <w:bCs w:val="1"/>
          <w:color w:val="auto"/>
        </w:rPr>
        <w:t>COWEN AND COMPANY</w:t>
      </w:r>
      <w:r>
        <w:rPr>
          <w:sz w:val="20"/>
          <w:szCs w:val="20"/>
          <w:color w:val="auto"/>
        </w:rPr>
        <w:tab/>
      </w:r>
      <w:r>
        <w:rPr>
          <w:rFonts w:ascii="Arial" w:cs="Arial" w:eastAsia="Arial" w:hAnsi="Arial"/>
          <w:sz w:val="23"/>
          <w:szCs w:val="23"/>
          <w:b w:val="1"/>
          <w:bCs w:val="1"/>
          <w:color w:val="auto"/>
        </w:rPr>
        <w:t>ROTH CAPITAL PARTNERS</w:t>
      </w:r>
    </w:p>
    <w:p>
      <w:pPr>
        <w:sectPr>
          <w:pgSz w:w="11900" w:h="16838" w:orient="portrait"/>
          <w:cols w:equalWidth="0" w:num="1">
            <w:col w:w="11420"/>
          </w:cols>
          <w:pgMar w:left="240" w:top="131" w:right="239" w:bottom="1440" w:gutter="0" w:footer="0" w:header="0"/>
        </w:sectPr>
      </w:pPr>
    </w:p>
    <w:p>
      <w:pPr>
        <w:spacing w:after="0" w:line="230" w:lineRule="exact"/>
        <w:rPr>
          <w:sz w:val="20"/>
          <w:szCs w:val="20"/>
          <w:color w:val="auto"/>
        </w:rPr>
      </w:pPr>
    </w:p>
    <w:p>
      <w:pPr>
        <w:ind w:left="3900"/>
        <w:spacing w:after="0"/>
        <w:tabs>
          <w:tab w:leader="none" w:pos="7100" w:val="left"/>
        </w:tabs>
        <w:rPr>
          <w:sz w:val="20"/>
          <w:szCs w:val="20"/>
          <w:color w:val="auto"/>
        </w:rPr>
      </w:pPr>
      <w:r>
        <w:rPr>
          <w:rFonts w:ascii="Arial" w:cs="Arial" w:eastAsia="Arial" w:hAnsi="Arial"/>
          <w:sz w:val="17"/>
          <w:szCs w:val="17"/>
          <w:b w:val="1"/>
          <w:bCs w:val="1"/>
          <w:color w:val="auto"/>
        </w:rPr>
        <w:t>The date of this prospectus is</w:t>
      </w:r>
      <w:r>
        <w:rPr>
          <w:sz w:val="20"/>
          <w:szCs w:val="20"/>
          <w:color w:val="auto"/>
        </w:rPr>
        <w:tab/>
      </w:r>
      <w:r>
        <w:rPr>
          <w:rFonts w:ascii="Arial" w:cs="Arial" w:eastAsia="Arial" w:hAnsi="Arial"/>
          <w:sz w:val="15"/>
          <w:szCs w:val="15"/>
          <w:b w:val="1"/>
          <w:bCs w:val="1"/>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 w:name="page4"/>
    <w:bookmarkEnd w:id="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147955</wp:posOffset>
            </wp:positionV>
            <wp:extent cx="19062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OF CONTENTS</w:t>
      </w:r>
    </w:p>
    <w:p>
      <w:pPr>
        <w:spacing w:after="0" w:line="276"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1200" w:type="dxa"/>
            <w:vAlign w:val="bottom"/>
            <w:gridSpan w:val="5"/>
            <w:vMerge w:val="restart"/>
          </w:tcPr>
          <w:p>
            <w:pPr>
              <w:spacing w:after="0"/>
              <w:rPr>
                <w:rFonts w:ascii="Arial" w:cs="Arial" w:eastAsia="Arial" w:hAnsi="Arial"/>
                <w:sz w:val="17"/>
                <w:szCs w:val="17"/>
                <w:color w:val="0000EE"/>
                <w:w w:val="91"/>
              </w:rPr>
            </w:pPr>
            <w:hyperlink w:anchor="page12">
              <w:r>
                <w:rPr>
                  <w:rFonts w:ascii="Arial" w:cs="Arial" w:eastAsia="Arial" w:hAnsi="Arial"/>
                  <w:sz w:val="17"/>
                  <w:szCs w:val="17"/>
                  <w:color w:val="0000EE"/>
                  <w:w w:val="91"/>
                </w:rPr>
                <w:t>THE OFFERING</w:t>
              </w:r>
            </w:hyperlink>
          </w:p>
        </w:tc>
        <w:tc>
          <w:tcPr>
            <w:tcW w:w="7320" w:type="dxa"/>
            <w:vAlign w:val="bottom"/>
            <w:gridSpan w:val="18"/>
            <w:vMerge w:val="restart"/>
          </w:tcPr>
          <w:p>
            <w:pPr>
              <w:spacing w:after="0"/>
              <w:rPr>
                <w:sz w:val="13"/>
                <w:szCs w:val="13"/>
                <w:color w:val="auto"/>
              </w:rPr>
            </w:pPr>
          </w:p>
        </w:tc>
        <w:tc>
          <w:tcPr>
            <w:tcW w:w="460" w:type="dxa"/>
            <w:vAlign w:val="bottom"/>
            <w:gridSpan w:val="5"/>
          </w:tcPr>
          <w:p>
            <w:pPr>
              <w:ind w:lef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4"/>
        </w:trPr>
        <w:tc>
          <w:tcPr>
            <w:tcW w:w="1200" w:type="dxa"/>
            <w:vAlign w:val="bottom"/>
            <w:gridSpan w:val="5"/>
            <w:vMerge w:val="continue"/>
          </w:tcPr>
          <w:p>
            <w:pPr>
              <w:spacing w:after="0"/>
              <w:rPr>
                <w:sz w:val="14"/>
                <w:szCs w:val="14"/>
                <w:color w:val="auto"/>
              </w:rPr>
            </w:pPr>
          </w:p>
        </w:tc>
        <w:tc>
          <w:tcPr>
            <w:tcW w:w="7320" w:type="dxa"/>
            <w:vAlign w:val="bottom"/>
            <w:gridSpan w:val="18"/>
            <w:vMerge w:val="continue"/>
          </w:tcPr>
          <w:p>
            <w:pPr>
              <w:spacing w:after="0"/>
              <w:rPr>
                <w:sz w:val="14"/>
                <w:szCs w:val="14"/>
                <w:color w:val="auto"/>
              </w:rPr>
            </w:pPr>
          </w:p>
        </w:tc>
        <w:tc>
          <w:tcPr>
            <w:tcW w:w="440" w:type="dxa"/>
            <w:vAlign w:val="bottom"/>
            <w:tcBorders>
              <w:top w:val="single" w:sz="8" w:color="auto"/>
            </w:tcBorders>
            <w:gridSpan w:val="4"/>
          </w:tcPr>
          <w:p>
            <w:pPr>
              <w:jc w:val="right"/>
              <w:spacing w:after="0" w:line="163" w:lineRule="exact"/>
              <w:rPr>
                <w:rFonts w:ascii="Arial" w:cs="Arial" w:eastAsia="Arial" w:hAnsi="Arial"/>
                <w:sz w:val="17"/>
                <w:szCs w:val="17"/>
                <w:color w:val="0000EE"/>
              </w:rPr>
            </w:pPr>
            <w:hyperlink w:anchor="page12">
              <w:r>
                <w:rPr>
                  <w:rFonts w:ascii="Arial" w:cs="Arial" w:eastAsia="Arial" w:hAnsi="Arial"/>
                  <w:sz w:val="17"/>
                  <w:szCs w:val="17"/>
                  <w:color w:val="0000EE"/>
                </w:rPr>
                <w:t>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gridSpan w:val="23"/>
          </w:tcPr>
          <w:p>
            <w:pPr>
              <w:spacing w:after="0" w:line="189" w:lineRule="exact"/>
              <w:rPr>
                <w:rFonts w:ascii="Arial" w:cs="Arial" w:eastAsia="Arial" w:hAnsi="Arial"/>
                <w:sz w:val="17"/>
                <w:szCs w:val="17"/>
                <w:color w:val="0000EE"/>
              </w:rPr>
            </w:pPr>
            <w:hyperlink w:anchor="page14">
              <w:r>
                <w:rPr>
                  <w:rFonts w:ascii="Arial" w:cs="Arial" w:eastAsia="Arial" w:hAnsi="Arial"/>
                  <w:sz w:val="17"/>
                  <w:szCs w:val="17"/>
                  <w:color w:val="0000EE"/>
                </w:rPr>
                <w:t>SUMMARY CONSOLIDATED FINANCIAL DATA</w:t>
              </w:r>
            </w:hyperlink>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14">
              <w:r>
                <w:rPr>
                  <w:rFonts w:ascii="Arial" w:cs="Arial" w:eastAsia="Arial" w:hAnsi="Arial"/>
                  <w:sz w:val="17"/>
                  <w:szCs w:val="17"/>
                  <w:color w:val="0000EE"/>
                </w:rPr>
                <w:t>9</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Borders>
              <w:left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200" w:type="dxa"/>
            <w:vAlign w:val="bottom"/>
            <w:tcBorders>
              <w:bottom w:val="single" w:sz="8" w:color="0000EE"/>
            </w:tcBorders>
            <w:gridSpan w:val="5"/>
          </w:tcPr>
          <w:p>
            <w:pPr>
              <w:spacing w:after="0" w:line="189" w:lineRule="exact"/>
              <w:rPr>
                <w:rFonts w:ascii="Arial" w:cs="Arial" w:eastAsia="Arial" w:hAnsi="Arial"/>
                <w:sz w:val="17"/>
                <w:szCs w:val="17"/>
                <w:color w:val="0000EE"/>
                <w:w w:val="92"/>
              </w:rPr>
            </w:pPr>
            <w:hyperlink w:anchor="page18">
              <w:r>
                <w:rPr>
                  <w:rFonts w:ascii="Arial" w:cs="Arial" w:eastAsia="Arial" w:hAnsi="Arial"/>
                  <w:sz w:val="17"/>
                  <w:szCs w:val="17"/>
                  <w:color w:val="0000EE"/>
                  <w:w w:val="92"/>
                </w:rPr>
                <w:t>RISK FACTORS</w:t>
              </w:r>
            </w:hyperlink>
          </w:p>
        </w:tc>
        <w:tc>
          <w:tcPr>
            <w:tcW w:w="2420" w:type="dxa"/>
            <w:vAlign w:val="bottom"/>
            <w:gridSpan w:val="12"/>
          </w:tcPr>
          <w:p>
            <w:pPr>
              <w:spacing w:after="0"/>
              <w:rPr>
                <w:sz w:val="16"/>
                <w:szCs w:val="16"/>
                <w:color w:val="auto"/>
              </w:rPr>
            </w:pPr>
          </w:p>
        </w:tc>
        <w:tc>
          <w:tcPr>
            <w:tcW w:w="4900" w:type="dxa"/>
            <w:vAlign w:val="bottom"/>
            <w:gridSpan w:val="6"/>
          </w:tcPr>
          <w:p>
            <w:pPr>
              <w:spacing w:after="0"/>
              <w:rPr>
                <w:sz w:val="16"/>
                <w:szCs w:val="16"/>
                <w:color w:val="auto"/>
              </w:rPr>
            </w:pPr>
          </w:p>
        </w:tc>
        <w:tc>
          <w:tcPr>
            <w:tcW w:w="260" w:type="dxa"/>
            <w:vAlign w:val="bottom"/>
            <w:gridSpan w:val="2"/>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18">
              <w:r>
                <w:rPr>
                  <w:rFonts w:ascii="Arial" w:cs="Arial" w:eastAsia="Arial" w:hAnsi="Arial"/>
                  <w:sz w:val="17"/>
                  <w:szCs w:val="17"/>
                  <w:color w:val="0000EE"/>
                  <w:w w:val="84"/>
                </w:rPr>
                <w:t>13</w:t>
              </w:r>
            </w:hyperlink>
          </w:p>
        </w:tc>
        <w:tc>
          <w:tcPr>
            <w:tcW w:w="0" w:type="dxa"/>
            <w:vAlign w:val="bottom"/>
          </w:tcPr>
          <w:p>
            <w:pPr>
              <w:spacing w:after="0"/>
              <w:rPr>
                <w:sz w:val="1"/>
                <w:szCs w:val="1"/>
                <w:color w:val="auto"/>
              </w:rPr>
            </w:pPr>
          </w:p>
        </w:tc>
      </w:tr>
      <w:tr>
        <w:trPr>
          <w:trHeight w:val="190"/>
        </w:trPr>
        <w:tc>
          <w:tcPr>
            <w:tcW w:w="6840" w:type="dxa"/>
            <w:vAlign w:val="bottom"/>
            <w:tcBorders>
              <w:bottom w:val="single" w:sz="8" w:color="0000EE"/>
            </w:tcBorders>
            <w:gridSpan w:val="21"/>
          </w:tcPr>
          <w:p>
            <w:pPr>
              <w:spacing w:after="0" w:line="189" w:lineRule="exact"/>
              <w:rPr>
                <w:rFonts w:ascii="Arial" w:cs="Arial" w:eastAsia="Arial" w:hAnsi="Arial"/>
                <w:sz w:val="17"/>
                <w:szCs w:val="17"/>
                <w:color w:val="0000EE"/>
                <w:w w:val="96"/>
              </w:rPr>
            </w:pPr>
            <w:hyperlink w:anchor="page43">
              <w:r>
                <w:rPr>
                  <w:rFonts w:ascii="Arial" w:cs="Arial" w:eastAsia="Arial" w:hAnsi="Arial"/>
                  <w:sz w:val="17"/>
                  <w:szCs w:val="17"/>
                  <w:color w:val="0000EE"/>
                  <w:w w:val="96"/>
                </w:rPr>
                <w:t>SPECIAL NOTE REGARDING FORWARD-LOOKING STATEMENTS AND INDUSTRY DATA</w:t>
              </w:r>
            </w:hyperlink>
          </w:p>
        </w:tc>
        <w:tc>
          <w:tcPr>
            <w:tcW w:w="1680" w:type="dxa"/>
            <w:vAlign w:val="bottom"/>
            <w:gridSpan w:val="2"/>
          </w:tcPr>
          <w:p>
            <w:pPr>
              <w:spacing w:after="0"/>
              <w:rPr>
                <w:sz w:val="16"/>
                <w:szCs w:val="16"/>
                <w:color w:val="auto"/>
              </w:rPr>
            </w:pPr>
          </w:p>
        </w:tc>
        <w:tc>
          <w:tcPr>
            <w:tcW w:w="260" w:type="dxa"/>
            <w:vAlign w:val="bottom"/>
            <w:gridSpan w:val="2"/>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43">
              <w:r>
                <w:rPr>
                  <w:rFonts w:ascii="Arial" w:cs="Arial" w:eastAsia="Arial" w:hAnsi="Arial"/>
                  <w:sz w:val="17"/>
                  <w:szCs w:val="17"/>
                  <w:color w:val="0000EE"/>
                  <w:w w:val="84"/>
                </w:rPr>
                <w:t>38</w:t>
              </w:r>
            </w:hyperlink>
          </w:p>
        </w:tc>
        <w:tc>
          <w:tcPr>
            <w:tcW w:w="0" w:type="dxa"/>
            <w:vAlign w:val="bottom"/>
          </w:tcPr>
          <w:p>
            <w:pPr>
              <w:spacing w:after="0"/>
              <w:rPr>
                <w:sz w:val="1"/>
                <w:szCs w:val="1"/>
                <w:color w:val="auto"/>
              </w:rPr>
            </w:pPr>
          </w:p>
        </w:tc>
      </w:tr>
      <w:tr>
        <w:trPr>
          <w:trHeight w:val="190"/>
        </w:trPr>
        <w:tc>
          <w:tcPr>
            <w:tcW w:w="1500" w:type="dxa"/>
            <w:vAlign w:val="bottom"/>
            <w:tcBorders>
              <w:bottom w:val="single" w:sz="8" w:color="0000EE"/>
            </w:tcBorders>
            <w:gridSpan w:val="11"/>
          </w:tcPr>
          <w:p>
            <w:pPr>
              <w:spacing w:after="0" w:line="189" w:lineRule="exact"/>
              <w:rPr>
                <w:rFonts w:ascii="Arial" w:cs="Arial" w:eastAsia="Arial" w:hAnsi="Arial"/>
                <w:sz w:val="17"/>
                <w:szCs w:val="17"/>
                <w:color w:val="0000EE"/>
                <w:w w:val="90"/>
              </w:rPr>
            </w:pPr>
            <w:hyperlink w:anchor="page44">
              <w:r>
                <w:rPr>
                  <w:rFonts w:ascii="Arial" w:cs="Arial" w:eastAsia="Arial" w:hAnsi="Arial"/>
                  <w:sz w:val="17"/>
                  <w:szCs w:val="17"/>
                  <w:color w:val="0000EE"/>
                  <w:w w:val="90"/>
                </w:rPr>
                <w:t>USE OF PROCEEDS</w:t>
              </w:r>
            </w:hyperlink>
          </w:p>
        </w:tc>
        <w:tc>
          <w:tcPr>
            <w:tcW w:w="7020" w:type="dxa"/>
            <w:vAlign w:val="bottom"/>
            <w:gridSpan w:val="12"/>
          </w:tcPr>
          <w:p>
            <w:pPr>
              <w:spacing w:after="0"/>
              <w:rPr>
                <w:sz w:val="16"/>
                <w:szCs w:val="16"/>
                <w:color w:val="auto"/>
              </w:rPr>
            </w:pPr>
          </w:p>
        </w:tc>
        <w:tc>
          <w:tcPr>
            <w:tcW w:w="260" w:type="dxa"/>
            <w:vAlign w:val="bottom"/>
            <w:gridSpan w:val="2"/>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44">
              <w:r>
                <w:rPr>
                  <w:rFonts w:ascii="Arial" w:cs="Arial" w:eastAsia="Arial" w:hAnsi="Arial"/>
                  <w:sz w:val="17"/>
                  <w:szCs w:val="17"/>
                  <w:color w:val="0000EE"/>
                  <w:w w:val="84"/>
                </w:rPr>
                <w:t>39</w:t>
              </w:r>
            </w:hyperlink>
          </w:p>
        </w:tc>
        <w:tc>
          <w:tcPr>
            <w:tcW w:w="0" w:type="dxa"/>
            <w:vAlign w:val="bottom"/>
          </w:tcPr>
          <w:p>
            <w:pPr>
              <w:spacing w:after="0"/>
              <w:rPr>
                <w:sz w:val="1"/>
                <w:szCs w:val="1"/>
                <w:color w:val="auto"/>
              </w:rPr>
            </w:pPr>
          </w:p>
        </w:tc>
      </w:tr>
      <w:tr>
        <w:trPr>
          <w:trHeight w:val="190"/>
        </w:trPr>
        <w:tc>
          <w:tcPr>
            <w:tcW w:w="8520" w:type="dxa"/>
            <w:vAlign w:val="bottom"/>
            <w:gridSpan w:val="23"/>
          </w:tcPr>
          <w:p>
            <w:pPr>
              <w:spacing w:after="0" w:line="189" w:lineRule="exact"/>
              <w:rPr>
                <w:rFonts w:ascii="Arial" w:cs="Arial" w:eastAsia="Arial" w:hAnsi="Arial"/>
                <w:sz w:val="17"/>
                <w:szCs w:val="17"/>
                <w:color w:val="0000EE"/>
              </w:rPr>
            </w:pPr>
            <w:hyperlink w:anchor="page44">
              <w:r>
                <w:rPr>
                  <w:rFonts w:ascii="Arial" w:cs="Arial" w:eastAsia="Arial" w:hAnsi="Arial"/>
                  <w:sz w:val="17"/>
                  <w:szCs w:val="17"/>
                  <w:color w:val="0000EE"/>
                </w:rPr>
                <w:t>DIVIDEND POLICY</w:t>
              </w:r>
            </w:hyperlink>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44">
              <w:r>
                <w:rPr>
                  <w:rFonts w:ascii="Arial" w:cs="Arial" w:eastAsia="Arial" w:hAnsi="Arial"/>
                  <w:sz w:val="17"/>
                  <w:szCs w:val="17"/>
                  <w:color w:val="0000EE"/>
                </w:rPr>
                <w:t>39</w:t>
              </w:r>
            </w:hyperlink>
          </w:p>
        </w:tc>
        <w:tc>
          <w:tcPr>
            <w:tcW w:w="0" w:type="dxa"/>
            <w:vAlign w:val="bottom"/>
          </w:tcPr>
          <w:p>
            <w:pPr>
              <w:spacing w:after="0"/>
              <w:rPr>
                <w:sz w:val="1"/>
                <w:szCs w:val="1"/>
                <w:color w:val="auto"/>
              </w:rPr>
            </w:pPr>
          </w:p>
        </w:tc>
      </w:tr>
      <w:tr>
        <w:trPr>
          <w:trHeight w:val="190"/>
        </w:trPr>
        <w:tc>
          <w:tcPr>
            <w:tcW w:w="1380" w:type="dxa"/>
            <w:vAlign w:val="bottom"/>
            <w:tcBorders>
              <w:top w:val="single" w:sz="8" w:color="0000EE"/>
              <w:bottom w:val="single" w:sz="8" w:color="0000EE"/>
            </w:tcBorders>
            <w:gridSpan w:val="9"/>
          </w:tcPr>
          <w:p>
            <w:pPr>
              <w:spacing w:after="0" w:line="189" w:lineRule="exact"/>
              <w:rPr>
                <w:rFonts w:ascii="Arial" w:cs="Arial" w:eastAsia="Arial" w:hAnsi="Arial"/>
                <w:sz w:val="17"/>
                <w:szCs w:val="17"/>
                <w:color w:val="0000EE"/>
                <w:w w:val="98"/>
              </w:rPr>
            </w:pPr>
            <w:hyperlink w:anchor="page45">
              <w:r>
                <w:rPr>
                  <w:rFonts w:ascii="Arial" w:cs="Arial" w:eastAsia="Arial" w:hAnsi="Arial"/>
                  <w:sz w:val="17"/>
                  <w:szCs w:val="17"/>
                  <w:color w:val="0000EE"/>
                  <w:w w:val="98"/>
                </w:rPr>
                <w:t>CAPITALIZATION</w:t>
              </w:r>
            </w:hyperlink>
          </w:p>
        </w:tc>
        <w:tc>
          <w:tcPr>
            <w:tcW w:w="100" w:type="dxa"/>
            <w:vAlign w:val="bottom"/>
            <w:tcBorders>
              <w:top w:val="single" w:sz="8" w:color="0000EE"/>
            </w:tcBorders>
          </w:tcPr>
          <w:p>
            <w:pPr>
              <w:spacing w:after="0"/>
              <w:rPr>
                <w:sz w:val="16"/>
                <w:szCs w:val="16"/>
                <w:color w:val="auto"/>
              </w:rPr>
            </w:pPr>
          </w:p>
        </w:tc>
        <w:tc>
          <w:tcPr>
            <w:tcW w:w="7040" w:type="dxa"/>
            <w:vAlign w:val="bottom"/>
            <w:gridSpan w:val="13"/>
          </w:tcPr>
          <w:p>
            <w:pPr>
              <w:spacing w:after="0"/>
              <w:rPr>
                <w:sz w:val="16"/>
                <w:szCs w:val="16"/>
                <w:color w:val="auto"/>
              </w:rPr>
            </w:pPr>
          </w:p>
        </w:tc>
        <w:tc>
          <w:tcPr>
            <w:tcW w:w="260" w:type="dxa"/>
            <w:vAlign w:val="bottom"/>
            <w:gridSpan w:val="2"/>
          </w:tcPr>
          <w:p>
            <w:pPr>
              <w:spacing w:after="0"/>
              <w:rPr>
                <w:sz w:val="16"/>
                <w:szCs w:val="16"/>
                <w:color w:val="auto"/>
              </w:rPr>
            </w:pPr>
          </w:p>
        </w:tc>
        <w:tc>
          <w:tcPr>
            <w:tcW w:w="200" w:type="dxa"/>
            <w:vAlign w:val="bottom"/>
            <w:tcBorders>
              <w:top w:val="single" w:sz="8" w:color="0000EE"/>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45">
              <w:r>
                <w:rPr>
                  <w:rFonts w:ascii="Arial" w:cs="Arial" w:eastAsia="Arial" w:hAnsi="Arial"/>
                  <w:sz w:val="17"/>
                  <w:szCs w:val="17"/>
                  <w:color w:val="0000EE"/>
                  <w:w w:val="84"/>
                </w:rPr>
                <w:t>40</w:t>
              </w:r>
            </w:hyperlink>
          </w:p>
        </w:tc>
        <w:tc>
          <w:tcPr>
            <w:tcW w:w="0" w:type="dxa"/>
            <w:vAlign w:val="bottom"/>
          </w:tcPr>
          <w:p>
            <w:pPr>
              <w:spacing w:after="0"/>
              <w:rPr>
                <w:sz w:val="1"/>
                <w:szCs w:val="1"/>
                <w:color w:val="auto"/>
              </w:rPr>
            </w:pPr>
          </w:p>
        </w:tc>
      </w:tr>
      <w:tr>
        <w:trPr>
          <w:trHeight w:val="190"/>
        </w:trPr>
        <w:tc>
          <w:tcPr>
            <w:tcW w:w="820" w:type="dxa"/>
            <w:vAlign w:val="bottom"/>
            <w:tcBorders>
              <w:bottom w:val="single" w:sz="8" w:color="0000EE"/>
            </w:tcBorders>
            <w:gridSpan w:val="4"/>
          </w:tcPr>
          <w:p>
            <w:pPr>
              <w:spacing w:after="0" w:line="189" w:lineRule="exact"/>
              <w:rPr>
                <w:rFonts w:ascii="Arial" w:cs="Arial" w:eastAsia="Arial" w:hAnsi="Arial"/>
                <w:sz w:val="17"/>
                <w:szCs w:val="17"/>
                <w:color w:val="0000EE"/>
              </w:rPr>
            </w:pPr>
            <w:hyperlink w:anchor="page48">
              <w:r>
                <w:rPr>
                  <w:rFonts w:ascii="Arial" w:cs="Arial" w:eastAsia="Arial" w:hAnsi="Arial"/>
                  <w:sz w:val="17"/>
                  <w:szCs w:val="17"/>
                  <w:color w:val="0000EE"/>
                </w:rPr>
                <w:t>DILUTION</w:t>
              </w:r>
            </w:hyperlink>
          </w:p>
        </w:tc>
        <w:tc>
          <w:tcPr>
            <w:tcW w:w="7700" w:type="dxa"/>
            <w:vAlign w:val="bottom"/>
            <w:gridSpan w:val="19"/>
          </w:tcPr>
          <w:p>
            <w:pPr>
              <w:spacing w:after="0"/>
              <w:rPr>
                <w:sz w:val="16"/>
                <w:szCs w:val="16"/>
                <w:color w:val="auto"/>
              </w:rPr>
            </w:pPr>
          </w:p>
        </w:tc>
        <w:tc>
          <w:tcPr>
            <w:tcW w:w="260" w:type="dxa"/>
            <w:vAlign w:val="bottom"/>
            <w:gridSpan w:val="2"/>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48">
              <w:r>
                <w:rPr>
                  <w:rFonts w:ascii="Arial" w:cs="Arial" w:eastAsia="Arial" w:hAnsi="Arial"/>
                  <w:sz w:val="17"/>
                  <w:szCs w:val="17"/>
                  <w:color w:val="0000EE"/>
                  <w:w w:val="84"/>
                </w:rPr>
                <w:t>43</w:t>
              </w:r>
            </w:hyperlink>
          </w:p>
        </w:tc>
        <w:tc>
          <w:tcPr>
            <w:tcW w:w="0" w:type="dxa"/>
            <w:vAlign w:val="bottom"/>
          </w:tcPr>
          <w:p>
            <w:pPr>
              <w:spacing w:after="0"/>
              <w:rPr>
                <w:sz w:val="1"/>
                <w:szCs w:val="1"/>
                <w:color w:val="auto"/>
              </w:rPr>
            </w:pPr>
          </w:p>
        </w:tc>
      </w:tr>
      <w:tr>
        <w:trPr>
          <w:trHeight w:val="190"/>
        </w:trPr>
        <w:tc>
          <w:tcPr>
            <w:tcW w:w="8520" w:type="dxa"/>
            <w:vAlign w:val="bottom"/>
            <w:gridSpan w:val="23"/>
          </w:tcPr>
          <w:p>
            <w:pPr>
              <w:spacing w:after="0" w:line="189" w:lineRule="exact"/>
              <w:rPr>
                <w:rFonts w:ascii="Arial" w:cs="Arial" w:eastAsia="Arial" w:hAnsi="Arial"/>
                <w:sz w:val="17"/>
                <w:szCs w:val="17"/>
                <w:color w:val="0000EE"/>
              </w:rPr>
            </w:pPr>
            <w:hyperlink w:anchor="page50">
              <w:r>
                <w:rPr>
                  <w:rFonts w:ascii="Arial" w:cs="Arial" w:eastAsia="Arial" w:hAnsi="Arial"/>
                  <w:sz w:val="17"/>
                  <w:szCs w:val="17"/>
                  <w:color w:val="0000EE"/>
                </w:rPr>
                <w:t>SELECTED CONSOLIDATED FINANCIAL DATA</w:t>
              </w:r>
            </w:hyperlink>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50">
              <w:r>
                <w:rPr>
                  <w:rFonts w:ascii="Arial" w:cs="Arial" w:eastAsia="Arial" w:hAnsi="Arial"/>
                  <w:sz w:val="17"/>
                  <w:szCs w:val="17"/>
                  <w:color w:val="0000EE"/>
                </w:rPr>
                <w:t>45</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gridSpan w:val="23"/>
          </w:tcPr>
          <w:p>
            <w:pPr>
              <w:spacing w:after="0" w:line="189" w:lineRule="exact"/>
              <w:rPr>
                <w:rFonts w:ascii="Arial" w:cs="Arial" w:eastAsia="Arial" w:hAnsi="Arial"/>
                <w:sz w:val="17"/>
                <w:szCs w:val="17"/>
                <w:color w:val="0000EE"/>
              </w:rPr>
            </w:pPr>
            <w:hyperlink w:anchor="page52">
              <w:r>
                <w:rPr>
                  <w:rFonts w:ascii="Arial" w:cs="Arial" w:eastAsia="Arial" w:hAnsi="Arial"/>
                  <w:sz w:val="17"/>
                  <w:szCs w:val="17"/>
                  <w:color w:val="0000EE"/>
                </w:rPr>
                <w:t>MANAGEMENT'S DISCUSSION AND ANALYSIS OF FINANCIAL CONDITION AND RESULTS OF</w:t>
              </w:r>
            </w:hyperlink>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0" w:type="dxa"/>
            <w:vAlign w:val="bottom"/>
            <w:tcBorders>
              <w:top w:val="single" w:sz="8" w:color="0000EE"/>
            </w:tcBorders>
          </w:tcPr>
          <w:p>
            <w:pPr>
              <w:spacing w:after="0"/>
              <w:rPr>
                <w:sz w:val="16"/>
                <w:szCs w:val="16"/>
                <w:color w:val="auto"/>
              </w:rPr>
            </w:pPr>
          </w:p>
        </w:tc>
        <w:tc>
          <w:tcPr>
            <w:tcW w:w="7160" w:type="dxa"/>
            <w:vAlign w:val="bottom"/>
            <w:tcBorders>
              <w:top w:val="single" w:sz="8" w:color="0000EE"/>
            </w:tcBorders>
            <w:gridSpan w:val="21"/>
          </w:tcPr>
          <w:p>
            <w:pPr>
              <w:spacing w:after="0" w:line="189" w:lineRule="exact"/>
              <w:rPr>
                <w:rFonts w:ascii="Arial" w:cs="Arial" w:eastAsia="Arial" w:hAnsi="Arial"/>
                <w:sz w:val="17"/>
                <w:szCs w:val="17"/>
                <w:color w:val="0000EE"/>
              </w:rPr>
            </w:pPr>
            <w:hyperlink w:anchor="page52">
              <w:r>
                <w:rPr>
                  <w:rFonts w:ascii="Arial" w:cs="Arial" w:eastAsia="Arial" w:hAnsi="Arial"/>
                  <w:sz w:val="17"/>
                  <w:szCs w:val="17"/>
                  <w:color w:val="0000EE"/>
                </w:rPr>
                <w:t>OPERATIONS</w:t>
              </w:r>
            </w:hyperlink>
          </w:p>
        </w:tc>
        <w:tc>
          <w:tcPr>
            <w:tcW w:w="1200" w:type="dxa"/>
            <w:vAlign w:val="bottom"/>
          </w:tcPr>
          <w:p>
            <w:pPr>
              <w:spacing w:after="0"/>
              <w:rPr>
                <w:sz w:val="16"/>
                <w:szCs w:val="16"/>
                <w:color w:val="auto"/>
              </w:rPr>
            </w:pPr>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52">
              <w:r>
                <w:rPr>
                  <w:rFonts w:ascii="Arial" w:cs="Arial" w:eastAsia="Arial" w:hAnsi="Arial"/>
                  <w:sz w:val="17"/>
                  <w:szCs w:val="17"/>
                  <w:color w:val="0000EE"/>
                </w:rPr>
                <w:t>47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0" w:type="dxa"/>
            <w:vAlign w:val="bottom"/>
            <w:tcBorders>
              <w:bottom w:val="single" w:sz="8" w:color="0000EE"/>
            </w:tcBorders>
            <w:gridSpan w:val="3"/>
          </w:tcPr>
          <w:p>
            <w:pPr>
              <w:spacing w:after="0" w:line="189" w:lineRule="exact"/>
              <w:rPr>
                <w:rFonts w:ascii="Arial" w:cs="Arial" w:eastAsia="Arial" w:hAnsi="Arial"/>
                <w:sz w:val="17"/>
                <w:szCs w:val="17"/>
                <w:color w:val="0000EE"/>
                <w:w w:val="90"/>
              </w:rPr>
            </w:pPr>
            <w:hyperlink w:anchor="page84">
              <w:r>
                <w:rPr>
                  <w:rFonts w:ascii="Arial" w:cs="Arial" w:eastAsia="Arial" w:hAnsi="Arial"/>
                  <w:sz w:val="17"/>
                  <w:szCs w:val="17"/>
                  <w:color w:val="0000EE"/>
                  <w:w w:val="90"/>
                </w:rPr>
                <w:t>BUSINESS</w:t>
              </w:r>
            </w:hyperlink>
          </w:p>
        </w:tc>
        <w:tc>
          <w:tcPr>
            <w:tcW w:w="7720" w:type="dxa"/>
            <w:vAlign w:val="bottom"/>
            <w:gridSpan w:val="20"/>
          </w:tcPr>
          <w:p>
            <w:pPr>
              <w:spacing w:after="0"/>
              <w:rPr>
                <w:sz w:val="16"/>
                <w:szCs w:val="16"/>
                <w:color w:val="auto"/>
              </w:rPr>
            </w:pPr>
          </w:p>
        </w:tc>
        <w:tc>
          <w:tcPr>
            <w:tcW w:w="260" w:type="dxa"/>
            <w:vAlign w:val="bottom"/>
            <w:gridSpan w:val="2"/>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84">
              <w:r>
                <w:rPr>
                  <w:rFonts w:ascii="Arial" w:cs="Arial" w:eastAsia="Arial" w:hAnsi="Arial"/>
                  <w:sz w:val="17"/>
                  <w:szCs w:val="17"/>
                  <w:color w:val="0000EE"/>
                  <w:w w:val="84"/>
                </w:rPr>
                <w:t>79</w:t>
              </w:r>
            </w:hyperlink>
          </w:p>
        </w:tc>
        <w:tc>
          <w:tcPr>
            <w:tcW w:w="0" w:type="dxa"/>
            <w:vAlign w:val="bottom"/>
          </w:tcPr>
          <w:p>
            <w:pPr>
              <w:spacing w:after="0"/>
              <w:rPr>
                <w:sz w:val="1"/>
                <w:szCs w:val="1"/>
                <w:color w:val="auto"/>
              </w:rPr>
            </w:pPr>
          </w:p>
        </w:tc>
      </w:tr>
      <w:tr>
        <w:trPr>
          <w:trHeight w:val="190"/>
        </w:trPr>
        <w:tc>
          <w:tcPr>
            <w:tcW w:w="8520" w:type="dxa"/>
            <w:vAlign w:val="bottom"/>
            <w:gridSpan w:val="23"/>
          </w:tcPr>
          <w:p>
            <w:pPr>
              <w:spacing w:after="0" w:line="189" w:lineRule="exact"/>
              <w:rPr>
                <w:rFonts w:ascii="Arial" w:cs="Arial" w:eastAsia="Arial" w:hAnsi="Arial"/>
                <w:sz w:val="17"/>
                <w:szCs w:val="17"/>
                <w:color w:val="0000EE"/>
              </w:rPr>
            </w:pPr>
            <w:hyperlink w:anchor="page103">
              <w:r>
                <w:rPr>
                  <w:rFonts w:ascii="Arial" w:cs="Arial" w:eastAsia="Arial" w:hAnsi="Arial"/>
                  <w:sz w:val="17"/>
                  <w:szCs w:val="17"/>
                  <w:color w:val="0000EE"/>
                </w:rPr>
                <w:t>MANAGEMENT</w:t>
              </w:r>
            </w:hyperlink>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103">
              <w:r>
                <w:rPr>
                  <w:rFonts w:ascii="Arial" w:cs="Arial" w:eastAsia="Arial" w:hAnsi="Arial"/>
                  <w:sz w:val="17"/>
                  <w:szCs w:val="17"/>
                  <w:color w:val="0000EE"/>
                </w:rPr>
                <w:t>98</w:t>
              </w:r>
            </w:hyperlink>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gridSpan w:val="23"/>
          </w:tcPr>
          <w:p>
            <w:pPr>
              <w:spacing w:after="0" w:line="189" w:lineRule="exact"/>
              <w:rPr>
                <w:rFonts w:ascii="Arial" w:cs="Arial" w:eastAsia="Arial" w:hAnsi="Arial"/>
                <w:sz w:val="17"/>
                <w:szCs w:val="17"/>
                <w:color w:val="0000EE"/>
              </w:rPr>
            </w:pPr>
            <w:hyperlink w:anchor="page113">
              <w:r>
                <w:rPr>
                  <w:rFonts w:ascii="Arial" w:cs="Arial" w:eastAsia="Arial" w:hAnsi="Arial"/>
                  <w:sz w:val="17"/>
                  <w:szCs w:val="17"/>
                  <w:color w:val="0000EE"/>
                </w:rPr>
                <w:t>EXECUTIVE COMPENSATION</w:t>
              </w:r>
            </w:hyperlink>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113">
              <w:r>
                <w:rPr>
                  <w:rFonts w:ascii="Arial" w:cs="Arial" w:eastAsia="Arial" w:hAnsi="Arial"/>
                  <w:sz w:val="17"/>
                  <w:szCs w:val="17"/>
                  <w:color w:val="0000EE"/>
                </w:rPr>
                <w:t>108</w:t>
              </w:r>
            </w:hyperlink>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80" w:type="dxa"/>
            <w:vAlign w:val="bottom"/>
            <w:gridSpan w:val="18"/>
          </w:tcPr>
          <w:p>
            <w:pPr>
              <w:spacing w:after="0" w:line="189" w:lineRule="exact"/>
              <w:rPr>
                <w:rFonts w:ascii="Arial" w:cs="Arial" w:eastAsia="Arial" w:hAnsi="Arial"/>
                <w:sz w:val="17"/>
                <w:szCs w:val="17"/>
                <w:color w:val="0000EE"/>
                <w:w w:val="95"/>
              </w:rPr>
            </w:pPr>
            <w:hyperlink w:anchor="page124">
              <w:r>
                <w:rPr>
                  <w:rFonts w:ascii="Arial" w:cs="Arial" w:eastAsia="Arial" w:hAnsi="Arial"/>
                  <w:sz w:val="17"/>
                  <w:szCs w:val="17"/>
                  <w:color w:val="0000EE"/>
                  <w:w w:val="95"/>
                </w:rPr>
                <w:t>CERTAIN RELATIONSHIPS AND RELATED PARTY TRANSACTIONS</w:t>
              </w:r>
            </w:hyperlink>
          </w:p>
        </w:tc>
        <w:tc>
          <w:tcPr>
            <w:tcW w:w="3340" w:type="dxa"/>
            <w:vAlign w:val="bottom"/>
            <w:gridSpan w:val="5"/>
          </w:tcPr>
          <w:p>
            <w:pPr>
              <w:spacing w:after="0"/>
              <w:rPr>
                <w:sz w:val="16"/>
                <w:szCs w:val="16"/>
                <w:color w:val="auto"/>
              </w:rPr>
            </w:pPr>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124">
              <w:r>
                <w:rPr>
                  <w:rFonts w:ascii="Arial" w:cs="Arial" w:eastAsia="Arial" w:hAnsi="Arial"/>
                  <w:sz w:val="17"/>
                  <w:szCs w:val="17"/>
                  <w:color w:val="0000EE"/>
                </w:rPr>
                <w:t>119</w:t>
              </w:r>
            </w:hyperlink>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80" w:type="dxa"/>
            <w:vAlign w:val="bottom"/>
            <w:gridSpan w:val="18"/>
          </w:tcPr>
          <w:p>
            <w:pPr>
              <w:spacing w:after="0" w:line="189" w:lineRule="exact"/>
              <w:rPr>
                <w:rFonts w:ascii="Arial" w:cs="Arial" w:eastAsia="Arial" w:hAnsi="Arial"/>
                <w:sz w:val="17"/>
                <w:szCs w:val="17"/>
                <w:color w:val="0000EE"/>
              </w:rPr>
            </w:pPr>
            <w:hyperlink w:anchor="page128">
              <w:r>
                <w:rPr>
                  <w:rFonts w:ascii="Arial" w:cs="Arial" w:eastAsia="Arial" w:hAnsi="Arial"/>
                  <w:sz w:val="17"/>
                  <w:szCs w:val="17"/>
                  <w:color w:val="0000EE"/>
                </w:rPr>
                <w:t>PRINCIPAL AND SELLING STOCKHOLDERS</w:t>
              </w:r>
            </w:hyperlink>
          </w:p>
        </w:tc>
        <w:tc>
          <w:tcPr>
            <w:tcW w:w="3340" w:type="dxa"/>
            <w:vAlign w:val="bottom"/>
            <w:gridSpan w:val="5"/>
          </w:tcPr>
          <w:p>
            <w:pPr>
              <w:spacing w:after="0"/>
              <w:rPr>
                <w:sz w:val="16"/>
                <w:szCs w:val="16"/>
                <w:color w:val="auto"/>
              </w:rPr>
            </w:pPr>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128">
              <w:r>
                <w:rPr>
                  <w:rFonts w:ascii="Arial" w:cs="Arial" w:eastAsia="Arial" w:hAnsi="Arial"/>
                  <w:sz w:val="17"/>
                  <w:szCs w:val="17"/>
                  <w:color w:val="0000EE"/>
                </w:rPr>
                <w:t>123</w:t>
              </w:r>
            </w:hyperlink>
          </w:p>
        </w:tc>
        <w:tc>
          <w:tcPr>
            <w:tcW w:w="0" w:type="dxa"/>
            <w:vAlign w:val="bottom"/>
          </w:tcPr>
          <w:p>
            <w:pPr>
              <w:spacing w:after="0"/>
              <w:rPr>
                <w:sz w:val="1"/>
                <w:szCs w:val="1"/>
                <w:color w:val="auto"/>
              </w:rPr>
            </w:pPr>
          </w:p>
        </w:tc>
      </w:tr>
      <w:tr>
        <w:trPr>
          <w:trHeight w:val="190"/>
        </w:trPr>
        <w:tc>
          <w:tcPr>
            <w:tcW w:w="3400" w:type="dxa"/>
            <w:vAlign w:val="bottom"/>
            <w:tcBorders>
              <w:top w:val="single" w:sz="8" w:color="0000EE"/>
            </w:tcBorders>
            <w:gridSpan w:val="16"/>
          </w:tcPr>
          <w:p>
            <w:pPr>
              <w:spacing w:after="0" w:line="189" w:lineRule="exact"/>
              <w:rPr>
                <w:rFonts w:ascii="Arial" w:cs="Arial" w:eastAsia="Arial" w:hAnsi="Arial"/>
                <w:sz w:val="17"/>
                <w:szCs w:val="17"/>
                <w:color w:val="0000EE"/>
              </w:rPr>
            </w:pPr>
            <w:hyperlink w:anchor="page131">
              <w:r>
                <w:rPr>
                  <w:rFonts w:ascii="Arial" w:cs="Arial" w:eastAsia="Arial" w:hAnsi="Arial"/>
                  <w:sz w:val="17"/>
                  <w:szCs w:val="17"/>
                  <w:color w:val="0000EE"/>
                </w:rPr>
                <w:t>DESCRIPTION OF CAPITAL STOCK</w:t>
              </w:r>
            </w:hyperlink>
          </w:p>
        </w:tc>
        <w:tc>
          <w:tcPr>
            <w:tcW w:w="5120" w:type="dxa"/>
            <w:vAlign w:val="bottom"/>
            <w:gridSpan w:val="7"/>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0000EE"/>
            </w:tcBorders>
            <w:gridSpan w:val="4"/>
          </w:tcPr>
          <w:p>
            <w:pPr>
              <w:jc w:val="right"/>
              <w:ind w:right="20"/>
              <w:spacing w:after="0" w:line="189" w:lineRule="exact"/>
              <w:rPr>
                <w:rFonts w:ascii="Arial" w:cs="Arial" w:eastAsia="Arial" w:hAnsi="Arial"/>
                <w:sz w:val="17"/>
                <w:szCs w:val="17"/>
                <w:color w:val="0000EE"/>
                <w:w w:val="77"/>
              </w:rPr>
            </w:pPr>
            <w:hyperlink w:anchor="page131">
              <w:r>
                <w:rPr>
                  <w:rFonts w:ascii="Arial" w:cs="Arial" w:eastAsia="Arial" w:hAnsi="Arial"/>
                  <w:sz w:val="17"/>
                  <w:szCs w:val="17"/>
                  <w:color w:val="0000EE"/>
                  <w:w w:val="77"/>
                </w:rPr>
                <w:t>126</w:t>
              </w:r>
            </w:hyperlink>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gridSpan w:val="23"/>
          </w:tcPr>
          <w:p>
            <w:pPr>
              <w:spacing w:after="0" w:line="189" w:lineRule="exact"/>
              <w:rPr>
                <w:rFonts w:ascii="Arial" w:cs="Arial" w:eastAsia="Arial" w:hAnsi="Arial"/>
                <w:sz w:val="17"/>
                <w:szCs w:val="17"/>
                <w:color w:val="0000EE"/>
              </w:rPr>
            </w:pPr>
            <w:hyperlink w:anchor="page137">
              <w:r>
                <w:rPr>
                  <w:rFonts w:ascii="Arial" w:cs="Arial" w:eastAsia="Arial" w:hAnsi="Arial"/>
                  <w:sz w:val="17"/>
                  <w:szCs w:val="17"/>
                  <w:color w:val="0000EE"/>
                </w:rPr>
                <w:t>SHARES ELIGIBLE FOR FUTURE SALE</w:t>
              </w:r>
            </w:hyperlink>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137">
              <w:r>
                <w:rPr>
                  <w:rFonts w:ascii="Arial" w:cs="Arial" w:eastAsia="Arial" w:hAnsi="Arial"/>
                  <w:sz w:val="17"/>
                  <w:szCs w:val="17"/>
                  <w:color w:val="0000EE"/>
                </w:rPr>
                <w:t>132</w:t>
              </w:r>
            </w:hyperlink>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gridSpan w:val="23"/>
          </w:tcPr>
          <w:p>
            <w:pPr>
              <w:spacing w:after="0" w:line="189" w:lineRule="exact"/>
              <w:rPr>
                <w:rFonts w:ascii="Arial" w:cs="Arial" w:eastAsia="Arial" w:hAnsi="Arial"/>
                <w:sz w:val="17"/>
                <w:szCs w:val="17"/>
                <w:color w:val="0000EE"/>
              </w:rPr>
            </w:pPr>
            <w:hyperlink w:anchor="page140">
              <w:r>
                <w:rPr>
                  <w:rFonts w:ascii="Arial" w:cs="Arial" w:eastAsia="Arial" w:hAnsi="Arial"/>
                  <w:sz w:val="17"/>
                  <w:szCs w:val="17"/>
                  <w:color w:val="0000EE"/>
                </w:rPr>
                <w:t>MATERIAL U.S. FEDERAL TAX CONSIDERATIONS FOR NON-U.S. HOLDERS</w:t>
              </w:r>
            </w:hyperlink>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140">
              <w:r>
                <w:rPr>
                  <w:rFonts w:ascii="Arial" w:cs="Arial" w:eastAsia="Arial" w:hAnsi="Arial"/>
                  <w:sz w:val="17"/>
                  <w:szCs w:val="17"/>
                  <w:color w:val="0000EE"/>
                </w:rPr>
                <w:t>135</w:t>
              </w:r>
            </w:hyperlink>
          </w:p>
        </w:tc>
        <w:tc>
          <w:tcPr>
            <w:tcW w:w="0" w:type="dxa"/>
            <w:vAlign w:val="bottom"/>
          </w:tcPr>
          <w:p>
            <w:pPr>
              <w:spacing w:after="0"/>
              <w:rPr>
                <w:sz w:val="1"/>
                <w:szCs w:val="1"/>
                <w:color w:val="auto"/>
              </w:rPr>
            </w:pPr>
          </w:p>
        </w:tc>
      </w:tr>
      <w:tr>
        <w:trPr>
          <w:trHeight w:val="190"/>
        </w:trPr>
        <w:tc>
          <w:tcPr>
            <w:tcW w:w="5860" w:type="dxa"/>
            <w:vAlign w:val="bottom"/>
            <w:tcBorders>
              <w:top w:val="single" w:sz="8" w:color="0000EE"/>
            </w:tcBorders>
            <w:gridSpan w:val="19"/>
          </w:tcPr>
          <w:p>
            <w:pPr>
              <w:spacing w:after="0" w:line="189" w:lineRule="exact"/>
              <w:rPr>
                <w:rFonts w:ascii="Arial" w:cs="Arial" w:eastAsia="Arial" w:hAnsi="Arial"/>
                <w:sz w:val="17"/>
                <w:szCs w:val="17"/>
                <w:color w:val="0000EE"/>
              </w:rPr>
            </w:pPr>
            <w:hyperlink w:anchor="page144">
              <w:r>
                <w:rPr>
                  <w:rFonts w:ascii="Arial" w:cs="Arial" w:eastAsia="Arial" w:hAnsi="Arial"/>
                  <w:sz w:val="17"/>
                  <w:szCs w:val="17"/>
                  <w:color w:val="0000EE"/>
                </w:rPr>
                <w:t>UNDERWRITING</w:t>
              </w:r>
            </w:hyperlink>
          </w:p>
        </w:tc>
        <w:tc>
          <w:tcPr>
            <w:tcW w:w="2660" w:type="dxa"/>
            <w:vAlign w:val="bottom"/>
            <w:gridSpan w:val="4"/>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0000EE"/>
            </w:tcBorders>
            <w:gridSpan w:val="4"/>
          </w:tcPr>
          <w:p>
            <w:pPr>
              <w:jc w:val="right"/>
              <w:ind w:right="20"/>
              <w:spacing w:after="0" w:line="189" w:lineRule="exact"/>
              <w:rPr>
                <w:rFonts w:ascii="Arial" w:cs="Arial" w:eastAsia="Arial" w:hAnsi="Arial"/>
                <w:sz w:val="17"/>
                <w:szCs w:val="17"/>
                <w:color w:val="0000EE"/>
                <w:w w:val="77"/>
              </w:rPr>
            </w:pPr>
            <w:hyperlink w:anchor="page144">
              <w:r>
                <w:rPr>
                  <w:rFonts w:ascii="Arial" w:cs="Arial" w:eastAsia="Arial" w:hAnsi="Arial"/>
                  <w:sz w:val="17"/>
                  <w:szCs w:val="17"/>
                  <w:color w:val="0000EE"/>
                  <w:w w:val="77"/>
                </w:rPr>
                <w:t>139</w:t>
              </w:r>
            </w:hyperlink>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9"/>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gridSpan w:val="23"/>
          </w:tcPr>
          <w:p>
            <w:pPr>
              <w:spacing w:after="0" w:line="189" w:lineRule="exact"/>
              <w:rPr>
                <w:rFonts w:ascii="Arial" w:cs="Arial" w:eastAsia="Arial" w:hAnsi="Arial"/>
                <w:sz w:val="17"/>
                <w:szCs w:val="17"/>
                <w:color w:val="0000EE"/>
              </w:rPr>
            </w:pPr>
            <w:hyperlink w:anchor="page151">
              <w:r>
                <w:rPr>
                  <w:rFonts w:ascii="Arial" w:cs="Arial" w:eastAsia="Arial" w:hAnsi="Arial"/>
                  <w:sz w:val="17"/>
                  <w:szCs w:val="17"/>
                  <w:color w:val="0000EE"/>
                </w:rPr>
                <w:t>LEGAL MATTERS</w:t>
              </w:r>
            </w:hyperlink>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151">
              <w:r>
                <w:rPr>
                  <w:rFonts w:ascii="Arial" w:cs="Arial" w:eastAsia="Arial" w:hAnsi="Arial"/>
                  <w:sz w:val="17"/>
                  <w:szCs w:val="17"/>
                  <w:color w:val="0000EE"/>
                </w:rPr>
                <w:t>146</w:t>
              </w:r>
            </w:hyperlink>
          </w:p>
        </w:tc>
        <w:tc>
          <w:tcPr>
            <w:tcW w:w="0" w:type="dxa"/>
            <w:vAlign w:val="bottom"/>
          </w:tcPr>
          <w:p>
            <w:pPr>
              <w:spacing w:after="0"/>
              <w:rPr>
                <w:sz w:val="1"/>
                <w:szCs w:val="1"/>
                <w:color w:val="auto"/>
              </w:rPr>
            </w:pPr>
          </w:p>
        </w:tc>
      </w:tr>
      <w:tr>
        <w:trPr>
          <w:trHeight w:val="190"/>
        </w:trPr>
        <w:tc>
          <w:tcPr>
            <w:tcW w:w="1360" w:type="dxa"/>
            <w:vAlign w:val="bottom"/>
            <w:tcBorders>
              <w:top w:val="single" w:sz="8" w:color="0000EE"/>
            </w:tcBorders>
            <w:gridSpan w:val="8"/>
          </w:tcPr>
          <w:p>
            <w:pPr>
              <w:spacing w:after="0" w:line="189" w:lineRule="exact"/>
              <w:rPr>
                <w:rFonts w:ascii="Arial" w:cs="Arial" w:eastAsia="Arial" w:hAnsi="Arial"/>
                <w:sz w:val="17"/>
                <w:szCs w:val="17"/>
                <w:color w:val="0000EE"/>
              </w:rPr>
            </w:pPr>
            <w:hyperlink w:anchor="page151">
              <w:r>
                <w:rPr>
                  <w:rFonts w:ascii="Arial" w:cs="Arial" w:eastAsia="Arial" w:hAnsi="Arial"/>
                  <w:sz w:val="17"/>
                  <w:szCs w:val="17"/>
                  <w:color w:val="0000EE"/>
                </w:rPr>
                <w:t>EXPERTS</w:t>
              </w:r>
            </w:hyperlink>
          </w:p>
        </w:tc>
        <w:tc>
          <w:tcPr>
            <w:tcW w:w="7160" w:type="dxa"/>
            <w:vAlign w:val="bottom"/>
            <w:gridSpan w:val="15"/>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0000EE"/>
            </w:tcBorders>
            <w:gridSpan w:val="4"/>
          </w:tcPr>
          <w:p>
            <w:pPr>
              <w:jc w:val="right"/>
              <w:ind w:right="20"/>
              <w:spacing w:after="0" w:line="189" w:lineRule="exact"/>
              <w:rPr>
                <w:rFonts w:ascii="Arial" w:cs="Arial" w:eastAsia="Arial" w:hAnsi="Arial"/>
                <w:sz w:val="17"/>
                <w:szCs w:val="17"/>
                <w:color w:val="0000EE"/>
                <w:w w:val="77"/>
              </w:rPr>
            </w:pPr>
            <w:hyperlink w:anchor="page151">
              <w:r>
                <w:rPr>
                  <w:rFonts w:ascii="Arial" w:cs="Arial" w:eastAsia="Arial" w:hAnsi="Arial"/>
                  <w:sz w:val="17"/>
                  <w:szCs w:val="17"/>
                  <w:color w:val="0000EE"/>
                  <w:w w:val="77"/>
                </w:rPr>
                <w:t>146</w:t>
              </w:r>
            </w:hyperlink>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2900" w:type="dxa"/>
            <w:vAlign w:val="bottom"/>
            <w:gridSpan w:val="15"/>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gridSpan w:val="23"/>
          </w:tcPr>
          <w:p>
            <w:pPr>
              <w:spacing w:after="0" w:line="189" w:lineRule="exact"/>
              <w:rPr>
                <w:rFonts w:ascii="Arial" w:cs="Arial" w:eastAsia="Arial" w:hAnsi="Arial"/>
                <w:sz w:val="17"/>
                <w:szCs w:val="17"/>
                <w:color w:val="0000EE"/>
              </w:rPr>
            </w:pPr>
            <w:hyperlink w:anchor="page151">
              <w:r>
                <w:rPr>
                  <w:rFonts w:ascii="Arial" w:cs="Arial" w:eastAsia="Arial" w:hAnsi="Arial"/>
                  <w:sz w:val="17"/>
                  <w:szCs w:val="17"/>
                  <w:color w:val="0000EE"/>
                </w:rPr>
                <w:t>WHERE YOU CAN FIND MORE INFORMATION</w:t>
              </w:r>
            </w:hyperlink>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151">
              <w:r>
                <w:rPr>
                  <w:rFonts w:ascii="Arial" w:cs="Arial" w:eastAsia="Arial" w:hAnsi="Arial"/>
                  <w:sz w:val="17"/>
                  <w:szCs w:val="17"/>
                  <w:color w:val="0000EE"/>
                </w:rPr>
                <w:t>146</w:t>
              </w:r>
            </w:hyperlink>
          </w:p>
        </w:tc>
        <w:tc>
          <w:tcPr>
            <w:tcW w:w="0" w:type="dxa"/>
            <w:vAlign w:val="bottom"/>
          </w:tcPr>
          <w:p>
            <w:pPr>
              <w:spacing w:after="0"/>
              <w:rPr>
                <w:sz w:val="1"/>
                <w:szCs w:val="1"/>
                <w:color w:val="auto"/>
              </w:rPr>
            </w:pPr>
          </w:p>
        </w:tc>
      </w:tr>
      <w:tr>
        <w:trPr>
          <w:trHeight w:val="229"/>
        </w:trPr>
        <w:tc>
          <w:tcPr>
            <w:tcW w:w="1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40" w:type="dxa"/>
            <w:vAlign w:val="bottom"/>
            <w:tcBorders>
              <w:top w:val="single" w:sz="8" w:color="0000EE"/>
              <w:bottom w:val="single" w:sz="8" w:color="auto"/>
            </w:tcBorders>
          </w:tcPr>
          <w:p>
            <w:pPr>
              <w:spacing w:after="0"/>
              <w:rPr>
                <w:sz w:val="19"/>
                <w:szCs w:val="19"/>
                <w:color w:val="auto"/>
              </w:rPr>
            </w:pPr>
          </w:p>
        </w:tc>
        <w:tc>
          <w:tcPr>
            <w:tcW w:w="220" w:type="dxa"/>
            <w:vAlign w:val="bottom"/>
            <w:tcBorders>
              <w:top w:val="single" w:sz="8" w:color="0000EE"/>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b w:val="1"/>
          <w:bCs w:val="1"/>
          <w:color w:val="auto"/>
        </w:rPr>
        <w:t>You should rely only on the information contained in this prospectus and any free writing prospectus prepared by or on behalf of us in connection with this offering. We have not, the selling stockholders have not and the underwriters have not, authorized any other person to provide you with different information. If anyone provides you with different or inconsistent information, you should not rely on it. We are not, the selling stockholders are not and the underwriters are not, making an offer to sell these securities in any jurisdiction where an offer or sale is not permitted. You should assume that the information appearing in this prospectus is accurate as of the date on the front cover of this prospectus only. Our business, financial condition, results of operations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124460</wp:posOffset>
            </wp:positionV>
            <wp:extent cx="19062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Until , 2013 (25 days after the commencement of this offering),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75" w:lineRule="exact"/>
        <w:rPr>
          <w:sz w:val="20"/>
          <w:szCs w:val="20"/>
          <w:color w:val="auto"/>
        </w:rPr>
      </w:pPr>
    </w:p>
    <w:p>
      <w:pPr>
        <w:ind w:right="40" w:firstLine="341"/>
        <w:spacing w:after="0" w:line="320" w:lineRule="auto"/>
        <w:rPr>
          <w:sz w:val="20"/>
          <w:szCs w:val="20"/>
          <w:color w:val="auto"/>
        </w:rPr>
      </w:pPr>
      <w:r>
        <w:rPr>
          <w:rFonts w:ascii="Arial" w:cs="Arial" w:eastAsia="Arial" w:hAnsi="Arial"/>
          <w:sz w:val="16"/>
          <w:szCs w:val="16"/>
          <w:b w:val="1"/>
          <w:bCs w:val="1"/>
          <w:color w:val="auto"/>
        </w:rPr>
        <w:t>No action is being taken in any jurisdiction outside the United States of America, or U.S., to permit a public offering of the common stock or possession or distribution of this prospectus in that jurisdiction. Persons who come into possession of this prospectus in jurisdictions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b w:val="1"/>
          <w:bCs w:val="1"/>
          <w:color w:val="auto"/>
        </w:rPr>
        <w:t>outside the U.S. are required to inform themselves about and to observe any restrictions as to this offering and the distribution of this prospectus applicable to that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110490</wp:posOffset>
            </wp:positionV>
            <wp:extent cx="1906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"Applied Optoelectronics, Inc.," "AOI" and our logo are registered trademarks of Applied Optoelectronics, Inc. This prospectus contains additional trade names, trademarks and service marks of ours and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113030</wp:posOffset>
            </wp:positionV>
            <wp:extent cx="19062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700" w:firstLine="341"/>
        <w:spacing w:after="0" w:line="282" w:lineRule="auto"/>
        <w:rPr>
          <w:sz w:val="20"/>
          <w:szCs w:val="20"/>
          <w:color w:val="auto"/>
        </w:rPr>
      </w:pPr>
      <w:r>
        <w:rPr>
          <w:rFonts w:ascii="Arial" w:cs="Arial" w:eastAsia="Arial" w:hAnsi="Arial"/>
          <w:sz w:val="17"/>
          <w:szCs w:val="17"/>
          <w:color w:val="auto"/>
        </w:rPr>
        <w:t>Unless the context otherwise requires, we use the terms "AOI," "we," "us" and "our" in this prospectus to refer to Applied Optoelectronics, Inc. and its subsidiaries.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373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4565" cy="537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28" w:lineRule="exact"/>
        <w:rPr>
          <w:sz w:val="20"/>
          <w:szCs w:val="20"/>
          <w:color w:val="auto"/>
        </w:rPr>
      </w:pPr>
    </w:p>
    <w:p>
      <w:pPr>
        <w:ind w:left="240" w:firstLine="341"/>
        <w:spacing w:after="0" w:line="265"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under the sections "Risk Factors" and "Management's Discussion and Analysis of Financial Condition and Results of Operations," in each case appearing elsewhere in this prospectus.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ind w:left="240" w:firstLine="338"/>
        <w:spacing w:after="0" w:line="281" w:lineRule="auto"/>
        <w:rPr>
          <w:sz w:val="20"/>
          <w:szCs w:val="20"/>
          <w:color w:val="auto"/>
        </w:rPr>
      </w:pPr>
      <w:r>
        <w:rPr>
          <w:rFonts w:ascii="Arial" w:cs="Arial" w:eastAsia="Arial" w:hAnsi="Arial"/>
          <w:sz w:val="16"/>
          <w:szCs w:val="16"/>
          <w:color w:val="auto"/>
        </w:rPr>
        <w:t>We are a leading, vertically integrated provider of fiber-optic networking products, primarily for three networking end-markets: cable television, or CATV, fiber-to-the-home, or FTTH, and internet data centers.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three of our target markets, which increasingly demand faster connectivity and innovation.</w:t>
      </w:r>
    </w:p>
    <w:p>
      <w:pPr>
        <w:spacing w:after="0" w:line="176" w:lineRule="exact"/>
        <w:rPr>
          <w:sz w:val="20"/>
          <w:szCs w:val="20"/>
          <w:color w:val="auto"/>
        </w:rPr>
      </w:pPr>
    </w:p>
    <w:p>
      <w:pPr>
        <w:ind w:left="240" w:right="80" w:firstLine="338"/>
        <w:spacing w:after="0" w:line="262" w:lineRule="auto"/>
        <w:rPr>
          <w:sz w:val="20"/>
          <w:szCs w:val="20"/>
          <w:color w:val="auto"/>
        </w:rPr>
      </w:pPr>
      <w:r>
        <w:rPr>
          <w:rFonts w:ascii="Arial" w:cs="Arial" w:eastAsia="Arial" w:hAnsi="Arial"/>
          <w:sz w:val="17"/>
          <w:szCs w:val="17"/>
          <w:color w:val="auto"/>
        </w:rPr>
        <w:t>The three end markets we target are all driven by significant bandwidth demand fueled by the growth of network-connected devices, video traffic, cloud computing and online social networking. To address this increased bandwidth demand, CATV and telecommunications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three of our target markets, as it is often the only economic way to deliver the desired bandwidth.</w:t>
      </w:r>
    </w:p>
    <w:p>
      <w:pPr>
        <w:spacing w:after="0" w:line="188" w:lineRule="exact"/>
        <w:rPr>
          <w:sz w:val="20"/>
          <w:szCs w:val="20"/>
          <w:color w:val="auto"/>
        </w:rPr>
      </w:pPr>
    </w:p>
    <w:p>
      <w:pPr>
        <w:ind w:left="240" w:firstLine="338"/>
        <w:spacing w:after="0" w:line="279" w:lineRule="auto"/>
        <w:rPr>
          <w:sz w:val="20"/>
          <w:szCs w:val="20"/>
          <w:color w:val="auto"/>
        </w:rPr>
      </w:pPr>
      <w:r>
        <w:rPr>
          <w:rFonts w:ascii="Arial" w:cs="Arial" w:eastAsia="Arial" w:hAnsi="Arial"/>
          <w:sz w:val="16"/>
          <w:szCs w:val="16"/>
          <w:color w:val="auto"/>
        </w:rPr>
        <w:t>The CATV market is our largest and most established market, for which we supply a broad array of products including lasers, transmitters and turn-key equipment. In 2012, we were the leading provider of optical components and the second largest provider of subsystems to the CATV industry, according to research firm Ovum Limited, or Ovum. Sales of headend, node and distribution equipment have contributed significantly to our growth in recent years as a result of our ability to meet the needs of CATV equipment vendors who have begun to outsource both the design and manufacture of this equipment. While equipment vendors have relie upon third parties to assemble portions of their products, within the past four years certain of our customers have accelerated the outsourcing of both the design and manufacturing of both headend equipment and node equipment to third parties. The shift is due in part to the sophisticated engineering expertise needed to perform this work. We believe that our extensive high-speed optical, mixed-signal semiconductor and mechanical engineering capabilities position us well to benefit from the industry dynamics.</w:t>
      </w:r>
    </w:p>
    <w:p>
      <w:pPr>
        <w:spacing w:after="0" w:line="177" w:lineRule="exact"/>
        <w:rPr>
          <w:sz w:val="20"/>
          <w:szCs w:val="20"/>
          <w:color w:val="auto"/>
        </w:rPr>
      </w:pPr>
    </w:p>
    <w:p>
      <w:pPr>
        <w:ind w:left="240" w:firstLine="341"/>
        <w:spacing w:after="0" w:line="294" w:lineRule="auto"/>
        <w:rPr>
          <w:sz w:val="20"/>
          <w:szCs w:val="20"/>
          <w:color w:val="auto"/>
        </w:rPr>
      </w:pPr>
      <w:r>
        <w:rPr>
          <w:rFonts w:ascii="Arial" w:cs="Arial" w:eastAsia="Arial" w:hAnsi="Arial"/>
          <w:sz w:val="16"/>
          <w:szCs w:val="16"/>
          <w:color w:val="auto"/>
        </w:rPr>
        <w:t>Our vertically integrated manufacturing model provides us several advantages, including rapid product development, fast response times to customer requests an control over product quality and manufacturing costs. We design, manufacture and integrate our own analog and digital lasers using a proprietary Molecular Beam Epitaxy, or MBE, fabrication process, which we believe is unique in our industry. We manufacture the majority of the laser chips and optical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4317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4565" cy="543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60"/>
        <w:spacing w:after="0" w:line="282" w:lineRule="auto"/>
        <w:rPr>
          <w:sz w:val="20"/>
          <w:szCs w:val="20"/>
          <w:color w:val="auto"/>
        </w:rPr>
      </w:pPr>
      <w:r>
        <w:rPr>
          <w:rFonts w:ascii="Arial" w:cs="Arial" w:eastAsia="Arial" w:hAnsi="Arial"/>
          <w:sz w:val="17"/>
          <w:szCs w:val="17"/>
          <w:color w:val="auto"/>
        </w:rPr>
        <w:t>components that are used in our products. The lasers we manufacture are proven to be reliable over time and highly tolerant of changes in temperature and humidity, making them well-suited to the CATV and FTTH markets where networking equipment is often installed outdoors.</w:t>
      </w:r>
    </w:p>
    <w:p>
      <w:pPr>
        <w:spacing w:after="0" w:line="170" w:lineRule="exact"/>
        <w:rPr>
          <w:sz w:val="20"/>
          <w:szCs w:val="20"/>
          <w:color w:val="auto"/>
        </w:rPr>
      </w:pPr>
    </w:p>
    <w:p>
      <w:pPr>
        <w:ind w:left="240" w:firstLine="341"/>
        <w:spacing w:after="0" w:line="265" w:lineRule="auto"/>
        <w:rPr>
          <w:sz w:val="20"/>
          <w:szCs w:val="20"/>
          <w:color w:val="auto"/>
        </w:rPr>
      </w:pPr>
      <w:r>
        <w:rPr>
          <w:rFonts w:ascii="Arial" w:cs="Arial" w:eastAsia="Arial" w:hAnsi="Arial"/>
          <w:sz w:val="17"/>
          <w:szCs w:val="17"/>
          <w:color w:val="auto"/>
        </w:rPr>
        <w:t>In 2012, our products were used by the five largest CATV original equipment manufacturers, or OEMs, consisting of Arris Group Inc., Aurora Networks, Inc., Cisco Systems, Inc., Harmonic Inc. and Motorola Mobility Holdings, Inc. Our key customers in the CATV market include Cisco Systems and Biogenomics Corp., a distributor. In 2010, 2011 and 2012, Cisco Systems accounted for 18.9%, 26.8% and 33.2%, respectively, of our revenue and Biogenomics Corp. accounted for 13.8% 11.7% and 11.2%, respectively, of our revenue.</w:t>
      </w:r>
    </w:p>
    <w:p>
      <w:pPr>
        <w:spacing w:after="0" w:line="185" w:lineRule="exact"/>
        <w:rPr>
          <w:sz w:val="20"/>
          <w:szCs w:val="20"/>
          <w:color w:val="auto"/>
        </w:rPr>
      </w:pPr>
    </w:p>
    <w:p>
      <w:pPr>
        <w:ind w:left="240" w:firstLine="341"/>
        <w:spacing w:after="0" w:line="287" w:lineRule="auto"/>
        <w:rPr>
          <w:sz w:val="20"/>
          <w:szCs w:val="20"/>
          <w:color w:val="auto"/>
        </w:rPr>
      </w:pPr>
      <w:r>
        <w:rPr>
          <w:rFonts w:ascii="Arial" w:cs="Arial" w:eastAsia="Arial" w:hAnsi="Arial"/>
          <w:sz w:val="16"/>
          <w:szCs w:val="16"/>
          <w:color w:val="auto"/>
        </w:rPr>
        <w:t>In 2012, our revenue was $63.4 million and our gross margin was 29.8%. For the six month period ended June 30, 2012, our revenue was $33.9 million and our gross margin was 29.6%. We have grown our annual revenue at a CAGR of 36.4% between 2009 and 2012. In the years ended December 31, 2010, 2011 and 2012, and in the six-month periods ended June 30, 2012 and 2013, we incurred losses of $3.4 million, $5.3 million, $0.9 million, $0.6 million and $1.3 million, respectively and our accumulated deficit at December 31, 2012 and June 30, 2013 was $81.9 million and $83.2 million, respectively.</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Industry Background</w:t>
      </w:r>
    </w:p>
    <w:p>
      <w:pPr>
        <w:spacing w:after="0" w:line="228" w:lineRule="exact"/>
        <w:rPr>
          <w:sz w:val="20"/>
          <w:szCs w:val="20"/>
          <w:color w:val="auto"/>
        </w:rPr>
      </w:pPr>
    </w:p>
    <w:p>
      <w:pPr>
        <w:ind w:left="240" w:right="840" w:firstLine="341"/>
        <w:spacing w:after="0" w:line="282" w:lineRule="auto"/>
        <w:rPr>
          <w:sz w:val="20"/>
          <w:szCs w:val="20"/>
          <w:color w:val="auto"/>
        </w:rPr>
      </w:pPr>
      <w:r>
        <w:rPr>
          <w:rFonts w:ascii="Arial" w:cs="Arial" w:eastAsia="Arial" w:hAnsi="Arial"/>
          <w:sz w:val="17"/>
          <w:szCs w:val="17"/>
          <w:color w:val="auto"/>
        </w:rPr>
        <w:t>Our three target markets of CATV, FTTH and internet data centers share a common trend of a significant growth in bandwidth consumption, and the corresponding need for network infrastructure improvement to support it.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prevailing themes in our target markets include:</w:t>
      </w:r>
    </w:p>
    <w:p>
      <w:pPr>
        <w:spacing w:after="0" w:line="250" w:lineRule="exact"/>
        <w:rPr>
          <w:sz w:val="20"/>
          <w:szCs w:val="20"/>
          <w:color w:val="auto"/>
        </w:rPr>
      </w:pPr>
    </w:p>
    <w:p>
      <w:pPr>
        <w:ind w:left="1280" w:hanging="524"/>
        <w:spacing w:after="0" w:line="315" w:lineRule="auto"/>
        <w:tabs>
          <w:tab w:leader="none" w:pos="128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Trends in the CATV Market. </w:t>
      </w:r>
      <w:r>
        <w:rPr>
          <w:rFonts w:ascii="Arial" w:cs="Arial" w:eastAsia="Arial" w:hAnsi="Arial"/>
          <w:sz w:val="16"/>
          <w:szCs w:val="16"/>
          <w:color w:val="auto"/>
        </w:rPr>
        <w:t>In recent years, CATV service providers have invested extensively to support high speed, two-way communications,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expect that they will continue to do so, particularly in countries with less developed CATV networks, such as China.</w:t>
      </w:r>
    </w:p>
    <w:p>
      <w:pPr>
        <w:spacing w:after="0" w:line="185" w:lineRule="exact"/>
        <w:rPr>
          <w:rFonts w:ascii="Arial" w:cs="Arial" w:eastAsia="Arial" w:hAnsi="Arial"/>
          <w:sz w:val="16"/>
          <w:szCs w:val="16"/>
          <w:color w:val="auto"/>
        </w:rPr>
      </w:pPr>
    </w:p>
    <w:p>
      <w:pPr>
        <w:jc w:val="both"/>
        <w:ind w:left="1280"/>
        <w:spacing w:after="0" w:line="270" w:lineRule="auto"/>
        <w:rPr>
          <w:rFonts w:ascii="Arial" w:cs="Arial" w:eastAsia="Arial" w:hAnsi="Arial"/>
          <w:sz w:val="16"/>
          <w:szCs w:val="16"/>
          <w:color w:val="auto"/>
        </w:rPr>
      </w:pPr>
      <w:r>
        <w:rPr>
          <w:rFonts w:ascii="Arial" w:cs="Arial" w:eastAsia="Arial" w:hAnsi="Arial"/>
          <w:sz w:val="17"/>
          <w:szCs w:val="17"/>
          <w:color w:val="auto"/>
        </w:rPr>
        <w:t>While equipment vendors have historically only relied upon third parties to assemble portions of their products, within the past four years certain of o customers have accelerated the outsourcing of both the design and manufacturing of both headend equipment and node equipment to third parties. The shift is due in part to the sophisticated engineering expertise needed to perform this work.</w:t>
      </w:r>
    </w:p>
    <w:p>
      <w:pPr>
        <w:spacing w:after="0" w:line="192" w:lineRule="exact"/>
        <w:rPr>
          <w:rFonts w:ascii="Arial" w:cs="Arial" w:eastAsia="Arial" w:hAnsi="Arial"/>
          <w:sz w:val="16"/>
          <w:szCs w:val="16"/>
          <w:color w:val="auto"/>
        </w:rPr>
      </w:pPr>
    </w:p>
    <w:p>
      <w:pPr>
        <w:ind w:left="1280" w:right="20" w:hanging="524"/>
        <w:spacing w:after="0" w:line="283" w:lineRule="auto"/>
        <w:tabs>
          <w:tab w:leader="none" w:pos="128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Trends in the FTTH Market. </w:t>
      </w:r>
      <w:r>
        <w:rPr>
          <w:rFonts w:ascii="Arial" w:cs="Arial" w:eastAsia="Arial" w:hAnsi="Arial"/>
          <w:sz w:val="16"/>
          <w:szCs w:val="16"/>
          <w:color w:val="auto"/>
        </w:rPr>
        <w:t>The FTTH market generally refers to the Passive Optical Networks, or PONs, that telecommunications service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deploying. The most commonly deployed PON technology is Gigabit PON, or GPON, which delivers up to 2.5 gigabits per second of data, but du to the splitting of the bandwidth among multiple users, the actual bandwidth delivered to an individual subscriber is far less than 2.5 gigabits per second. One approach that does support true 1 gigabit per second service to the home is wavelength division multiplexing PON, or WDM-PON, a technology that enables the transmission of multiple wavelengths of data over a single fiber-optic strand.</w:t>
      </w:r>
    </w:p>
    <w:p>
      <w:pPr>
        <w:spacing w:after="0" w:line="199" w:lineRule="exact"/>
        <w:rPr>
          <w:rFonts w:ascii="Arial" w:cs="Arial" w:eastAsia="Arial" w:hAnsi="Arial"/>
          <w:sz w:val="16"/>
          <w:szCs w:val="16"/>
          <w:color w:val="auto"/>
        </w:rPr>
      </w:pPr>
    </w:p>
    <w:p>
      <w:pPr>
        <w:ind w:left="1280" w:right="240" w:hanging="524"/>
        <w:spacing w:after="0" w:line="322" w:lineRule="auto"/>
        <w:tabs>
          <w:tab w:leader="none" w:pos="1280"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Trends in the Internet Data Center Market. </w:t>
      </w:r>
      <w:r>
        <w:rPr>
          <w:rFonts w:ascii="Arial" w:cs="Arial" w:eastAsia="Arial" w:hAnsi="Arial"/>
          <w:sz w:val="15"/>
          <w:szCs w:val="15"/>
          <w:color w:val="auto"/>
        </w:rPr>
        <w:t>To support the substantial increase in bandwidth consumption, internet data center operators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increasing the scale of their internet data centers and accelerating data transmission rates. As a result, there is an ongoing transition from the use of copper cable to optical fiber as a transport medium. In recent years, a number of leading Internet companies have begun to adopt more open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5816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4565" cy="558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80"/>
        <w:spacing w:after="0" w:line="322" w:lineRule="auto"/>
        <w:rPr>
          <w:sz w:val="20"/>
          <w:szCs w:val="20"/>
          <w:color w:val="auto"/>
        </w:rPr>
      </w:pPr>
      <w:r>
        <w:rPr>
          <w:rFonts w:ascii="Arial" w:cs="Arial" w:eastAsia="Arial" w:hAnsi="Arial"/>
          <w:sz w:val="15"/>
          <w:szCs w:val="15"/>
          <w:color w:val="auto"/>
        </w:rPr>
        <w:t>internet data center architectures, using a mix of systems and components from a variety of vendors, and in some cases designing their own equipmen For these companies, compatibility of new networking equipment with legacy infrastructure is not as important, and as a consequence, these companie are more willing to work with non-traditional equipment vendors, which creates an open and growing opportunity for optical device vendors.</w:t>
      </w:r>
    </w:p>
    <w:p>
      <w:pPr>
        <w:spacing w:after="0" w:line="145" w:lineRule="exact"/>
        <w:rPr>
          <w:sz w:val="20"/>
          <w:szCs w:val="20"/>
          <w:color w:val="auto"/>
        </w:rPr>
      </w:pPr>
    </w:p>
    <w:p>
      <w:pPr>
        <w:ind w:left="240" w:firstLine="338"/>
        <w:spacing w:after="0" w:line="282" w:lineRule="auto"/>
        <w:rPr>
          <w:sz w:val="20"/>
          <w:szCs w:val="20"/>
          <w:color w:val="auto"/>
        </w:rPr>
      </w:pPr>
      <w:r>
        <w:rPr>
          <w:rFonts w:ascii="Arial" w:cs="Arial" w:eastAsia="Arial" w:hAnsi="Arial"/>
          <w:sz w:val="17"/>
          <w:szCs w:val="17"/>
          <w:color w:val="auto"/>
        </w:rPr>
        <w:t>We experience certain challenges within our target markets, including continuous pressure to innovate and deliver highly integrated products that perform reliabl in harsh, demanding environments and to produce high-quality devices in large volumes.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Solutions</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By addressing the challenges in our target markets, we provide the following benefits to our customers:</w:t>
      </w:r>
    </w:p>
    <w:p>
      <w:pPr>
        <w:spacing w:after="0" w:line="250" w:lineRule="exact"/>
        <w:rPr>
          <w:sz w:val="20"/>
          <w:szCs w:val="20"/>
          <w:color w:val="auto"/>
        </w:rPr>
      </w:pPr>
    </w:p>
    <w:p>
      <w:pPr>
        <w:ind w:left="1280" w:right="20" w:hanging="524"/>
        <w:spacing w:after="0" w:line="315" w:lineRule="auto"/>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Enable customers to deliver innovative products. </w:t>
      </w:r>
      <w:r>
        <w:rPr>
          <w:rFonts w:ascii="Arial" w:cs="Arial" w:eastAsia="Arial" w:hAnsi="Arial"/>
          <w:sz w:val="16"/>
          <w:szCs w:val="16"/>
          <w:color w:val="auto"/>
        </w:rPr>
        <w:t>We leverage our deep expertise in high-speed optical, mixed-signal semiconductor and mechanical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engineering and our proprietary MBE laser fabrication process to deliver technologically advanced products to our customers.</w:t>
      </w:r>
    </w:p>
    <w:p>
      <w:pPr>
        <w:spacing w:after="0" w:line="159" w:lineRule="exact"/>
        <w:rPr>
          <w:rFonts w:ascii="Arial" w:cs="Arial" w:eastAsia="Arial" w:hAnsi="Arial"/>
          <w:sz w:val="16"/>
          <w:szCs w:val="16"/>
          <w:color w:val="auto"/>
        </w:rPr>
      </w:pPr>
    </w:p>
    <w:p>
      <w:pPr>
        <w:ind w:left="1280" w:right="460" w:hanging="524"/>
        <w:spacing w:after="0" w:line="352" w:lineRule="auto"/>
        <w:tabs>
          <w:tab w:leader="none" w:pos="1280" w:val="left"/>
        </w:tabs>
        <w:numPr>
          <w:ilvl w:val="0"/>
          <w:numId w:val="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Enhance efficiency and cost effectiveness of our customers' supply chain. </w:t>
      </w:r>
      <w:r>
        <w:rPr>
          <w:rFonts w:ascii="Arial" w:cs="Arial" w:eastAsia="Arial" w:hAnsi="Arial"/>
          <w:sz w:val="15"/>
          <w:szCs w:val="15"/>
          <w:color w:val="auto"/>
        </w:rPr>
        <w:t>We design and sell products at the level of integration desired by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 from components to turn-key equipment, providing our customers a dependable, cost-effective and simplified supply chain.</w:t>
      </w:r>
    </w:p>
    <w:p>
      <w:pPr>
        <w:spacing w:after="0" w:line="136" w:lineRule="exact"/>
        <w:rPr>
          <w:rFonts w:ascii="Arial" w:cs="Arial" w:eastAsia="Arial" w:hAnsi="Arial"/>
          <w:sz w:val="15"/>
          <w:szCs w:val="15"/>
          <w:color w:val="auto"/>
        </w:rPr>
      </w:pPr>
    </w:p>
    <w:p>
      <w:pPr>
        <w:ind w:left="1280" w:right="40" w:hanging="524"/>
        <w:spacing w:after="0" w:line="294" w:lineRule="auto"/>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Deliver high quality, reliable products in high volume. </w:t>
      </w:r>
      <w:r>
        <w:rPr>
          <w:rFonts w:ascii="Arial" w:cs="Arial" w:eastAsia="Arial" w:hAnsi="Arial"/>
          <w:sz w:val="16"/>
          <w:szCs w:val="16"/>
          <w:color w:val="auto"/>
        </w:rPr>
        <w:t>As a vertically integrated supplier, we are able to monitor and maintain quality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throughout the production process, using our internally produced components where possible for our final products. With manufacturing facilities in t U.S., Taiwan and China, we can support high volume production and timely delivery for our customers around the world.</w:t>
      </w:r>
    </w:p>
    <w:p>
      <w:pPr>
        <w:spacing w:after="0" w:line="189" w:lineRule="exact"/>
        <w:rPr>
          <w:rFonts w:ascii="Arial" w:cs="Arial" w:eastAsia="Arial" w:hAnsi="Arial"/>
          <w:sz w:val="16"/>
          <w:szCs w:val="16"/>
          <w:color w:val="auto"/>
        </w:rPr>
      </w:pPr>
    </w:p>
    <w:p>
      <w:pPr>
        <w:ind w:left="1280" w:right="40" w:hanging="524"/>
        <w:spacing w:after="0" w:line="315" w:lineRule="auto"/>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Provide sophisticated design solutions to our customers. </w:t>
      </w:r>
      <w:r>
        <w:rPr>
          <w:rFonts w:ascii="Arial" w:cs="Arial" w:eastAsia="Arial" w:hAnsi="Arial"/>
          <w:sz w:val="16"/>
          <w:szCs w:val="16"/>
          <w:color w:val="auto"/>
        </w:rPr>
        <w:t>We believe our in-house expertise in both analog and digital optical engineering enables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design comprehensive solutions that meet many of the different network architectures and protocols used by our customers.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Strengths</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key competitive strengths include the following:</w:t>
      </w:r>
    </w:p>
    <w:p>
      <w:pPr>
        <w:spacing w:after="0" w:line="237" w:lineRule="exact"/>
        <w:rPr>
          <w:sz w:val="20"/>
          <w:szCs w:val="20"/>
          <w:color w:val="auto"/>
        </w:rPr>
      </w:pPr>
    </w:p>
    <w:p>
      <w:pPr>
        <w:ind w:left="1280" w:right="80" w:hanging="524"/>
        <w:spacing w:after="0" w:line="28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Industry-leading position in the CATV market. </w:t>
      </w:r>
      <w:r>
        <w:rPr>
          <w:rFonts w:ascii="Arial" w:cs="Arial" w:eastAsia="Arial" w:hAnsi="Arial"/>
          <w:sz w:val="17"/>
          <w:szCs w:val="17"/>
          <w:color w:val="auto"/>
        </w:rPr>
        <w:t>We are the leading provider of optical components and the second largest provider of subsystems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CATV market, according to Ovum.</w:t>
      </w:r>
    </w:p>
    <w:p>
      <w:pPr>
        <w:spacing w:after="0" w:line="182" w:lineRule="exact"/>
        <w:rPr>
          <w:rFonts w:ascii="Arial" w:cs="Arial" w:eastAsia="Arial" w:hAnsi="Arial"/>
          <w:sz w:val="17"/>
          <w:szCs w:val="17"/>
          <w:color w:val="auto"/>
        </w:rPr>
      </w:pPr>
    </w:p>
    <w:p>
      <w:pPr>
        <w:ind w:left="1280" w:hanging="524"/>
        <w:spacing w:after="0" w:line="270"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Proprietary technological expertise and track record of innovation. </w:t>
      </w:r>
      <w:r>
        <w:rPr>
          <w:rFonts w:ascii="Arial" w:cs="Arial" w:eastAsia="Arial" w:hAnsi="Arial"/>
          <w:sz w:val="17"/>
          <w:szCs w:val="17"/>
          <w:color w:val="auto"/>
        </w:rPr>
        <w:t>We continue to develop innovative products by leveraging our technological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expertise, including our proprietary MBE laser fabrication process. We have achieved design wins since 2010 that collectively account for a significan portion of our revenue today.</w:t>
      </w:r>
    </w:p>
    <w:p>
      <w:pPr>
        <w:spacing w:after="0" w:line="205" w:lineRule="exact"/>
        <w:rPr>
          <w:rFonts w:ascii="Arial" w:cs="Arial" w:eastAsia="Arial" w:hAnsi="Arial"/>
          <w:sz w:val="17"/>
          <w:szCs w:val="17"/>
          <w:color w:val="auto"/>
        </w:rPr>
      </w:pPr>
    </w:p>
    <w:p>
      <w:pPr>
        <w:ind w:left="1280" w:right="80" w:hanging="524"/>
        <w:spacing w:after="0" w:line="28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Highly customized products. </w:t>
      </w:r>
      <w:r>
        <w:rPr>
          <w:rFonts w:ascii="Arial" w:cs="Arial" w:eastAsia="Arial" w:hAnsi="Arial"/>
          <w:sz w:val="17"/>
          <w:szCs w:val="17"/>
          <w:color w:val="auto"/>
        </w:rPr>
        <w:t>Most of our products have some level of customization, making it more difficult for our customers to switch rapidly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another supplier. We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182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4565" cy="518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believe this element of customization contributes to longer product lifecycles and more stable product pricing.</w:t>
      </w:r>
    </w:p>
    <w:p>
      <w:pPr>
        <w:spacing w:after="0" w:line="250" w:lineRule="exact"/>
        <w:rPr>
          <w:sz w:val="20"/>
          <w:szCs w:val="20"/>
          <w:color w:val="auto"/>
        </w:rPr>
      </w:pPr>
    </w:p>
    <w:p>
      <w:pPr>
        <w:ind w:left="1280" w:hanging="524"/>
        <w:spacing w:after="0" w:line="270"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Proven system design capabilities. </w:t>
      </w:r>
      <w:r>
        <w:rPr>
          <w:rFonts w:ascii="Arial" w:cs="Arial" w:eastAsia="Arial" w:hAnsi="Arial"/>
          <w:sz w:val="17"/>
          <w:szCs w:val="17"/>
          <w:color w:val="auto"/>
        </w:rPr>
        <w:t>We have deep expertise and proven design capabilities in high-speed optical, mixed-signal semiconductor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mechanical engineering, which we believe position us to take advantage of the continuing shift to outsourced design and manufacturing among CATV equipment vendors.</w:t>
      </w:r>
    </w:p>
    <w:p>
      <w:pPr>
        <w:sectPr>
          <w:pgSz w:w="11900" w:h="16838" w:orient="portrait"/>
          <w:cols w:equalWidth="0" w:num="1">
            <w:col w:w="11520"/>
          </w:cols>
          <w:pgMar w:left="240" w:top="131" w:right="139" w:bottom="1440" w:gutter="0" w:footer="0" w:header="0"/>
        </w:sectPr>
      </w:pPr>
    </w:p>
    <w:p>
      <w:pPr>
        <w:spacing w:after="0" w:line="17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Our Strategy</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b w:val="1"/>
          <w:bCs w:val="1"/>
          <w:i w:val="1"/>
          <w:iCs w:val="1"/>
          <w:color w:val="auto"/>
        </w:rPr>
        <w:t xml:space="preserve">Vertically integrated, geographically distributed manufacturing model. </w:t>
      </w:r>
      <w:r>
        <w:rPr>
          <w:rFonts w:ascii="Arial" w:cs="Arial" w:eastAsia="Arial" w:hAnsi="Arial"/>
          <w:sz w:val="17"/>
          <w:szCs w:val="17"/>
          <w:color w:val="auto"/>
        </w:rPr>
        <w:t>Our vertically integrated design and manufacturing process encompasses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various steps from laser design and fabrication to complete optical system design and assembly. Furthermore, we have geographically distributed our manufacturing by strategically locating our operations in the U.S., China and Taiwan to reduce development time and production costs, to better support our customers and to help protect our intellectual property.</w:t>
      </w:r>
    </w:p>
    <w:p>
      <w:pPr>
        <w:spacing w:after="0" w:line="553" w:lineRule="exact"/>
        <w:rPr>
          <w:sz w:val="20"/>
          <w:szCs w:val="20"/>
          <w:color w:val="auto"/>
        </w:rPr>
      </w:pPr>
    </w:p>
    <w:p>
      <w:pPr>
        <w:sectPr>
          <w:pgSz w:w="11900" w:h="16838" w:orient="portrait"/>
          <w:cols w:equalWidth="0" w:num="2">
            <w:col w:w="1200" w:space="80"/>
            <w:col w:w="10240"/>
          </w:cols>
          <w:pgMar w:left="240" w:top="131" w:right="139" w:bottom="1440" w:gutter="0" w:footer="0" w:header="0"/>
          <w:type w:val="continuous"/>
        </w:sectPr>
      </w:pPr>
    </w:p>
    <w:p>
      <w:pPr>
        <w:spacing w:after="0" w:line="51" w:lineRule="exact"/>
        <w:rPr>
          <w:sz w:val="20"/>
          <w:szCs w:val="20"/>
          <w:color w:val="auto"/>
        </w:rPr>
      </w:pPr>
    </w:p>
    <w:p>
      <w:pPr>
        <w:ind w:left="240" w:right="200" w:firstLine="338"/>
        <w:spacing w:after="0" w:line="282" w:lineRule="auto"/>
        <w:rPr>
          <w:sz w:val="20"/>
          <w:szCs w:val="20"/>
          <w:color w:val="auto"/>
        </w:rPr>
      </w:pPr>
      <w:r>
        <w:rPr>
          <w:rFonts w:ascii="Arial" w:cs="Arial" w:eastAsia="Arial" w:hAnsi="Arial"/>
          <w:sz w:val="17"/>
          <w:szCs w:val="17"/>
          <w:color w:val="auto"/>
        </w:rPr>
        <w:t>We seek to be the leading global provider of optical components, modules and equipment for each of our three target markets, CATV, FTTH and internet data centers. Our strategy includes the following key elements:</w:t>
      </w:r>
    </w:p>
    <w:p>
      <w:pPr>
        <w:spacing w:after="0" w:line="183" w:lineRule="exact"/>
        <w:rPr>
          <w:sz w:val="20"/>
          <w:szCs w:val="20"/>
          <w:color w:val="auto"/>
        </w:rPr>
      </w:pPr>
    </w:p>
    <w:p>
      <w:pPr>
        <w:ind w:left="1280" w:right="260" w:hanging="524"/>
        <w:spacing w:after="0" w:line="270"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Extend our leadership in CATV networking. </w:t>
      </w:r>
      <w:r>
        <w:rPr>
          <w:rFonts w:ascii="Arial" w:cs="Arial" w:eastAsia="Arial" w:hAnsi="Arial"/>
          <w:sz w:val="17"/>
          <w:szCs w:val="17"/>
          <w:color w:val="auto"/>
        </w:rPr>
        <w:t>We intend to maintain our position as the leading producer of optical components used in CATV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networks, and to capture an increasing share of the CATV equipment market as the major equipment vendors continue to outsource the design and manufacturing of such products.</w:t>
      </w:r>
    </w:p>
    <w:p>
      <w:pPr>
        <w:spacing w:after="0" w:line="205" w:lineRule="exact"/>
        <w:rPr>
          <w:rFonts w:ascii="Arial" w:cs="Arial" w:eastAsia="Arial" w:hAnsi="Arial"/>
          <w:sz w:val="17"/>
          <w:szCs w:val="17"/>
          <w:color w:val="auto"/>
        </w:rPr>
      </w:pPr>
    </w:p>
    <w:p>
      <w:pPr>
        <w:ind w:left="1280" w:right="120" w:hanging="524"/>
        <w:spacing w:after="0" w:line="265"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penetrate FTTH and internet data center markets. </w:t>
      </w:r>
      <w:r>
        <w:rPr>
          <w:rFonts w:ascii="Arial" w:cs="Arial" w:eastAsia="Arial" w:hAnsi="Arial"/>
          <w:sz w:val="17"/>
          <w:szCs w:val="17"/>
          <w:color w:val="auto"/>
        </w:rPr>
        <w:t>We believe our WDM-PON technology is a cost-effective solution for delivering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substantially greater bandwidth to a residence. In the internet data center, we target internet data center operators who have adopted an open system architecture—one in which the optical connectivity solutions can be provided by a different vendor than the vendor which provides their servers and switches.</w:t>
      </w:r>
    </w:p>
    <w:p>
      <w:pPr>
        <w:spacing w:after="0" w:line="198" w:lineRule="exact"/>
        <w:rPr>
          <w:rFonts w:ascii="Arial" w:cs="Arial" w:eastAsia="Arial" w:hAnsi="Arial"/>
          <w:sz w:val="17"/>
          <w:szCs w:val="17"/>
          <w:color w:val="auto"/>
        </w:rPr>
      </w:pPr>
    </w:p>
    <w:p>
      <w:pPr>
        <w:ind w:left="1280" w:right="420" w:hanging="524"/>
        <w:spacing w:after="0" w:line="28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invest in our capabilities and infrastructure. </w:t>
      </w:r>
      <w:r>
        <w:rPr>
          <w:rFonts w:ascii="Arial" w:cs="Arial" w:eastAsia="Arial" w:hAnsi="Arial"/>
          <w:sz w:val="17"/>
          <w:szCs w:val="17"/>
          <w:color w:val="auto"/>
        </w:rPr>
        <w:t>We intend to continue to invest in new products, new technology and our production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infrastructure and facilities to maintain and strengthen our competitive position.</w:t>
      </w:r>
    </w:p>
    <w:p>
      <w:pPr>
        <w:spacing w:after="0" w:line="182" w:lineRule="exact"/>
        <w:rPr>
          <w:rFonts w:ascii="Arial" w:cs="Arial" w:eastAsia="Arial" w:hAnsi="Arial"/>
          <w:sz w:val="17"/>
          <w:szCs w:val="17"/>
          <w:color w:val="auto"/>
        </w:rPr>
      </w:pPr>
    </w:p>
    <w:p>
      <w:pPr>
        <w:jc w:val="both"/>
        <w:ind w:left="1280" w:hanging="524"/>
        <w:spacing w:after="0" w:line="294" w:lineRule="auto"/>
        <w:tabs>
          <w:tab w:leader="none" w:pos="12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Selectively pursue other opportunities that leverage our existing expertise. </w:t>
      </w:r>
      <w:r>
        <w:rPr>
          <w:rFonts w:ascii="Arial" w:cs="Arial" w:eastAsia="Arial" w:hAnsi="Arial"/>
          <w:sz w:val="16"/>
          <w:szCs w:val="16"/>
          <w:color w:val="auto"/>
        </w:rPr>
        <w:t>Our expertise in designing and manufacturing outdoor equipment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CATV industry positions us well to pursue applications that are also characterized by having varying and demanding environments, including wireless and wireline telecom infrastructure, industrial robotics, aerospace and defense, and oil and gas exploration.</w:t>
      </w:r>
    </w:p>
    <w:p>
      <w:pPr>
        <w:spacing w:after="0" w:line="189" w:lineRule="exact"/>
        <w:rPr>
          <w:rFonts w:ascii="Arial" w:cs="Arial" w:eastAsia="Arial" w:hAnsi="Arial"/>
          <w:sz w:val="16"/>
          <w:szCs w:val="16"/>
          <w:color w:val="auto"/>
        </w:rPr>
      </w:pPr>
    </w:p>
    <w:p>
      <w:pPr>
        <w:ind w:left="1280" w:right="80" w:hanging="524"/>
        <w:spacing w:after="0" w:line="352" w:lineRule="auto"/>
        <w:tabs>
          <w:tab w:leader="none" w:pos="128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Pursue complementary acquisition and strategic alliance opportunities. </w:t>
      </w:r>
      <w:r>
        <w:rPr>
          <w:rFonts w:ascii="Arial" w:cs="Arial" w:eastAsia="Arial" w:hAnsi="Arial"/>
          <w:sz w:val="15"/>
          <w:szCs w:val="15"/>
          <w:color w:val="auto"/>
        </w:rPr>
        <w:t>We evaluate and selectively pursue acquisition opportunities or strategic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alliances that we believe will enhance or complement our current product offerings, augment our technology roadmap, or diversify our revenue base.</w:t>
      </w:r>
    </w:p>
    <w:p>
      <w:pPr>
        <w:spacing w:after="0" w:line="200" w:lineRule="exact"/>
        <w:rPr>
          <w:sz w:val="20"/>
          <w:szCs w:val="20"/>
          <w:color w:val="auto"/>
        </w:rPr>
      </w:pPr>
    </w:p>
    <w:p>
      <w:pPr>
        <w:spacing w:after="0" w:line="38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9" w:name="page10"/>
    <w:bookmarkEnd w:id="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549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4565" cy="4549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ind w:left="240" w:right="460" w:firstLine="341"/>
        <w:spacing w:after="0" w:line="282" w:lineRule="auto"/>
        <w:rPr>
          <w:sz w:val="20"/>
          <w:szCs w:val="20"/>
          <w:color w:val="auto"/>
        </w:rPr>
      </w:pPr>
      <w:r>
        <w:rPr>
          <w:rFonts w:ascii="Arial" w:cs="Arial" w:eastAsia="Arial" w:hAnsi="Arial"/>
          <w:sz w:val="17"/>
          <w:szCs w:val="17"/>
          <w:color w:val="auto"/>
        </w:rPr>
        <w:t>Our business is subject to numerous risks and uncertainties, such as those highlighted in the "Risk Factors" section immediately following this prospectus summary, including:</w:t>
      </w:r>
    </w:p>
    <w:p>
      <w:pPr>
        <w:spacing w:after="0" w:line="196" w:lineRule="exact"/>
        <w:rPr>
          <w:sz w:val="20"/>
          <w:szCs w:val="20"/>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dependent on our key customers for a significant portion of our revenue and the loss of, or a significant reduction in orders from, any of our ke customers would adversely impact our revenue and results of operations;</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our customers do not qualify our products for use on a timely basis, our results of operations may suffer;</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Customer demand is difficult to forecast accurately and, as a result, we may be unable to match production with customer demand;</w:t>
      </w:r>
    </w:p>
    <w:p>
      <w:pPr>
        <w:spacing w:after="0" w:line="250" w:lineRule="exact"/>
        <w:rPr>
          <w:rFonts w:ascii="Arial" w:cs="Arial" w:eastAsia="Arial" w:hAnsi="Arial"/>
          <w:sz w:val="17"/>
          <w:szCs w:val="17"/>
          <w:color w:val="auto"/>
        </w:rPr>
      </w:pPr>
    </w:p>
    <w:p>
      <w:pPr>
        <w:ind w:left="1280" w:right="30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subject to the cyclical nature of the markets in which we compete and any future downturn will likely reduce demand for our products and revenue;</w:t>
      </w:r>
    </w:p>
    <w:p>
      <w:pPr>
        <w:spacing w:after="0" w:line="182"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the CATV, FTTH and internet data center markets do not continue to develop as we expect, or if there is any downturn in these markets, our busines would be materially adversely affected;</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encounter manufacturing problems, we may lose sales and damage our customer relationships;</w:t>
      </w:r>
    </w:p>
    <w:p>
      <w:pPr>
        <w:spacing w:after="0" w:line="250" w:lineRule="exact"/>
        <w:rPr>
          <w:rFonts w:ascii="Arial" w:cs="Arial" w:eastAsia="Arial" w:hAnsi="Arial"/>
          <w:sz w:val="17"/>
          <w:szCs w:val="17"/>
          <w:color w:val="auto"/>
        </w:rPr>
      </w:pPr>
    </w:p>
    <w:p>
      <w:pPr>
        <w:ind w:left="1280" w:right="3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must continually develop successful new products and enhance existing products, and if we fail to do so or if our release of new or enhanced products is delayed, our business may be harmed;</w:t>
      </w:r>
    </w:p>
    <w:p>
      <w:pPr>
        <w:spacing w:after="0" w:line="182"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Given the high fixed costs associated with our vertically integrated business, a reduction in demand for our products could materially adversely impac our gross profits and our results of operations;</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face intense competition which could negatively impact our results of operations and market share; and</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substantial manufacturing assets in China, and in 2012 we derived approximately 29% of our revenue from sales in China.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1910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4565" cy="191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Information</w:t>
      </w:r>
    </w:p>
    <w:p>
      <w:pPr>
        <w:spacing w:after="0" w:line="228" w:lineRule="exact"/>
        <w:rPr>
          <w:sz w:val="20"/>
          <w:szCs w:val="20"/>
          <w:color w:val="auto"/>
        </w:rPr>
      </w:pPr>
    </w:p>
    <w:p>
      <w:pPr>
        <w:ind w:left="240" w:right="80" w:firstLine="338"/>
        <w:spacing w:after="0" w:line="287" w:lineRule="auto"/>
        <w:rPr>
          <w:sz w:val="20"/>
          <w:szCs w:val="20"/>
          <w:color w:val="auto"/>
        </w:rPr>
      </w:pPr>
      <w:r>
        <w:rPr>
          <w:rFonts w:ascii="Arial" w:cs="Arial" w:eastAsia="Arial" w:hAnsi="Arial"/>
          <w:sz w:val="16"/>
          <w:szCs w:val="16"/>
          <w:color w:val="auto"/>
        </w:rPr>
        <w:t>We were incorporated in the State of Texas in 1997. In March 2013, Applied Optoelectronics, Inc., a Texas corporation, converted into a Delaware corporation. Our principal executive offices are located at 13115 Jess Pirtle Blvd., Sugar Land, TX 77478, and our telephone number is (281) 295-1800. Our website address is www.ao-inc.com. Information contained on our website is not incorporated by reference into this prospectus, and you should not consider information contained on our website as part of this prospectus or in deciding whether to purchase shares of our common stock.</w:t>
      </w:r>
    </w:p>
    <w:p>
      <w:pPr>
        <w:spacing w:after="0" w:line="169" w:lineRule="exact"/>
        <w:rPr>
          <w:sz w:val="20"/>
          <w:szCs w:val="20"/>
          <w:color w:val="auto"/>
        </w:rPr>
      </w:pPr>
    </w:p>
    <w:p>
      <w:pPr>
        <w:ind w:left="240" w:firstLine="338"/>
        <w:spacing w:after="0" w:line="270" w:lineRule="auto"/>
        <w:rPr>
          <w:sz w:val="20"/>
          <w:szCs w:val="20"/>
          <w:color w:val="auto"/>
        </w:rPr>
      </w:pPr>
      <w:r>
        <w:rPr>
          <w:rFonts w:ascii="Arial" w:cs="Arial" w:eastAsia="Arial" w:hAnsi="Arial"/>
          <w:sz w:val="17"/>
          <w:szCs w:val="17"/>
          <w:color w:val="auto"/>
        </w:rPr>
        <w:t>We have registered the trademarks APPLIED OPTOELECTRONICS, INC., AOI and its respective logo with the U.S. Patent and Trademark Office. These mark are also registered in, or have applications for registration pending in, various foreign trademark offices. Other trademarks and trade names appearing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866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4565" cy="4866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520"/>
          </w:cols>
          <w:pgMar w:left="240" w:top="131" w:right="139" w:bottom="1440" w:gutter="0" w:footer="0" w:header="0"/>
        </w:sectPr>
      </w:pPr>
    </w:p>
    <w:p>
      <w:pPr>
        <w:spacing w:after="0" w:line="22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Common stock offered by us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auto"/>
        </w:rPr>
        <w:t>Shares</w:t>
      </w:r>
    </w:p>
    <w:p>
      <w:pPr>
        <w:spacing w:after="0" w:line="222" w:lineRule="exact"/>
        <w:rPr>
          <w:sz w:val="20"/>
          <w:szCs w:val="20"/>
          <w:color w:val="auto"/>
        </w:rPr>
      </w:pPr>
    </w:p>
    <w:p>
      <w:pPr>
        <w:sectPr>
          <w:pgSz w:w="11900" w:h="16838" w:orient="portrait"/>
          <w:cols w:equalWidth="0" w:num="2">
            <w:col w:w="4840" w:space="720"/>
            <w:col w:w="5960"/>
          </w:cols>
          <w:pgMar w:left="240" w:top="131" w:right="139" w:bottom="1440" w:gutter="0" w:footer="0" w:header="0"/>
          <w:type w:val="continuous"/>
        </w:sectPr>
      </w:pPr>
    </w:p>
    <w:p>
      <w:pPr>
        <w:spacing w:after="0" w:line="4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Common stock offered by selling stockholders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Shares</w:t>
      </w:r>
    </w:p>
    <w:p>
      <w:pPr>
        <w:spacing w:after="0" w:line="222" w:lineRule="exact"/>
        <w:rPr>
          <w:sz w:val="20"/>
          <w:szCs w:val="20"/>
          <w:color w:val="auto"/>
        </w:rPr>
      </w:pPr>
    </w:p>
    <w:p>
      <w:pPr>
        <w:sectPr>
          <w:pgSz w:w="11900" w:h="16838" w:orient="portrait"/>
          <w:cols w:equalWidth="0" w:num="2">
            <w:col w:w="4840" w:space="720"/>
            <w:col w:w="5960"/>
          </w:cols>
          <w:pgMar w:left="240" w:top="131" w:right="139" w:bottom="1440" w:gutter="0" w:footer="0" w:header="0"/>
          <w:type w:val="continuous"/>
        </w:sectPr>
      </w:pPr>
    </w:p>
    <w:p>
      <w:pPr>
        <w:spacing w:after="0" w:line="4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Over-allotment option</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Shares</w:t>
      </w:r>
    </w:p>
    <w:p>
      <w:pPr>
        <w:spacing w:after="0" w:line="222" w:lineRule="exact"/>
        <w:rPr>
          <w:sz w:val="20"/>
          <w:szCs w:val="20"/>
          <w:color w:val="auto"/>
        </w:rPr>
      </w:pPr>
    </w:p>
    <w:p>
      <w:pPr>
        <w:sectPr>
          <w:pgSz w:w="11900" w:h="16838" w:orient="portrait"/>
          <w:cols w:equalWidth="0" w:num="2">
            <w:col w:w="4840" w:space="720"/>
            <w:col w:w="5960"/>
          </w:cols>
          <w:pgMar w:left="240" w:top="131" w:right="139" w:bottom="1440" w:gutter="0" w:footer="0" w:header="0"/>
          <w:type w:val="continuous"/>
        </w:sectPr>
      </w:pPr>
    </w:p>
    <w:p>
      <w:pPr>
        <w:spacing w:after="0" w:line="4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Total common stock to be outstanding after this offering</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Shares</w:t>
      </w:r>
    </w:p>
    <w:p>
      <w:pPr>
        <w:spacing w:after="0" w:line="222" w:lineRule="exact"/>
        <w:rPr>
          <w:sz w:val="20"/>
          <w:szCs w:val="20"/>
          <w:color w:val="auto"/>
        </w:rPr>
      </w:pPr>
    </w:p>
    <w:p>
      <w:pPr>
        <w:sectPr>
          <w:pgSz w:w="11900" w:h="16838" w:orient="portrait"/>
          <w:cols w:equalWidth="0" w:num="2">
            <w:col w:w="4840" w:space="720"/>
            <w:col w:w="5960"/>
          </w:cols>
          <w:pgMar w:left="240" w:top="131" w:right="139" w:bottom="1440" w:gutter="0" w:footer="0" w:header="0"/>
          <w:type w:val="continuous"/>
        </w:sectPr>
      </w:pPr>
    </w:p>
    <w:p>
      <w:pPr>
        <w:spacing w:after="0" w:line="47"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3880" w:type="dxa"/>
            <w:vAlign w:val="bottom"/>
          </w:tcPr>
          <w:p>
            <w:pPr>
              <w:spacing w:after="0"/>
              <w:rPr>
                <w:sz w:val="20"/>
                <w:szCs w:val="20"/>
                <w:color w:val="auto"/>
              </w:rPr>
            </w:pPr>
            <w:r>
              <w:rPr>
                <w:rFonts w:ascii="Arial" w:cs="Arial" w:eastAsia="Arial" w:hAnsi="Arial"/>
                <w:sz w:val="17"/>
                <w:szCs w:val="17"/>
                <w:color w:val="auto"/>
              </w:rPr>
              <w:t>Use of proceeds</w:t>
            </w:r>
          </w:p>
        </w:tc>
        <w:tc>
          <w:tcPr>
            <w:tcW w:w="6840" w:type="dxa"/>
            <w:vAlign w:val="bottom"/>
            <w:gridSpan w:val="2"/>
          </w:tcPr>
          <w:p>
            <w:pPr>
              <w:ind w:left="460"/>
              <w:spacing w:after="0"/>
              <w:rPr>
                <w:sz w:val="20"/>
                <w:szCs w:val="20"/>
                <w:color w:val="auto"/>
              </w:rPr>
            </w:pPr>
            <w:r>
              <w:rPr>
                <w:rFonts w:ascii="Arial" w:cs="Arial" w:eastAsia="Arial" w:hAnsi="Arial"/>
                <w:sz w:val="17"/>
                <w:szCs w:val="17"/>
                <w:color w:val="auto"/>
                <w:w w:val="95"/>
              </w:rPr>
              <w:t>We estimate that the net proceeds of the sale of our common stock in this offering will be</w:t>
            </w:r>
          </w:p>
        </w:tc>
        <w:tc>
          <w:tcPr>
            <w:tcW w:w="560" w:type="dxa"/>
            <w:vAlign w:val="bottom"/>
          </w:tcPr>
          <w:p>
            <w:pPr>
              <w:spacing w:after="0"/>
              <w:rPr>
                <w:sz w:val="18"/>
                <w:szCs w:val="18"/>
                <w:color w:val="auto"/>
              </w:rPr>
            </w:pPr>
          </w:p>
        </w:tc>
      </w:tr>
      <w:tr>
        <w:trPr>
          <w:trHeight w:val="210"/>
        </w:trPr>
        <w:tc>
          <w:tcPr>
            <w:tcW w:w="3880" w:type="dxa"/>
            <w:vAlign w:val="bottom"/>
          </w:tcPr>
          <w:p>
            <w:pPr>
              <w:spacing w:after="0"/>
              <w:rPr>
                <w:sz w:val="18"/>
                <w:szCs w:val="18"/>
                <w:color w:val="auto"/>
              </w:rPr>
            </w:pPr>
          </w:p>
        </w:tc>
        <w:tc>
          <w:tcPr>
            <w:tcW w:w="1860" w:type="dxa"/>
            <w:vAlign w:val="bottom"/>
          </w:tcPr>
          <w:p>
            <w:pPr>
              <w:ind w:left="460"/>
              <w:spacing w:after="0"/>
              <w:rPr>
                <w:sz w:val="20"/>
                <w:szCs w:val="20"/>
                <w:color w:val="auto"/>
              </w:rPr>
            </w:pPr>
            <w:r>
              <w:rPr>
                <w:rFonts w:ascii="Arial" w:cs="Arial" w:eastAsia="Arial" w:hAnsi="Arial"/>
                <w:sz w:val="17"/>
                <w:szCs w:val="17"/>
                <w:color w:val="auto"/>
              </w:rPr>
              <w:t>approximately $</w:t>
            </w:r>
          </w:p>
        </w:tc>
        <w:tc>
          <w:tcPr>
            <w:tcW w:w="4980" w:type="dxa"/>
            <w:vAlign w:val="bottom"/>
          </w:tcPr>
          <w:p>
            <w:pPr>
              <w:ind w:left="300"/>
              <w:spacing w:after="0"/>
              <w:rPr>
                <w:sz w:val="20"/>
                <w:szCs w:val="20"/>
                <w:color w:val="auto"/>
              </w:rPr>
            </w:pPr>
            <w:r>
              <w:rPr>
                <w:rFonts w:ascii="Arial" w:cs="Arial" w:eastAsia="Arial" w:hAnsi="Arial"/>
                <w:sz w:val="17"/>
                <w:szCs w:val="17"/>
                <w:color w:val="auto"/>
              </w:rPr>
              <w:t>million, based on an assumed initial public offering price of $</w:t>
            </w:r>
          </w:p>
        </w:tc>
        <w:tc>
          <w:tcPr>
            <w:tcW w:w="560" w:type="dxa"/>
            <w:vAlign w:val="bottom"/>
          </w:tcPr>
          <w:p>
            <w:pPr>
              <w:ind w:left="80"/>
              <w:spacing w:after="0"/>
              <w:rPr>
                <w:sz w:val="20"/>
                <w:szCs w:val="20"/>
                <w:color w:val="auto"/>
              </w:rPr>
            </w:pPr>
            <w:r>
              <w:rPr>
                <w:rFonts w:ascii="Arial" w:cs="Arial" w:eastAsia="Arial" w:hAnsi="Arial"/>
                <w:sz w:val="17"/>
                <w:szCs w:val="17"/>
                <w:color w:val="auto"/>
              </w:rPr>
              <w:t>per</w:t>
            </w:r>
          </w:p>
        </w:tc>
      </w:tr>
      <w:tr>
        <w:trPr>
          <w:trHeight w:val="210"/>
        </w:trPr>
        <w:tc>
          <w:tcPr>
            <w:tcW w:w="3880" w:type="dxa"/>
            <w:vAlign w:val="bottom"/>
          </w:tcPr>
          <w:p>
            <w:pPr>
              <w:spacing w:after="0"/>
              <w:rPr>
                <w:sz w:val="18"/>
                <w:szCs w:val="18"/>
                <w:color w:val="auto"/>
              </w:rPr>
            </w:pPr>
          </w:p>
        </w:tc>
        <w:tc>
          <w:tcPr>
            <w:tcW w:w="7400" w:type="dxa"/>
            <w:vAlign w:val="bottom"/>
            <w:gridSpan w:val="3"/>
          </w:tcPr>
          <w:p>
            <w:pPr>
              <w:ind w:left="460"/>
              <w:spacing w:after="0"/>
              <w:rPr>
                <w:sz w:val="20"/>
                <w:szCs w:val="20"/>
                <w:color w:val="auto"/>
              </w:rPr>
            </w:pPr>
            <w:r>
              <w:rPr>
                <w:rFonts w:ascii="Arial" w:cs="Arial" w:eastAsia="Arial" w:hAnsi="Arial"/>
                <w:sz w:val="17"/>
                <w:szCs w:val="17"/>
                <w:color w:val="auto"/>
                <w:w w:val="89"/>
              </w:rPr>
              <w:t>share, which is the midpoint of the range listed on the cover page of this prospectus. Our management</w:t>
            </w:r>
          </w:p>
        </w:tc>
      </w:tr>
      <w:tr>
        <w:trPr>
          <w:trHeight w:val="210"/>
        </w:trPr>
        <w:tc>
          <w:tcPr>
            <w:tcW w:w="3880" w:type="dxa"/>
            <w:vAlign w:val="bottom"/>
          </w:tcPr>
          <w:p>
            <w:pPr>
              <w:spacing w:after="0"/>
              <w:rPr>
                <w:sz w:val="18"/>
                <w:szCs w:val="18"/>
                <w:color w:val="auto"/>
              </w:rPr>
            </w:pPr>
          </w:p>
        </w:tc>
        <w:tc>
          <w:tcPr>
            <w:tcW w:w="7400" w:type="dxa"/>
            <w:vAlign w:val="bottom"/>
            <w:gridSpan w:val="3"/>
          </w:tcPr>
          <w:p>
            <w:pPr>
              <w:ind w:left="460"/>
              <w:spacing w:after="0"/>
              <w:rPr>
                <w:sz w:val="20"/>
                <w:szCs w:val="20"/>
                <w:color w:val="auto"/>
              </w:rPr>
            </w:pPr>
            <w:r>
              <w:rPr>
                <w:rFonts w:ascii="Arial" w:cs="Arial" w:eastAsia="Arial" w:hAnsi="Arial"/>
                <w:sz w:val="17"/>
                <w:szCs w:val="17"/>
                <w:color w:val="auto"/>
                <w:w w:val="92"/>
              </w:rPr>
              <w:t>will have broad discretion in the application of our net proceeds from this offering, and investors will</w:t>
            </w:r>
          </w:p>
        </w:tc>
      </w:tr>
      <w:tr>
        <w:trPr>
          <w:trHeight w:val="210"/>
        </w:trPr>
        <w:tc>
          <w:tcPr>
            <w:tcW w:w="3880" w:type="dxa"/>
            <w:vAlign w:val="bottom"/>
          </w:tcPr>
          <w:p>
            <w:pPr>
              <w:spacing w:after="0"/>
              <w:rPr>
                <w:sz w:val="18"/>
                <w:szCs w:val="18"/>
                <w:color w:val="auto"/>
              </w:rPr>
            </w:pPr>
          </w:p>
        </w:tc>
        <w:tc>
          <w:tcPr>
            <w:tcW w:w="7400" w:type="dxa"/>
            <w:vAlign w:val="bottom"/>
            <w:gridSpan w:val="3"/>
          </w:tcPr>
          <w:p>
            <w:pPr>
              <w:ind w:left="460"/>
              <w:spacing w:after="0"/>
              <w:rPr>
                <w:sz w:val="20"/>
                <w:szCs w:val="20"/>
                <w:color w:val="auto"/>
              </w:rPr>
            </w:pPr>
            <w:r>
              <w:rPr>
                <w:rFonts w:ascii="Arial" w:cs="Arial" w:eastAsia="Arial" w:hAnsi="Arial"/>
                <w:sz w:val="17"/>
                <w:szCs w:val="17"/>
                <w:color w:val="auto"/>
                <w:w w:val="89"/>
              </w:rPr>
              <w:t>be relying on management's judgment regarding the application of these net proceeds. We may also us</w:t>
            </w:r>
          </w:p>
        </w:tc>
      </w:tr>
      <w:tr>
        <w:trPr>
          <w:trHeight w:val="210"/>
        </w:trPr>
        <w:tc>
          <w:tcPr>
            <w:tcW w:w="3880" w:type="dxa"/>
            <w:vAlign w:val="bottom"/>
          </w:tcPr>
          <w:p>
            <w:pPr>
              <w:spacing w:after="0"/>
              <w:rPr>
                <w:sz w:val="18"/>
                <w:szCs w:val="18"/>
                <w:color w:val="auto"/>
              </w:rPr>
            </w:pPr>
          </w:p>
        </w:tc>
        <w:tc>
          <w:tcPr>
            <w:tcW w:w="7400" w:type="dxa"/>
            <w:vAlign w:val="bottom"/>
            <w:gridSpan w:val="3"/>
          </w:tcPr>
          <w:p>
            <w:pPr>
              <w:ind w:left="460"/>
              <w:spacing w:after="0"/>
              <w:rPr>
                <w:sz w:val="20"/>
                <w:szCs w:val="20"/>
                <w:color w:val="auto"/>
              </w:rPr>
            </w:pPr>
            <w:r>
              <w:rPr>
                <w:rFonts w:ascii="Arial" w:cs="Arial" w:eastAsia="Arial" w:hAnsi="Arial"/>
                <w:sz w:val="17"/>
                <w:szCs w:val="17"/>
                <w:color w:val="auto"/>
                <w:w w:val="93"/>
              </w:rPr>
              <w:t>a portion of our net proceeds to repay outstanding indebtedness, which currently has interest rates</w:t>
            </w:r>
          </w:p>
        </w:tc>
      </w:tr>
      <w:tr>
        <w:trPr>
          <w:trHeight w:val="210"/>
        </w:trPr>
        <w:tc>
          <w:tcPr>
            <w:tcW w:w="3880" w:type="dxa"/>
            <w:vAlign w:val="bottom"/>
          </w:tcPr>
          <w:p>
            <w:pPr>
              <w:spacing w:after="0"/>
              <w:rPr>
                <w:sz w:val="18"/>
                <w:szCs w:val="18"/>
                <w:color w:val="auto"/>
              </w:rPr>
            </w:pPr>
          </w:p>
        </w:tc>
        <w:tc>
          <w:tcPr>
            <w:tcW w:w="7400" w:type="dxa"/>
            <w:vAlign w:val="bottom"/>
            <w:gridSpan w:val="3"/>
          </w:tcPr>
          <w:p>
            <w:pPr>
              <w:ind w:left="460"/>
              <w:spacing w:after="0"/>
              <w:rPr>
                <w:sz w:val="20"/>
                <w:szCs w:val="20"/>
                <w:color w:val="auto"/>
              </w:rPr>
            </w:pPr>
            <w:r>
              <w:rPr>
                <w:rFonts w:ascii="Arial" w:cs="Arial" w:eastAsia="Arial" w:hAnsi="Arial"/>
                <w:sz w:val="17"/>
                <w:szCs w:val="17"/>
                <w:color w:val="auto"/>
                <w:w w:val="92"/>
              </w:rPr>
              <w:t>ranging from 4.375% to 6.875% per annum and maturity dates ranging from July 2013 to November</w:t>
            </w:r>
          </w:p>
        </w:tc>
      </w:tr>
      <w:tr>
        <w:trPr>
          <w:trHeight w:val="210"/>
        </w:trPr>
        <w:tc>
          <w:tcPr>
            <w:tcW w:w="3880" w:type="dxa"/>
            <w:vAlign w:val="bottom"/>
          </w:tcPr>
          <w:p>
            <w:pPr>
              <w:spacing w:after="0"/>
              <w:rPr>
                <w:sz w:val="18"/>
                <w:szCs w:val="18"/>
                <w:color w:val="auto"/>
              </w:rPr>
            </w:pPr>
          </w:p>
        </w:tc>
        <w:tc>
          <w:tcPr>
            <w:tcW w:w="7400" w:type="dxa"/>
            <w:vAlign w:val="bottom"/>
            <w:gridSpan w:val="3"/>
          </w:tcPr>
          <w:p>
            <w:pPr>
              <w:ind w:left="460"/>
              <w:spacing w:after="0"/>
              <w:rPr>
                <w:sz w:val="20"/>
                <w:szCs w:val="20"/>
                <w:color w:val="auto"/>
              </w:rPr>
            </w:pPr>
            <w:r>
              <w:rPr>
                <w:rFonts w:ascii="Arial" w:cs="Arial" w:eastAsia="Arial" w:hAnsi="Arial"/>
                <w:sz w:val="17"/>
                <w:szCs w:val="17"/>
                <w:color w:val="auto"/>
                <w:w w:val="90"/>
              </w:rPr>
              <w:t>2014, but we currently have no commitments or specific plans to repay any particular indebtedness in</w:t>
            </w:r>
          </w:p>
        </w:tc>
      </w:tr>
      <w:tr>
        <w:trPr>
          <w:trHeight w:val="210"/>
        </w:trPr>
        <w:tc>
          <w:tcPr>
            <w:tcW w:w="3880" w:type="dxa"/>
            <w:vAlign w:val="bottom"/>
          </w:tcPr>
          <w:p>
            <w:pPr>
              <w:spacing w:after="0"/>
              <w:rPr>
                <w:sz w:val="18"/>
                <w:szCs w:val="18"/>
                <w:color w:val="auto"/>
              </w:rPr>
            </w:pPr>
          </w:p>
        </w:tc>
        <w:tc>
          <w:tcPr>
            <w:tcW w:w="7400" w:type="dxa"/>
            <w:vAlign w:val="bottom"/>
            <w:gridSpan w:val="3"/>
          </w:tcPr>
          <w:p>
            <w:pPr>
              <w:ind w:left="460"/>
              <w:spacing w:after="0"/>
              <w:rPr>
                <w:sz w:val="20"/>
                <w:szCs w:val="20"/>
                <w:color w:val="auto"/>
              </w:rPr>
            </w:pPr>
            <w:r>
              <w:rPr>
                <w:rFonts w:ascii="Arial" w:cs="Arial" w:eastAsia="Arial" w:hAnsi="Arial"/>
                <w:sz w:val="17"/>
                <w:szCs w:val="17"/>
                <w:color w:val="auto"/>
                <w:w w:val="97"/>
              </w:rPr>
              <w:t>advance of its maturity date. We intend to use the remaining net proceeds from this offering for</w:t>
            </w:r>
          </w:p>
        </w:tc>
      </w:tr>
      <w:tr>
        <w:trPr>
          <w:trHeight w:val="210"/>
        </w:trPr>
        <w:tc>
          <w:tcPr>
            <w:tcW w:w="3880" w:type="dxa"/>
            <w:vAlign w:val="bottom"/>
          </w:tcPr>
          <w:p>
            <w:pPr>
              <w:spacing w:after="0"/>
              <w:rPr>
                <w:sz w:val="18"/>
                <w:szCs w:val="18"/>
                <w:color w:val="auto"/>
              </w:rPr>
            </w:pPr>
          </w:p>
        </w:tc>
        <w:tc>
          <w:tcPr>
            <w:tcW w:w="7400" w:type="dxa"/>
            <w:vAlign w:val="bottom"/>
            <w:gridSpan w:val="3"/>
          </w:tcPr>
          <w:p>
            <w:pPr>
              <w:ind w:left="460"/>
              <w:spacing w:after="0"/>
              <w:rPr>
                <w:sz w:val="20"/>
                <w:szCs w:val="20"/>
                <w:color w:val="auto"/>
              </w:rPr>
            </w:pPr>
            <w:r>
              <w:rPr>
                <w:rFonts w:ascii="Arial" w:cs="Arial" w:eastAsia="Arial" w:hAnsi="Arial"/>
                <w:sz w:val="17"/>
                <w:szCs w:val="17"/>
                <w:color w:val="auto"/>
                <w:w w:val="90"/>
              </w:rPr>
              <w:t>working capital and other general corporate purposes. See "Use of Proceeds." We will not receive any</w:t>
            </w:r>
          </w:p>
        </w:tc>
      </w:tr>
      <w:tr>
        <w:trPr>
          <w:trHeight w:val="216"/>
        </w:trPr>
        <w:tc>
          <w:tcPr>
            <w:tcW w:w="3880" w:type="dxa"/>
            <w:vAlign w:val="bottom"/>
          </w:tcPr>
          <w:p>
            <w:pPr>
              <w:spacing w:after="0"/>
              <w:rPr>
                <w:sz w:val="18"/>
                <w:szCs w:val="18"/>
                <w:color w:val="auto"/>
              </w:rPr>
            </w:pPr>
          </w:p>
        </w:tc>
        <w:tc>
          <w:tcPr>
            <w:tcW w:w="6840" w:type="dxa"/>
            <w:vAlign w:val="bottom"/>
            <w:gridSpan w:val="2"/>
          </w:tcPr>
          <w:p>
            <w:pPr>
              <w:ind w:left="460"/>
              <w:spacing w:after="0"/>
              <w:rPr>
                <w:sz w:val="20"/>
                <w:szCs w:val="20"/>
                <w:color w:val="auto"/>
              </w:rPr>
            </w:pPr>
            <w:r>
              <w:rPr>
                <w:rFonts w:ascii="Arial" w:cs="Arial" w:eastAsia="Arial" w:hAnsi="Arial"/>
                <w:sz w:val="17"/>
                <w:szCs w:val="17"/>
                <w:color w:val="auto"/>
                <w:w w:val="91"/>
              </w:rPr>
              <w:t>of the proceeds from the sale of shares of common stock offered by the selling stockholders.</w:t>
            </w:r>
          </w:p>
        </w:tc>
        <w:tc>
          <w:tcPr>
            <w:tcW w:w="560" w:type="dxa"/>
            <w:vAlign w:val="bottom"/>
          </w:tcPr>
          <w:p>
            <w:pPr>
              <w:spacing w:after="0"/>
              <w:rPr>
                <w:sz w:val="18"/>
                <w:szCs w:val="18"/>
                <w:color w:val="auto"/>
              </w:rPr>
            </w:pPr>
          </w:p>
        </w:tc>
      </w:tr>
      <w:tr>
        <w:trPr>
          <w:trHeight w:val="419"/>
        </w:trPr>
        <w:tc>
          <w:tcPr>
            <w:tcW w:w="3880" w:type="dxa"/>
            <w:vAlign w:val="bottom"/>
          </w:tcPr>
          <w:p>
            <w:pPr>
              <w:spacing w:after="0"/>
              <w:rPr>
                <w:sz w:val="20"/>
                <w:szCs w:val="20"/>
                <w:color w:val="auto"/>
              </w:rPr>
            </w:pPr>
            <w:r>
              <w:rPr>
                <w:rFonts w:ascii="Arial" w:cs="Arial" w:eastAsia="Arial" w:hAnsi="Arial"/>
                <w:sz w:val="17"/>
                <w:szCs w:val="17"/>
                <w:color w:val="auto"/>
              </w:rPr>
              <w:t>Proposed symbol on the NASDAQ Global Market</w:t>
            </w:r>
          </w:p>
        </w:tc>
        <w:tc>
          <w:tcPr>
            <w:tcW w:w="1860" w:type="dxa"/>
            <w:vAlign w:val="bottom"/>
          </w:tcPr>
          <w:p>
            <w:pPr>
              <w:ind w:left="460"/>
              <w:spacing w:after="0"/>
              <w:rPr>
                <w:sz w:val="20"/>
                <w:szCs w:val="20"/>
                <w:color w:val="auto"/>
              </w:rPr>
            </w:pPr>
            <w:r>
              <w:rPr>
                <w:rFonts w:ascii="Arial" w:cs="Arial" w:eastAsia="Arial" w:hAnsi="Arial"/>
                <w:sz w:val="17"/>
                <w:szCs w:val="17"/>
                <w:color w:val="auto"/>
              </w:rPr>
              <w:t>AAOI</w:t>
            </w:r>
          </w:p>
        </w:tc>
        <w:tc>
          <w:tcPr>
            <w:tcW w:w="49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04" w:lineRule="exact"/>
        <w:rPr>
          <w:sz w:val="20"/>
          <w:szCs w:val="20"/>
          <w:color w:val="auto"/>
        </w:rPr>
      </w:pPr>
    </w:p>
    <w:p>
      <w:pPr>
        <w:ind w:left="240" w:right="40" w:firstLine="338"/>
        <w:spacing w:after="0" w:line="315" w:lineRule="auto"/>
        <w:rPr>
          <w:sz w:val="20"/>
          <w:szCs w:val="20"/>
          <w:color w:val="auto"/>
        </w:rPr>
      </w:pPr>
      <w:r>
        <w:rPr>
          <w:rFonts w:ascii="Arial" w:cs="Arial" w:eastAsia="Arial" w:hAnsi="Arial"/>
          <w:sz w:val="16"/>
          <w:szCs w:val="16"/>
          <w:color w:val="auto"/>
        </w:rPr>
        <w:t>The number of shares of our common stock to be outstanding after this offering is based on 269,816,365 shares of our common stock outstanding as of June 30, 2013, assuming conversion of all outstanding shares of preferred stock into common stock. This number of shares does not include:</w:t>
      </w:r>
    </w:p>
    <w:p>
      <w:pPr>
        <w:spacing w:after="0" w:line="173" w:lineRule="exact"/>
        <w:rPr>
          <w:sz w:val="20"/>
          <w:szCs w:val="20"/>
          <w:color w:val="auto"/>
        </w:rPr>
      </w:pPr>
    </w:p>
    <w:p>
      <w:pPr>
        <w:ind w:left="1280" w:hanging="524"/>
        <w:spacing w:after="0"/>
        <w:tabs>
          <w:tab w:leader="none" w:pos="1280" w:val="left"/>
        </w:tabs>
        <w:numPr>
          <w:ilvl w:val="0"/>
          <w:numId w:val="8"/>
        </w:numPr>
        <w:rPr>
          <w:rFonts w:ascii="Arial" w:cs="Arial" w:eastAsia="Arial" w:hAnsi="Arial"/>
          <w:sz w:val="15"/>
          <w:szCs w:val="15"/>
          <w:color w:val="auto"/>
        </w:rPr>
      </w:pPr>
      <w:r>
        <w:rPr>
          <w:rFonts w:ascii="Arial" w:cs="Arial" w:eastAsia="Arial" w:hAnsi="Arial"/>
          <w:sz w:val="15"/>
          <w:szCs w:val="15"/>
          <w:color w:val="auto"/>
        </w:rPr>
        <w:t>22,083,499 shares of common stock subject to outstanding options as of June 30, 2013, with a weighted average exercise price of $0.25436 per share;</w:t>
      </w:r>
    </w:p>
    <w:p>
      <w:pPr>
        <w:spacing w:after="0" w:line="260" w:lineRule="exact"/>
        <w:rPr>
          <w:rFonts w:ascii="Arial" w:cs="Arial" w:eastAsia="Arial" w:hAnsi="Arial"/>
          <w:sz w:val="15"/>
          <w:szCs w:val="15"/>
          <w:color w:val="auto"/>
        </w:rPr>
      </w:pPr>
    </w:p>
    <w:p>
      <w:pPr>
        <w:ind w:left="1280" w:right="40" w:hanging="524"/>
        <w:spacing w:after="0" w:line="28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1,394,000 shares of Series F preferred stock issuable upon the exercise of outstanding warrants, with a weighted average exercise price of $0.31277 p share;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2" w:name="page13"/>
    <w:bookmarkEnd w:id="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2501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4565" cy="250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hanging="524"/>
        <w:spacing w:after="0" w:line="282"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299,109 shares of Series G preferred stock issuable upon the exercise of outstanding warrants, with a weighted average exercise price of $0.43284 per share; and</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24,000,000 shares of common stock available for future sale or issuance under our stock option plans.</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Unless otherwise indicated, this prospectus reflects and assumes the following:</w:t>
      </w:r>
    </w:p>
    <w:p>
      <w:pPr>
        <w:spacing w:after="0" w:line="237" w:lineRule="exact"/>
        <w:rPr>
          <w:sz w:val="20"/>
          <w:szCs w:val="20"/>
          <w:color w:val="auto"/>
        </w:rPr>
      </w:pPr>
    </w:p>
    <w:p>
      <w:pPr>
        <w:ind w:left="1280" w:right="300" w:hanging="524"/>
        <w:spacing w:after="0" w:line="282"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automatic conversion of all of our outstanding shares of preferred stock into 261,286,610 shares of our common stock upon the closing of this offering;</w:t>
      </w:r>
    </w:p>
    <w:p>
      <w:pPr>
        <w:spacing w:after="0" w:line="196" w:lineRule="exact"/>
        <w:rPr>
          <w:rFonts w:ascii="Arial" w:cs="Arial" w:eastAsia="Arial" w:hAnsi="Arial"/>
          <w:sz w:val="17"/>
          <w:szCs w:val="17"/>
          <w:color w:val="auto"/>
        </w:rPr>
      </w:pPr>
    </w:p>
    <w:p>
      <w:pPr>
        <w:ind w:left="1280" w:right="40" w:hanging="524"/>
        <w:spacing w:after="0" w:line="282"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filing of our amended and restated certificate of incorporation and the adoption of our amended and restated bylaws immediately prior to the closi of this offering; and</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382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4565" cy="538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 CONSOLIDATED FINANCIAL DATA</w:t>
      </w:r>
    </w:p>
    <w:p>
      <w:pPr>
        <w:spacing w:after="0" w:line="228" w:lineRule="exact"/>
        <w:rPr>
          <w:sz w:val="20"/>
          <w:szCs w:val="20"/>
          <w:color w:val="auto"/>
        </w:rPr>
      </w:pPr>
    </w:p>
    <w:p>
      <w:pPr>
        <w:ind w:left="240" w:firstLine="341"/>
        <w:spacing w:after="0" w:line="279" w:lineRule="auto"/>
        <w:rPr>
          <w:sz w:val="20"/>
          <w:szCs w:val="20"/>
          <w:color w:val="auto"/>
        </w:rPr>
      </w:pPr>
      <w:r>
        <w:rPr>
          <w:rFonts w:ascii="Arial" w:cs="Arial" w:eastAsia="Arial" w:hAnsi="Arial"/>
          <w:sz w:val="16"/>
          <w:szCs w:val="16"/>
          <w:i w:val="1"/>
          <w:iCs w:val="1"/>
          <w:color w:val="auto"/>
        </w:rPr>
        <w:t>The following tables summarize the consolidated financial and operating data for the periods indicated. This summary consolidated financial data should be rea together with our consolidated financial statements and related notes and "Management's Discussion and Analysis of Financial Condition and Results of Operations appearing elsewhere in this prospectus. The consolidated statements of operations data for the years ended December 31, 2010, 2011 and 2012 are derived from our consolidated financial statements appearing elsewhere in this prospectus. The consolidated statements of operations data for the six months ended June 30, 2012 and 2013 and the consolidated balance sheet data as of June 30, 2013 have been derived from our unaudited consolidated financial statements included elsewhere in this prospectus. Our historical results are not necessarily indicative of our future results. You should read the summary financial data presented below in conjunction with our consolidated financial statements and related notes and the sections of this prospectus titled "Selected Consolidated Financial Data" and "Management's Discussion and Analysis of Financial Condition and Results of Operations."</w:t>
      </w:r>
    </w:p>
    <w:p>
      <w:pPr>
        <w:spacing w:after="0" w:line="167"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4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jc w:val="center"/>
              <w:ind w:left="314"/>
              <w:spacing w:after="0"/>
              <w:rPr>
                <w:sz w:val="20"/>
                <w:szCs w:val="20"/>
                <w:color w:val="auto"/>
              </w:rPr>
            </w:pPr>
            <w:r>
              <w:rPr>
                <w:rFonts w:ascii="Arial" w:cs="Arial" w:eastAsia="Arial" w:hAnsi="Arial"/>
                <w:sz w:val="13"/>
                <w:szCs w:val="13"/>
                <w:b w:val="1"/>
                <w:bCs w:val="1"/>
                <w:color w:val="auto"/>
                <w:w w:val="88"/>
              </w:rPr>
              <w:t>Six months</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gridSpan w:val="8"/>
          </w:tcPr>
          <w:p>
            <w:pPr>
              <w:jc w:val="right"/>
              <w:ind w:right="720"/>
              <w:spacing w:after="0"/>
              <w:rPr>
                <w:sz w:val="20"/>
                <w:szCs w:val="20"/>
                <w:color w:val="auto"/>
              </w:rPr>
            </w:pPr>
            <w:r>
              <w:rPr>
                <w:rFonts w:ascii="Arial" w:cs="Arial" w:eastAsia="Arial" w:hAnsi="Arial"/>
                <w:sz w:val="13"/>
                <w:szCs w:val="13"/>
                <w:b w:val="1"/>
                <w:bCs w:val="1"/>
                <w:color w:val="auto"/>
              </w:rPr>
              <w:t>Years ended December 31,</w:t>
            </w:r>
          </w:p>
        </w:tc>
        <w:tc>
          <w:tcPr>
            <w:tcW w:w="200" w:type="dxa"/>
            <w:vAlign w:val="bottom"/>
          </w:tcPr>
          <w:p>
            <w:pPr>
              <w:spacing w:after="0"/>
              <w:rPr>
                <w:sz w:val="13"/>
                <w:szCs w:val="13"/>
                <w:color w:val="auto"/>
              </w:rPr>
            </w:pPr>
          </w:p>
        </w:tc>
        <w:tc>
          <w:tcPr>
            <w:tcW w:w="186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89"/>
              </w:rPr>
              <w:t>ended June 30,</w:t>
            </w:r>
          </w:p>
        </w:tc>
        <w:tc>
          <w:tcPr>
            <w:tcW w:w="0" w:type="dxa"/>
            <w:vAlign w:val="bottom"/>
          </w:tcPr>
          <w:p>
            <w:pPr>
              <w:spacing w:after="0"/>
              <w:rPr>
                <w:sz w:val="1"/>
                <w:szCs w:val="1"/>
                <w:color w:val="auto"/>
              </w:rPr>
            </w:pPr>
          </w:p>
        </w:tc>
      </w:tr>
      <w:tr>
        <w:trPr>
          <w:trHeight w:val="137"/>
        </w:trPr>
        <w:tc>
          <w:tcPr>
            <w:tcW w:w="43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4"/>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1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34"/>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234"/>
              <w:spacing w:after="0" w:line="138" w:lineRule="exact"/>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3"/>
          </w:tcPr>
          <w:p>
            <w:pPr>
              <w:jc w:val="center"/>
              <w:ind w:left="314"/>
              <w:spacing w:after="0" w:line="124" w:lineRule="exact"/>
              <w:rPr>
                <w:sz w:val="20"/>
                <w:szCs w:val="20"/>
                <w:color w:val="auto"/>
              </w:rPr>
            </w:pPr>
            <w:r>
              <w:rPr>
                <w:rFonts w:ascii="Arial" w:cs="Arial" w:eastAsia="Arial" w:hAnsi="Arial"/>
                <w:sz w:val="13"/>
                <w:szCs w:val="13"/>
                <w:b w:val="1"/>
                <w:bCs w:val="1"/>
                <w:color w:val="auto"/>
                <w:w w:val="93"/>
              </w:rPr>
              <w:t>(unaudited)</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60" w:type="dxa"/>
            <w:vAlign w:val="bottom"/>
            <w:gridSpan w:val="12"/>
          </w:tcPr>
          <w:p>
            <w:pPr>
              <w:jc w:val="right"/>
              <w:ind w:right="14"/>
              <w:spacing w:after="0"/>
              <w:rPr>
                <w:sz w:val="20"/>
                <w:szCs w:val="20"/>
                <w:color w:val="auto"/>
              </w:rPr>
            </w:pPr>
            <w:r>
              <w:rPr>
                <w:rFonts w:ascii="Arial" w:cs="Arial" w:eastAsia="Arial" w:hAnsi="Arial"/>
                <w:sz w:val="13"/>
                <w:szCs w:val="13"/>
                <w:b w:val="1"/>
                <w:bCs w:val="1"/>
                <w:color w:val="auto"/>
              </w:rPr>
              <w:t>(in thousands, except percentages, share and per share data)</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Consolidated statements of operations data:</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40" w:type="dxa"/>
            <w:vAlign w:val="bottom"/>
          </w:tcPr>
          <w:p>
            <w:pPr>
              <w:ind w:left="20"/>
              <w:spacing w:after="0" w:line="144" w:lineRule="exact"/>
              <w:rPr>
                <w:sz w:val="20"/>
                <w:szCs w:val="20"/>
                <w:color w:val="auto"/>
              </w:rPr>
            </w:pPr>
            <w:r>
              <w:rPr>
                <w:rFonts w:ascii="Arial" w:cs="Arial" w:eastAsia="Arial" w:hAnsi="Arial"/>
                <w:sz w:val="13"/>
                <w:szCs w:val="13"/>
                <w:color w:val="auto"/>
              </w:rPr>
              <w:t>Revenue</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40,489</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47,840</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63,421</w:t>
            </w:r>
          </w:p>
        </w:tc>
        <w:tc>
          <w:tcPr>
            <w:tcW w:w="200" w:type="dxa"/>
            <w:vAlign w:val="bottom"/>
          </w:tcPr>
          <w:p>
            <w:pPr>
              <w:jc w:val="right"/>
              <w:ind w:right="54"/>
              <w:spacing w:after="0" w:line="144"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28,144</w:t>
            </w:r>
          </w:p>
        </w:tc>
        <w:tc>
          <w:tcPr>
            <w:tcW w:w="300" w:type="dxa"/>
            <w:vAlign w:val="bottom"/>
          </w:tcPr>
          <w:p>
            <w:pPr>
              <w:jc w:val="right"/>
              <w:ind w:right="154"/>
              <w:spacing w:after="0" w:line="144" w:lineRule="exact"/>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33,914</w:t>
            </w: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Cost of goods sold (1)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27,539</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34,468</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44,492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19,331</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23,882</w:t>
            </w:r>
          </w:p>
        </w:tc>
        <w:tc>
          <w:tcPr>
            <w:tcW w:w="0" w:type="dxa"/>
            <w:vAlign w:val="bottom"/>
          </w:tcPr>
          <w:p>
            <w:pPr>
              <w:spacing w:after="0"/>
              <w:rPr>
                <w:sz w:val="1"/>
                <w:szCs w:val="1"/>
                <w:color w:val="auto"/>
              </w:rPr>
            </w:pPr>
          </w:p>
        </w:tc>
      </w:tr>
      <w:tr>
        <w:trPr>
          <w:trHeight w:val="26"/>
        </w:trPr>
        <w:tc>
          <w:tcPr>
            <w:tcW w:w="4340" w:type="dxa"/>
            <w:vAlign w:val="bottom"/>
            <w:vMerge w:val="restart"/>
          </w:tcPr>
          <w:p>
            <w:pPr>
              <w:ind w:left="20"/>
              <w:spacing w:after="0"/>
              <w:rPr>
                <w:sz w:val="20"/>
                <w:szCs w:val="20"/>
                <w:color w:val="auto"/>
              </w:rPr>
            </w:pPr>
            <w:r>
              <w:rPr>
                <w:rFonts w:ascii="Arial" w:cs="Arial" w:eastAsia="Arial" w:hAnsi="Arial"/>
                <w:sz w:val="13"/>
                <w:szCs w:val="13"/>
                <w:color w:val="auto"/>
              </w:rPr>
              <w:t>Gross profit</w:t>
            </w: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340" w:type="dxa"/>
            <w:vAlign w:val="bottom"/>
            <w:vMerge w:val="continue"/>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12,950</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13,372</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18,929</w:t>
            </w:r>
          </w:p>
        </w:tc>
        <w:tc>
          <w:tcPr>
            <w:tcW w:w="1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8,813</w:t>
            </w:r>
          </w:p>
        </w:tc>
        <w:tc>
          <w:tcPr>
            <w:tcW w:w="1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10,032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34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Gross margin</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32.0%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28.0%</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29.8%</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31.3%</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29.6%</w:t>
            </w:r>
          </w:p>
        </w:tc>
        <w:tc>
          <w:tcPr>
            <w:tcW w:w="0" w:type="dxa"/>
            <w:vAlign w:val="bottom"/>
          </w:tcPr>
          <w:p>
            <w:pPr>
              <w:spacing w:after="0"/>
              <w:rPr>
                <w:sz w:val="1"/>
                <w:szCs w:val="1"/>
                <w:color w:val="auto"/>
              </w:rPr>
            </w:pPr>
          </w:p>
        </w:tc>
      </w:tr>
      <w:tr>
        <w:trPr>
          <w:trHeight w:val="144"/>
        </w:trPr>
        <w:tc>
          <w:tcPr>
            <w:tcW w:w="4340" w:type="dxa"/>
            <w:vAlign w:val="bottom"/>
          </w:tcPr>
          <w:p>
            <w:pPr>
              <w:ind w:left="20"/>
              <w:spacing w:after="0" w:line="144" w:lineRule="exact"/>
              <w:rPr>
                <w:sz w:val="20"/>
                <w:szCs w:val="20"/>
                <w:color w:val="auto"/>
              </w:rPr>
            </w:pPr>
            <w:r>
              <w:rPr>
                <w:rFonts w:ascii="Arial" w:cs="Arial" w:eastAsia="Arial" w:hAnsi="Arial"/>
                <w:sz w:val="13"/>
                <w:szCs w:val="13"/>
                <w:color w:val="auto"/>
              </w:rPr>
              <w:t>Operating expenses: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Research and development (1)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5,176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6,451</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7,603</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3,284</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3,902</w:t>
            </w:r>
          </w:p>
        </w:tc>
        <w:tc>
          <w:tcPr>
            <w:tcW w:w="0" w:type="dxa"/>
            <w:vAlign w:val="bottom"/>
          </w:tcPr>
          <w:p>
            <w:pPr>
              <w:spacing w:after="0"/>
              <w:rPr>
                <w:sz w:val="1"/>
                <w:szCs w:val="1"/>
                <w:color w:val="auto"/>
              </w:rPr>
            </w:pPr>
          </w:p>
        </w:tc>
      </w:tr>
      <w:tr>
        <w:trPr>
          <w:trHeight w:val="144"/>
        </w:trPr>
        <w:tc>
          <w:tcPr>
            <w:tcW w:w="4340" w:type="dxa"/>
            <w:vAlign w:val="bottom"/>
          </w:tcPr>
          <w:p>
            <w:pPr>
              <w:ind w:left="160"/>
              <w:spacing w:after="0" w:line="144" w:lineRule="exact"/>
              <w:rPr>
                <w:sz w:val="20"/>
                <w:szCs w:val="20"/>
                <w:color w:val="auto"/>
              </w:rPr>
            </w:pPr>
            <w:r>
              <w:rPr>
                <w:rFonts w:ascii="Arial" w:cs="Arial" w:eastAsia="Arial" w:hAnsi="Arial"/>
                <w:sz w:val="13"/>
                <w:szCs w:val="13"/>
                <w:color w:val="auto"/>
              </w:rPr>
              <w:t>Sales and marketing (1)</w:t>
            </w: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1,993</w:t>
            </w: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2,412</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3,135</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1,614</w:t>
            </w:r>
          </w:p>
        </w:tc>
        <w:tc>
          <w:tcPr>
            <w:tcW w:w="30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1,959</w:t>
            </w: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General and administrative (1)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8,383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8,243</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8,012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3,912</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4,822</w:t>
            </w:r>
          </w:p>
        </w:tc>
        <w:tc>
          <w:tcPr>
            <w:tcW w:w="0" w:type="dxa"/>
            <w:vAlign w:val="bottom"/>
          </w:tcPr>
          <w:p>
            <w:pPr>
              <w:spacing w:after="0"/>
              <w:rPr>
                <w:sz w:val="1"/>
                <w:szCs w:val="1"/>
                <w:color w:val="auto"/>
              </w:rPr>
            </w:pPr>
          </w:p>
        </w:tc>
      </w:tr>
      <w:tr>
        <w:trPr>
          <w:trHeight w:val="168"/>
        </w:trPr>
        <w:tc>
          <w:tcPr>
            <w:tcW w:w="4340" w:type="dxa"/>
            <w:vAlign w:val="bottom"/>
          </w:tcPr>
          <w:p>
            <w:pPr>
              <w:ind w:left="160"/>
              <w:spacing w:after="0"/>
              <w:rPr>
                <w:sz w:val="20"/>
                <w:szCs w:val="20"/>
                <w:color w:val="auto"/>
              </w:rPr>
            </w:pPr>
            <w:r>
              <w:rPr>
                <w:rFonts w:ascii="Arial" w:cs="Arial" w:eastAsia="Arial" w:hAnsi="Arial"/>
                <w:sz w:val="13"/>
                <w:szCs w:val="13"/>
                <w:color w:val="auto"/>
              </w:rPr>
              <w:t>Asset impairment charges</w:t>
            </w: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492</w:t>
            </w: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34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Total operating expenses</w:t>
            </w: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16,043</w:t>
            </w: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17,106</w:t>
            </w: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18,750</w:t>
            </w:r>
          </w:p>
        </w:tc>
        <w:tc>
          <w:tcPr>
            <w:tcW w:w="200" w:type="dxa"/>
            <w:vAlign w:val="bottom"/>
            <w:shd w:val="clear" w:color="auto" w:fill="CCEEFF"/>
          </w:tcPr>
          <w:p>
            <w:pPr>
              <w:jc w:val="right"/>
              <w:ind w:right="54"/>
              <w:spacing w:after="0" w:line="140"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8,810</w:t>
            </w:r>
          </w:p>
        </w:tc>
        <w:tc>
          <w:tcPr>
            <w:tcW w:w="300" w:type="dxa"/>
            <w:vAlign w:val="bottom"/>
            <w:shd w:val="clear" w:color="auto" w:fill="CCEEFF"/>
          </w:tcPr>
          <w:p>
            <w:pPr>
              <w:jc w:val="right"/>
              <w:ind w:right="154"/>
              <w:spacing w:after="0" w:line="140"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10,683</w:t>
            </w:r>
          </w:p>
        </w:tc>
        <w:tc>
          <w:tcPr>
            <w:tcW w:w="0" w:type="dxa"/>
            <w:vAlign w:val="bottom"/>
          </w:tcPr>
          <w:p>
            <w:pPr>
              <w:spacing w:after="0"/>
              <w:rPr>
                <w:sz w:val="1"/>
                <w:szCs w:val="1"/>
                <w:color w:val="auto"/>
              </w:rPr>
            </w:pPr>
          </w:p>
        </w:tc>
      </w:tr>
      <w:tr>
        <w:trPr>
          <w:trHeight w:val="26"/>
        </w:trPr>
        <w:tc>
          <w:tcPr>
            <w:tcW w:w="4340" w:type="dxa"/>
            <w:vAlign w:val="bottom"/>
            <w:vMerge w:val="restart"/>
          </w:tcPr>
          <w:p>
            <w:pPr>
              <w:ind w:left="20"/>
              <w:spacing w:after="0"/>
              <w:rPr>
                <w:sz w:val="20"/>
                <w:szCs w:val="20"/>
                <w:color w:val="auto"/>
              </w:rPr>
            </w:pPr>
            <w:r>
              <w:rPr>
                <w:rFonts w:ascii="Arial" w:cs="Arial" w:eastAsia="Arial" w:hAnsi="Arial"/>
                <w:sz w:val="13"/>
                <w:szCs w:val="13"/>
                <w:color w:val="auto"/>
              </w:rPr>
              <w:t>Income (loss) from operations</w:t>
            </w: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434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(3,093)</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(3,734)</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179</w:t>
            </w: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(651)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Interest and other income (expense), net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(287)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(1,594)</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(1,124)</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(620)</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(625)</w:t>
            </w:r>
          </w:p>
        </w:tc>
        <w:tc>
          <w:tcPr>
            <w:tcW w:w="0" w:type="dxa"/>
            <w:vAlign w:val="bottom"/>
          </w:tcPr>
          <w:p>
            <w:pPr>
              <w:spacing w:after="0"/>
              <w:rPr>
                <w:sz w:val="1"/>
                <w:szCs w:val="1"/>
                <w:color w:val="auto"/>
              </w:rPr>
            </w:pPr>
          </w:p>
        </w:tc>
      </w:tr>
      <w:tr>
        <w:trPr>
          <w:trHeight w:val="26"/>
        </w:trPr>
        <w:tc>
          <w:tcPr>
            <w:tcW w:w="4340" w:type="dxa"/>
            <w:vAlign w:val="bottom"/>
            <w:vMerge w:val="restart"/>
          </w:tcPr>
          <w:p>
            <w:pPr>
              <w:ind w:left="20"/>
              <w:spacing w:after="0"/>
              <w:rPr>
                <w:sz w:val="20"/>
                <w:szCs w:val="20"/>
                <w:color w:val="auto"/>
              </w:rPr>
            </w:pPr>
            <w:r>
              <w:rPr>
                <w:rFonts w:ascii="Arial" w:cs="Arial" w:eastAsia="Arial" w:hAnsi="Arial"/>
                <w:sz w:val="13"/>
                <w:szCs w:val="13"/>
                <w:color w:val="auto"/>
              </w:rPr>
              <w:t>Income (loss) before income taxes</w:t>
            </w: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4340" w:type="dxa"/>
            <w:vAlign w:val="bottom"/>
            <w:vMerge w:val="continue"/>
          </w:tcPr>
          <w:p>
            <w:pPr>
              <w:spacing w:after="0"/>
              <w:rPr>
                <w:sz w:val="11"/>
                <w:szCs w:val="11"/>
                <w:color w:val="auto"/>
              </w:rPr>
            </w:pPr>
          </w:p>
        </w:tc>
        <w:tc>
          <w:tcPr>
            <w:tcW w:w="1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(3,380)</w:t>
            </w:r>
          </w:p>
        </w:tc>
        <w:tc>
          <w:tcPr>
            <w:tcW w:w="160" w:type="dxa"/>
            <w:vAlign w:val="bottom"/>
          </w:tcPr>
          <w:p>
            <w:pPr>
              <w:spacing w:after="0"/>
              <w:rPr>
                <w:sz w:val="11"/>
                <w:szCs w:val="11"/>
                <w:color w:val="auto"/>
              </w:rPr>
            </w:pPr>
          </w:p>
        </w:tc>
        <w:tc>
          <w:tcPr>
            <w:tcW w:w="1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(5,328)</w:t>
            </w:r>
          </w:p>
        </w:tc>
        <w:tc>
          <w:tcPr>
            <w:tcW w:w="160" w:type="dxa"/>
            <w:vAlign w:val="bottom"/>
          </w:tcPr>
          <w:p>
            <w:pPr>
              <w:spacing w:after="0"/>
              <w:rPr>
                <w:sz w:val="11"/>
                <w:szCs w:val="11"/>
                <w:color w:val="auto"/>
              </w:rPr>
            </w:pPr>
          </w:p>
        </w:tc>
        <w:tc>
          <w:tcPr>
            <w:tcW w:w="1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(945)</w:t>
            </w:r>
          </w:p>
        </w:tc>
        <w:tc>
          <w:tcPr>
            <w:tcW w:w="160" w:type="dxa"/>
            <w:vAlign w:val="bottom"/>
          </w:tcPr>
          <w:p>
            <w:pPr>
              <w:spacing w:after="0"/>
              <w:rPr>
                <w:sz w:val="11"/>
                <w:szCs w:val="11"/>
                <w:color w:val="auto"/>
              </w:rPr>
            </w:pPr>
          </w:p>
        </w:tc>
        <w:tc>
          <w:tcPr>
            <w:tcW w:w="200" w:type="dxa"/>
            <w:vAlign w:val="bottom"/>
            <w:tcBorders>
              <w:top w:val="single" w:sz="8" w:color="auto"/>
            </w:tcBorders>
          </w:tcPr>
          <w:p>
            <w:pPr>
              <w:jc w:val="right"/>
              <w:ind w:right="54"/>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(617)</w:t>
            </w:r>
          </w:p>
        </w:tc>
        <w:tc>
          <w:tcPr>
            <w:tcW w:w="140" w:type="dxa"/>
            <w:vAlign w:val="bottom"/>
          </w:tcPr>
          <w:p>
            <w:pPr>
              <w:spacing w:after="0"/>
              <w:rPr>
                <w:sz w:val="11"/>
                <w:szCs w:val="11"/>
                <w:color w:val="auto"/>
              </w:rPr>
            </w:pPr>
          </w:p>
        </w:tc>
        <w:tc>
          <w:tcPr>
            <w:tcW w:w="300" w:type="dxa"/>
            <w:vAlign w:val="bottom"/>
            <w:tcBorders>
              <w:top w:val="single" w:sz="8" w:color="auto"/>
            </w:tcBorders>
          </w:tcPr>
          <w:p>
            <w:pPr>
              <w:jc w:val="right"/>
              <w:ind w:right="154"/>
              <w:spacing w:after="0" w:line="138"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(1,276)</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Benefit from (provision for) income taxes</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
        </w:trPr>
        <w:tc>
          <w:tcPr>
            <w:tcW w:w="4340" w:type="dxa"/>
            <w:vAlign w:val="bottom"/>
            <w:vMerge w:val="restart"/>
          </w:tcPr>
          <w:p>
            <w:pPr>
              <w:ind w:left="20"/>
              <w:spacing w:after="0"/>
              <w:rPr>
                <w:sz w:val="20"/>
                <w:szCs w:val="20"/>
                <w:color w:val="auto"/>
              </w:rPr>
            </w:pPr>
            <w:r>
              <w:rPr>
                <w:rFonts w:ascii="Arial" w:cs="Arial" w:eastAsia="Arial" w:hAnsi="Arial"/>
                <w:sz w:val="13"/>
                <w:szCs w:val="13"/>
                <w:color w:val="auto"/>
              </w:rPr>
              <w:t>Net income (loss)</w:t>
            </w: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340" w:type="dxa"/>
            <w:vAlign w:val="bottom"/>
            <w:vMerge w:val="continue"/>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(3,380)</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(5,328)</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(945)</w:t>
            </w:r>
          </w:p>
        </w:tc>
        <w:tc>
          <w:tcPr>
            <w:tcW w:w="1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(617)</w:t>
            </w:r>
          </w:p>
        </w:tc>
        <w:tc>
          <w:tcPr>
            <w:tcW w:w="1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(1,276)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34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Net income (loss) attributable to common stockholders</w:t>
            </w: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(3,380)</w:t>
            </w: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(5,328)</w:t>
            </w: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(945)</w:t>
            </w:r>
          </w:p>
        </w:tc>
        <w:tc>
          <w:tcPr>
            <w:tcW w:w="200" w:type="dxa"/>
            <w:vAlign w:val="bottom"/>
            <w:shd w:val="clear" w:color="auto" w:fill="CCEEFF"/>
          </w:tcPr>
          <w:p>
            <w:pPr>
              <w:jc w:val="right"/>
              <w:ind w:right="54"/>
              <w:spacing w:after="0" w:line="140"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(617)</w:t>
            </w:r>
          </w:p>
        </w:tc>
        <w:tc>
          <w:tcPr>
            <w:tcW w:w="300" w:type="dxa"/>
            <w:vAlign w:val="bottom"/>
            <w:shd w:val="clear" w:color="auto" w:fill="CCEEFF"/>
          </w:tcPr>
          <w:p>
            <w:pPr>
              <w:jc w:val="right"/>
              <w:ind w:right="154"/>
              <w:spacing w:after="0" w:line="140"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(1,276)</w:t>
            </w:r>
          </w:p>
        </w:tc>
        <w:tc>
          <w:tcPr>
            <w:tcW w:w="0" w:type="dxa"/>
            <w:vAlign w:val="bottom"/>
          </w:tcPr>
          <w:p>
            <w:pPr>
              <w:spacing w:after="0"/>
              <w:rPr>
                <w:sz w:val="1"/>
                <w:szCs w:val="1"/>
                <w:color w:val="auto"/>
              </w:rPr>
            </w:pPr>
          </w:p>
        </w:tc>
      </w:tr>
      <w:tr>
        <w:trPr>
          <w:trHeight w:val="26"/>
        </w:trPr>
        <w:tc>
          <w:tcPr>
            <w:tcW w:w="4340" w:type="dxa"/>
            <w:vAlign w:val="bottom"/>
            <w:vMerge w:val="restart"/>
          </w:tcPr>
          <w:p>
            <w:pPr>
              <w:ind w:left="20"/>
              <w:spacing w:after="0"/>
              <w:rPr>
                <w:sz w:val="20"/>
                <w:szCs w:val="20"/>
                <w:color w:val="auto"/>
              </w:rPr>
            </w:pPr>
            <w:r>
              <w:rPr>
                <w:rFonts w:ascii="Arial" w:cs="Arial" w:eastAsia="Arial" w:hAnsi="Arial"/>
                <w:sz w:val="13"/>
                <w:szCs w:val="13"/>
                <w:color w:val="auto"/>
              </w:rPr>
              <w:t>Net income (loss) per share attributable to common stockholders:</w:t>
            </w: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3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Basic and diluted</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(0.44)</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(0.67)</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(0.12)</w:t>
            </w:r>
          </w:p>
        </w:tc>
        <w:tc>
          <w:tcPr>
            <w:tcW w:w="200" w:type="dxa"/>
            <w:vAlign w:val="bottom"/>
            <w:shd w:val="clear" w:color="auto" w:fill="CCEEFF"/>
          </w:tcPr>
          <w:p>
            <w:pPr>
              <w:jc w:val="right"/>
              <w:ind w:right="54"/>
              <w:spacing w:after="0" w:line="144"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(0.08)</w:t>
            </w:r>
          </w:p>
        </w:tc>
        <w:tc>
          <w:tcPr>
            <w:tcW w:w="300" w:type="dxa"/>
            <w:vAlign w:val="bottom"/>
            <w:shd w:val="clear" w:color="auto" w:fill="CCEEFF"/>
          </w:tcPr>
          <w:p>
            <w:pPr>
              <w:jc w:val="right"/>
              <w:ind w:right="154"/>
              <w:spacing w:after="0" w:line="144"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(0.16)</w:t>
            </w:r>
          </w:p>
        </w:tc>
        <w:tc>
          <w:tcPr>
            <w:tcW w:w="0" w:type="dxa"/>
            <w:vAlign w:val="bottom"/>
          </w:tcPr>
          <w:p>
            <w:pPr>
              <w:spacing w:after="0"/>
              <w:rPr>
                <w:sz w:val="1"/>
                <w:szCs w:val="1"/>
                <w:color w:val="auto"/>
              </w:rPr>
            </w:pPr>
          </w:p>
        </w:tc>
      </w:tr>
      <w:tr>
        <w:trPr>
          <w:trHeight w:val="135"/>
        </w:trPr>
        <w:tc>
          <w:tcPr>
            <w:tcW w:w="4340" w:type="dxa"/>
            <w:vAlign w:val="bottom"/>
          </w:tcPr>
          <w:p>
            <w:pPr>
              <w:ind w:left="20"/>
              <w:spacing w:after="0" w:line="136" w:lineRule="exact"/>
              <w:rPr>
                <w:sz w:val="20"/>
                <w:szCs w:val="20"/>
                <w:color w:val="auto"/>
              </w:rPr>
            </w:pPr>
            <w:r>
              <w:rPr>
                <w:rFonts w:ascii="Arial" w:cs="Arial" w:eastAsia="Arial" w:hAnsi="Arial"/>
                <w:sz w:val="13"/>
                <w:szCs w:val="13"/>
                <w:color w:val="auto"/>
              </w:rPr>
              <w:t>Weighted average shares used to compute net income (loss) per share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40" w:type="dxa"/>
            <w:vAlign w:val="bottom"/>
          </w:tcPr>
          <w:p>
            <w:pPr>
              <w:ind w:left="160"/>
              <w:spacing w:after="0"/>
              <w:rPr>
                <w:sz w:val="20"/>
                <w:szCs w:val="20"/>
                <w:color w:val="auto"/>
              </w:rPr>
            </w:pPr>
            <w:r>
              <w:rPr>
                <w:rFonts w:ascii="Arial" w:cs="Arial" w:eastAsia="Arial" w:hAnsi="Arial"/>
                <w:sz w:val="13"/>
                <w:szCs w:val="13"/>
                <w:color w:val="auto"/>
              </w:rPr>
              <w:t>attributable to common stockholders: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Basic and diluted</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7,767,035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7,909,736</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7,967,272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7,957,574</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6"/>
              </w:rPr>
              <w:t>8,031,323</w:t>
            </w:r>
          </w:p>
        </w:tc>
        <w:tc>
          <w:tcPr>
            <w:tcW w:w="0" w:type="dxa"/>
            <w:vAlign w:val="bottom"/>
          </w:tcPr>
          <w:p>
            <w:pPr>
              <w:spacing w:after="0"/>
              <w:rPr>
                <w:sz w:val="1"/>
                <w:szCs w:val="1"/>
                <w:color w:val="auto"/>
              </w:rPr>
            </w:pPr>
          </w:p>
        </w:tc>
      </w:tr>
      <w:tr>
        <w:trPr>
          <w:trHeight w:val="26"/>
        </w:trPr>
        <w:tc>
          <w:tcPr>
            <w:tcW w:w="4340" w:type="dxa"/>
            <w:vAlign w:val="bottom"/>
            <w:vMerge w:val="restart"/>
          </w:tcPr>
          <w:p>
            <w:pPr>
              <w:ind w:left="20"/>
              <w:spacing w:after="0"/>
              <w:rPr>
                <w:sz w:val="20"/>
                <w:szCs w:val="20"/>
                <w:color w:val="auto"/>
              </w:rPr>
            </w:pPr>
            <w:r>
              <w:rPr>
                <w:rFonts w:ascii="Arial" w:cs="Arial" w:eastAsia="Arial" w:hAnsi="Arial"/>
                <w:sz w:val="13"/>
                <w:szCs w:val="13"/>
                <w:color w:val="auto"/>
                <w:w w:val="94"/>
              </w:rPr>
              <w:t>Pro forma net income (loss) per share attributable to common stockholders (2):</w:t>
            </w: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3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Basic and diluted</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(0.00)</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54"/>
              <w:spacing w:after="0" w:line="144"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35"/>
        </w:trPr>
        <w:tc>
          <w:tcPr>
            <w:tcW w:w="4340" w:type="dxa"/>
            <w:vAlign w:val="bottom"/>
          </w:tcPr>
          <w:p>
            <w:pPr>
              <w:ind w:left="20"/>
              <w:spacing w:after="0" w:line="136" w:lineRule="exact"/>
              <w:rPr>
                <w:sz w:val="20"/>
                <w:szCs w:val="20"/>
                <w:color w:val="auto"/>
              </w:rPr>
            </w:pPr>
            <w:r>
              <w:rPr>
                <w:rFonts w:ascii="Arial" w:cs="Arial" w:eastAsia="Arial" w:hAnsi="Arial"/>
                <w:sz w:val="13"/>
                <w:szCs w:val="13"/>
                <w:color w:val="auto"/>
                <w:w w:val="99"/>
              </w:rPr>
              <w:t>Weighted average shares used to compute pro forma net income (loss) per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40" w:type="dxa"/>
            <w:vAlign w:val="bottom"/>
          </w:tcPr>
          <w:p>
            <w:pPr>
              <w:ind w:left="160"/>
              <w:spacing w:after="0"/>
              <w:rPr>
                <w:sz w:val="20"/>
                <w:szCs w:val="20"/>
                <w:color w:val="auto"/>
              </w:rPr>
            </w:pPr>
            <w:r>
              <w:rPr>
                <w:rFonts w:ascii="Arial" w:cs="Arial" w:eastAsia="Arial" w:hAnsi="Arial"/>
                <w:sz w:val="13"/>
                <w:szCs w:val="13"/>
                <w:color w:val="auto"/>
              </w:rPr>
              <w:t>share attributable to common stockholders (2):</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Basic and diluted</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99"/>
              </w:rPr>
              <w:t>251,406,466</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268,495,142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047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4565" cy="604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19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b w:val="1"/>
                <w:bCs w:val="1"/>
                <w:color w:val="auto"/>
              </w:rPr>
              <w:t>Six months</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19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6"/>
          </w:tcPr>
          <w:p>
            <w:pPr>
              <w:jc w:val="right"/>
              <w:spacing w:after="0"/>
              <w:rPr>
                <w:sz w:val="20"/>
                <w:szCs w:val="20"/>
                <w:color w:val="auto"/>
              </w:rPr>
            </w:pPr>
            <w:r>
              <w:rPr>
                <w:rFonts w:ascii="Arial" w:cs="Arial" w:eastAsia="Arial" w:hAnsi="Arial"/>
                <w:sz w:val="13"/>
                <w:szCs w:val="13"/>
                <w:b w:val="1"/>
                <w:bCs w:val="1"/>
                <w:color w:val="auto"/>
              </w:rPr>
              <w:t>Years ended December 31,</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ended June 30,</w:t>
            </w:r>
          </w:p>
        </w:tc>
      </w:tr>
      <w:tr>
        <w:trPr>
          <w:trHeight w:val="137"/>
        </w:trPr>
        <w:tc>
          <w:tcPr>
            <w:tcW w:w="19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54"/>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5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214"/>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34"/>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34"/>
              <w:spacing w:after="0" w:line="138" w:lineRule="exact"/>
              <w:rPr>
                <w:sz w:val="20"/>
                <w:szCs w:val="20"/>
                <w:color w:val="auto"/>
              </w:rPr>
            </w:pPr>
            <w:r>
              <w:rPr>
                <w:rFonts w:ascii="Arial" w:cs="Arial" w:eastAsia="Arial" w:hAnsi="Arial"/>
                <w:sz w:val="13"/>
                <w:szCs w:val="13"/>
                <w:b w:val="1"/>
                <w:bCs w:val="1"/>
                <w:color w:val="auto"/>
                <w:w w:val="96"/>
              </w:rPr>
              <w:t>2013</w:t>
            </w:r>
          </w:p>
        </w:tc>
        <w:tc>
          <w:tcPr>
            <w:tcW w:w="160" w:type="dxa"/>
            <w:vAlign w:val="bottom"/>
          </w:tcPr>
          <w:p>
            <w:pPr>
              <w:spacing w:after="0"/>
              <w:rPr>
                <w:sz w:val="11"/>
                <w:szCs w:val="11"/>
                <w:color w:val="auto"/>
              </w:rPr>
            </w:pPr>
          </w:p>
        </w:tc>
      </w:tr>
      <w:tr>
        <w:trPr>
          <w:trHeight w:val="137"/>
        </w:trPr>
        <w:tc>
          <w:tcPr>
            <w:tcW w:w="19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920" w:type="dxa"/>
            <w:vAlign w:val="bottom"/>
            <w:gridSpan w:val="12"/>
          </w:tcPr>
          <w:p>
            <w:pPr>
              <w:jc w:val="right"/>
              <w:spacing w:after="0" w:line="138" w:lineRule="exact"/>
              <w:rPr>
                <w:sz w:val="20"/>
                <w:szCs w:val="20"/>
                <w:color w:val="auto"/>
              </w:rPr>
            </w:pPr>
            <w:r>
              <w:rPr>
                <w:rFonts w:ascii="Arial" w:cs="Arial" w:eastAsia="Arial" w:hAnsi="Arial"/>
                <w:sz w:val="13"/>
                <w:szCs w:val="13"/>
                <w:b w:val="1"/>
                <w:bCs w:val="1"/>
                <w:color w:val="auto"/>
              </w:rPr>
              <w:t>(in thousands, except percentages, share and per share data)</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4"/>
        </w:trPr>
        <w:tc>
          <w:tcPr>
            <w:tcW w:w="434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Additional Financial Data:</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4"/>
        </w:trPr>
        <w:tc>
          <w:tcPr>
            <w:tcW w:w="434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Non-GAAP gross profit (3)</w:t>
            </w:r>
          </w:p>
        </w:tc>
        <w:tc>
          <w:tcPr>
            <w:tcW w:w="160" w:type="dxa"/>
            <w:vAlign w:val="bottom"/>
          </w:tcPr>
          <w:p>
            <w:pPr>
              <w:jc w:val="right"/>
              <w:ind w:right="14"/>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13,011</w:t>
            </w:r>
          </w:p>
        </w:tc>
        <w:tc>
          <w:tcPr>
            <w:tcW w:w="160" w:type="dxa"/>
            <w:vAlign w:val="bottom"/>
          </w:tcPr>
          <w:p>
            <w:pPr>
              <w:jc w:val="right"/>
              <w:ind w:right="14"/>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13,405</w:t>
            </w:r>
          </w:p>
        </w:tc>
        <w:tc>
          <w:tcPr>
            <w:tcW w:w="300" w:type="dxa"/>
            <w:vAlign w:val="bottom"/>
          </w:tcPr>
          <w:p>
            <w:pPr>
              <w:jc w:val="right"/>
              <w:ind w:right="154"/>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18,936</w:t>
            </w:r>
          </w:p>
        </w:tc>
        <w:tc>
          <w:tcPr>
            <w:tcW w:w="200" w:type="dxa"/>
            <w:vAlign w:val="bottom"/>
          </w:tcPr>
          <w:p>
            <w:pPr>
              <w:jc w:val="right"/>
              <w:ind w:right="54"/>
              <w:spacing w:after="0" w:line="144"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8,817</w:t>
            </w:r>
          </w:p>
        </w:tc>
        <w:tc>
          <w:tcPr>
            <w:tcW w:w="280" w:type="dxa"/>
            <w:vAlign w:val="bottom"/>
          </w:tcPr>
          <w:p>
            <w:pPr>
              <w:jc w:val="right"/>
              <w:ind w:right="134"/>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10,058</w:t>
            </w:r>
          </w:p>
        </w:tc>
      </w:tr>
      <w:tr>
        <w:trPr>
          <w:trHeight w:val="144"/>
        </w:trPr>
        <w:tc>
          <w:tcPr>
            <w:tcW w:w="434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Non-GAAP income (loss) from operations (3)</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(1,922)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(3,000)</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441</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74</w:t>
            </w: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(343)</w:t>
            </w:r>
          </w:p>
        </w:tc>
      </w:tr>
      <w:tr>
        <w:trPr>
          <w:trHeight w:val="144"/>
        </w:trPr>
        <w:tc>
          <w:tcPr>
            <w:tcW w:w="434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Non-GAAP net income (loss) (3)</w:t>
            </w: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(1,780)</w:t>
            </w: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(5,027)</w:t>
            </w:r>
          </w:p>
        </w:tc>
        <w:tc>
          <w:tcPr>
            <w:tcW w:w="300" w:type="dxa"/>
            <w:vAlign w:val="bottom"/>
          </w:tcPr>
          <w:p>
            <w:pPr>
              <w:spacing w:after="0"/>
              <w:rPr>
                <w:sz w:val="12"/>
                <w:szCs w:val="12"/>
                <w:color w:val="auto"/>
              </w:rPr>
            </w:pPr>
          </w:p>
        </w:tc>
        <w:tc>
          <w:tcPr>
            <w:tcW w:w="7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(503)</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(552)</w:t>
            </w:r>
          </w:p>
        </w:tc>
        <w:tc>
          <w:tcPr>
            <w:tcW w:w="280" w:type="dxa"/>
            <w:vAlign w:val="bottom"/>
          </w:tcPr>
          <w:p>
            <w:pPr>
              <w:spacing w:after="0"/>
              <w:rPr>
                <w:sz w:val="12"/>
                <w:szCs w:val="12"/>
                <w:color w:val="auto"/>
              </w:rPr>
            </w:pPr>
          </w:p>
        </w:tc>
        <w:tc>
          <w:tcPr>
            <w:tcW w:w="7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(780)</w:t>
            </w:r>
          </w:p>
        </w:tc>
      </w:tr>
      <w:tr>
        <w:trPr>
          <w:trHeight w:val="144"/>
        </w:trPr>
        <w:tc>
          <w:tcPr>
            <w:tcW w:w="434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Adjusted EBITDA (3)</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2,881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(638)</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3,734</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1,607</w:t>
            </w: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1,310</w:t>
            </w:r>
          </w:p>
        </w:tc>
      </w:tr>
      <w:tr>
        <w:trPr>
          <w:trHeight w:val="105"/>
        </w:trPr>
        <w:tc>
          <w:tcPr>
            <w:tcW w:w="1960" w:type="dxa"/>
            <w:vAlign w:val="bottom"/>
            <w:tcBorders>
              <w:bottom w:val="single" w:sz="8" w:color="auto"/>
            </w:tcBorders>
          </w:tcPr>
          <w:p>
            <w:pPr>
              <w:spacing w:after="0"/>
              <w:rPr>
                <w:sz w:val="9"/>
                <w:szCs w:val="9"/>
                <w:color w:val="auto"/>
              </w:rPr>
            </w:pPr>
          </w:p>
        </w:tc>
        <w:tc>
          <w:tcPr>
            <w:tcW w:w="2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88" w:lineRule="exact"/>
        <w:rPr>
          <w:sz w:val="20"/>
          <w:szCs w:val="20"/>
          <w:color w:val="auto"/>
        </w:rPr>
      </w:pPr>
    </w:p>
    <w:p>
      <w:pPr>
        <w:ind w:left="1900" w:hanging="526"/>
        <w:spacing w:after="0" w:line="297" w:lineRule="auto"/>
        <w:tabs>
          <w:tab w:leader="none" w:pos="19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These expenses include stock-based compensation expense. Stock-based compensation expense is accounted for at fair value, using the Black-Scholes option-pricing model. Stock-bas compensation expense is recognized over the vesting period of the stock options and was included in cost of goods sold and operating expenses as follows:</w:t>
      </w:r>
    </w:p>
    <w:p>
      <w:pPr>
        <w:spacing w:after="0" w:line="147" w:lineRule="exact"/>
        <w:rPr>
          <w:sz w:val="20"/>
          <w:szCs w:val="20"/>
          <w:color w:val="auto"/>
        </w:rPr>
      </w:pPr>
    </w:p>
    <w:tbl>
      <w:tblPr>
        <w:tblLayout w:type="fixed"/>
        <w:tblInd w:w="1600" w:type="dxa"/>
        <w:tblCellMar>
          <w:top w:w="0" w:type="dxa"/>
          <w:left w:w="0" w:type="dxa"/>
          <w:bottom w:w="0" w:type="dxa"/>
          <w:right w:w="0" w:type="dxa"/>
        </w:tblCellMar>
      </w:tblPr>
      <w:tr>
        <w:trPr>
          <w:trHeight w:val="149"/>
        </w:trPr>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7"/>
              </w:rPr>
              <w:t>Years ended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Six months ended</w:t>
            </w:r>
          </w:p>
        </w:tc>
      </w:tr>
      <w:tr>
        <w:trPr>
          <w:trHeight w:val="157"/>
        </w:trPr>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7"/>
          </w:tcPr>
          <w:p>
            <w:pPr>
              <w:jc w:val="center"/>
              <w:ind w:left="194"/>
              <w:spacing w:after="0"/>
              <w:rPr>
                <w:sz w:val="20"/>
                <w:szCs w:val="20"/>
                <w:color w:val="auto"/>
              </w:rPr>
            </w:pPr>
            <w:r>
              <w:rPr>
                <w:rFonts w:ascii="Arial" w:cs="Arial" w:eastAsia="Arial" w:hAnsi="Arial"/>
                <w:sz w:val="13"/>
                <w:szCs w:val="13"/>
                <w:b w:val="1"/>
                <w:bCs w:val="1"/>
                <w:color w:val="auto"/>
                <w:w w:val="89"/>
              </w:rPr>
              <w:t>December 31,</w:t>
            </w:r>
          </w:p>
        </w:tc>
        <w:tc>
          <w:tcPr>
            <w:tcW w:w="3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center"/>
              <w:ind w:left="254"/>
              <w:spacing w:after="0"/>
              <w:rPr>
                <w:sz w:val="20"/>
                <w:szCs w:val="20"/>
                <w:color w:val="auto"/>
              </w:rPr>
            </w:pPr>
            <w:r>
              <w:rPr>
                <w:rFonts w:ascii="Arial" w:cs="Arial" w:eastAsia="Arial" w:hAnsi="Arial"/>
                <w:sz w:val="13"/>
                <w:szCs w:val="13"/>
                <w:b w:val="1"/>
                <w:bCs w:val="1"/>
                <w:color w:val="auto"/>
                <w:w w:val="92"/>
              </w:rPr>
              <w:t>June 30,</w:t>
            </w:r>
          </w:p>
        </w:tc>
        <w:tc>
          <w:tcPr>
            <w:tcW w:w="4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37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w w:val="82"/>
              </w:rPr>
              <w:t>2010</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center"/>
              <w:ind w:right="14"/>
              <w:spacing w:after="0" w:line="138" w:lineRule="exact"/>
              <w:rPr>
                <w:sz w:val="20"/>
                <w:szCs w:val="20"/>
                <w:color w:val="auto"/>
              </w:rPr>
            </w:pPr>
            <w:r>
              <w:rPr>
                <w:rFonts w:ascii="Arial" w:cs="Arial" w:eastAsia="Arial" w:hAnsi="Arial"/>
                <w:sz w:val="13"/>
                <w:szCs w:val="13"/>
                <w:b w:val="1"/>
                <w:bCs w:val="1"/>
                <w:color w:val="auto"/>
                <w:w w:val="89"/>
              </w:rPr>
              <w:t>2011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w w:val="82"/>
              </w:rPr>
              <w:t>2013</w:t>
            </w:r>
          </w:p>
        </w:tc>
        <w:tc>
          <w:tcPr>
            <w:tcW w:w="160" w:type="dxa"/>
            <w:vAlign w:val="bottom"/>
          </w:tcPr>
          <w:p>
            <w:pPr>
              <w:spacing w:after="0"/>
              <w:rPr>
                <w:sz w:val="11"/>
                <w:szCs w:val="11"/>
                <w:color w:val="auto"/>
              </w:rPr>
            </w:pPr>
          </w:p>
        </w:tc>
      </w:tr>
      <w:tr>
        <w:trPr>
          <w:trHeight w:val="124"/>
        </w:trPr>
        <w:tc>
          <w:tcPr>
            <w:tcW w:w="37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5"/>
          </w:tcPr>
          <w:p>
            <w:pPr>
              <w:jc w:val="center"/>
              <w:ind w:right="260"/>
              <w:spacing w:after="0" w:line="124" w:lineRule="exact"/>
              <w:rPr>
                <w:sz w:val="20"/>
                <w:szCs w:val="20"/>
                <w:color w:val="auto"/>
              </w:rPr>
            </w:pPr>
            <w:r>
              <w:rPr>
                <w:rFonts w:ascii="Arial" w:cs="Arial" w:eastAsia="Arial" w:hAnsi="Arial"/>
                <w:sz w:val="13"/>
                <w:szCs w:val="13"/>
                <w:b w:val="1"/>
                <w:bCs w:val="1"/>
                <w:color w:val="auto"/>
                <w:w w:val="90"/>
              </w:rPr>
              <w:t>(unaudited)</w:t>
            </w:r>
          </w:p>
        </w:tc>
      </w:tr>
      <w:tr>
        <w:trPr>
          <w:trHeight w:val="157"/>
        </w:trPr>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374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b w:val="1"/>
                <w:bCs w:val="1"/>
                <w:color w:val="auto"/>
              </w:rPr>
              <w:t>Cost of goods sold</w:t>
            </w:r>
          </w:p>
        </w:tc>
        <w:tc>
          <w:tcPr>
            <w:tcW w:w="168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61</w:t>
            </w:r>
          </w:p>
        </w:tc>
        <w:tc>
          <w:tcPr>
            <w:tcW w:w="24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w:t>
            </w:r>
          </w:p>
        </w:tc>
        <w:tc>
          <w:tcPr>
            <w:tcW w:w="140" w:type="dxa"/>
            <w:vAlign w:val="bottom"/>
            <w:shd w:val="clear" w:color="auto" w:fill="CCEEFF"/>
          </w:tcPr>
          <w:p>
            <w:pPr>
              <w:spacing w:after="0"/>
              <w:rPr>
                <w:sz w:val="12"/>
                <w:szCs w:val="12"/>
                <w:color w:val="auto"/>
              </w:rPr>
            </w:pP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w:t>
            </w:r>
          </w:p>
        </w:tc>
        <w:tc>
          <w:tcPr>
            <w:tcW w:w="26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w:t>
            </w:r>
          </w:p>
        </w:tc>
        <w:tc>
          <w:tcPr>
            <w:tcW w:w="3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26</w:t>
            </w:r>
          </w:p>
        </w:tc>
        <w:tc>
          <w:tcPr>
            <w:tcW w:w="160" w:type="dxa"/>
            <w:vAlign w:val="bottom"/>
            <w:shd w:val="clear" w:color="auto" w:fill="CCEEFF"/>
          </w:tcPr>
          <w:p>
            <w:pPr>
              <w:spacing w:after="0"/>
              <w:rPr>
                <w:sz w:val="12"/>
                <w:szCs w:val="12"/>
                <w:color w:val="auto"/>
              </w:rPr>
            </w:pPr>
          </w:p>
        </w:tc>
      </w:tr>
      <w:tr>
        <w:trPr>
          <w:trHeight w:val="144"/>
        </w:trPr>
        <w:tc>
          <w:tcPr>
            <w:tcW w:w="3740" w:type="dxa"/>
            <w:vAlign w:val="bottom"/>
          </w:tcPr>
          <w:p>
            <w:pPr>
              <w:ind w:left="140"/>
              <w:spacing w:after="0" w:line="144" w:lineRule="exact"/>
              <w:rPr>
                <w:sz w:val="20"/>
                <w:szCs w:val="20"/>
                <w:color w:val="auto"/>
              </w:rPr>
            </w:pPr>
            <w:r>
              <w:rPr>
                <w:rFonts w:ascii="Arial" w:cs="Arial" w:eastAsia="Arial" w:hAnsi="Arial"/>
                <w:sz w:val="13"/>
                <w:szCs w:val="13"/>
                <w:color w:val="auto"/>
              </w:rPr>
              <w:t>Research and development</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4" w:lineRule="exact"/>
              <w:rPr>
                <w:sz w:val="20"/>
                <w:szCs w:val="20"/>
                <w:color w:val="auto"/>
              </w:rPr>
            </w:pPr>
            <w:r>
              <w:rPr>
                <w:rFonts w:ascii="Arial" w:cs="Arial" w:eastAsia="Arial" w:hAnsi="Arial"/>
                <w:sz w:val="13"/>
                <w:szCs w:val="13"/>
                <w:color w:val="auto"/>
              </w:rPr>
              <w:t>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4" w:lineRule="exact"/>
              <w:rPr>
                <w:sz w:val="20"/>
                <w:szCs w:val="20"/>
                <w:color w:val="auto"/>
              </w:rPr>
            </w:pPr>
            <w:r>
              <w:rPr>
                <w:rFonts w:ascii="Arial" w:cs="Arial" w:eastAsia="Arial" w:hAnsi="Arial"/>
                <w:sz w:val="13"/>
                <w:szCs w:val="13"/>
                <w:color w:val="auto"/>
              </w:rPr>
              <w:t>50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line="144" w:lineRule="exact"/>
              <w:rPr>
                <w:sz w:val="20"/>
                <w:szCs w:val="20"/>
                <w:color w:val="auto"/>
              </w:rPr>
            </w:pPr>
            <w:r>
              <w:rPr>
                <w:rFonts w:ascii="Arial" w:cs="Arial" w:eastAsia="Arial" w:hAnsi="Arial"/>
                <w:sz w:val="13"/>
                <w:szCs w:val="13"/>
                <w:color w:val="auto"/>
              </w:rPr>
              <w:t>24</w:t>
            </w:r>
          </w:p>
        </w:tc>
        <w:tc>
          <w:tcPr>
            <w:tcW w:w="160" w:type="dxa"/>
            <w:vAlign w:val="bottom"/>
          </w:tcPr>
          <w:p>
            <w:pPr>
              <w:spacing w:after="0"/>
              <w:rPr>
                <w:sz w:val="12"/>
                <w:szCs w:val="12"/>
                <w:color w:val="auto"/>
              </w:rPr>
            </w:pPr>
          </w:p>
        </w:tc>
      </w:tr>
      <w:tr>
        <w:trPr>
          <w:trHeight w:val="144"/>
        </w:trPr>
        <w:tc>
          <w:tcPr>
            <w:tcW w:w="374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Sales and marketing</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w:t>
            </w:r>
          </w:p>
        </w:tc>
        <w:tc>
          <w:tcPr>
            <w:tcW w:w="160" w:type="dxa"/>
            <w:vAlign w:val="bottom"/>
            <w:shd w:val="clear" w:color="auto" w:fill="CCEEFF"/>
          </w:tcPr>
          <w:p>
            <w:pPr>
              <w:spacing w:after="0"/>
              <w:rPr>
                <w:sz w:val="12"/>
                <w:szCs w:val="12"/>
                <w:color w:val="auto"/>
              </w:rPr>
            </w:pPr>
          </w:p>
        </w:tc>
      </w:tr>
      <w:tr>
        <w:trPr>
          <w:trHeight w:val="168"/>
        </w:trPr>
        <w:tc>
          <w:tcPr>
            <w:tcW w:w="374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579</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w:t>
            </w:r>
          </w:p>
        </w:tc>
        <w:tc>
          <w:tcPr>
            <w:tcW w:w="160" w:type="dxa"/>
            <w:vAlign w:val="bottom"/>
          </w:tcPr>
          <w:p>
            <w:pPr>
              <w:spacing w:after="0"/>
              <w:rPr>
                <w:sz w:val="14"/>
                <w:szCs w:val="14"/>
                <w:color w:val="auto"/>
              </w:rPr>
            </w:pPr>
          </w:p>
        </w:tc>
      </w:tr>
      <w:tr>
        <w:trPr>
          <w:trHeight w:val="140"/>
        </w:trPr>
        <w:tc>
          <w:tcPr>
            <w:tcW w:w="374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 stock-based compensation expense</w:t>
            </w:r>
          </w:p>
        </w:tc>
        <w:tc>
          <w:tcPr>
            <w:tcW w:w="168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780</w:t>
            </w:r>
          </w:p>
        </w:tc>
        <w:tc>
          <w:tcPr>
            <w:tcW w:w="24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563</w:t>
            </w:r>
          </w:p>
        </w:tc>
        <w:tc>
          <w:tcPr>
            <w:tcW w:w="140" w:type="dxa"/>
            <w:vAlign w:val="bottom"/>
            <w:shd w:val="clear" w:color="auto" w:fill="CCEEFF"/>
          </w:tcPr>
          <w:p>
            <w:pPr>
              <w:spacing w:after="0"/>
              <w:rPr>
                <w:sz w:val="12"/>
                <w:szCs w:val="12"/>
                <w:color w:val="auto"/>
              </w:rPr>
            </w:pP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161</w:t>
            </w:r>
          </w:p>
        </w:tc>
        <w:tc>
          <w:tcPr>
            <w:tcW w:w="26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36</w:t>
            </w:r>
          </w:p>
        </w:tc>
        <w:tc>
          <w:tcPr>
            <w:tcW w:w="3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240</w:t>
            </w:r>
          </w:p>
        </w:tc>
        <w:tc>
          <w:tcPr>
            <w:tcW w:w="160" w:type="dxa"/>
            <w:vAlign w:val="bottom"/>
            <w:shd w:val="clear" w:color="auto" w:fill="CCEEFF"/>
          </w:tcPr>
          <w:p>
            <w:pPr>
              <w:spacing w:after="0"/>
              <w:rPr>
                <w:sz w:val="12"/>
                <w:szCs w:val="12"/>
                <w:color w:val="auto"/>
              </w:rPr>
            </w:pPr>
          </w:p>
        </w:tc>
      </w:tr>
      <w:tr>
        <w:trPr>
          <w:trHeight w:val="26"/>
        </w:trPr>
        <w:tc>
          <w:tcPr>
            <w:tcW w:w="3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1900" w:hanging="526"/>
        <w:spacing w:after="0" w:line="243" w:lineRule="auto"/>
        <w:tabs>
          <w:tab w:leader="none" w:pos="19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pro forma basic and diluted net loss per share attributable to our common stockholders calculations assume the conversion of all outstanding shares of preferred stock into shares o common stock using the as-if-converted method as though the conversion had occurred at the beginning of the period presented and the resulting reclassification of the preferred stock warrant liability to additional paid-in capital.</w:t>
      </w:r>
    </w:p>
    <w:p>
      <w:pPr>
        <w:spacing w:after="0" w:line="109" w:lineRule="exact"/>
        <w:rPr>
          <w:rFonts w:ascii="Arial" w:cs="Arial" w:eastAsia="Arial" w:hAnsi="Arial"/>
          <w:sz w:val="13"/>
          <w:szCs w:val="13"/>
          <w:color w:val="auto"/>
        </w:rPr>
      </w:pPr>
    </w:p>
    <w:p>
      <w:pPr>
        <w:ind w:left="1900" w:hanging="526"/>
        <w:spacing w:after="0" w:line="262" w:lineRule="auto"/>
        <w:tabs>
          <w:tab w:leader="none" w:pos="1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We prepare Adjusted EBITDA and our other non-GAAP measures to eliminate the impact of items that we do not consider indicative of our overall operating performance. To arrive at our non-GAAP gross profit, we exclude stock-based compensation expense from our GAAP gross profit. To arrive at our non-GAAP income (loss) from operations, we exclude all amortization of intangible assets, stock-based compensation expense and non-recurring consulting fees, if any, from our GAAP net income (loss) from operations. To arrive at Adjusted EBITDA, we exclude these same items and, additionally, exclude asset impairment charges, loss (gain) from disposal of idle assets, unrealized exchange loss (gain), interest (income) expense, on a net basis, provision for (benefit from) income taxes and depreciation expense, from our GAAP net income (loss).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believe that our non-GAAP measures are useful to investors in evaluating our operating performance for the following reasons:</w:t>
      </w:r>
    </w:p>
    <w:p>
      <w:pPr>
        <w:spacing w:after="0" w:line="250" w:lineRule="exact"/>
        <w:rPr>
          <w:sz w:val="20"/>
          <w:szCs w:val="20"/>
          <w:color w:val="auto"/>
        </w:rPr>
      </w:pPr>
    </w:p>
    <w:p>
      <w:pPr>
        <w:ind w:left="1280" w:hanging="524"/>
        <w:spacing w:after="0" w:line="315" w:lineRule="auto"/>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believe that elimination of items such as stock-based compensation expense, depreciation and amortization, income tax expense and other income, net, is appropriate because treatment of these items may vary for reasons unrelated to our overall operating performance;</w:t>
      </w:r>
    </w:p>
    <w:p>
      <w:pPr>
        <w:spacing w:after="0" w:line="159" w:lineRule="exact"/>
        <w:rPr>
          <w:rFonts w:ascii="Arial" w:cs="Arial" w:eastAsia="Arial" w:hAnsi="Arial"/>
          <w:sz w:val="16"/>
          <w:szCs w:val="16"/>
          <w:color w:val="auto"/>
        </w:rPr>
      </w:pPr>
    </w:p>
    <w:p>
      <w:pPr>
        <w:ind w:left="1280" w:right="260" w:hanging="524"/>
        <w:spacing w:after="0" w:line="270" w:lineRule="auto"/>
        <w:tabs>
          <w:tab w:leader="none" w:pos="1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use non-GAAP measures in conjunction with our GAAP financial measures for planning purposes, including the preparation of our annual operating budget, as a measure of operating performance and the effectiveness of our business strategies and in communications with our board of directors concerning our financial performance;</w:t>
      </w:r>
    </w:p>
    <w:p>
      <w:pPr>
        <w:spacing w:after="0" w:line="192" w:lineRule="exact"/>
        <w:rPr>
          <w:rFonts w:ascii="Arial" w:cs="Arial" w:eastAsia="Arial" w:hAnsi="Arial"/>
          <w:sz w:val="17"/>
          <w:szCs w:val="17"/>
          <w:color w:val="auto"/>
        </w:rPr>
      </w:pPr>
    </w:p>
    <w:p>
      <w:pPr>
        <w:ind w:left="1280" w:hanging="524"/>
        <w:spacing w:after="0" w:line="270" w:lineRule="auto"/>
        <w:tabs>
          <w:tab w:leader="none" w:pos="1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believe that non-GAAP measures provide better comparability with our past financial performance, facilitates better period-to-period comparisons of operational results and also facilitates comparisons with our peer companies, many of which also use similar non-GAAP financial measures to supplement their GAAP reporting; and</w:t>
      </w:r>
    </w:p>
    <w:p>
      <w:pPr>
        <w:spacing w:after="0" w:line="205" w:lineRule="exact"/>
        <w:rPr>
          <w:rFonts w:ascii="Arial" w:cs="Arial" w:eastAsia="Arial" w:hAnsi="Arial"/>
          <w:sz w:val="17"/>
          <w:szCs w:val="17"/>
          <w:color w:val="auto"/>
        </w:rPr>
      </w:pPr>
    </w:p>
    <w:p>
      <w:pPr>
        <w:ind w:left="1280" w:right="240" w:hanging="524"/>
        <w:spacing w:after="0" w:line="282" w:lineRule="auto"/>
        <w:tabs>
          <w:tab w:leader="none" w:pos="1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anticipate that, after consummating this offering, our investor presentations and those of securities analyst will include non-GAAP measures to evaluate our overall operating performance.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2070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4565" cy="520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firstLine="331"/>
        <w:spacing w:after="0" w:line="287" w:lineRule="auto"/>
        <w:rPr>
          <w:sz w:val="20"/>
          <w:szCs w:val="20"/>
          <w:color w:val="auto"/>
        </w:rPr>
      </w:pPr>
      <w:r>
        <w:rPr>
          <w:rFonts w:ascii="Arial" w:cs="Arial" w:eastAsia="Arial" w:hAnsi="Arial"/>
          <w:sz w:val="16"/>
          <w:szCs w:val="16"/>
          <w:color w:val="auto"/>
        </w:rPr>
        <w:t>Adjusted EBITDA and other non-GAAP measures should not be considered as an alternative to gross profit, income (loss) from operations, net income (loss) or any other measure of financial performance calculated and presented in accordance with GAAP. Our Adjusted EBITDA and other non-GAAP measures may not be comparable to similarly titled measures of other organizations because other organizations may not calculate Adjusted EBITDA or such other non-GAAP measures in the same manner. You are encouraged to evaluate these adjustments and the reason we consider them appropriate.</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reflects the reconciliation of U.S. GAAP financial measures to non-GAAP financial measures:</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5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rPr>
              <w:t>Six months</w:t>
            </w:r>
          </w:p>
        </w:tc>
        <w:tc>
          <w:tcPr>
            <w:tcW w:w="0" w:type="dxa"/>
            <w:vAlign w:val="bottom"/>
          </w:tcPr>
          <w:p>
            <w:pPr>
              <w:spacing w:after="0"/>
              <w:rPr>
                <w:sz w:val="1"/>
                <w:szCs w:val="1"/>
                <w:color w:val="auto"/>
              </w:rPr>
            </w:pPr>
          </w:p>
        </w:tc>
      </w:tr>
      <w:tr>
        <w:trPr>
          <w:trHeight w:val="157"/>
        </w:trPr>
        <w:tc>
          <w:tcPr>
            <w:tcW w:w="5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10"/>
          </w:tcPr>
          <w:p>
            <w:pPr>
              <w:jc w:val="right"/>
              <w:ind w:right="460"/>
              <w:spacing w:after="0"/>
              <w:rPr>
                <w:sz w:val="20"/>
                <w:szCs w:val="20"/>
                <w:color w:val="auto"/>
              </w:rPr>
            </w:pPr>
            <w:r>
              <w:rPr>
                <w:rFonts w:ascii="Arial" w:cs="Arial" w:eastAsia="Arial" w:hAnsi="Arial"/>
                <w:sz w:val="13"/>
                <w:szCs w:val="13"/>
                <w:b w:val="1"/>
                <w:bCs w:val="1"/>
                <w:color w:val="auto"/>
              </w:rPr>
              <w:t>Years ended December 31,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6"/>
          </w:tcPr>
          <w:p>
            <w:pPr>
              <w:jc w:val="right"/>
              <w:ind w:right="420"/>
              <w:spacing w:after="0"/>
              <w:rPr>
                <w:sz w:val="20"/>
                <w:szCs w:val="20"/>
                <w:color w:val="auto"/>
              </w:rPr>
            </w:pPr>
            <w:r>
              <w:rPr>
                <w:rFonts w:ascii="Arial" w:cs="Arial" w:eastAsia="Arial" w:hAnsi="Arial"/>
                <w:sz w:val="13"/>
                <w:szCs w:val="13"/>
                <w:b w:val="1"/>
                <w:bCs w:val="1"/>
                <w:color w:val="auto"/>
              </w:rPr>
              <w:t>ended June 30,</w:t>
            </w:r>
          </w:p>
        </w:tc>
        <w:tc>
          <w:tcPr>
            <w:tcW w:w="0" w:type="dxa"/>
            <w:vAlign w:val="bottom"/>
          </w:tcPr>
          <w:p>
            <w:pPr>
              <w:spacing w:after="0"/>
              <w:rPr>
                <w:sz w:val="1"/>
                <w:szCs w:val="1"/>
                <w:color w:val="auto"/>
              </w:rPr>
            </w:pPr>
          </w:p>
        </w:tc>
      </w:tr>
      <w:tr>
        <w:trPr>
          <w:trHeight w:val="137"/>
        </w:trPr>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2010</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2011</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2012</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75"/>
              </w:rPr>
              <w:t>(in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Gross profit</w:t>
            </w:r>
          </w:p>
        </w:tc>
        <w:tc>
          <w:tcPr>
            <w:tcW w:w="120" w:type="dxa"/>
            <w:vAlign w:val="bottom"/>
            <w:gridSpan w:val="2"/>
            <w:shd w:val="clear" w:color="auto" w:fill="CCEEFF"/>
          </w:tcPr>
          <w:p>
            <w:pPr>
              <w:jc w:val="right"/>
              <w:ind w:right="33"/>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12,950</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11"/>
              <w:spacing w:after="0" w:line="144"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13,372</w:t>
            </w: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1"/>
              <w:spacing w:after="0" w:line="144"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18,929</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11"/>
              <w:spacing w:after="0" w:line="144"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8,813</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11"/>
              <w:spacing w:after="0" w:line="144"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10,032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spacing w:after="0" w:line="144" w:lineRule="exact"/>
              <w:rPr>
                <w:sz w:val="20"/>
                <w:szCs w:val="20"/>
                <w:color w:val="auto"/>
              </w:rPr>
            </w:pPr>
            <w:r>
              <w:rPr>
                <w:rFonts w:ascii="Arial" w:cs="Arial" w:eastAsia="Arial" w:hAnsi="Arial"/>
                <w:sz w:val="13"/>
                <w:szCs w:val="13"/>
                <w:color w:val="auto"/>
              </w:rPr>
              <w:t>Non-GAAP adjustment: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Stock-based compensation expense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5320" w:type="dxa"/>
            <w:vAlign w:val="bottom"/>
            <w:vMerge w:val="restart"/>
          </w:tcPr>
          <w:p>
            <w:pPr>
              <w:spacing w:after="0"/>
              <w:rPr>
                <w:sz w:val="20"/>
                <w:szCs w:val="20"/>
                <w:color w:val="auto"/>
              </w:rPr>
            </w:pPr>
            <w:r>
              <w:rPr>
                <w:rFonts w:ascii="Arial" w:cs="Arial" w:eastAsia="Arial" w:hAnsi="Arial"/>
                <w:sz w:val="13"/>
                <w:szCs w:val="13"/>
                <w:color w:val="auto"/>
              </w:rPr>
              <w:t>Non-GAAP gross profit</w:t>
            </w:r>
          </w:p>
        </w:tc>
        <w:tc>
          <w:tcPr>
            <w:tcW w:w="1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3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13,011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13,405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18,936</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8,817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10,058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1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(3,093)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(3,734)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4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(651)</w:t>
            </w:r>
          </w:p>
        </w:tc>
        <w:tc>
          <w:tcPr>
            <w:tcW w:w="0" w:type="dxa"/>
            <w:vAlign w:val="bottom"/>
          </w:tcPr>
          <w:p>
            <w:pPr>
              <w:spacing w:after="0"/>
              <w:rPr>
                <w:sz w:val="1"/>
                <w:szCs w:val="1"/>
                <w:color w:val="auto"/>
              </w:rPr>
            </w:pPr>
          </w:p>
        </w:tc>
      </w:tr>
      <w:tr>
        <w:trPr>
          <w:trHeight w:val="144"/>
        </w:trPr>
        <w:tc>
          <w:tcPr>
            <w:tcW w:w="5320" w:type="dxa"/>
            <w:vAlign w:val="bottom"/>
          </w:tcPr>
          <w:p>
            <w:pPr>
              <w:spacing w:after="0" w:line="144" w:lineRule="exact"/>
              <w:rPr>
                <w:sz w:val="20"/>
                <w:szCs w:val="20"/>
                <w:color w:val="auto"/>
              </w:rPr>
            </w:pPr>
            <w:r>
              <w:rPr>
                <w:rFonts w:ascii="Arial" w:cs="Arial" w:eastAsia="Arial" w:hAnsi="Arial"/>
                <w:sz w:val="13"/>
                <w:szCs w:val="13"/>
                <w:color w:val="auto"/>
              </w:rPr>
              <w:t>Non-GAAP adjustments: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Amortization of intangible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ind w:left="140"/>
              <w:spacing w:after="0" w:line="144" w:lineRule="exact"/>
              <w:rPr>
                <w:sz w:val="20"/>
                <w:szCs w:val="20"/>
                <w:color w:val="auto"/>
              </w:rPr>
            </w:pPr>
            <w:r>
              <w:rPr>
                <w:rFonts w:ascii="Arial" w:cs="Arial" w:eastAsia="Arial" w:hAnsi="Arial"/>
                <w:sz w:val="13"/>
                <w:szCs w:val="13"/>
                <w:color w:val="auto"/>
              </w:rPr>
              <w:t>Stock-based compensation 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780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563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161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36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240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Non-recurring consultant fee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5320" w:type="dxa"/>
            <w:vAlign w:val="bottom"/>
            <w:vMerge w:val="restart"/>
          </w:tcPr>
          <w:p>
            <w:pPr>
              <w:spacing w:after="0"/>
              <w:rPr>
                <w:sz w:val="20"/>
                <w:szCs w:val="20"/>
                <w:color w:val="auto"/>
              </w:rPr>
            </w:pPr>
            <w:r>
              <w:rPr>
                <w:rFonts w:ascii="Arial" w:cs="Arial" w:eastAsia="Arial" w:hAnsi="Arial"/>
                <w:sz w:val="13"/>
                <w:szCs w:val="13"/>
                <w:color w:val="auto"/>
              </w:rPr>
              <w:t>Non-GAAP income (loss) from operations</w:t>
            </w:r>
          </w:p>
        </w:tc>
        <w:tc>
          <w:tcPr>
            <w:tcW w:w="12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3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(1,922)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(3,000)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(3,380)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(5,328)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(1,276)</w:t>
            </w:r>
          </w:p>
        </w:tc>
        <w:tc>
          <w:tcPr>
            <w:tcW w:w="0" w:type="dxa"/>
            <w:vAlign w:val="bottom"/>
          </w:tcPr>
          <w:p>
            <w:pPr>
              <w:spacing w:after="0"/>
              <w:rPr>
                <w:sz w:val="1"/>
                <w:szCs w:val="1"/>
                <w:color w:val="auto"/>
              </w:rPr>
            </w:pPr>
          </w:p>
        </w:tc>
      </w:tr>
      <w:tr>
        <w:trPr>
          <w:trHeight w:val="144"/>
        </w:trPr>
        <w:tc>
          <w:tcPr>
            <w:tcW w:w="5320" w:type="dxa"/>
            <w:vAlign w:val="bottom"/>
          </w:tcPr>
          <w:p>
            <w:pPr>
              <w:spacing w:after="0" w:line="144" w:lineRule="exact"/>
              <w:rPr>
                <w:sz w:val="20"/>
                <w:szCs w:val="20"/>
                <w:color w:val="auto"/>
              </w:rPr>
            </w:pPr>
            <w:r>
              <w:rPr>
                <w:rFonts w:ascii="Arial" w:cs="Arial" w:eastAsia="Arial" w:hAnsi="Arial"/>
                <w:sz w:val="13"/>
                <w:szCs w:val="13"/>
                <w:color w:val="auto"/>
              </w:rPr>
              <w:t>Non-GAAP adjustments: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Amortization of intangible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ind w:left="140"/>
              <w:spacing w:after="0" w:line="144" w:lineRule="exact"/>
              <w:rPr>
                <w:sz w:val="20"/>
                <w:szCs w:val="20"/>
                <w:color w:val="auto"/>
              </w:rPr>
            </w:pPr>
            <w:r>
              <w:rPr>
                <w:rFonts w:ascii="Arial" w:cs="Arial" w:eastAsia="Arial" w:hAnsi="Arial"/>
                <w:sz w:val="13"/>
                <w:szCs w:val="13"/>
                <w:color w:val="auto"/>
              </w:rPr>
              <w:t>Stock-based compensation 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780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563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161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36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240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Non-recurring consultant fee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ind w:left="140"/>
              <w:spacing w:after="0" w:line="144" w:lineRule="exact"/>
              <w:rPr>
                <w:sz w:val="20"/>
                <w:szCs w:val="20"/>
                <w:color w:val="auto"/>
              </w:rPr>
            </w:pPr>
            <w:r>
              <w:rPr>
                <w:rFonts w:ascii="Arial" w:cs="Arial" w:eastAsia="Arial" w:hAnsi="Arial"/>
                <w:sz w:val="13"/>
                <w:szCs w:val="13"/>
                <w:color w:val="auto"/>
              </w:rPr>
              <w:t>Loss (gain) from disposal of idle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23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(80)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(36)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Unrealized exchange loss (gain)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406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(352)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188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5320" w:type="dxa"/>
            <w:vAlign w:val="bottom"/>
            <w:vMerge w:val="restart"/>
          </w:tcPr>
          <w:p>
            <w:pPr>
              <w:spacing w:after="0"/>
              <w:rPr>
                <w:sz w:val="20"/>
                <w:szCs w:val="20"/>
                <w:color w:val="auto"/>
              </w:rPr>
            </w:pPr>
            <w:r>
              <w:rPr>
                <w:rFonts w:ascii="Arial" w:cs="Arial" w:eastAsia="Arial" w:hAnsi="Arial"/>
                <w:sz w:val="13"/>
                <w:szCs w:val="13"/>
                <w:color w:val="auto"/>
              </w:rPr>
              <w:t>Non-GAAP net income (loss)</w:t>
            </w:r>
          </w:p>
        </w:tc>
        <w:tc>
          <w:tcPr>
            <w:tcW w:w="12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3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(1,780)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(5,027)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(3,380)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(5,328)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(1,276)</w:t>
            </w:r>
          </w:p>
        </w:tc>
        <w:tc>
          <w:tcPr>
            <w:tcW w:w="0" w:type="dxa"/>
            <w:vAlign w:val="bottom"/>
          </w:tcPr>
          <w:p>
            <w:pPr>
              <w:spacing w:after="0"/>
              <w:rPr>
                <w:sz w:val="1"/>
                <w:szCs w:val="1"/>
                <w:color w:val="auto"/>
              </w:rPr>
            </w:pPr>
          </w:p>
        </w:tc>
      </w:tr>
      <w:tr>
        <w:trPr>
          <w:trHeight w:val="144"/>
        </w:trPr>
        <w:tc>
          <w:tcPr>
            <w:tcW w:w="5320" w:type="dxa"/>
            <w:vAlign w:val="bottom"/>
          </w:tcPr>
          <w:p>
            <w:pPr>
              <w:spacing w:after="0" w:line="144" w:lineRule="exact"/>
              <w:rPr>
                <w:sz w:val="20"/>
                <w:szCs w:val="20"/>
                <w:color w:val="auto"/>
              </w:rPr>
            </w:pPr>
            <w:r>
              <w:rPr>
                <w:rFonts w:ascii="Arial" w:cs="Arial" w:eastAsia="Arial" w:hAnsi="Arial"/>
                <w:sz w:val="13"/>
                <w:szCs w:val="13"/>
                <w:color w:val="auto"/>
              </w:rPr>
              <w:t>Non-GAAP adjustments: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Amortization of intangible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ind w:left="140"/>
              <w:spacing w:after="0" w:line="144" w:lineRule="exact"/>
              <w:rPr>
                <w:sz w:val="20"/>
                <w:szCs w:val="20"/>
                <w:color w:val="auto"/>
              </w:rPr>
            </w:pPr>
            <w:r>
              <w:rPr>
                <w:rFonts w:ascii="Arial" w:cs="Arial" w:eastAsia="Arial" w:hAnsi="Arial"/>
                <w:sz w:val="13"/>
                <w:szCs w:val="13"/>
                <w:color w:val="auto"/>
              </w:rPr>
              <w:t>Stock-based compensation 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780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563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161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36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240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Asset impairment charges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492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320" w:type="dxa"/>
            <w:vAlign w:val="bottom"/>
          </w:tcPr>
          <w:p>
            <w:pPr>
              <w:ind w:left="140"/>
              <w:spacing w:after="0" w:line="144" w:lineRule="exact"/>
              <w:rPr>
                <w:sz w:val="20"/>
                <w:szCs w:val="20"/>
                <w:color w:val="auto"/>
              </w:rPr>
            </w:pPr>
            <w:r>
              <w:rPr>
                <w:rFonts w:ascii="Arial" w:cs="Arial" w:eastAsia="Arial" w:hAnsi="Arial"/>
                <w:sz w:val="13"/>
                <w:szCs w:val="13"/>
                <w:color w:val="auto"/>
              </w:rPr>
              <w:t>Depreciation 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3,299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3,066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2,882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1,449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1,522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Non-recurring consultant fee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ind w:left="140"/>
              <w:spacing w:after="0" w:line="144" w:lineRule="exact"/>
              <w:rPr>
                <w:sz w:val="20"/>
                <w:szCs w:val="20"/>
                <w:color w:val="auto"/>
              </w:rPr>
            </w:pPr>
            <w:r>
              <w:rPr>
                <w:rFonts w:ascii="Arial" w:cs="Arial" w:eastAsia="Arial" w:hAnsi="Arial"/>
                <w:sz w:val="13"/>
                <w:szCs w:val="13"/>
                <w:color w:val="auto"/>
              </w:rPr>
              <w:t>Loss (gain) from disposal of idle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23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(80)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(36)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Unrealized exchange loss (gain)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406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(352)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188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ind w:left="140"/>
              <w:spacing w:after="0" w:line="144" w:lineRule="exact"/>
              <w:rPr>
                <w:sz w:val="20"/>
                <w:szCs w:val="20"/>
                <w:color w:val="auto"/>
              </w:rPr>
            </w:pPr>
            <w:r>
              <w:rPr>
                <w:rFonts w:ascii="Arial" w:cs="Arial" w:eastAsia="Arial" w:hAnsi="Arial"/>
                <w:sz w:val="13"/>
                <w:szCs w:val="13"/>
                <w:color w:val="auto"/>
              </w:rPr>
              <w:t>Interest (income) expense, net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872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1,323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1,355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710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568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Provision for (benefit from) income taxes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
        </w:trPr>
        <w:tc>
          <w:tcPr>
            <w:tcW w:w="5320" w:type="dxa"/>
            <w:vAlign w:val="bottom"/>
            <w:vMerge w:val="restart"/>
          </w:tcPr>
          <w:p>
            <w:pPr>
              <w:spacing w:after="0"/>
              <w:rPr>
                <w:sz w:val="20"/>
                <w:szCs w:val="20"/>
                <w:color w:val="auto"/>
              </w:rPr>
            </w:pPr>
            <w:r>
              <w:rPr>
                <w:rFonts w:ascii="Arial" w:cs="Arial" w:eastAsia="Arial" w:hAnsi="Arial"/>
                <w:sz w:val="13"/>
                <w:szCs w:val="13"/>
                <w:color w:val="auto"/>
              </w:rPr>
              <w:t>Adjusted EBITDA</w:t>
            </w:r>
          </w:p>
        </w:tc>
        <w:tc>
          <w:tcPr>
            <w:tcW w:w="1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320" w:type="dxa"/>
            <w:vAlign w:val="bottom"/>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2,881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3,734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1,607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1,310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3458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4565" cy="3458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36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w w:val="96"/>
              </w:rPr>
              <w:t>June 30, 2013</w:t>
            </w: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4"/>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1"/>
              </w:rPr>
              <w:t>Pro forma</w:t>
            </w:r>
          </w:p>
        </w:tc>
        <w:tc>
          <w:tcPr>
            <w:tcW w:w="160" w:type="dxa"/>
            <w:vAlign w:val="bottom"/>
          </w:tcPr>
          <w:p>
            <w:pPr>
              <w:spacing w:after="0"/>
              <w:rPr>
                <w:sz w:val="10"/>
                <w:szCs w:val="10"/>
                <w:color w:val="auto"/>
              </w:rPr>
            </w:pPr>
          </w:p>
        </w:tc>
      </w:tr>
      <w:tr>
        <w:trPr>
          <w:trHeight w:val="157"/>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Actual</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91"/>
              </w:rPr>
              <w:t>Pro forma (4)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as adjusted (5)</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w w:val="93"/>
              </w:rPr>
              <w:t>(in thousands)</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tcPr>
          <w:p>
            <w:pPr>
              <w:ind w:left="180"/>
              <w:spacing w:after="0"/>
              <w:rPr>
                <w:sz w:val="20"/>
                <w:szCs w:val="20"/>
                <w:color w:val="auto"/>
              </w:rPr>
            </w:pPr>
            <w:r>
              <w:rPr>
                <w:rFonts w:ascii="Arial" w:cs="Arial" w:eastAsia="Arial" w:hAnsi="Arial"/>
                <w:sz w:val="17"/>
                <w:szCs w:val="17"/>
                <w:color w:val="auto"/>
              </w:rPr>
              <w:t>Total cash (1)</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10,854</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10,854</w:t>
            </w:r>
          </w:p>
        </w:tc>
        <w:tc>
          <w:tcPr>
            <w:tcW w:w="80" w:type="dxa"/>
            <w:vAlign w:val="bottom"/>
          </w:tcPr>
          <w:p>
            <w:pPr>
              <w:spacing w:after="0"/>
              <w:rPr>
                <w:sz w:val="18"/>
                <w:szCs w:val="18"/>
                <w:color w:val="auto"/>
              </w:rPr>
            </w:pPr>
          </w:p>
        </w:tc>
        <w:tc>
          <w:tcPr>
            <w:tcW w:w="1120" w:type="dxa"/>
            <w:vAlign w:val="bottom"/>
            <w:gridSpan w:val="2"/>
          </w:tcPr>
          <w:p>
            <w:pPr>
              <w:jc w:val="right"/>
              <w:ind w:right="894"/>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Working capital (2)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tcPr>
          <w:p>
            <w:pPr>
              <w:ind w:left="180"/>
              <w:spacing w:after="0"/>
              <w:rPr>
                <w:sz w:val="20"/>
                <w:szCs w:val="20"/>
                <w:color w:val="auto"/>
              </w:rPr>
            </w:pPr>
            <w:r>
              <w:rPr>
                <w:rFonts w:ascii="Arial" w:cs="Arial" w:eastAsia="Arial" w:hAnsi="Arial"/>
                <w:sz w:val="17"/>
                <w:szCs w:val="17"/>
                <w:color w:val="auto"/>
              </w:rPr>
              <w:t>Total assets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71,996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71,996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 debt (3)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tcPr>
          <w:p>
            <w:pPr>
              <w:ind w:left="180"/>
              <w:spacing w:after="0"/>
              <w:rPr>
                <w:sz w:val="20"/>
                <w:szCs w:val="20"/>
                <w:color w:val="auto"/>
              </w:rPr>
            </w:pPr>
            <w:r>
              <w:rPr>
                <w:rFonts w:ascii="Arial" w:cs="Arial" w:eastAsia="Arial" w:hAnsi="Arial"/>
                <w:sz w:val="17"/>
                <w:szCs w:val="17"/>
                <w:color w:val="auto"/>
                <w:w w:val="96"/>
              </w:rPr>
              <w:t>Redeemable convertible preferred stock and convertible preferred stock</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105,614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Common stock and additional paid-in capital</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180"/>
              <w:spacing w:after="0"/>
              <w:rPr>
                <w:sz w:val="20"/>
                <w:szCs w:val="20"/>
                <w:color w:val="auto"/>
              </w:rPr>
            </w:pPr>
            <w:r>
              <w:rPr>
                <w:rFonts w:ascii="Arial" w:cs="Arial" w:eastAsia="Arial" w:hAnsi="Arial"/>
                <w:sz w:val="17"/>
                <w:szCs w:val="17"/>
                <w:color w:val="auto"/>
              </w:rPr>
              <w:t>Total stockholders' equity</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30,540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30,540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99"/>
        </w:trPr>
        <w:tc>
          <w:tcPr>
            <w:tcW w:w="2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88" w:lineRule="exact"/>
        <w:rPr>
          <w:sz w:val="20"/>
          <w:szCs w:val="20"/>
          <w:color w:val="auto"/>
        </w:rPr>
      </w:pPr>
    </w:p>
    <w:p>
      <w:pPr>
        <w:ind w:left="1900" w:hanging="526"/>
        <w:spacing w:after="0"/>
        <w:tabs>
          <w:tab w:leader="none" w:pos="19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Total cash is defined as cash, cash equivalents and restricted cash.</w:t>
      </w:r>
    </w:p>
    <w:p>
      <w:pPr>
        <w:spacing w:after="0" w:line="125" w:lineRule="exact"/>
        <w:rPr>
          <w:rFonts w:ascii="Arial" w:cs="Arial" w:eastAsia="Arial" w:hAnsi="Arial"/>
          <w:sz w:val="13"/>
          <w:szCs w:val="13"/>
          <w:color w:val="auto"/>
        </w:rPr>
      </w:pPr>
    </w:p>
    <w:p>
      <w:pPr>
        <w:ind w:left="1900" w:hanging="526"/>
        <w:spacing w:after="0"/>
        <w:tabs>
          <w:tab w:leader="none" w:pos="19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Working capital is defined as total current assets less total current liabilities.</w:t>
      </w:r>
    </w:p>
    <w:p>
      <w:pPr>
        <w:spacing w:after="0" w:line="125" w:lineRule="exact"/>
        <w:rPr>
          <w:rFonts w:ascii="Arial" w:cs="Arial" w:eastAsia="Arial" w:hAnsi="Arial"/>
          <w:sz w:val="13"/>
          <w:szCs w:val="13"/>
          <w:color w:val="auto"/>
        </w:rPr>
      </w:pPr>
    </w:p>
    <w:p>
      <w:pPr>
        <w:ind w:left="1900" w:hanging="526"/>
        <w:spacing w:after="0"/>
        <w:tabs>
          <w:tab w:leader="none" w:pos="19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Total debt is defined as short-term loans, notes payable and total long-term debt.</w:t>
      </w:r>
    </w:p>
    <w:p>
      <w:pPr>
        <w:spacing w:after="0" w:line="125" w:lineRule="exact"/>
        <w:rPr>
          <w:rFonts w:ascii="Arial" w:cs="Arial" w:eastAsia="Arial" w:hAnsi="Arial"/>
          <w:sz w:val="13"/>
          <w:szCs w:val="13"/>
          <w:color w:val="auto"/>
        </w:rPr>
      </w:pPr>
    </w:p>
    <w:p>
      <w:pPr>
        <w:ind w:left="1900" w:right="100" w:hanging="526"/>
        <w:spacing w:after="0" w:line="243" w:lineRule="auto"/>
        <w:tabs>
          <w:tab w:leader="none" w:pos="19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On a pro forma basis to give effect to the automatic conversion of all of our outstanding shares of preferred stock into 261,286,610 shares of common stock using the as-if-converted method as though the conversion had occurred at the beginning of the period presented and the resulting reclassification of the preferred stock warrant liability to additional paid-in capital.</w:t>
      </w:r>
    </w:p>
    <w:p>
      <w:pPr>
        <w:spacing w:after="0" w:line="10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340" w:type="dxa"/>
            <w:vAlign w:val="bottom"/>
          </w:tcPr>
          <w:p>
            <w:pPr>
              <w:jc w:val="right"/>
              <w:ind w:right="134"/>
              <w:spacing w:after="0"/>
              <w:rPr>
                <w:sz w:val="20"/>
                <w:szCs w:val="20"/>
                <w:color w:val="auto"/>
              </w:rPr>
            </w:pPr>
            <w:r>
              <w:rPr>
                <w:rFonts w:ascii="Arial" w:cs="Arial" w:eastAsia="Arial" w:hAnsi="Arial"/>
                <w:sz w:val="13"/>
                <w:szCs w:val="13"/>
                <w:color w:val="auto"/>
                <w:w w:val="75"/>
              </w:rPr>
              <w:t>(5)</w:t>
            </w:r>
          </w:p>
        </w:tc>
        <w:tc>
          <w:tcPr>
            <w:tcW w:w="6580" w:type="dxa"/>
            <w:vAlign w:val="bottom"/>
            <w:gridSpan w:val="2"/>
          </w:tcPr>
          <w:p>
            <w:pPr>
              <w:ind w:left="180"/>
              <w:spacing w:after="0"/>
              <w:rPr>
                <w:sz w:val="20"/>
                <w:szCs w:val="20"/>
                <w:color w:val="auto"/>
              </w:rPr>
            </w:pPr>
            <w:r>
              <w:rPr>
                <w:rFonts w:ascii="Arial" w:cs="Arial" w:eastAsia="Arial" w:hAnsi="Arial"/>
                <w:sz w:val="13"/>
                <w:szCs w:val="13"/>
                <w:color w:val="auto"/>
                <w:w w:val="94"/>
              </w:rPr>
              <w:t>On a pro forma as adjusted basis to reflect the pro forma adjustments described in note 4 above and the sale by us of</w:t>
            </w:r>
          </w:p>
        </w:tc>
        <w:tc>
          <w:tcPr>
            <w:tcW w:w="3200" w:type="dxa"/>
            <w:vAlign w:val="bottom"/>
          </w:tcPr>
          <w:p>
            <w:pPr>
              <w:ind w:left="320"/>
              <w:spacing w:after="0"/>
              <w:rPr>
                <w:sz w:val="20"/>
                <w:szCs w:val="20"/>
                <w:color w:val="auto"/>
              </w:rPr>
            </w:pPr>
            <w:r>
              <w:rPr>
                <w:rFonts w:ascii="Arial" w:cs="Arial" w:eastAsia="Arial" w:hAnsi="Arial"/>
                <w:sz w:val="13"/>
                <w:szCs w:val="13"/>
                <w:color w:val="auto"/>
                <w:w w:val="89"/>
              </w:rPr>
              <w:t>shares of common stock in this offering, at an assumed</w:t>
            </w:r>
          </w:p>
        </w:tc>
      </w:tr>
      <w:tr>
        <w:trPr>
          <w:trHeight w:val="154"/>
        </w:trPr>
        <w:tc>
          <w:tcPr>
            <w:tcW w:w="340" w:type="dxa"/>
            <w:vAlign w:val="bottom"/>
          </w:tcPr>
          <w:p>
            <w:pPr>
              <w:spacing w:after="0"/>
              <w:rPr>
                <w:sz w:val="13"/>
                <w:szCs w:val="13"/>
                <w:color w:val="auto"/>
              </w:rPr>
            </w:pPr>
          </w:p>
        </w:tc>
        <w:tc>
          <w:tcPr>
            <w:tcW w:w="1980" w:type="dxa"/>
            <w:vAlign w:val="bottom"/>
          </w:tcPr>
          <w:p>
            <w:pPr>
              <w:ind w:left="180"/>
              <w:spacing w:after="0"/>
              <w:rPr>
                <w:sz w:val="20"/>
                <w:szCs w:val="20"/>
                <w:color w:val="auto"/>
              </w:rPr>
            </w:pPr>
            <w:r>
              <w:rPr>
                <w:rFonts w:ascii="Arial" w:cs="Arial" w:eastAsia="Arial" w:hAnsi="Arial"/>
                <w:sz w:val="13"/>
                <w:szCs w:val="13"/>
                <w:color w:val="auto"/>
              </w:rPr>
              <w:t>initial public offering price of $</w:t>
            </w:r>
          </w:p>
        </w:tc>
        <w:tc>
          <w:tcPr>
            <w:tcW w:w="7800" w:type="dxa"/>
            <w:vAlign w:val="bottom"/>
            <w:gridSpan w:val="2"/>
          </w:tcPr>
          <w:p>
            <w:pPr>
              <w:ind w:left="140"/>
              <w:spacing w:after="0"/>
              <w:rPr>
                <w:sz w:val="20"/>
                <w:szCs w:val="20"/>
                <w:color w:val="auto"/>
              </w:rPr>
            </w:pPr>
            <w:r>
              <w:rPr>
                <w:rFonts w:ascii="Arial" w:cs="Arial" w:eastAsia="Arial" w:hAnsi="Arial"/>
                <w:sz w:val="13"/>
                <w:szCs w:val="13"/>
                <w:color w:val="auto"/>
                <w:w w:val="95"/>
              </w:rPr>
              <w:t>per share, the midpoint of the price range on the front cover of this prospectus, after deducting underwriting discounts and commissions and</w:t>
            </w:r>
          </w:p>
        </w:tc>
      </w:tr>
    </w:tbl>
    <w:p>
      <w:pPr>
        <w:ind w:left="1900"/>
        <w:spacing w:after="0"/>
        <w:rPr>
          <w:sz w:val="20"/>
          <w:szCs w:val="20"/>
          <w:color w:val="auto"/>
        </w:rPr>
      </w:pPr>
      <w:r>
        <w:rPr>
          <w:rFonts w:ascii="Arial" w:cs="Arial" w:eastAsia="Arial" w:hAnsi="Arial"/>
          <w:sz w:val="13"/>
          <w:szCs w:val="13"/>
          <w:color w:val="auto"/>
        </w:rPr>
        <w:t>estimated offering expenses.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00"/>
          </w:cols>
          <w:pgMar w:left="240" w:top="131" w:right="15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jc w:val="both"/>
        <w:ind w:right="80" w:firstLine="341"/>
        <w:spacing w:after="0" w:line="265" w:lineRule="auto"/>
        <w:rPr>
          <w:sz w:val="20"/>
          <w:szCs w:val="20"/>
          <w:color w:val="auto"/>
        </w:rPr>
      </w:pPr>
      <w:r>
        <w:rPr>
          <w:rFonts w:ascii="Arial" w:cs="Arial" w:eastAsia="Arial" w:hAnsi="Arial"/>
          <w:sz w:val="17"/>
          <w:szCs w:val="17"/>
          <w:color w:val="auto"/>
        </w:rPr>
        <w:t>Investing in our common stock involves a high degree of risk. You should carefully consider the following risk factors and all other information contained in this prospectus before purchasing our common stock.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Inherent in Our Business</w:t>
      </w:r>
    </w:p>
    <w:p>
      <w:pPr>
        <w:spacing w:after="0" w:line="228" w:lineRule="exact"/>
        <w:rPr>
          <w:sz w:val="20"/>
          <w:szCs w:val="20"/>
          <w:color w:val="auto"/>
        </w:rPr>
      </w:pPr>
    </w:p>
    <w:p>
      <w:pPr>
        <w:ind w:right="720"/>
        <w:spacing w:after="0" w:line="282" w:lineRule="auto"/>
        <w:rPr>
          <w:sz w:val="20"/>
          <w:szCs w:val="20"/>
          <w:color w:val="auto"/>
        </w:rPr>
      </w:pPr>
      <w:r>
        <w:rPr>
          <w:rFonts w:ascii="Arial" w:cs="Arial" w:eastAsia="Arial" w:hAnsi="Arial"/>
          <w:sz w:val="17"/>
          <w:szCs w:val="17"/>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70" w:lineRule="exact"/>
        <w:rPr>
          <w:sz w:val="20"/>
          <w:szCs w:val="20"/>
          <w:color w:val="auto"/>
        </w:rPr>
      </w:pPr>
    </w:p>
    <w:p>
      <w:pPr>
        <w:ind w:right="80" w:firstLine="338"/>
        <w:spacing w:after="0" w:line="262" w:lineRule="auto"/>
        <w:rPr>
          <w:sz w:val="20"/>
          <w:szCs w:val="20"/>
          <w:color w:val="auto"/>
        </w:rPr>
      </w:pPr>
      <w:r>
        <w:rPr>
          <w:rFonts w:ascii="Arial" w:cs="Arial" w:eastAsia="Arial" w:hAnsi="Arial"/>
          <w:sz w:val="17"/>
          <w:szCs w:val="17"/>
          <w:color w:val="auto"/>
        </w:rPr>
        <w:t>We generate much of our revenue from a limited number of customers. In 2010, 2011, 2012 and in the six months ended June 30, 2013, our top ten customers represented 80.5%, 76.6%, 77.7% and 76.3% of our revenue, respectively. In 2012, Cisco Systems, Inc. represented 33.2% of our revenue and Biogenomics Corp., a distributor, represented 11.2% of our total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If our key customers do not continue to purchase our existing products or fail to purchase additional products from us, our revenue would decline and our results of operations would be adversely affected.</w:t>
      </w:r>
    </w:p>
    <w:p>
      <w:pPr>
        <w:spacing w:after="0" w:line="188" w:lineRule="exact"/>
        <w:rPr>
          <w:sz w:val="20"/>
          <w:szCs w:val="20"/>
          <w:color w:val="auto"/>
        </w:rPr>
      </w:pPr>
    </w:p>
    <w:p>
      <w:pPr>
        <w:ind w:firstLine="332"/>
        <w:spacing w:after="0" w:line="261" w:lineRule="auto"/>
        <w:rPr>
          <w:sz w:val="20"/>
          <w:szCs w:val="20"/>
          <w:color w:val="auto"/>
        </w:rPr>
      </w:pPr>
      <w:r>
        <w:rPr>
          <w:rFonts w:ascii="Arial" w:cs="Arial" w:eastAsia="Arial" w:hAnsi="Arial"/>
          <w:sz w:val="17"/>
          <w:szCs w:val="17"/>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For instance, upon the closing of Arris Group Inc.'s acquisition of Motorola Mobility Holdings, Inc., which is expected to occur in the middle of this year, changes in strategy or management may affect purchasing decisions and other strategic objectives involving our products that were pursued prior to that acquisition. We may not be able to offset any potential decline in revenue arising from the consolidation of our existing customers with revenue from new customers or additional revenue from the merged company.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customers do not qualify our products for use on a timely basis, our results of operations may suffer.</w:t>
      </w:r>
    </w:p>
    <w:p>
      <w:pPr>
        <w:spacing w:after="0" w:line="224"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color w:val="auto"/>
        </w:rPr>
        <w:t>Prior to the sale of new products, our customers typically require us to obtain their approval and qualify our products for use in their applications. Additionally, new customers often audit our manufacturing facilities and perform other evaluations during this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69" w:lineRule="exact"/>
        <w:rPr>
          <w:sz w:val="20"/>
          <w:szCs w:val="20"/>
          <w:color w:val="auto"/>
        </w:rPr>
      </w:pPr>
    </w:p>
    <w:p>
      <w:pPr>
        <w:ind w:right="200" w:firstLine="341"/>
        <w:spacing w:after="0" w:line="315" w:lineRule="auto"/>
        <w:rPr>
          <w:sz w:val="20"/>
          <w:szCs w:val="20"/>
          <w:color w:val="auto"/>
        </w:rPr>
      </w:pPr>
      <w:r>
        <w:rPr>
          <w:rFonts w:ascii="Arial" w:cs="Arial" w:eastAsia="Arial" w:hAnsi="Arial"/>
          <w:sz w:val="16"/>
          <w:szCs w:val="16"/>
          <w:color w:val="auto"/>
        </w:rPr>
        <w:t>Our ability to successfully qualify and scale capacity for new technologies and products is important to our ability to grow our business and market presence. If we are unable to qualify and sell any of our new products in volume, on time, or at all, our results of operations may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demand is difficult to forecast accurately and, as a result, we may be unable to match production with customer demand.</w:t>
      </w:r>
    </w:p>
    <w:p>
      <w:pPr>
        <w:spacing w:after="0" w:line="224" w:lineRule="exact"/>
        <w:rPr>
          <w:sz w:val="20"/>
          <w:szCs w:val="20"/>
          <w:color w:val="auto"/>
        </w:rPr>
      </w:pPr>
    </w:p>
    <w:p>
      <w:pPr>
        <w:ind w:right="80" w:firstLine="338"/>
        <w:spacing w:after="0" w:line="298" w:lineRule="auto"/>
        <w:rPr>
          <w:sz w:val="20"/>
          <w:szCs w:val="20"/>
          <w:color w:val="auto"/>
        </w:rPr>
      </w:pPr>
      <w:r>
        <w:rPr>
          <w:rFonts w:ascii="Arial" w:cs="Arial" w:eastAsia="Arial" w:hAnsi="Arial"/>
          <w:sz w:val="15"/>
          <w:szCs w:val="15"/>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the cyclical nature of the markets in which we compete and any future downturn will likely reduce demand for our products and revenue.</w:t>
      </w:r>
    </w:p>
    <w:p>
      <w:pPr>
        <w:spacing w:after="0" w:line="247"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to accurately predict these cyclical fluctuations and the impact of these fluctuations may have on our revenue and operating results.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CATV market does not continue to develop as we expect, or if there is any downturn in this market, our business would be adversely affected.</w:t>
      </w:r>
    </w:p>
    <w:p>
      <w:pPr>
        <w:spacing w:after="0" w:line="236"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Historically, we have generated much of our revenue from the CATV market. In 2010, 2011 and 2012, the CATV market represented 73.3%, 78.3% and 78.6%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or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limited operating history in the FTTH and internet data center markets, and our business could be harmed if these markets do not develop as we expect.</w:t>
      </w:r>
    </w:p>
    <w:p>
      <w:pPr>
        <w:spacing w:after="0" w:line="259" w:lineRule="exact"/>
        <w:rPr>
          <w:sz w:val="20"/>
          <w:szCs w:val="20"/>
          <w:color w:val="auto"/>
        </w:rPr>
      </w:pPr>
    </w:p>
    <w:p>
      <w:pPr>
        <w:ind w:firstLine="338"/>
        <w:spacing w:after="0" w:line="277" w:lineRule="auto"/>
        <w:rPr>
          <w:sz w:val="20"/>
          <w:szCs w:val="20"/>
          <w:color w:val="auto"/>
        </w:rPr>
      </w:pPr>
      <w:r>
        <w:rPr>
          <w:rFonts w:ascii="Arial" w:cs="Arial" w:eastAsia="Arial" w:hAnsi="Arial"/>
          <w:sz w:val="16"/>
          <w:szCs w:val="16"/>
          <w:color w:val="auto"/>
        </w:rPr>
        <w:t>We have only recently begun offering products to the FTTH and internet data center markets. Our business in these markets is dependent on the deployment of our optical components, modules and subassemblies. In the FTTH market, we are relying on increasing demand for bandwidth-intensive services and telecommunications service providers' acceptance and deployment of WDM-PON as a technology supporting 1 gigabit per second service to the home. In the internet data center market, we are relying on the emergence of new internet data center providers and their adoption of open internet data center architectures that use a mix of systems and components from a variety of vendors, including non-traditional equipment vendors.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and internet data centers may elect to use larger vendors that require internet data center operators to purchase the optical modules for their systems from such larger vendors.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or results of operations will be adversely affected.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encounter manufacturing problems, we may lose sales and damage our customer relationships.</w:t>
      </w:r>
    </w:p>
    <w:p>
      <w:pPr>
        <w:spacing w:after="0" w:line="224" w:lineRule="exact"/>
        <w:rPr>
          <w:sz w:val="20"/>
          <w:szCs w:val="20"/>
          <w:color w:val="auto"/>
        </w:rPr>
      </w:pPr>
    </w:p>
    <w:p>
      <w:pPr>
        <w:ind w:firstLine="338"/>
        <w:spacing w:after="0" w:line="260" w:lineRule="auto"/>
        <w:rPr>
          <w:sz w:val="20"/>
          <w:szCs w:val="20"/>
          <w:color w:val="auto"/>
        </w:rPr>
      </w:pPr>
      <w:r>
        <w:rPr>
          <w:rFonts w:ascii="Arial" w:cs="Arial" w:eastAsia="Arial" w:hAnsi="Arial"/>
          <w:sz w:val="17"/>
          <w:szCs w:val="17"/>
          <w:color w:val="auto"/>
        </w:rPr>
        <w:t>We may experience delays, disruptions or quality control problems in our manufacturing operations. These and other factors may cause less than acceptable yields at our wafer fabrication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an MBE fabrication process to make our lasers, rather than Metal Organic Chemical Vapor Deposition, or MOCVD, the technique most commonly used in optical manufacturing by communications optics vendors, and our MBE fabrication process relies on custom-manufactured equipment. If our MBE fabrication facility in Sugar Land, Texas were to be damaged or destroyed for any reason, our manufacturing process would be severely disrupted. Any such manufacturing problems would likely delay product shipments to our customers, which would negatively affect our sales, competitive position and reputation. We may also experience delays in production, typically in February, during the Chinese New Year holiday when our facilities in China and Taiwan are closed.</w:t>
      </w:r>
    </w:p>
    <w:p>
      <w:pPr>
        <w:spacing w:after="0" w:line="190" w:lineRule="exact"/>
        <w:rPr>
          <w:sz w:val="20"/>
          <w:szCs w:val="20"/>
          <w:color w:val="auto"/>
        </w:rPr>
      </w:pPr>
    </w:p>
    <w:p>
      <w:pPr>
        <w:ind w:right="500"/>
        <w:spacing w:after="0" w:line="282" w:lineRule="auto"/>
        <w:rPr>
          <w:sz w:val="20"/>
          <w:szCs w:val="20"/>
          <w:color w:val="auto"/>
        </w:rPr>
      </w:pPr>
      <w:r>
        <w:rPr>
          <w:rFonts w:ascii="Arial" w:cs="Arial" w:eastAsia="Arial" w:hAnsi="Arial"/>
          <w:sz w:val="17"/>
          <w:szCs w:val="17"/>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jc w:val="both"/>
        <w:ind w:firstLine="338"/>
        <w:spacing w:after="0" w:line="287" w:lineRule="auto"/>
        <w:rPr>
          <w:sz w:val="20"/>
          <w:szCs w:val="20"/>
          <w:color w:val="auto"/>
        </w:rPr>
      </w:pPr>
      <w:r>
        <w:rPr>
          <w:rFonts w:ascii="Arial" w:cs="Arial" w:eastAsia="Arial" w:hAnsi="Arial"/>
          <w:sz w:val="16"/>
          <w:szCs w:val="16"/>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69"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Although the length of our product development cycle varies widely by product and customer, it may take 18 months or longer before we receive our first order.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As a result, we may incur significant expenses long before customers accept and purchase our products.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Product development delays may result from numerous factors, including:</w:t>
      </w:r>
    </w:p>
    <w:p>
      <w:pPr>
        <w:spacing w:after="0" w:line="237" w:lineRule="exact"/>
        <w:rPr>
          <w:sz w:val="20"/>
          <w:szCs w:val="20"/>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modification of product specifications and customer requirements;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unanticipated engineering complexities;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difficulties in reallocating engineering resources and overcoming resource limitations;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rapidly changing technology or competitive product requirements.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8"/>
        <w:spacing w:after="0" w:line="287" w:lineRule="auto"/>
        <w:rPr>
          <w:sz w:val="20"/>
          <w:szCs w:val="20"/>
          <w:color w:val="auto"/>
        </w:rPr>
      </w:pPr>
      <w:r>
        <w:rPr>
          <w:rFonts w:ascii="Arial" w:cs="Arial" w:eastAsia="Arial" w:hAnsi="Arial"/>
          <w:sz w:val="16"/>
          <w:szCs w:val="16"/>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w:t>
      </w:r>
    </w:p>
    <w:p>
      <w:pPr>
        <w:spacing w:after="0" w:line="169" w:lineRule="exact"/>
        <w:rPr>
          <w:sz w:val="20"/>
          <w:szCs w:val="20"/>
          <w:color w:val="auto"/>
        </w:rPr>
      </w:pPr>
    </w:p>
    <w:p>
      <w:pPr>
        <w:ind w:firstLine="341"/>
        <w:spacing w:after="0" w:line="315" w:lineRule="auto"/>
        <w:rPr>
          <w:sz w:val="20"/>
          <w:szCs w:val="20"/>
          <w:color w:val="auto"/>
        </w:rPr>
      </w:pPr>
      <w:r>
        <w:rPr>
          <w:rFonts w:ascii="Arial" w:cs="Arial" w:eastAsia="Arial" w:hAnsi="Arial"/>
          <w:sz w:val="16"/>
          <w:szCs w:val="16"/>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46"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Increasing costs and shifts in product mix may adversely impact our gross margins.</w:t>
      </w:r>
    </w:p>
    <w:p>
      <w:pPr>
        <w:spacing w:after="0" w:line="224" w:lineRule="exact"/>
        <w:rPr>
          <w:sz w:val="20"/>
          <w:szCs w:val="20"/>
          <w:color w:val="auto"/>
        </w:rPr>
      </w:pPr>
    </w:p>
    <w:p>
      <w:pPr>
        <w:ind w:right="100" w:firstLine="341"/>
        <w:spacing w:after="0" w:line="283" w:lineRule="auto"/>
        <w:rPr>
          <w:sz w:val="20"/>
          <w:szCs w:val="20"/>
          <w:color w:val="auto"/>
        </w:rPr>
      </w:pPr>
      <w:r>
        <w:rPr>
          <w:rFonts w:ascii="Arial" w:cs="Arial" w:eastAsia="Arial" w:hAnsi="Arial"/>
          <w:sz w:val="16"/>
          <w:szCs w:val="16"/>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74"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right="20" w:firstLine="338"/>
        <w:spacing w:after="0" w:line="301" w:lineRule="auto"/>
        <w:rPr>
          <w:sz w:val="20"/>
          <w:szCs w:val="20"/>
          <w:color w:val="auto"/>
        </w:rPr>
      </w:pPr>
      <w:r>
        <w:rPr>
          <w:rFonts w:ascii="Arial" w:cs="Arial" w:eastAsia="Arial" w:hAnsi="Arial"/>
          <w:sz w:val="15"/>
          <w:szCs w:val="15"/>
          <w:color w:val="auto"/>
        </w:rPr>
        <w:t>We have a high fixed cost base due to our vertically integrated business model, including the fact that 631 of our employees as of June 30, 2013 were employed in manufacturing engineering and manufacturing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may be required to write down inventory costs in the future and our high inventory costs may have an adverse effect on our gross profits and our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losses which may continue in the future.</w:t>
      </w:r>
    </w:p>
    <w:p>
      <w:pPr>
        <w:spacing w:after="0" w:line="224" w:lineRule="exact"/>
        <w:rPr>
          <w:sz w:val="20"/>
          <w:szCs w:val="20"/>
          <w:color w:val="auto"/>
        </w:rPr>
      </w:pPr>
    </w:p>
    <w:p>
      <w:pPr>
        <w:ind w:firstLine="338"/>
        <w:spacing w:after="0" w:line="278" w:lineRule="auto"/>
        <w:rPr>
          <w:sz w:val="20"/>
          <w:szCs w:val="20"/>
          <w:color w:val="auto"/>
        </w:rPr>
      </w:pPr>
      <w:r>
        <w:rPr>
          <w:rFonts w:ascii="Arial" w:cs="Arial" w:eastAsia="Arial" w:hAnsi="Arial"/>
          <w:sz w:val="16"/>
          <w:szCs w:val="16"/>
          <w:color w:val="auto"/>
        </w:rPr>
        <w:t>We have a history of losses and we may incur additional losses in future periods. In the years ended December 31, 2010, 2011 and 2012 and in the six months ended June 30, 2012 and June 30, 2013, we experienced net losses of $3.4 million, $5.3 million, $0.9 million, $0.6 million and $1.3 million, respectively. As of December 31, 2012 and June 30, 2013, our accumulated deficit was $81.9 million and $83.2 million, respectively. These losses were due to expenditures made to expand our business, including expenditures for hiring additional research and development and sales and marketing personnel, and expenditures to expand and maintain our manufacturing facilities and research and development operations. We expect to continue to make significant expenditures related to our business, including expenditures for hiring additional research and development and sales and marketing personnel, and expenditures to maintain and expand our manufacturing facilities and research and development operations. In addition, as a public company, we will incur significant additional time demands and legal, accounting and other expenses that we did not incur as a private company. Our management and other personnel will need to devote a substantial amount of time to complying with the applicable rules and requirements of being a public company.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results may vary significantly from quarter-to-quarter due to a number of factors, which may lead to volatility in our stock price.</w:t>
      </w:r>
    </w:p>
    <w:p>
      <w:pPr>
        <w:spacing w:after="0" w:line="224" w:lineRule="exact"/>
        <w:rPr>
          <w:sz w:val="20"/>
          <w:szCs w:val="20"/>
          <w:color w:val="auto"/>
        </w:rPr>
      </w:pPr>
    </w:p>
    <w:p>
      <w:pPr>
        <w:ind w:right="60" w:firstLine="341"/>
        <w:spacing w:after="0" w:line="352" w:lineRule="auto"/>
        <w:rPr>
          <w:sz w:val="20"/>
          <w:szCs w:val="20"/>
          <w:color w:val="auto"/>
        </w:rPr>
      </w:pPr>
      <w:r>
        <w:rPr>
          <w:rFonts w:ascii="Arial" w:cs="Arial" w:eastAsia="Arial" w:hAnsi="Arial"/>
          <w:sz w:val="15"/>
          <w:szCs w:val="15"/>
          <w:color w:val="auto"/>
        </w:rPr>
        <w:t>Our quarterly revenue and operating results have varied in the past and will likely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36" w:lineRule="exact"/>
        <w:rPr>
          <w:sz w:val="20"/>
          <w:szCs w:val="20"/>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size and mix of sales of our products;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fluctuations in demand for our products, including the increase, decrease, rescheduling or cancellation of significant customer orders;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design, manufacture and deliver products to our customers in a timely and cost-effective manner and that meet customer requirements;</w:t>
      </w:r>
    </w:p>
    <w:p>
      <w:pPr>
        <w:spacing w:after="0" w:line="260" w:lineRule="exact"/>
        <w:rPr>
          <w:rFonts w:ascii="Arial" w:cs="Arial" w:eastAsia="Arial" w:hAnsi="Arial"/>
          <w:sz w:val="15"/>
          <w:szCs w:val="15"/>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new product introductions and enhancements by us or our competitors;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gain or loss of key customers;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rate at which our present and potential customers and end users adopt our technologies;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our pricing and sales policies or the pricing and sales policies of our competitors;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quality control or yield problems in our manufacturing operations;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length and variability of the sales cycles of our products;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unanticipated increases in costs or expenses;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loss of key employees;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different capital expenditure and budget cycles for our customers, affecting the timing of their spending for our products;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political stability in the areas of the world in which we operate;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fluctuations in foreign currency exchange rates;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accounting rules;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evolving and unpredictable nature of the markets for products incorporating our solutions;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general economic conditions and changes in such conditions specific to our target markets.</w:t>
      </w:r>
    </w:p>
    <w:p>
      <w:pPr>
        <w:spacing w:after="0" w:line="224"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intense competition which could negatively impact our results of operations and market share.</w:t>
      </w:r>
    </w:p>
    <w:p>
      <w:pPr>
        <w:spacing w:after="0" w:line="224" w:lineRule="exact"/>
        <w:rPr>
          <w:sz w:val="20"/>
          <w:szCs w:val="20"/>
          <w:color w:val="auto"/>
        </w:rPr>
      </w:pPr>
    </w:p>
    <w:p>
      <w:pPr>
        <w:ind w:firstLine="338"/>
        <w:spacing w:after="0" w:line="277"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Certain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key personnel to develop and maintain our technology and manage our business in a rapidly changing market.</w:t>
      </w:r>
    </w:p>
    <w:p>
      <w:pPr>
        <w:spacing w:after="0" w:line="224" w:lineRule="exact"/>
        <w:rPr>
          <w:sz w:val="20"/>
          <w:szCs w:val="20"/>
          <w:color w:val="auto"/>
        </w:rPr>
      </w:pPr>
    </w:p>
    <w:p>
      <w:pPr>
        <w:ind w:firstLine="338"/>
        <w:spacing w:after="0" w:line="278" w:lineRule="auto"/>
        <w:rPr>
          <w:sz w:val="20"/>
          <w:szCs w:val="20"/>
          <w:color w:val="auto"/>
        </w:rPr>
      </w:pPr>
      <w:r>
        <w:rPr>
          <w:rFonts w:ascii="Arial" w:cs="Arial" w:eastAsia="Arial" w:hAnsi="Arial"/>
          <w:sz w:val="16"/>
          <w:szCs w:val="16"/>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Chief Strategy Officer, Senior Vice President of Network Equipment Module Business Unit and Asia General Manager, may resign at any time. We do not have key person life insurance policies covering any of our employees. In addition, our current loan agreement with East West Bank requires their prior written approval in connection with certain changes to our executive officers. To implement our business plan, we also intend to hire additional employees, particularly in the areas of engineering and manufacturing.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a limited number of suppliers and any supply interruption could have an adverse effect on our business.</w:t>
      </w:r>
    </w:p>
    <w:p>
      <w:pPr>
        <w:spacing w:after="0" w:line="224"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w:t>
      </w:r>
    </w:p>
    <w:p>
      <w:pPr>
        <w:spacing w:after="0" w:line="176" w:lineRule="exact"/>
        <w:rPr>
          <w:sz w:val="20"/>
          <w:szCs w:val="20"/>
          <w:color w:val="auto"/>
        </w:rPr>
      </w:pPr>
    </w:p>
    <w:p>
      <w:pPr>
        <w:ind w:right="60" w:firstLine="338"/>
        <w:spacing w:after="0" w:line="283" w:lineRule="auto"/>
        <w:rPr>
          <w:sz w:val="20"/>
          <w:szCs w:val="20"/>
          <w:color w:val="auto"/>
        </w:rPr>
      </w:pPr>
      <w:r>
        <w:rPr>
          <w:rFonts w:ascii="Arial" w:cs="Arial" w:eastAsia="Arial" w:hAnsi="Arial"/>
          <w:sz w:val="16"/>
          <w:szCs w:val="16"/>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products could contain defects that may cause us to incur significant costs or result in a loss of customers.</w:t>
      </w:r>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components or design, problems in manufacturing or other unforeseen reasons.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a variety of risks associated with our international sales and operations.</w:t>
      </w:r>
    </w:p>
    <w:p>
      <w:pPr>
        <w:spacing w:after="0" w:line="224"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We currently derive, and expect to continue to derive, a significant portion of our revenue from international sales. In 2010, 2011, 2012 and in the six months ended June 30, 2013, 60.8%, 66.9%, 75.0% and 87.9% of our revenue was derived from sales that occurred outside of the U.S., respectively. In addition, a significant portion of our manufacturing operations is based in Ningbo, China and Taipei, Taiwan. Our international revenue and operations are subject to a number of material risks, including:</w:t>
      </w:r>
    </w:p>
    <w:p>
      <w:pPr>
        <w:spacing w:after="0" w:line="199"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difficulties in staffing, managing and supporting operations in more than one country;</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difficulties in enforcing agreements and collecting receivables through foreign legal systems;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fewer legal protections for intellectual property in foreign jurisdictions;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foreign and U.S. taxation issues and international trade barriers;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difficulties in obtaining any necessary governmental authorizations for the export of our products to certain foreign jurisdictions;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fluctuations in foreign economies;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fluctuations in the value of foreign currencies and interest rates;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trade and travel restrictions;</w:t>
      </w:r>
    </w:p>
    <w:p>
      <w:pPr>
        <w:spacing w:after="0" w:line="237"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domestic and international economic or political changes, hostilities and other disruptions in regions where we currently operate or may operate in the future;</w:t>
      </w:r>
    </w:p>
    <w:p>
      <w:pPr>
        <w:spacing w:after="0" w:line="182" w:lineRule="exact"/>
        <w:rPr>
          <w:rFonts w:ascii="Arial" w:cs="Arial" w:eastAsia="Arial" w:hAnsi="Arial"/>
          <w:sz w:val="17"/>
          <w:szCs w:val="17"/>
          <w:color w:val="auto"/>
        </w:rPr>
      </w:pPr>
    </w:p>
    <w:p>
      <w:pPr>
        <w:ind w:left="1060" w:right="20" w:hanging="531"/>
        <w:spacing w:after="0" w:line="282"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difficulties and increased expenses in complying with a variety of U.S. and foreign laws, regulations and trade standards, including the Foreign Corrupt Practices Act; and</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different and changing legal and regulatory requirements in the jurisdictions in which we currently operate or may operate in the future.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87" w:lineRule="exact"/>
        <w:rPr>
          <w:sz w:val="20"/>
          <w:szCs w:val="20"/>
          <w:color w:val="auto"/>
        </w:rPr>
      </w:pPr>
    </w:p>
    <w:p>
      <w:pPr>
        <w:jc w:val="both"/>
        <w:ind w:right="280" w:firstLine="341"/>
        <w:spacing w:after="0" w:line="294" w:lineRule="auto"/>
        <w:rPr>
          <w:sz w:val="20"/>
          <w:szCs w:val="20"/>
          <w:color w:val="auto"/>
        </w:rPr>
      </w:pPr>
      <w:r>
        <w:rPr>
          <w:rFonts w:ascii="Arial" w:cs="Arial" w:eastAsia="Arial" w:hAnsi="Arial"/>
          <w:sz w:val="15"/>
          <w:szCs w:val="15"/>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China does not recognize the sovereignty of Taiwan.</w:t>
      </w:r>
    </w:p>
    <w:p>
      <w:pPr>
        <w:spacing w:after="0" w:line="1"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Although significant economic and cultural relations have been established during recent years between China and Taiwan, relations have often been strained and the government of China has previously threatened to use military force to gain control over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some instances, we rely on third parties to assist in selling our products, and the failure of those parties to perform as expected could reduce our future revenue.</w:t>
      </w:r>
    </w:p>
    <w:p>
      <w:pPr>
        <w:spacing w:after="0" w:line="259" w:lineRule="exact"/>
        <w:rPr>
          <w:sz w:val="20"/>
          <w:szCs w:val="20"/>
          <w:color w:val="auto"/>
        </w:rPr>
      </w:pPr>
    </w:p>
    <w:p>
      <w:pPr>
        <w:ind w:right="140" w:firstLine="332"/>
        <w:spacing w:after="0" w:line="306" w:lineRule="auto"/>
        <w:rPr>
          <w:sz w:val="20"/>
          <w:szCs w:val="20"/>
          <w:color w:val="auto"/>
        </w:rPr>
      </w:pPr>
      <w:r>
        <w:rPr>
          <w:rFonts w:ascii="Arial" w:cs="Arial" w:eastAsia="Arial" w:hAnsi="Arial"/>
          <w:sz w:val="15"/>
          <w:szCs w:val="15"/>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manage our growth effectively may adversely affect our financial condition and results of operations.</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Successful implementation of our business plan in our target markets requires effective planning and management. We plan to continue to expand the scope of our operations. We currently operate facilities in Sugar Land, Texas, Ningbo, China and Taipei, Taiwan.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loan agreements contain restrictive covenants that may adversely affect our ability to conduct our business.</w:t>
      </w:r>
    </w:p>
    <w:p>
      <w:pPr>
        <w:spacing w:after="0" w:line="224" w:lineRule="exact"/>
        <w:rPr>
          <w:sz w:val="20"/>
          <w:szCs w:val="20"/>
          <w:color w:val="auto"/>
        </w:rPr>
      </w:pPr>
    </w:p>
    <w:p>
      <w:pPr>
        <w:ind w:right="40" w:firstLine="338"/>
        <w:spacing w:after="0" w:line="278" w:lineRule="auto"/>
        <w:rPr>
          <w:sz w:val="20"/>
          <w:szCs w:val="20"/>
          <w:color w:val="auto"/>
        </w:rPr>
      </w:pPr>
      <w:r>
        <w:rPr>
          <w:rFonts w:ascii="Arial" w:cs="Arial" w:eastAsia="Arial" w:hAnsi="Arial"/>
          <w:sz w:val="16"/>
          <w:szCs w:val="16"/>
          <w:color w:val="auto"/>
        </w:rPr>
        <w:t>We have lending arrangements with several financial institutions, including loan agreements with East West Bank in the U.S., and our China subsidiary has a line of credit arrangement. Our loan agreements governing our long-term debt obligations in the U.S.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pay dividends,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U.S. loan agreements with East West Bank are secured by substantially all of our U.S. assets, including our intellectual property assets, our Sugar Land facility and our equity interests in our subsidiaries, which limits our ability to provide collateral for additional financing.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obtain additional capital when desired, on favorable terms or at all.</w:t>
      </w:r>
    </w:p>
    <w:p>
      <w:pPr>
        <w:spacing w:after="0" w:line="224"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We anticipate that the net proceeds we receive from this offering, together with our current cash, cash provided by operating activities and funds available through our bank loans and credit facilities, will be sufficient to meet our current and anticipated needs for general corporate purposes for the next 12 to 24 months. We operate in a market, however,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89"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expansion of research and development;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expansion of manufacturing capabilities;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hiring of additional technical, sales and other personnel;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acquisitions of complementary businesses.</w:t>
      </w:r>
    </w:p>
    <w:p>
      <w:pPr>
        <w:spacing w:after="0" w:line="224" w:lineRule="exact"/>
        <w:rPr>
          <w:sz w:val="20"/>
          <w:szCs w:val="20"/>
          <w:color w:val="auto"/>
        </w:rPr>
      </w:pPr>
    </w:p>
    <w:p>
      <w:pPr>
        <w:ind w:right="40" w:firstLine="341"/>
        <w:spacing w:after="0" w:line="281" w:lineRule="auto"/>
        <w:rPr>
          <w:sz w:val="20"/>
          <w:szCs w:val="20"/>
          <w:color w:val="auto"/>
        </w:rPr>
      </w:pPr>
      <w:r>
        <w:rPr>
          <w:rFonts w:ascii="Arial" w:cs="Arial" w:eastAsia="Arial" w:hAnsi="Arial"/>
          <w:sz w:val="16"/>
          <w:szCs w:val="16"/>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acquiring shares of our common stock in this offering.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we may be unable to meet the demands of existing and prospective customers, adversely affecting our sales and market opportunities and consequently our business,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acquisitions may adversely affect our financial condition and results of operations.</w:t>
      </w:r>
    </w:p>
    <w:p>
      <w:pPr>
        <w:spacing w:after="0" w:line="224" w:lineRule="exact"/>
        <w:rPr>
          <w:sz w:val="20"/>
          <w:szCs w:val="20"/>
          <w:color w:val="auto"/>
        </w:rPr>
      </w:pPr>
    </w:p>
    <w:p>
      <w:pPr>
        <w:ind w:right="140" w:firstLine="332"/>
        <w:spacing w:after="0" w:line="315" w:lineRule="auto"/>
        <w:rPr>
          <w:sz w:val="20"/>
          <w:szCs w:val="20"/>
          <w:color w:val="auto"/>
        </w:rPr>
      </w:pPr>
      <w:r>
        <w:rPr>
          <w:rFonts w:ascii="Arial" w:cs="Arial" w:eastAsia="Arial" w:hAnsi="Arial"/>
          <w:sz w:val="16"/>
          <w:szCs w:val="16"/>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59" w:lineRule="exact"/>
        <w:rPr>
          <w:sz w:val="20"/>
          <w:szCs w:val="20"/>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difficulties integrating the acquired business;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unanticipated costs, capital expenditures or liabilities or changes related to research in progress and product development;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diversion of financial and management resources from our existing business;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difficulties integrating the business relationships with suppliers and customers of the acquired business with our existing business relationships;</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risks associated with entering markets in which we have little or no prior experience;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potential loss of key employees, particularly those of the acquired organizations.</w:t>
      </w:r>
    </w:p>
    <w:p>
      <w:pPr>
        <w:spacing w:after="0" w:line="224" w:lineRule="exact"/>
        <w:rPr>
          <w:sz w:val="20"/>
          <w:szCs w:val="20"/>
          <w:color w:val="auto"/>
        </w:rPr>
      </w:pPr>
    </w:p>
    <w:p>
      <w:pPr>
        <w:ind w:right="120" w:firstLine="332"/>
        <w:spacing w:after="0" w:line="265" w:lineRule="auto"/>
        <w:rPr>
          <w:sz w:val="20"/>
          <w:szCs w:val="20"/>
          <w:color w:val="auto"/>
        </w:rPr>
      </w:pPr>
      <w:r>
        <w:rPr>
          <w:rFonts w:ascii="Arial" w:cs="Arial" w:eastAsia="Arial" w:hAnsi="Arial"/>
          <w:sz w:val="17"/>
          <w:szCs w:val="17"/>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results of operations may be subject to volatility as a result of exposure to fluctuations in currency exchange rates.</w:t>
      </w:r>
    </w:p>
    <w:p>
      <w:pPr>
        <w:spacing w:after="0" w:line="224" w:lineRule="exact"/>
        <w:rPr>
          <w:sz w:val="20"/>
          <w:szCs w:val="20"/>
          <w:color w:val="auto"/>
        </w:rPr>
      </w:pPr>
    </w:p>
    <w:p>
      <w:pPr>
        <w:ind w:right="180" w:firstLine="338"/>
        <w:spacing w:after="0" w:line="270" w:lineRule="auto"/>
        <w:rPr>
          <w:sz w:val="20"/>
          <w:szCs w:val="20"/>
          <w:color w:val="auto"/>
        </w:rPr>
      </w:pPr>
      <w:r>
        <w:rPr>
          <w:rFonts w:ascii="Arial" w:cs="Arial" w:eastAsia="Arial" w:hAnsi="Arial"/>
          <w:sz w:val="17"/>
          <w:szCs w:val="17"/>
          <w:color w:val="auto"/>
        </w:rPr>
        <w:t>We have significant foreign currency exposure, and are affected by fluctuations among the U.S. dollar, the Chinese renminbi, or RMB, and the New Taiwan, or NT, dollar because a substantial portion of our business is conducted in China and Taiwan. Our sales, raw materials, components and capital expenditures are denominated in U.S. dollars, RMB and NT dollars in varying amounts.</w:t>
      </w:r>
    </w:p>
    <w:p>
      <w:pPr>
        <w:spacing w:after="0" w:line="179"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While the international reaction to the RMB revaluation has generally been positive, there remains significant international pressure on the Chinese government to adopt an even more flexible currency policy, which may result in a further and more significant appreciation of the RMB against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firstLine="341"/>
        <w:spacing w:after="0" w:line="287" w:lineRule="auto"/>
        <w:rPr>
          <w:sz w:val="20"/>
          <w:szCs w:val="20"/>
          <w:color w:val="auto"/>
        </w:rPr>
      </w:pPr>
      <w:r>
        <w:rPr>
          <w:rFonts w:ascii="Arial" w:cs="Arial" w:eastAsia="Arial" w:hAnsi="Arial"/>
          <w:sz w:val="16"/>
          <w:szCs w:val="16"/>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69" w:lineRule="exact"/>
        <w:rPr>
          <w:sz w:val="20"/>
          <w:szCs w:val="20"/>
          <w:color w:val="auto"/>
        </w:rPr>
      </w:pPr>
    </w:p>
    <w:p>
      <w:pPr>
        <w:jc w:val="both"/>
        <w:ind w:right="160" w:firstLine="338"/>
        <w:spacing w:after="0" w:line="270" w:lineRule="auto"/>
        <w:rPr>
          <w:sz w:val="20"/>
          <w:szCs w:val="20"/>
          <w:color w:val="auto"/>
        </w:rPr>
      </w:pPr>
      <w:r>
        <w:rPr>
          <w:rFonts w:ascii="Arial" w:cs="Arial" w:eastAsia="Arial" w:hAnsi="Arial"/>
          <w:sz w:val="17"/>
          <w:szCs w:val="17"/>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Natural disasters or other catastrophic events could harm our operations.</w:t>
      </w:r>
    </w:p>
    <w:p>
      <w:pPr>
        <w:spacing w:after="0" w:line="224" w:lineRule="exact"/>
        <w:rPr>
          <w:sz w:val="20"/>
          <w:szCs w:val="20"/>
          <w:color w:val="auto"/>
        </w:rPr>
      </w:pPr>
    </w:p>
    <w:p>
      <w:pPr>
        <w:ind w:right="140" w:firstLine="341"/>
        <w:spacing w:after="0" w:line="277" w:lineRule="auto"/>
        <w:rPr>
          <w:sz w:val="20"/>
          <w:szCs w:val="20"/>
          <w:color w:val="auto"/>
        </w:rPr>
      </w:pPr>
      <w:r>
        <w:rPr>
          <w:rFonts w:ascii="Arial" w:cs="Arial" w:eastAsia="Arial" w:hAnsi="Arial"/>
          <w:sz w:val="16"/>
          <w:szCs w:val="16"/>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81"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40" w:firstLine="341"/>
        <w:spacing w:after="0" w:line="280" w:lineRule="auto"/>
        <w:rPr>
          <w:sz w:val="20"/>
          <w:szCs w:val="20"/>
          <w:color w:val="auto"/>
        </w:rPr>
      </w:pPr>
      <w:r>
        <w:rPr>
          <w:rFonts w:ascii="Arial" w:cs="Arial" w:eastAsia="Arial" w:hAnsi="Arial"/>
          <w:sz w:val="16"/>
          <w:szCs w:val="16"/>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75"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63" w:lineRule="exact"/>
        <w:rPr>
          <w:sz w:val="20"/>
          <w:szCs w:val="20"/>
          <w:color w:val="auto"/>
        </w:rPr>
      </w:pPr>
    </w:p>
    <w:p>
      <w:pPr>
        <w:ind w:firstLine="338"/>
        <w:spacing w:after="0" w:line="260" w:lineRule="auto"/>
        <w:rPr>
          <w:sz w:val="20"/>
          <w:szCs w:val="20"/>
          <w:color w:val="auto"/>
        </w:rPr>
      </w:pPr>
      <w:r>
        <w:rPr>
          <w:rFonts w:ascii="Arial" w:cs="Arial" w:eastAsia="Arial" w:hAnsi="Arial"/>
          <w:sz w:val="17"/>
          <w:szCs w:val="17"/>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192" w:lineRule="exact"/>
        <w:rPr>
          <w:sz w:val="20"/>
          <w:szCs w:val="20"/>
          <w:color w:val="auto"/>
        </w:rPr>
      </w:pPr>
    </w:p>
    <w:p>
      <w:pPr>
        <w:ind w:right="80" w:firstLine="341"/>
        <w:spacing w:after="0" w:line="311" w:lineRule="auto"/>
        <w:rPr>
          <w:sz w:val="20"/>
          <w:szCs w:val="20"/>
          <w:color w:val="auto"/>
        </w:rPr>
      </w:pPr>
      <w:r>
        <w:rPr>
          <w:rFonts w:ascii="Arial" w:cs="Arial" w:eastAsia="Arial" w:hAnsi="Arial"/>
          <w:sz w:val="15"/>
          <w:szCs w:val="15"/>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55"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70" w:lineRule="exact"/>
        <w:rPr>
          <w:sz w:val="20"/>
          <w:szCs w:val="20"/>
          <w:color w:val="auto"/>
        </w:rPr>
      </w:pPr>
    </w:p>
    <w:p>
      <w:pPr>
        <w:ind w:right="240" w:firstLine="341"/>
        <w:spacing w:after="0" w:line="306" w:lineRule="auto"/>
        <w:rPr>
          <w:sz w:val="20"/>
          <w:szCs w:val="20"/>
          <w:color w:val="auto"/>
        </w:rPr>
      </w:pPr>
      <w:r>
        <w:rPr>
          <w:rFonts w:ascii="Arial" w:cs="Arial" w:eastAsia="Arial" w:hAnsi="Arial"/>
          <w:sz w:val="15"/>
          <w:szCs w:val="15"/>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72" w:lineRule="exact"/>
        <w:rPr>
          <w:sz w:val="20"/>
          <w:szCs w:val="20"/>
          <w:color w:val="auto"/>
        </w:rPr>
      </w:pPr>
    </w:p>
    <w:p>
      <w:pPr>
        <w:ind w:left="1060" w:hanging="531"/>
        <w:spacing w:after="0"/>
        <w:tabs>
          <w:tab w:leader="none" w:pos="10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obtain from a third party claiming infringement a license to the relevant technology, which may not be available on reasonable terms, or at all;</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stop manufacturing, selling, incorporating or using our products that use the challenged intellectual property;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pay substantial monetary damages;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expend significant resources to redesign the products that use the technology and to develop non-infringing technology.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of these actions could result in a substantial reduction in our revenue and could result in losses over an extended period of time.</w:t>
      </w:r>
    </w:p>
    <w:p>
      <w:pPr>
        <w:spacing w:after="0" w:line="224"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85"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70"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maintain effective internal control over financial reporting in the future, the accuracy and timing of our financial reporting may be adversely affected.</w:t>
      </w:r>
    </w:p>
    <w:p>
      <w:pPr>
        <w:spacing w:after="0" w:line="247"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In connection with the audit of our financial statements for the period ended December 31, 2012, we identified a material weakness related to the inappropriate recording of certain inventory returned for re-work in China as a reduction in cost of sales. This error arose as a result of the configuration of our ERP system, which lacked an automated control within the system to prevent overrides. In addition, the monitoring controls were not operating with sufficient precision to enable the errors to be detected and corrected by management in a timely manner. We believe we have remediated this material weakness by updating our ERP system with respect to the monitoring of returned inventory, providing additional training to certain personnel and adding management oversight. Also, in connection with the audit of our financial statements for the period ended December 31, 2012, three significant deficiencies were identified related to the reclassification of transactions within current liabilities between accounts payable and accrued liabilities, the cut-off of certain expenses for the December 31, 2012 closing related to our Asian operations, and the allocation of standard costing applied among cost of goods sold and inventory at our China subsidiary for the period ended December 31, 2012. We believe we have remediated these three significant deficiencies by providing additional staff training, developing additional procedures, enhancing our end of period closing processes, and providing for the allocation of standard cost of goods sold and inventory for the U.S., Taiwan and China locations.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We have not performed an evaluation of our internal control over financial reporting, such as would be required by Section 404 of the Sarbanes-Oxley Act, nor have we engaged our independent registered public accounting firm to perform an audit of our internal control over financial reporting. In addition, for so long as we qualify as an "emerging growth company" under the JOBS Act, which may be up to five years following this offering, we will not have to provide an auditor's attestation report on our internal controls in future annual reports on Form 10-K as otherwise required by 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176"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We have implemented internal controls that we believe provide reasonable assurance that we will be able to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effective internal control over financial reporting, our ability to accurately and timely report our financial results could be adversely impacted. This could result in late filings of our annual and quarterly reports under the Securities Exchange Act of 1934, or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losses and certain other tax attributes may be limited.</w:t>
      </w:r>
    </w:p>
    <w:p>
      <w:pPr>
        <w:spacing w:after="0" w:line="224" w:lineRule="exact"/>
        <w:rPr>
          <w:sz w:val="20"/>
          <w:szCs w:val="20"/>
          <w:color w:val="auto"/>
        </w:rPr>
      </w:pPr>
    </w:p>
    <w:p>
      <w:pPr>
        <w:ind w:firstLine="332"/>
        <w:spacing w:after="0" w:line="278" w:lineRule="auto"/>
        <w:rPr>
          <w:sz w:val="20"/>
          <w:szCs w:val="20"/>
          <w:color w:val="auto"/>
        </w:rPr>
      </w:pPr>
      <w:r>
        <w:rPr>
          <w:rFonts w:ascii="Arial" w:cs="Arial" w:eastAsia="Arial" w:hAnsi="Arial"/>
          <w:sz w:val="16"/>
          <w:szCs w:val="16"/>
          <w:color w:val="auto"/>
        </w:rPr>
        <w:t>As of December 31, 2012, we had U.S. accumulated net operating losses, or NOLs, of approximately $66.7 million for U.S. federal income tax purposes. We also had research and development credit carry-forwards totaling $1.5 million as of December 31, 2012, which begin to expire in 2024. Under Section 382 of the Internal Revenue Code of 1986, as amended, if a corporation undergoes an "ownership change," the corporation's ability to use its pre-change NOLs, capital loss carry-forwards and other pre-change tax attributes to offset its post-change income may be limited. An ownership change is generally defined as a greater than 50% change in equity ownership by value over a 3-year period. Based upon an analysis of our equity ownership, we have experienced an ownership change and our NOL carryforwards are limited in dollar amount. As of December 31, 2012, of the total accumulated NOL, only $38.7 million is available for utilization in 2013 and thereafter to shelter federal taxable income. Each year after 2013, an additional $0.3 million is added to the total available NOL, until a maximum of $64.1 million is reached. The amount of NOL available each year may decrease by the amount of NOL utilized and may increase by the amount of any operating losses incurred. Should we experience additional ownership changes, our NOL carryforwards may be further limited.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our effective tax rate may adversely affect our results of operation and our business.</w:t>
      </w:r>
    </w:p>
    <w:p>
      <w:pPr>
        <w:spacing w:after="0" w:line="224" w:lineRule="exact"/>
        <w:rPr>
          <w:sz w:val="20"/>
          <w:szCs w:val="20"/>
          <w:color w:val="auto"/>
        </w:rPr>
      </w:pPr>
    </w:p>
    <w:p>
      <w:pPr>
        <w:ind w:right="60" w:firstLine="338"/>
        <w:spacing w:after="0" w:line="263" w:lineRule="auto"/>
        <w:rPr>
          <w:sz w:val="20"/>
          <w:szCs w:val="20"/>
          <w:color w:val="auto"/>
        </w:rPr>
      </w:pPr>
      <w:r>
        <w:rPr>
          <w:rFonts w:ascii="Arial" w:cs="Arial" w:eastAsia="Arial" w:hAnsi="Arial"/>
          <w:sz w:val="17"/>
          <w:szCs w:val="17"/>
          <w:color w:val="auto"/>
        </w:rPr>
        <w:t>We are subject to income taxes in the U.S. and other foreign jurisdictions, including China. We base our tax position on the anticipated nature and conduct of our business and our understanding of the tax laws of the countries in which we have assets or conduct activities. Our tax position may be reviewed or challenged by tax authorities. Moreover, the tax laws currently in effect may change, and such changes may have retroactive effect.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tax authorities successfully challenge our positions, our effective tax rate may increase, adversely affecting our results of operation and our business.</w:t>
      </w:r>
    </w:p>
    <w:p>
      <w:pPr>
        <w:spacing w:after="0" w:line="224"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ind w:firstLine="341"/>
        <w:spacing w:after="0" w:line="297" w:lineRule="auto"/>
        <w:rPr>
          <w:sz w:val="20"/>
          <w:szCs w:val="20"/>
          <w:color w:val="auto"/>
        </w:rPr>
      </w:pPr>
      <w:r>
        <w:rPr>
          <w:rFonts w:ascii="Arial" w:cs="Arial" w:eastAsia="Arial" w:hAnsi="Arial"/>
          <w:sz w:val="15"/>
          <w:szCs w:val="15"/>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comply with the U.S. Foreign Corrupt Practices Act could subject us to penalties and other adverse consequences.</w:t>
      </w:r>
    </w:p>
    <w:p>
      <w:pPr>
        <w:spacing w:after="0" w:line="224" w:lineRule="exact"/>
        <w:rPr>
          <w:sz w:val="20"/>
          <w:szCs w:val="20"/>
          <w:color w:val="auto"/>
        </w:rPr>
      </w:pPr>
    </w:p>
    <w:p>
      <w:pPr>
        <w:ind w:right="20" w:firstLine="332"/>
        <w:spacing w:after="0" w:line="281" w:lineRule="auto"/>
        <w:rPr>
          <w:sz w:val="20"/>
          <w:szCs w:val="20"/>
          <w:color w:val="auto"/>
        </w:rPr>
      </w:pPr>
      <w:r>
        <w:rPr>
          <w:rFonts w:ascii="Arial" w:cs="Arial" w:eastAsia="Arial" w:hAnsi="Arial"/>
          <w:sz w:val="16"/>
          <w:szCs w:val="16"/>
          <w:color w:val="auto"/>
        </w:rPr>
        <w:t>As a public company, we will be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36" w:lineRule="exact"/>
        <w:rPr>
          <w:sz w:val="20"/>
          <w:szCs w:val="20"/>
          <w:color w:val="auto"/>
        </w:rPr>
      </w:pPr>
    </w:p>
    <w:p>
      <w:pPr>
        <w:jc w:val="both"/>
        <w:ind w:firstLine="338"/>
        <w:spacing w:after="0" w:line="263" w:lineRule="auto"/>
        <w:rPr>
          <w:sz w:val="20"/>
          <w:szCs w:val="20"/>
          <w:color w:val="auto"/>
        </w:rPr>
      </w:pPr>
      <w:r>
        <w:rPr>
          <w:rFonts w:ascii="Arial" w:cs="Arial" w:eastAsia="Arial" w:hAnsi="Arial"/>
          <w:sz w:val="17"/>
          <w:szCs w:val="17"/>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Rapidly changing standards and regulations could make our products obsolete, which would cause our revenue and results of operations to suffer.</w:t>
      </w:r>
    </w:p>
    <w:p>
      <w:pPr>
        <w:spacing w:after="0" w:line="236"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demands and new regulations related to conflict-free minerals may adversely affect us.</w:t>
      </w:r>
    </w:p>
    <w:p>
      <w:pPr>
        <w:spacing w:after="0" w:line="224" w:lineRule="exact"/>
        <w:rPr>
          <w:sz w:val="20"/>
          <w:szCs w:val="20"/>
          <w:color w:val="auto"/>
        </w:rPr>
      </w:pPr>
    </w:p>
    <w:p>
      <w:pPr>
        <w:ind w:right="40" w:firstLine="338"/>
        <w:spacing w:after="0" w:line="303" w:lineRule="auto"/>
        <w:rPr>
          <w:sz w:val="20"/>
          <w:szCs w:val="20"/>
          <w:color w:val="auto"/>
        </w:rPr>
      </w:pPr>
      <w:r>
        <w:rPr>
          <w:rFonts w:ascii="Arial" w:cs="Arial" w:eastAsia="Arial" w:hAnsi="Arial"/>
          <w:sz w:val="15"/>
          <w:szCs w:val="15"/>
          <w:color w:val="auto"/>
        </w:rPr>
        <w:t>The Dodd-Frank Wall Street Reform and Consumer Protection Act imposes new disclosure requirements regarding the use of "conflict" minerals mined from the Democratic Republic of Congo and adjoining countries in products, whether or not these products are manufactured by third parties. These new requirements could affect the pricing, sourcing and availability of minerals used in the manufacture of our products.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Operations in China</w:t>
      </w:r>
    </w:p>
    <w:p>
      <w:pPr>
        <w:spacing w:after="0" w:line="228"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70" w:lineRule="exact"/>
        <w:rPr>
          <w:sz w:val="20"/>
          <w:szCs w:val="20"/>
          <w:color w:val="auto"/>
        </w:rPr>
      </w:pPr>
    </w:p>
    <w:p>
      <w:pPr>
        <w:ind w:right="220" w:firstLine="338"/>
        <w:spacing w:after="0" w:line="311" w:lineRule="auto"/>
        <w:rPr>
          <w:sz w:val="20"/>
          <w:szCs w:val="20"/>
          <w:color w:val="auto"/>
        </w:rPr>
      </w:pPr>
      <w:r>
        <w:rPr>
          <w:rFonts w:ascii="Arial" w:cs="Arial" w:eastAsia="Arial" w:hAnsi="Arial"/>
          <w:sz w:val="15"/>
          <w:szCs w:val="15"/>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87" w:lineRule="exact"/>
        <w:rPr>
          <w:sz w:val="20"/>
          <w:szCs w:val="20"/>
          <w:color w:val="auto"/>
        </w:rPr>
      </w:pPr>
    </w:p>
    <w:p>
      <w:pPr>
        <w:ind w:right="60" w:firstLine="341"/>
        <w:spacing w:after="0" w:line="283" w:lineRule="auto"/>
        <w:rPr>
          <w:sz w:val="20"/>
          <w:szCs w:val="20"/>
          <w:color w:val="auto"/>
        </w:rPr>
      </w:pPr>
      <w:r>
        <w:rPr>
          <w:rFonts w:ascii="Arial" w:cs="Arial" w:eastAsia="Arial" w:hAnsi="Arial"/>
          <w:sz w:val="16"/>
          <w:szCs w:val="16"/>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termination and expiration or unavailability of our preferential tax treatments in China may have a material adverse effect on our operating results.</w:t>
      </w:r>
    </w:p>
    <w:p>
      <w:pPr>
        <w:spacing w:after="0" w:line="247" w:lineRule="exact"/>
        <w:rPr>
          <w:sz w:val="20"/>
          <w:szCs w:val="20"/>
          <w:color w:val="auto"/>
        </w:rPr>
      </w:pPr>
    </w:p>
    <w:p>
      <w:pPr>
        <w:ind w:right="20" w:firstLine="341"/>
        <w:spacing w:after="0" w:line="260" w:lineRule="auto"/>
        <w:rPr>
          <w:sz w:val="20"/>
          <w:szCs w:val="20"/>
          <w:color w:val="auto"/>
        </w:rPr>
      </w:pPr>
      <w:r>
        <w:rPr>
          <w:rFonts w:ascii="Arial" w:cs="Arial" w:eastAsia="Arial" w:hAnsi="Arial"/>
          <w:sz w:val="17"/>
          <w:szCs w:val="17"/>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Currently, we have qualified for a preferential 15% tax rate that is available for new and high technology enterprises. The preferential rate applies to calendar years 2012, 2013 and 2014. We have not yet realized benefits from this reduction in tax rate because we have not yet generated taxable income in China. Any future increase in the enterprise income tax rate applicable to us or the expiration or other limitation of preferential tax rates available to us could increase our tax liabilities and reduce our net income.</w:t>
      </w:r>
    </w:p>
    <w:p>
      <w:pPr>
        <w:spacing w:after="0" w:line="192"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b w:val="1"/>
          <w:bCs w:val="1"/>
          <w:i w:val="1"/>
          <w:iCs w:val="1"/>
          <w:color w:val="auto"/>
        </w:rPr>
        <w:t>China regulation of loans and direct investment by offshore holding companies to China entities may delay or prevent us from using the proceeds we receive from this offering to make loans or additional capital contributions to our China subsidiary.</w:t>
      </w:r>
    </w:p>
    <w:p>
      <w:pPr>
        <w:spacing w:after="0" w:line="170" w:lineRule="exact"/>
        <w:rPr>
          <w:sz w:val="20"/>
          <w:szCs w:val="20"/>
          <w:color w:val="auto"/>
        </w:rPr>
      </w:pPr>
    </w:p>
    <w:p>
      <w:pPr>
        <w:jc w:val="both"/>
        <w:ind w:right="280" w:firstLine="341"/>
        <w:spacing w:after="0" w:line="294" w:lineRule="auto"/>
        <w:rPr>
          <w:sz w:val="20"/>
          <w:szCs w:val="20"/>
          <w:color w:val="auto"/>
        </w:rPr>
      </w:pPr>
      <w:r>
        <w:rPr>
          <w:rFonts w:ascii="Arial" w:cs="Arial" w:eastAsia="Arial" w:hAnsi="Arial"/>
          <w:sz w:val="15"/>
          <w:szCs w:val="15"/>
          <w:color w:val="auto"/>
        </w:rPr>
        <w:t>In utilizing the proceeds we receive from this offering, we may make loans or additional capital contributions to our China subsidiary. Any loans to our China subsidiary are subject to China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w:t>
      </w:r>
    </w:p>
    <w:p>
      <w:pPr>
        <w:spacing w:after="0" w:line="1" w:lineRule="exact"/>
        <w:rPr>
          <w:sz w:val="20"/>
          <w:szCs w:val="20"/>
          <w:color w:val="auto"/>
        </w:rPr>
      </w:pPr>
    </w:p>
    <w:p>
      <w:pPr>
        <w:ind w:right="180"/>
        <w:spacing w:after="0" w:line="307" w:lineRule="auto"/>
        <w:rPr>
          <w:sz w:val="20"/>
          <w:szCs w:val="20"/>
          <w:color w:val="auto"/>
        </w:rPr>
      </w:pPr>
      <w:r>
        <w:rPr>
          <w:rFonts w:ascii="Arial" w:cs="Arial" w:eastAsia="Arial" w:hAnsi="Arial"/>
          <w:sz w:val="16"/>
          <w:szCs w:val="16"/>
          <w:color w:val="auto"/>
        </w:rPr>
        <w:t>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firstLine="338"/>
        <w:spacing w:after="0" w:line="322" w:lineRule="auto"/>
        <w:rPr>
          <w:sz w:val="20"/>
          <w:szCs w:val="20"/>
          <w:color w:val="auto"/>
        </w:rPr>
      </w:pPr>
      <w:r>
        <w:rPr>
          <w:rFonts w:ascii="Arial" w:cs="Arial" w:eastAsia="Arial" w:hAnsi="Arial"/>
          <w:sz w:val="15"/>
          <w:szCs w:val="15"/>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use the proceeds of this offering and to capitalize our China subsidiary may be negatively affected, which could materially and adversely affect our liquidity and ability to fund and expand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China subsidiary is subject to Chinese labor laws and regulations and Chinese labor laws may increase our operating costs in China.</w:t>
      </w:r>
    </w:p>
    <w:p>
      <w:pPr>
        <w:spacing w:after="0" w:line="224" w:lineRule="exact"/>
        <w:rPr>
          <w:sz w:val="20"/>
          <w:szCs w:val="20"/>
          <w:color w:val="auto"/>
        </w:rPr>
      </w:pPr>
    </w:p>
    <w:p>
      <w:pPr>
        <w:ind w:firstLine="338"/>
        <w:spacing w:after="0" w:line="279" w:lineRule="auto"/>
        <w:rPr>
          <w:sz w:val="20"/>
          <w:szCs w:val="20"/>
          <w:color w:val="auto"/>
        </w:rPr>
      </w:pPr>
      <w:r>
        <w:rPr>
          <w:rFonts w:ascii="Arial" w:cs="Arial" w:eastAsia="Arial" w:hAnsi="Arial"/>
          <w:sz w:val="16"/>
          <w:szCs w:val="16"/>
          <w:color w:val="auto"/>
        </w:rPr>
        <w:t>The China Labor Contract Law, together with its implementing rules, provides increased rights to Chinese employees. Previously, an employer had discretionary power in deciding the probation period, not to exceed six months. Additionally, the employment contract could only be terminated for cause. Under these rules,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new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These laws may increase our costs and reduce our flexibility.</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turnover of direct labor in manufacturing industries in China is high, which could adversely affect our production, shipments and results of operations.</w:t>
      </w:r>
    </w:p>
    <w:p>
      <w:pPr>
        <w:spacing w:after="0" w:line="247" w:lineRule="exact"/>
        <w:rPr>
          <w:sz w:val="20"/>
          <w:szCs w:val="20"/>
          <w:color w:val="auto"/>
        </w:rPr>
      </w:pPr>
    </w:p>
    <w:p>
      <w:pPr>
        <w:ind w:right="120" w:firstLine="341"/>
        <w:spacing w:after="0" w:line="265" w:lineRule="auto"/>
        <w:rPr>
          <w:sz w:val="20"/>
          <w:szCs w:val="20"/>
          <w:color w:val="auto"/>
        </w:rPr>
      </w:pPr>
      <w:r>
        <w:rPr>
          <w:rFonts w:ascii="Arial" w:cs="Arial" w:eastAsia="Arial" w:hAnsi="Arial"/>
          <w:sz w:val="17"/>
          <w:szCs w:val="17"/>
          <w:color w:val="auto"/>
        </w:rPr>
        <w:t>Employee turnover of direct labor in the manufacturing sector in China is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increase in our labor costs in China may adversely affect our business and our profitability.</w:t>
      </w:r>
    </w:p>
    <w:p>
      <w:pPr>
        <w:spacing w:after="0" w:line="224" w:lineRule="exact"/>
        <w:rPr>
          <w:sz w:val="20"/>
          <w:szCs w:val="20"/>
          <w:color w:val="auto"/>
        </w:rPr>
      </w:pPr>
    </w:p>
    <w:p>
      <w:pPr>
        <w:ind w:right="380" w:firstLine="332"/>
        <w:spacing w:after="0" w:line="270" w:lineRule="auto"/>
        <w:rPr>
          <w:sz w:val="20"/>
          <w:szCs w:val="20"/>
          <w:color w:val="auto"/>
        </w:rPr>
      </w:pPr>
      <w:r>
        <w:rPr>
          <w:rFonts w:ascii="Arial" w:cs="Arial" w:eastAsia="Arial" w:hAnsi="Arial"/>
          <w:sz w:val="17"/>
          <w:szCs w:val="17"/>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difficulty establishing and maintaining adequate management and financial controls over our China operations.</w:t>
      </w:r>
    </w:p>
    <w:p>
      <w:pPr>
        <w:spacing w:after="0" w:line="224"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260"/>
        <w:spacing w:after="0" w:line="265" w:lineRule="auto"/>
        <w:rPr>
          <w:sz w:val="20"/>
          <w:szCs w:val="20"/>
          <w:color w:val="auto"/>
        </w:rPr>
      </w:pPr>
      <w:r>
        <w:rPr>
          <w:rFonts w:ascii="Arial" w:cs="Arial" w:eastAsia="Arial" w:hAnsi="Arial"/>
          <w:sz w:val="17"/>
          <w:szCs w:val="17"/>
          <w:color w:val="auto"/>
        </w:rPr>
        <w:t>finance organization. As a result of these factors, we may experience difficulty in establishing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Our Common Stock</w:t>
      </w:r>
    </w:p>
    <w:p>
      <w:pPr>
        <w:spacing w:after="0" w:line="228" w:lineRule="exact"/>
        <w:rPr>
          <w:sz w:val="20"/>
          <w:szCs w:val="20"/>
          <w:color w:val="auto"/>
        </w:rPr>
      </w:pPr>
    </w:p>
    <w:p>
      <w:pPr>
        <w:ind w:right="680"/>
        <w:spacing w:after="0" w:line="282" w:lineRule="auto"/>
        <w:rPr>
          <w:sz w:val="20"/>
          <w:szCs w:val="20"/>
          <w:color w:val="auto"/>
        </w:rPr>
      </w:pPr>
      <w:r>
        <w:rPr>
          <w:rFonts w:ascii="Arial" w:cs="Arial" w:eastAsia="Arial" w:hAnsi="Arial"/>
          <w:sz w:val="17"/>
          <w:szCs w:val="17"/>
          <w:b w:val="1"/>
          <w:bCs w:val="1"/>
          <w:i w:val="1"/>
          <w:iCs w:val="1"/>
          <w:color w:val="auto"/>
        </w:rPr>
        <w:t>There is no existing market for our common stock and we do not know if one will develop to provide our stockholders liquidity for the shares they hold or purchase in this offering.</w:t>
      </w:r>
    </w:p>
    <w:p>
      <w:pPr>
        <w:spacing w:after="0" w:line="170" w:lineRule="exact"/>
        <w:rPr>
          <w:sz w:val="20"/>
          <w:szCs w:val="20"/>
          <w:color w:val="auto"/>
        </w:rPr>
      </w:pPr>
    </w:p>
    <w:p>
      <w:pPr>
        <w:ind w:right="140" w:firstLine="338"/>
        <w:spacing w:after="0" w:line="294" w:lineRule="auto"/>
        <w:rPr>
          <w:sz w:val="20"/>
          <w:szCs w:val="20"/>
          <w:color w:val="auto"/>
        </w:rPr>
      </w:pPr>
      <w:r>
        <w:rPr>
          <w:rFonts w:ascii="Arial" w:cs="Arial" w:eastAsia="Arial" w:hAnsi="Arial"/>
          <w:sz w:val="16"/>
          <w:szCs w:val="16"/>
          <w:color w:val="auto"/>
        </w:rPr>
        <w:t>There has not been a public trading market for shares of our common stock prior to this offering. An active trading market may not develop or be sustained after this offering. The initial public offering price for the shares of common stock sold in this offering will be determined by negotiations between us, the selling stockholders and representatives of the underwriters. This price may not be indicative of the price at which our common stock will trade after this offering.</w:t>
      </w:r>
    </w:p>
    <w:p>
      <w:pPr>
        <w:spacing w:after="0" w:line="163" w:lineRule="exact"/>
        <w:rPr>
          <w:sz w:val="20"/>
          <w:szCs w:val="20"/>
          <w:color w:val="auto"/>
        </w:rPr>
      </w:pPr>
    </w:p>
    <w:p>
      <w:pPr>
        <w:ind w:right="700"/>
        <w:spacing w:after="0" w:line="315" w:lineRule="auto"/>
        <w:rPr>
          <w:sz w:val="20"/>
          <w:szCs w:val="20"/>
          <w:color w:val="auto"/>
        </w:rPr>
      </w:pPr>
      <w:r>
        <w:rPr>
          <w:rFonts w:ascii="Arial" w:cs="Arial" w:eastAsia="Arial" w:hAnsi="Arial"/>
          <w:sz w:val="16"/>
          <w:szCs w:val="16"/>
          <w:b w:val="1"/>
          <w:bCs w:val="1"/>
          <w:i w:val="1"/>
          <w:iCs w:val="1"/>
          <w:color w:val="auto"/>
        </w:rPr>
        <w:t>Our principal stockholders, executive officers and directors own a significant percentage of our stock and will continue to have significant control of our management and affairs after the offering, and they can take actions that may be against your best interests.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Following the completion of this offering, our executive officers and directors, and entities that are affiliated with them, will beneficially own an aggregate of</w:t>
      </w:r>
    </w:p>
    <w:p>
      <w:pPr>
        <w:spacing w:after="0" w:line="32"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approximately % of our outstanding common stock, on an as-converted basis, based on an assumed initial offering price of $ per share, the midpoint of the price range set forth on the front cover of this prospectus. As a result, these stockholders, acting together, may have significant influence over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such a change in control would benefit our other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could decline due to the large number of outstanding shares of our common stock eligible for future sale.</w:t>
      </w:r>
    </w:p>
    <w:p>
      <w:pPr>
        <w:spacing w:after="0" w:line="224" w:lineRule="exact"/>
        <w:rPr>
          <w:sz w:val="20"/>
          <w:szCs w:val="20"/>
          <w:color w:val="auto"/>
        </w:rPr>
      </w:pPr>
    </w:p>
    <w:p>
      <w:pPr>
        <w:ind w:right="200" w:firstLine="341"/>
        <w:spacing w:after="0" w:line="270" w:lineRule="auto"/>
        <w:rPr>
          <w:sz w:val="20"/>
          <w:szCs w:val="20"/>
          <w:color w:val="auto"/>
        </w:rPr>
      </w:pPr>
      <w:r>
        <w:rPr>
          <w:rFonts w:ascii="Arial" w:cs="Arial" w:eastAsia="Arial" w:hAnsi="Arial"/>
          <w:sz w:val="17"/>
          <w:szCs w:val="17"/>
          <w:color w:val="auto"/>
        </w:rPr>
        <w:t>Sales of substantial amounts of our common stock in the public market following this offering, or the perception that these sales could occur, could cause the market price of our common stock to decline. These sales could also make it more difficult for us to sell equity or equity-related securities in the future at a time and price that we deem appropriate.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ind w:left="340"/>
              <w:spacing w:after="0"/>
              <w:rPr>
                <w:sz w:val="20"/>
                <w:szCs w:val="20"/>
                <w:color w:val="auto"/>
              </w:rPr>
            </w:pPr>
            <w:r>
              <w:rPr>
                <w:rFonts w:ascii="Arial" w:cs="Arial" w:eastAsia="Arial" w:hAnsi="Arial"/>
                <w:sz w:val="17"/>
                <w:szCs w:val="17"/>
                <w:color w:val="auto"/>
              </w:rPr>
              <w:t>Upon completion of this offering, we will have an aggregate of</w:t>
            </w:r>
          </w:p>
        </w:tc>
        <w:tc>
          <w:tcPr>
            <w:tcW w:w="6380" w:type="dxa"/>
            <w:vAlign w:val="bottom"/>
            <w:gridSpan w:val="2"/>
          </w:tcPr>
          <w:p>
            <w:pPr>
              <w:ind w:left="420"/>
              <w:spacing w:after="0"/>
              <w:rPr>
                <w:sz w:val="20"/>
                <w:szCs w:val="20"/>
                <w:color w:val="auto"/>
              </w:rPr>
            </w:pPr>
            <w:r>
              <w:rPr>
                <w:rFonts w:ascii="Arial" w:cs="Arial" w:eastAsia="Arial" w:hAnsi="Arial"/>
                <w:sz w:val="17"/>
                <w:szCs w:val="17"/>
                <w:color w:val="auto"/>
                <w:w w:val="92"/>
              </w:rPr>
              <w:t>shares of common stock outstanding, assuming no exercise of the underwriters' over-</w:t>
            </w:r>
          </w:p>
        </w:tc>
      </w:tr>
      <w:tr>
        <w:trPr>
          <w:trHeight w:val="210"/>
        </w:trPr>
        <w:tc>
          <w:tcPr>
            <w:tcW w:w="7640" w:type="dxa"/>
            <w:vAlign w:val="bottom"/>
            <w:gridSpan w:val="2"/>
          </w:tcPr>
          <w:p>
            <w:pPr>
              <w:spacing w:after="0"/>
              <w:rPr>
                <w:sz w:val="20"/>
                <w:szCs w:val="20"/>
                <w:color w:val="auto"/>
              </w:rPr>
            </w:pPr>
            <w:r>
              <w:rPr>
                <w:rFonts w:ascii="Arial" w:cs="Arial" w:eastAsia="Arial" w:hAnsi="Arial"/>
                <w:sz w:val="17"/>
                <w:szCs w:val="17"/>
                <w:color w:val="auto"/>
                <w:w w:val="95"/>
              </w:rPr>
              <w:t>allotment option and no exercise of outstanding options or warrants, other than those warrants to purchase</w:t>
            </w:r>
          </w:p>
        </w:tc>
        <w:tc>
          <w:tcPr>
            <w:tcW w:w="3780" w:type="dxa"/>
            <w:vAlign w:val="bottom"/>
          </w:tcPr>
          <w:p>
            <w:pPr>
              <w:ind w:left="400"/>
              <w:spacing w:after="0"/>
              <w:rPr>
                <w:sz w:val="20"/>
                <w:szCs w:val="20"/>
                <w:color w:val="auto"/>
              </w:rPr>
            </w:pPr>
            <w:r>
              <w:rPr>
                <w:rFonts w:ascii="Arial" w:cs="Arial" w:eastAsia="Arial" w:hAnsi="Arial"/>
                <w:sz w:val="17"/>
                <w:szCs w:val="17"/>
                <w:color w:val="auto"/>
                <w:w w:val="99"/>
              </w:rPr>
              <w:t>shares of common stock that expire upon the</w:t>
            </w:r>
          </w:p>
        </w:tc>
      </w:tr>
      <w:tr>
        <w:trPr>
          <w:trHeight w:val="216"/>
        </w:trPr>
        <w:tc>
          <w:tcPr>
            <w:tcW w:w="5040" w:type="dxa"/>
            <w:vAlign w:val="bottom"/>
          </w:tcPr>
          <w:p>
            <w:pPr>
              <w:spacing w:after="0"/>
              <w:rPr>
                <w:sz w:val="20"/>
                <w:szCs w:val="20"/>
                <w:color w:val="auto"/>
              </w:rPr>
            </w:pPr>
            <w:r>
              <w:rPr>
                <w:rFonts w:ascii="Arial" w:cs="Arial" w:eastAsia="Arial" w:hAnsi="Arial"/>
                <w:sz w:val="17"/>
                <w:szCs w:val="17"/>
                <w:color w:val="auto"/>
              </w:rPr>
              <w:t>completion of this offering. The</w:t>
            </w:r>
          </w:p>
        </w:tc>
        <w:tc>
          <w:tcPr>
            <w:tcW w:w="260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419"/>
        </w:trPr>
        <w:tc>
          <w:tcPr>
            <w:tcW w:w="5040" w:type="dxa"/>
            <w:vAlign w:val="bottom"/>
          </w:tcPr>
          <w:p>
            <w:pPr>
              <w:spacing w:after="0"/>
              <w:rPr>
                <w:sz w:val="24"/>
                <w:szCs w:val="24"/>
                <w:color w:val="auto"/>
              </w:rPr>
            </w:pPr>
          </w:p>
        </w:tc>
        <w:tc>
          <w:tcPr>
            <w:tcW w:w="2600" w:type="dxa"/>
            <w:vAlign w:val="bottom"/>
          </w:tcPr>
          <w:p>
            <w:pPr>
              <w:jc w:val="right"/>
              <w:ind w:right="1755"/>
              <w:spacing w:after="0"/>
              <w:rPr>
                <w:sz w:val="20"/>
                <w:szCs w:val="20"/>
                <w:color w:val="auto"/>
              </w:rPr>
            </w:pPr>
            <w:r>
              <w:rPr>
                <w:rFonts w:ascii="Arial" w:cs="Arial" w:eastAsia="Arial" w:hAnsi="Arial"/>
                <w:sz w:val="17"/>
                <w:szCs w:val="17"/>
                <w:color w:val="auto"/>
              </w:rPr>
              <w:t>33</w:t>
            </w:r>
          </w:p>
        </w:tc>
        <w:tc>
          <w:tcPr>
            <w:tcW w:w="3780" w:type="dxa"/>
            <w:vAlign w:val="bottom"/>
          </w:tcPr>
          <w:p>
            <w:pPr>
              <w:spacing w:after="0"/>
              <w:rPr>
                <w:sz w:val="24"/>
                <w:szCs w:val="24"/>
                <w:color w:val="auto"/>
              </w:rPr>
            </w:pPr>
          </w:p>
        </w:tc>
      </w:tr>
      <w:tr>
        <w:trPr>
          <w:trHeight w:val="222"/>
        </w:trPr>
        <w:tc>
          <w:tcPr>
            <w:tcW w:w="504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shares sold pursuant to this offering will be immediately tradable without restriction. Of the remaining shares:</w:t>
      </w:r>
    </w:p>
    <w:p>
      <w:pPr>
        <w:spacing w:after="0" w:line="237" w:lineRule="exact"/>
        <w:rPr>
          <w:sz w:val="20"/>
          <w:szCs w:val="20"/>
          <w:color w:val="auto"/>
        </w:rPr>
      </w:pPr>
    </w:p>
    <w:p>
      <w:pPr>
        <w:ind w:left="1860" w:hanging="1331"/>
        <w:spacing w:after="0"/>
        <w:tabs>
          <w:tab w:leader="none" w:pos="1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shares will be eligible for sale immediately upon completion of this offering; and</w:t>
      </w:r>
    </w:p>
    <w:p>
      <w:pPr>
        <w:spacing w:after="0" w:line="250" w:lineRule="exact"/>
        <w:rPr>
          <w:rFonts w:ascii="Arial" w:cs="Arial" w:eastAsia="Arial" w:hAnsi="Arial"/>
          <w:sz w:val="17"/>
          <w:szCs w:val="17"/>
          <w:color w:val="auto"/>
        </w:rPr>
      </w:pPr>
    </w:p>
    <w:p>
      <w:pPr>
        <w:ind w:left="1060" w:right="640" w:hanging="531"/>
        <w:spacing w:after="0" w:line="282" w:lineRule="auto"/>
        <w:tabs>
          <w:tab w:leader="none" w:pos="187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shares will be eligible for sale upon the expiration of lock-up agreements, subject in some cases to volume and other restrictions of Rule 144 and Rule 701 under the Securities Act of 1933, as amended, or the Securities Act.</w:t>
      </w:r>
    </w:p>
    <w:p>
      <w:pPr>
        <w:spacing w:after="0" w:line="170" w:lineRule="exact"/>
        <w:rPr>
          <w:sz w:val="20"/>
          <w:szCs w:val="20"/>
          <w:color w:val="auto"/>
        </w:rPr>
      </w:pPr>
    </w:p>
    <w:p>
      <w:pPr>
        <w:ind w:firstLine="338"/>
        <w:spacing w:after="0" w:line="294" w:lineRule="auto"/>
        <w:rPr>
          <w:sz w:val="20"/>
          <w:szCs w:val="20"/>
          <w:color w:val="auto"/>
        </w:rPr>
      </w:pPr>
      <w:r>
        <w:rPr>
          <w:rFonts w:ascii="Arial" w:cs="Arial" w:eastAsia="Arial" w:hAnsi="Arial"/>
          <w:sz w:val="15"/>
          <w:szCs w:val="15"/>
          <w:color w:val="auto"/>
        </w:rPr>
        <w:t>The lock-up agreements expire 180 days after the date of this prospectus, subject to potential extension in the event we release earning results or material news or a material event relating to us occurs near the end of the lock-up period and in the event that we cease to be an emerging growth company. Raymond James &amp; Associates, Inc. and Piper Jaffray &amp; Co., as representatives of the underwriters, may, in their sole discretion and at any time without notice, release all or any portion of</w:t>
      </w:r>
    </w:p>
    <w:p>
      <w:pPr>
        <w:spacing w:after="0" w:line="1"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the securities subject to lock-up agreements. After the completion of this offering, we intend to register approximately shares of our common stock that have been issued or reserved for future issuance under our stock incentive plans.</w:t>
      </w:r>
    </w:p>
    <w:p>
      <w:pPr>
        <w:spacing w:after="0" w:line="175" w:lineRule="exact"/>
        <w:rPr>
          <w:sz w:val="20"/>
          <w:szCs w:val="20"/>
          <w:color w:val="auto"/>
        </w:rPr>
      </w:pPr>
    </w:p>
    <w:p>
      <w:pPr>
        <w:ind w:right="440"/>
        <w:spacing w:after="0" w:line="282" w:lineRule="auto"/>
        <w:rPr>
          <w:sz w:val="20"/>
          <w:szCs w:val="20"/>
          <w:color w:val="auto"/>
        </w:rPr>
      </w:pPr>
      <w:r>
        <w:rPr>
          <w:rFonts w:ascii="Arial" w:cs="Arial" w:eastAsia="Arial" w:hAnsi="Arial"/>
          <w:sz w:val="17"/>
          <w:szCs w:val="17"/>
          <w:b w:val="1"/>
          <w:bCs w:val="1"/>
          <w:i w:val="1"/>
          <w:iCs w:val="1"/>
          <w:color w:val="auto"/>
        </w:rPr>
        <w:t>Because our initial public offering price is substantially higher than the pro forma as adjusted net tangible book value per share of our outstanding common stock, new investors will incur immediate and substantial dilution.</w:t>
      </w:r>
    </w:p>
    <w:p>
      <w:pPr>
        <w:spacing w:after="0" w:line="170" w:lineRule="exact"/>
        <w:rPr>
          <w:sz w:val="20"/>
          <w:szCs w:val="20"/>
          <w:color w:val="auto"/>
        </w:rPr>
      </w:pPr>
    </w:p>
    <w:p>
      <w:pPr>
        <w:ind w:right="360" w:firstLine="338"/>
        <w:spacing w:after="0" w:line="296" w:lineRule="auto"/>
        <w:rPr>
          <w:sz w:val="20"/>
          <w:szCs w:val="20"/>
          <w:color w:val="auto"/>
        </w:rPr>
      </w:pPr>
      <w:r>
        <w:rPr>
          <w:rFonts w:ascii="Arial" w:cs="Arial" w:eastAsia="Arial" w:hAnsi="Arial"/>
          <w:sz w:val="15"/>
          <w:szCs w:val="15"/>
          <w:color w:val="auto"/>
        </w:rPr>
        <w:t>The initial public offering price is substantially higher than the pro forma as adjusted net tangible book value per share of our common stock based on the expected total value of our total assets, less our goodwill and other intangible assets, less our total liabilities immediately following this offering. Therefore, if you</w:t>
      </w:r>
    </w:p>
    <w:p>
      <w:pPr>
        <w:ind w:right="180"/>
        <w:spacing w:after="0" w:line="261" w:lineRule="auto"/>
        <w:rPr>
          <w:sz w:val="20"/>
          <w:szCs w:val="20"/>
          <w:color w:val="auto"/>
        </w:rPr>
      </w:pPr>
      <w:r>
        <w:rPr>
          <w:rFonts w:ascii="Arial" w:cs="Arial" w:eastAsia="Arial" w:hAnsi="Arial"/>
          <w:sz w:val="17"/>
          <w:szCs w:val="17"/>
          <w:color w:val="auto"/>
        </w:rPr>
        <w:t>purchase shares of our common stock in this offering, you will experience immediate and substantial dilution of $ per share in the price you pay for our common stock compared to the pro forma as adjusted net tangible book value as of June 30, 2013. Furthermore, investors purchasing our common stock in this offering will own only % of our shares outstanding even though they will have contributed % of the total consideration received by us in connection with our sales of common stock. To the extent outstanding options to purchase common stock are exercised, there will be further dilution. For a further description of the dilution that you will experience immediately after this offering, see the section titled "Dilution."</w:t>
      </w:r>
    </w:p>
    <w:p>
      <w:pPr>
        <w:spacing w:after="0" w:line="190"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We currently do not plan to declare or pay dividends on shares of our common stock in the foreseeable future. In addition, the terms of our loan and security agreement with East West Bank restrict our ability to pay dividends. See "Dividend Policy" for more information. Consequently, your only opportunity to achieve a return on the shares you purchase in this offering will be if the market price of our common stock appreciates and you sell your shares at a profit. There is no guarantee that the price of our common stock in the market after this offering will ever exceed the price that you pay.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ind w:right="160" w:firstLine="341"/>
        <w:spacing w:after="0" w:line="270" w:lineRule="auto"/>
        <w:rPr>
          <w:sz w:val="20"/>
          <w:szCs w:val="20"/>
          <w:color w:val="auto"/>
        </w:rPr>
      </w:pPr>
      <w:r>
        <w:rPr>
          <w:rFonts w:ascii="Arial" w:cs="Arial" w:eastAsia="Arial" w:hAnsi="Arial"/>
          <w:sz w:val="17"/>
          <w:szCs w:val="17"/>
          <w:color w:val="auto"/>
        </w:rPr>
        <w:t>Our amended and restated certificate of incorporation and our amended and restated bylaws to be effective immediately prior to closing of this offering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92" w:lineRule="exact"/>
        <w:rPr>
          <w:sz w:val="20"/>
          <w:szCs w:val="20"/>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providing for a classified board of directors with staggered, three-year terms;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not providing for cumulative voting in the election of directors;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authorizing our board of directors to issue, without stockholder approval, preferred stock rights senior to those of common stock;</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prohibiting stockholder action by written consent;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limiting the persons who may call special meetings of stockholders;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requiring advance notification of stockholder nominations and proposals; and</w:t>
      </w:r>
    </w:p>
    <w:p>
      <w:pPr>
        <w:spacing w:after="0" w:line="237" w:lineRule="exact"/>
        <w:rPr>
          <w:rFonts w:ascii="Arial" w:cs="Arial" w:eastAsia="Arial" w:hAnsi="Arial"/>
          <w:sz w:val="17"/>
          <w:szCs w:val="17"/>
          <w:color w:val="auto"/>
        </w:rPr>
      </w:pPr>
    </w:p>
    <w:p>
      <w:pPr>
        <w:ind w:left="1060" w:right="40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 of control provisions in our stock incentive plans, and the individual stock option agreements, which provide that a change of control may accelerate the vesting of the stock options issued under such plans.</w:t>
      </w:r>
    </w:p>
    <w:p>
      <w:pPr>
        <w:spacing w:after="0" w:line="170"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In addition, the provisions of Section 203 of the Delaware General Corporate Law will govern us upon completion of this offering.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79"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 See "Description of Capital Stock—Preferred stock" and "Description of Capital Stock—Anti-takeover effects of Delaware law."</w:t>
      </w:r>
    </w:p>
    <w:p>
      <w:pPr>
        <w:spacing w:after="0" w:line="185" w:lineRule="exact"/>
        <w:rPr>
          <w:sz w:val="20"/>
          <w:szCs w:val="20"/>
          <w:color w:val="auto"/>
        </w:rPr>
      </w:pPr>
    </w:p>
    <w:p>
      <w:pPr>
        <w:ind w:right="400"/>
        <w:spacing w:after="0" w:line="282" w:lineRule="auto"/>
        <w:rPr>
          <w:sz w:val="20"/>
          <w:szCs w:val="20"/>
          <w:color w:val="auto"/>
        </w:rPr>
      </w:pPr>
      <w:r>
        <w:rPr>
          <w:rFonts w:ascii="Arial" w:cs="Arial" w:eastAsia="Arial" w:hAnsi="Arial"/>
          <w:sz w:val="17"/>
          <w:szCs w:val="17"/>
          <w:b w:val="1"/>
          <w:bCs w:val="1"/>
          <w:i w:val="1"/>
          <w:iCs w:val="1"/>
          <w:color w:val="auto"/>
        </w:rPr>
        <w:t>Our current loan agreement could make a takeover that stockholders consider favorable more difficult and could also reduce the price an acquiror would be willing to pay of our stock.</w:t>
      </w:r>
    </w:p>
    <w:p>
      <w:pPr>
        <w:spacing w:after="0" w:line="170" w:lineRule="exact"/>
        <w:rPr>
          <w:sz w:val="20"/>
          <w:szCs w:val="20"/>
          <w:color w:val="auto"/>
        </w:rPr>
      </w:pPr>
    </w:p>
    <w:p>
      <w:pPr>
        <w:jc w:val="both"/>
        <w:ind w:right="20" w:firstLine="341"/>
        <w:spacing w:after="0" w:line="270" w:lineRule="auto"/>
        <w:rPr>
          <w:sz w:val="20"/>
          <w:szCs w:val="20"/>
          <w:color w:val="auto"/>
        </w:rPr>
      </w:pPr>
      <w:r>
        <w:rPr>
          <w:rFonts w:ascii="Arial" w:cs="Arial" w:eastAsia="Arial" w:hAnsi="Arial"/>
          <w:sz w:val="17"/>
          <w:szCs w:val="17"/>
          <w:color w:val="auto"/>
        </w:rPr>
        <w:t>Our current loan agreement with East West Bank contains a provision that prevents us from terminating or replacing our Chief Executive Officer, Chief Financial Officer or other executive level officer without the prior approval from East West Bank. This provision in our loan agreement could also discourage potential takeover attempts or, reduce the price that an acquiror might be willing to pay to acquire the Company in the future.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70" w:lineRule="exact"/>
        <w:rPr>
          <w:sz w:val="20"/>
          <w:szCs w:val="20"/>
          <w:color w:val="auto"/>
        </w:rPr>
      </w:pPr>
    </w:p>
    <w:p>
      <w:pPr>
        <w:ind w:right="60" w:firstLine="341"/>
        <w:spacing w:after="0" w:line="306" w:lineRule="auto"/>
        <w:rPr>
          <w:sz w:val="20"/>
          <w:szCs w:val="20"/>
          <w:color w:val="auto"/>
        </w:rPr>
      </w:pPr>
      <w:r>
        <w:rPr>
          <w:rFonts w:ascii="Arial" w:cs="Arial" w:eastAsia="Arial" w:hAnsi="Arial"/>
          <w:sz w:val="15"/>
          <w:szCs w:val="15"/>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 For a further description of the separation benefits that we may be obligated to pay upon such termination of these executives, see the section titled "Management—Agreements with Executive Officers."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and you may be unable to sell your shares at or above the offering price.</w:t>
      </w:r>
    </w:p>
    <w:p>
      <w:pPr>
        <w:spacing w:after="0" w:line="224" w:lineRule="exact"/>
        <w:rPr>
          <w:sz w:val="20"/>
          <w:szCs w:val="20"/>
          <w:color w:val="auto"/>
        </w:rPr>
      </w:pPr>
    </w:p>
    <w:p>
      <w:pPr>
        <w:ind w:right="220" w:firstLine="338"/>
        <w:spacing w:after="0" w:line="315" w:lineRule="auto"/>
        <w:rPr>
          <w:sz w:val="20"/>
          <w:szCs w:val="20"/>
          <w:color w:val="auto"/>
        </w:rPr>
      </w:pPr>
      <w:r>
        <w:rPr>
          <w:rFonts w:ascii="Arial" w:cs="Arial" w:eastAsia="Arial" w:hAnsi="Arial"/>
          <w:sz w:val="16"/>
          <w:szCs w:val="16"/>
          <w:color w:val="auto"/>
        </w:rPr>
        <w:t>The market price of our common stock could be subject to wide fluctuations in response to, among other things, the risk factors described in this section of this prospectus, and other factors beyond our control, such as fluctuations in the valuation of companies perceived by investors to be comparable to us.</w:t>
      </w:r>
    </w:p>
    <w:p>
      <w:pPr>
        <w:spacing w:after="0" w:line="146"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5" w:lineRule="exact"/>
        <w:rPr>
          <w:sz w:val="20"/>
          <w:szCs w:val="20"/>
          <w:color w:val="auto"/>
        </w:rPr>
      </w:pPr>
    </w:p>
    <w:p>
      <w:pPr>
        <w:jc w:val="both"/>
        <w:ind w:right="340" w:firstLine="341"/>
        <w:spacing w:after="0" w:line="270" w:lineRule="auto"/>
        <w:rPr>
          <w:sz w:val="20"/>
          <w:szCs w:val="20"/>
          <w:color w:val="auto"/>
        </w:rPr>
      </w:pPr>
      <w:r>
        <w:rPr>
          <w:rFonts w:ascii="Arial" w:cs="Arial" w:eastAsia="Arial" w:hAnsi="Arial"/>
          <w:sz w:val="17"/>
          <w:szCs w:val="17"/>
          <w:color w:val="auto"/>
        </w:rPr>
        <w:t>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79"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b w:val="1"/>
          <w:bCs w:val="1"/>
          <w:i w:val="1"/>
          <w:iCs w:val="1"/>
          <w:color w:val="auto"/>
        </w:rPr>
        <w:t>As an "emerging growth company" within the meaning of the Securities Act, we will utilize certain modified disclosure requirements, and we cannot be certain if these reduced requirements will make our common stock less attractive to investors.</w:t>
      </w:r>
    </w:p>
    <w:p>
      <w:pPr>
        <w:spacing w:after="0" w:line="170" w:lineRule="exact"/>
        <w:rPr>
          <w:sz w:val="20"/>
          <w:szCs w:val="20"/>
          <w:color w:val="auto"/>
        </w:rPr>
      </w:pPr>
    </w:p>
    <w:p>
      <w:pPr>
        <w:ind w:right="160" w:firstLine="338"/>
        <w:spacing w:after="0" w:line="263" w:lineRule="auto"/>
        <w:rPr>
          <w:sz w:val="20"/>
          <w:szCs w:val="20"/>
          <w:color w:val="auto"/>
        </w:rPr>
      </w:pPr>
      <w:r>
        <w:rPr>
          <w:rFonts w:ascii="Arial" w:cs="Arial" w:eastAsia="Arial" w:hAnsi="Arial"/>
          <w:sz w:val="17"/>
          <w:szCs w:val="17"/>
          <w:color w:val="auto"/>
        </w:rPr>
        <w:t>We are an emerging growth company within the meaning of the rules under the Securities Act. We have in this prospectus utilized, and we plan in future filings with the SEC to continue to utilize, the modified disclosure requirements available to emerging growth companies, including reduced disclosure about our executive compensation and omission of compensation discussion and analysis, and an exemption from the requirement of holding a nonbinding advisory vote on executive compensation and an exemption from the requirement that outside auditors attest as to our internal control over financial reporting. As a result, our stockholders may not have access to certain information they may deem important.</w:t>
      </w:r>
    </w:p>
    <w:p>
      <w:pPr>
        <w:spacing w:after="0" w:line="187"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In addition, Section 107 of the JOBS Act also provides that an emerging growth company can utilize the extended transition period provided in Section 7(a)(2)(B) of the Securities Act for complying with new or revised accounting standards. Thus, an emerging growth company can delay the adoption of certain accounting standards until those standards would otherwise apply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to private companies. We have elected to utilize this extended transition period. Our financial statements may therefore not be comparable to those of companies that comply with such new or revised accounting standards as they become applicable to public companies.</w:t>
      </w:r>
    </w:p>
    <w:p>
      <w:pPr>
        <w:spacing w:after="0" w:line="170"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could remain an "emerging growth company" for up to five years, or until the earliest of (i) the last day of the first fiscal year in which our annual gross revenue exceed $1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188"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0"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The trading market for our common stock will depend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 AND INDUSTRY DATA</w:t>
      </w:r>
    </w:p>
    <w:p>
      <w:pPr>
        <w:spacing w:after="0" w:line="228" w:lineRule="exact"/>
        <w:rPr>
          <w:sz w:val="20"/>
          <w:szCs w:val="20"/>
          <w:color w:val="auto"/>
        </w:rPr>
      </w:pPr>
    </w:p>
    <w:p>
      <w:pPr>
        <w:jc w:val="both"/>
        <w:ind w:right="220" w:firstLine="338"/>
        <w:spacing w:after="0" w:line="293" w:lineRule="auto"/>
        <w:rPr>
          <w:sz w:val="20"/>
          <w:szCs w:val="20"/>
          <w:color w:val="auto"/>
        </w:rPr>
      </w:pPr>
      <w:r>
        <w:rPr>
          <w:rFonts w:ascii="Arial" w:cs="Arial" w:eastAsia="Arial" w:hAnsi="Arial"/>
          <w:sz w:val="15"/>
          <w:szCs w:val="15"/>
          <w:color w:val="auto"/>
        </w:rPr>
        <w:t>This prospectus contains forward-looking statements. All statements other than statements of historical facts contained in this prospectus are forward-looking statements, including statements regarding our future financial position, sources of revenue, business strategy and plans, prospective products, product approvals or products under development, costs, timing and likelihood of success, gross margins, and objectives of management for future operations. In particular, many of the statements under the headings "Prospectus summary," "Risk Factors," "Management's discussion and analysis of financial condition and results of operations" and "Business" constitute forward-looking statements. In some cases, you can identify forward-looking statements by terminology such as "may," "will," "should,"</w:t>
      </w:r>
    </w:p>
    <w:p>
      <w:pPr>
        <w:spacing w:after="0" w:line="2"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"expects," "plans," "anticipates," "believes," "estimates," "predicts," "potential," "continue," the negative of these terms, or by other similar expressions that convey uncertainty of future events or outcomes to identify these forward-looking statements. These statements are only predictions, involving known and unknown risks, uncertainties and other factors that may cause our or our industry's actual results, levels of activity, performance or achievements to be materially different from any future results, levels of activity, performance or achievements expressed or implied by these forward-looking statements. We discuss many of these factors, risks and uncertainties in greater detail under the heading "Risk Factors" and elsewhere in this prospectus. These factors expressly qualify all oral and written forward-looking statements attributable to us or persons acting on our behalf.</w:t>
      </w:r>
    </w:p>
    <w:p>
      <w:pPr>
        <w:spacing w:after="0" w:line="174" w:lineRule="exact"/>
        <w:rPr>
          <w:sz w:val="20"/>
          <w:szCs w:val="20"/>
          <w:color w:val="auto"/>
        </w:rPr>
      </w:pPr>
    </w:p>
    <w:p>
      <w:pPr>
        <w:ind w:right="120" w:firstLine="335"/>
        <w:spacing w:after="0" w:line="263" w:lineRule="auto"/>
        <w:rPr>
          <w:sz w:val="20"/>
          <w:szCs w:val="20"/>
          <w:color w:val="auto"/>
        </w:rPr>
      </w:pPr>
      <w:r>
        <w:rPr>
          <w:rFonts w:ascii="Arial" w:cs="Arial" w:eastAsia="Arial" w:hAnsi="Arial"/>
          <w:sz w:val="17"/>
          <w:szCs w:val="17"/>
          <w:color w:val="auto"/>
        </w:rPr>
        <w:t>You should not rely on forward-looking statements as predictions of future events. Although we believe that the expectations reflected in the forward-looking statements are reasonable, we cannot guarantee future results, levels of activity, performance or achievements. Actual results may differ materially from those suggested by the forward-looking statements for various reasons, including those discussed under "Risk Factors" in this prospectus. Except as required by law, we assume no obligation to update forward-looking statements for any reason after the date of this prospectus to conform these statements to actual results or to changes in our expectations.</w:t>
      </w:r>
    </w:p>
    <w:p>
      <w:pPr>
        <w:spacing w:after="0" w:line="187"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This prospectus contains market data and certain other statistical information based on independent industry publications, governmental publications, reports by market research firms or other independent sources, including those generated by Akamai, Cisco, Infonetics and Ovum Limited, as well as our internal research. Some data is also based on our internal estimates. Industry publications, surveys and market research reports generally state that the information contained in them has been obtained from sources believed by the sources' authors to be reliable, but we have not independently verified any of the data from third party sources nor have we investigated the underlying economic assumptions on which such data are based. We commissioned certain Ovum research referenced in the sections "Prospectus Summary" and "Business" in this prospectus and contributed to its preparation. This information involves a number of assumptions and limitations. The markets in which we operate are subject to a high degree of uncertainty and risk due to a variety of factors, including those described in the section of this prospectus titled "Risk Factors."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95"/>
        </w:trPr>
        <w:tc>
          <w:tcPr>
            <w:tcW w:w="1400" w:type="dxa"/>
            <w:vAlign w:val="bottom"/>
            <w:gridSpan w:val="2"/>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676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646"/>
        </w:trPr>
        <w:tc>
          <w:tcPr>
            <w:tcW w:w="12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760" w:type="dxa"/>
            <w:vAlign w:val="bottom"/>
          </w:tcPr>
          <w:p>
            <w:pPr>
              <w:ind w:left="3500"/>
              <w:spacing w:after="0"/>
              <w:rPr>
                <w:sz w:val="20"/>
                <w:szCs w:val="20"/>
                <w:color w:val="auto"/>
              </w:rPr>
            </w:pPr>
            <w:r>
              <w:rPr>
                <w:rFonts w:ascii="Arial" w:cs="Arial" w:eastAsia="Arial" w:hAnsi="Arial"/>
                <w:sz w:val="17"/>
                <w:szCs w:val="17"/>
                <w:b w:val="1"/>
                <w:bCs w:val="1"/>
                <w:color w:val="auto"/>
              </w:rPr>
              <w:t>USE OF PROCEEDS</w:t>
            </w:r>
          </w:p>
        </w:tc>
        <w:tc>
          <w:tcPr>
            <w:tcW w:w="3100" w:type="dxa"/>
            <w:vAlign w:val="bottom"/>
          </w:tcPr>
          <w:p>
            <w:pPr>
              <w:spacing w:after="0"/>
              <w:rPr>
                <w:sz w:val="24"/>
                <w:szCs w:val="24"/>
                <w:color w:val="auto"/>
              </w:rPr>
            </w:pPr>
          </w:p>
        </w:tc>
      </w:tr>
      <w:tr>
        <w:trPr>
          <w:trHeight w:val="413"/>
        </w:trPr>
        <w:tc>
          <w:tcPr>
            <w:tcW w:w="8160" w:type="dxa"/>
            <w:vAlign w:val="bottom"/>
            <w:gridSpan w:val="3"/>
          </w:tcPr>
          <w:p>
            <w:pPr>
              <w:ind w:left="340"/>
              <w:spacing w:after="0"/>
              <w:rPr>
                <w:sz w:val="20"/>
                <w:szCs w:val="20"/>
                <w:color w:val="auto"/>
              </w:rPr>
            </w:pPr>
            <w:r>
              <w:rPr>
                <w:rFonts w:ascii="Arial" w:cs="Arial" w:eastAsia="Arial" w:hAnsi="Arial"/>
                <w:sz w:val="17"/>
                <w:szCs w:val="17"/>
                <w:color w:val="auto"/>
                <w:w w:val="93"/>
              </w:rPr>
              <w:t>We estimate that the net proceeds of the sale by us of our common stock in this offering will be approximately $</w:t>
            </w:r>
          </w:p>
        </w:tc>
        <w:tc>
          <w:tcPr>
            <w:tcW w:w="3100" w:type="dxa"/>
            <w:vAlign w:val="bottom"/>
          </w:tcPr>
          <w:p>
            <w:pPr>
              <w:ind w:left="160"/>
              <w:spacing w:after="0"/>
              <w:rPr>
                <w:sz w:val="20"/>
                <w:szCs w:val="20"/>
                <w:color w:val="auto"/>
              </w:rPr>
            </w:pPr>
            <w:r>
              <w:rPr>
                <w:rFonts w:ascii="Arial" w:cs="Arial" w:eastAsia="Arial" w:hAnsi="Arial"/>
                <w:sz w:val="17"/>
                <w:szCs w:val="17"/>
                <w:color w:val="auto"/>
                <w:w w:val="91"/>
              </w:rPr>
              <w:t>million, based on an assumed initial public</w:t>
            </w:r>
          </w:p>
        </w:tc>
      </w:tr>
      <w:tr>
        <w:trPr>
          <w:trHeight w:val="216"/>
        </w:trPr>
        <w:tc>
          <w:tcPr>
            <w:tcW w:w="1400" w:type="dxa"/>
            <w:vAlign w:val="bottom"/>
            <w:gridSpan w:val="2"/>
          </w:tcPr>
          <w:p>
            <w:pPr>
              <w:spacing w:after="0"/>
              <w:rPr>
                <w:sz w:val="20"/>
                <w:szCs w:val="20"/>
                <w:color w:val="auto"/>
              </w:rPr>
            </w:pPr>
            <w:r>
              <w:rPr>
                <w:rFonts w:ascii="Arial" w:cs="Arial" w:eastAsia="Arial" w:hAnsi="Arial"/>
                <w:sz w:val="17"/>
                <w:szCs w:val="17"/>
                <w:color w:val="auto"/>
              </w:rPr>
              <w:t>offering price of $</w:t>
            </w:r>
          </w:p>
        </w:tc>
        <w:tc>
          <w:tcPr>
            <w:tcW w:w="9860" w:type="dxa"/>
            <w:vAlign w:val="bottom"/>
            <w:gridSpan w:val="2"/>
          </w:tcPr>
          <w:p>
            <w:pPr>
              <w:ind w:left="140"/>
              <w:spacing w:after="0"/>
              <w:rPr>
                <w:sz w:val="20"/>
                <w:szCs w:val="20"/>
                <w:color w:val="auto"/>
              </w:rPr>
            </w:pPr>
            <w:r>
              <w:rPr>
                <w:rFonts w:ascii="Arial" w:cs="Arial" w:eastAsia="Arial" w:hAnsi="Arial"/>
                <w:sz w:val="17"/>
                <w:szCs w:val="17"/>
                <w:color w:val="auto"/>
                <w:w w:val="95"/>
              </w:rPr>
              <w:t>per share, which is the midpoint of the range listed on the cover page of this prospectus, after deducting the underwriting discounts and</w:t>
            </w:r>
          </w:p>
        </w:tc>
      </w:tr>
    </w:tbl>
    <w:p>
      <w:pPr>
        <w:jc w:val="both"/>
        <w:ind w:right="140"/>
        <w:spacing w:after="0" w:line="291" w:lineRule="auto"/>
        <w:rPr>
          <w:sz w:val="20"/>
          <w:szCs w:val="20"/>
          <w:color w:val="auto"/>
        </w:rPr>
      </w:pPr>
      <w:r>
        <w:rPr>
          <w:rFonts w:ascii="Arial" w:cs="Arial" w:eastAsia="Arial" w:hAnsi="Arial"/>
          <w:sz w:val="15"/>
          <w:szCs w:val="15"/>
          <w:color w:val="auto"/>
        </w:rPr>
        <w:t>commissions and estimated offering expenses payable by us. A $1.00 increase or decrease in the assumed initial public offering price of $ per share would increase or decrease the net proceeds to us from the offering by $ million, assuming the number of shares offered by us, as set forth on the cover page of this prospectus,</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remains the same and after deducting the underwriting discounts and commissions and offering expenses payable by us. We may also issue up to shares of common stock in the offering in the over-allotment option. If we sell shares upon exercise of the over-allotment option, we may receive up to an additional $ million of net proceeds in the offering. We will not receive any proceeds from the sale of shares by the selling stockholders.</w:t>
      </w:r>
    </w:p>
    <w:p>
      <w:pPr>
        <w:spacing w:after="0" w:line="183" w:lineRule="exact"/>
        <w:rPr>
          <w:sz w:val="20"/>
          <w:szCs w:val="20"/>
          <w:color w:val="auto"/>
        </w:rPr>
      </w:pPr>
    </w:p>
    <w:p>
      <w:pPr>
        <w:ind w:firstLine="338"/>
        <w:spacing w:after="0" w:line="300" w:lineRule="auto"/>
        <w:rPr>
          <w:sz w:val="20"/>
          <w:szCs w:val="20"/>
          <w:color w:val="auto"/>
        </w:rPr>
      </w:pPr>
      <w:r>
        <w:rPr>
          <w:rFonts w:ascii="Arial" w:cs="Arial" w:eastAsia="Arial" w:hAnsi="Arial"/>
          <w:sz w:val="15"/>
          <w:szCs w:val="15"/>
          <w:color w:val="auto"/>
        </w:rPr>
        <w:t>We do not have current specific plans for the use of a significant portion of the net proceeds from this offering. The primary purposes for this offering are to allow us to increase our amount of working capital, to allow the possibility of repaying some portion of our indebtedness in advance of its maturity date, to fund capital expenditures or make investments in or acquisitions of other businesses, products, or technologies, and to create a public market for shares of our common stock. We may use a portion of our net proceeds to repay outstanding indebtedness, which currently has interest rates ranging from 4.375% to 6.875% and maturity dates ranging from July 2013 to November 2014, but we currently have no commitments or specific plans to repay any particular indebtedness in advance of its maturity date. We may also use a portion of net proceeds to expand our current business through strategic alliances with, or acquisitions of, other businesses, products or technologies. Because we currently have no agreements or commitments for any such specific alliances or acquisitions, we have not identified what portion, if any, of the net proceeds will be used for this purpose. Pending any use above, we plan to invest the net proceeds in investment-grade, short-term, interest-bearing securities.</w:t>
      </w:r>
    </w:p>
    <w:p>
      <w:pPr>
        <w:spacing w:after="0" w:line="163"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Management will have significant flexibility in applying the net proceeds of the offering. The amount and timing of our actual spending for these purposes may vary significantly from our plans and will depend on a number of factors, including our future revenues, cash generated by operations and other factors described under the heading "Risk Factors." We may find it necessary or advisable to use portions of the proceeds for other purposes.</w:t>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ind w:right="240" w:firstLine="338"/>
        <w:spacing w:after="0" w:line="283" w:lineRule="auto"/>
        <w:rPr>
          <w:sz w:val="20"/>
          <w:szCs w:val="20"/>
          <w:color w:val="auto"/>
        </w:rPr>
      </w:pPr>
      <w:r>
        <w:rPr>
          <w:rFonts w:ascii="Arial" w:cs="Arial" w:eastAsia="Arial" w:hAnsi="Arial"/>
          <w:sz w:val="16"/>
          <w:szCs w:val="16"/>
          <w:color w:val="auto"/>
        </w:rPr>
        <w:t>We have never declared or paid any cash dividends on our capital stock, and we do not anticipate paying any cash dividends on our common stock for the foreseeable future. We currently intend to retain all available funds and future earnings for use in the operation and expansion of our business. Any future determination to pay cash dividends will be at the discretion of our board of directors and will depend upon our financial condition, results of operations, terms of financing arrangements, applicable Delaware law, capital requirements and such other factors as our board of directors deems relevant. In addition, the terms of our loan agreements governing our long-term debt obligations prohibit us from paying dividends.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our consolidated cash and cash equivalents and capitalization as of June 30, 2013 on:</w:t>
      </w:r>
    </w:p>
    <w:p>
      <w:pPr>
        <w:spacing w:after="0" w:line="237" w:lineRule="exact"/>
        <w:rPr>
          <w:sz w:val="20"/>
          <w:szCs w:val="20"/>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actual basis;</w:t>
      </w:r>
    </w:p>
    <w:p>
      <w:pPr>
        <w:spacing w:after="0" w:line="250"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pro forma basis to reflect the conversion of all outstanding shares of our preferred stock into an aggregate of 261,286,610 shares of common stock; and</w:t>
      </w:r>
    </w:p>
    <w:p>
      <w:pPr>
        <w:spacing w:after="0" w:line="170" w:lineRule="exact"/>
        <w:rPr>
          <w:sz w:val="20"/>
          <w:szCs w:val="20"/>
          <w:color w:val="auto"/>
        </w:rPr>
      </w:pPr>
    </w:p>
    <w:p>
      <w:pPr>
        <w:ind w:left="1060" w:hanging="539"/>
        <w:spacing w:after="0" w:line="270" w:lineRule="auto"/>
        <w:tabs>
          <w:tab w:leader="none" w:pos="10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 pro forma as adjusted basis to reflect the pro forma adjustments described above and the sale by us of shares of common stock in this offering, at an assumed initial public offering price of $ per share, the midpoint of the price range set forth on the front cover of this prospectus, after deducting underwriting discounts and commissions and estimated offering expenses.</w:t>
      </w:r>
    </w:p>
    <w:p>
      <w:pPr>
        <w:spacing w:after="0" w:line="192"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The information below is illustrative only and our capitalization following the completion of this offering will be adjusted based on the actual initial public offering price and other terms of this offering determined at pricing. The terms of our preferred stock provide that our preferred stock will automatically convert into shares of our common stock upon the closing of our first underwritten public offering under an effective registration statement covering the offering and sale of our common stock for the account of the Company on a firm commitment basis for proceeds of at least $30 million (for which this offering will qualify). You should read the information in this table together with "Management's Discussion and Analysis of Financial</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Condition and Results of Operations" and our consolidated financial statements and the accompanying notes appearing elsewhere in this prospectus.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7"/>
          </w:tcPr>
          <w:p>
            <w:pPr>
              <w:ind w:left="40"/>
              <w:spacing w:after="0"/>
              <w:rPr>
                <w:sz w:val="20"/>
                <w:szCs w:val="20"/>
                <w:color w:val="auto"/>
              </w:rPr>
            </w:pPr>
            <w:r>
              <w:rPr>
                <w:rFonts w:ascii="Arial" w:cs="Arial" w:eastAsia="Arial" w:hAnsi="Arial"/>
                <w:sz w:val="13"/>
                <w:szCs w:val="13"/>
                <w:b w:val="1"/>
                <w:bCs w:val="1"/>
                <w:color w:val="auto"/>
              </w:rPr>
              <w:t>As of June 30, 2013</w:t>
            </w:r>
          </w:p>
        </w:tc>
        <w:tc>
          <w:tcPr>
            <w:tcW w:w="0" w:type="dxa"/>
            <w:vAlign w:val="bottom"/>
          </w:tcPr>
          <w:p>
            <w:pPr>
              <w:spacing w:after="0"/>
              <w:rPr>
                <w:sz w:val="1"/>
                <w:szCs w:val="1"/>
                <w:color w:val="auto"/>
              </w:rPr>
            </w:pPr>
          </w:p>
        </w:tc>
      </w:tr>
      <w:tr>
        <w:trPr>
          <w:trHeight w:val="124"/>
        </w:trPr>
        <w:tc>
          <w:tcPr>
            <w:tcW w:w="8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ind w:left="120"/>
              <w:spacing w:after="0" w:line="124" w:lineRule="exact"/>
              <w:rPr>
                <w:sz w:val="20"/>
                <w:szCs w:val="20"/>
                <w:color w:val="auto"/>
              </w:rPr>
            </w:pPr>
            <w:r>
              <w:rPr>
                <w:rFonts w:ascii="Arial" w:cs="Arial" w:eastAsia="Arial" w:hAnsi="Arial"/>
                <w:sz w:val="13"/>
                <w:szCs w:val="13"/>
                <w:b w:val="1"/>
                <w:bCs w:val="1"/>
                <w:color w:val="auto"/>
              </w:rPr>
              <w:t>Pro forma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100" w:type="dxa"/>
            <w:vAlign w:val="bottom"/>
            <w:gridSpan w:val="3"/>
          </w:tcPr>
          <w:p>
            <w:pPr>
              <w:ind w:left="20"/>
              <w:spacing w:after="0"/>
              <w:rPr>
                <w:sz w:val="20"/>
                <w:szCs w:val="20"/>
                <w:color w:val="auto"/>
              </w:rPr>
            </w:pPr>
            <w:r>
              <w:rPr>
                <w:rFonts w:ascii="Arial" w:cs="Arial" w:eastAsia="Arial" w:hAnsi="Arial"/>
                <w:sz w:val="13"/>
                <w:szCs w:val="13"/>
                <w:b w:val="1"/>
                <w:bCs w:val="1"/>
                <w:color w:val="auto"/>
              </w:rPr>
              <w:t>(in thousands, except share data)</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Actual</w:t>
            </w: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4"/>
              </w:rPr>
              <w:t>Pro forma</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as adjusted (7)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debt</w:t>
            </w:r>
          </w:p>
        </w:tc>
        <w:tc>
          <w:tcPr>
            <w:tcW w:w="124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25,922</w:t>
            </w: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25,922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gridSpan w:val="3"/>
          </w:tcPr>
          <w:p>
            <w:pPr>
              <w:ind w:left="20"/>
              <w:spacing w:after="0"/>
              <w:rPr>
                <w:sz w:val="20"/>
                <w:szCs w:val="20"/>
                <w:color w:val="auto"/>
              </w:rPr>
            </w:pPr>
            <w:r>
              <w:rPr>
                <w:rFonts w:ascii="Arial" w:cs="Arial" w:eastAsia="Arial" w:hAnsi="Arial"/>
                <w:sz w:val="17"/>
                <w:szCs w:val="17"/>
                <w:color w:val="auto"/>
              </w:rPr>
              <w:t>Stockholders' equity (deficit)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1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w w:val="91"/>
              </w:rPr>
              <w:t>Redeemable Series A preferred stock, $0.001 par value, 4,900,000 shares authorized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w w:val="92"/>
              </w:rPr>
              <w:t>and 4,805,871 shares outstanding, actual; and no shares issued or outstanding pro</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0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forma or pro forma as adjusted (1)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7,105</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100" w:type="dxa"/>
            <w:vAlign w:val="bottom"/>
            <w:gridSpan w:val="3"/>
          </w:tcPr>
          <w:p>
            <w:pPr>
              <w:ind w:left="160"/>
              <w:spacing w:after="0"/>
              <w:rPr>
                <w:sz w:val="20"/>
                <w:szCs w:val="20"/>
                <w:color w:val="auto"/>
              </w:rPr>
            </w:pPr>
            <w:r>
              <w:rPr>
                <w:rFonts w:ascii="Arial" w:cs="Arial" w:eastAsia="Arial" w:hAnsi="Arial"/>
                <w:sz w:val="17"/>
                <w:szCs w:val="17"/>
                <w:color w:val="auto"/>
              </w:rPr>
              <w:t>Series C preferred stock, $0.001 par value, 17,500,000 shares authorized and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gridSpan w:val="3"/>
          </w:tcPr>
          <w:p>
            <w:pPr>
              <w:ind w:left="320"/>
              <w:spacing w:after="0"/>
              <w:rPr>
                <w:sz w:val="20"/>
                <w:szCs w:val="20"/>
                <w:color w:val="auto"/>
              </w:rPr>
            </w:pPr>
            <w:r>
              <w:rPr>
                <w:rFonts w:ascii="Arial" w:cs="Arial" w:eastAsia="Arial" w:hAnsi="Arial"/>
                <w:sz w:val="17"/>
                <w:szCs w:val="17"/>
                <w:color w:val="auto"/>
                <w:w w:val="95"/>
              </w:rPr>
              <w:t>17,470,093 shares outstanding, actual; and no shares issued or outstanding pro</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gridSpan w:val="3"/>
          </w:tcPr>
          <w:p>
            <w:pPr>
              <w:ind w:left="320"/>
              <w:spacing w:after="0"/>
              <w:rPr>
                <w:sz w:val="20"/>
                <w:szCs w:val="20"/>
                <w:color w:val="auto"/>
              </w:rPr>
            </w:pPr>
            <w:r>
              <w:rPr>
                <w:rFonts w:ascii="Arial" w:cs="Arial" w:eastAsia="Arial" w:hAnsi="Arial"/>
                <w:sz w:val="17"/>
                <w:szCs w:val="17"/>
                <w:color w:val="auto"/>
              </w:rPr>
              <w:t>forma or pro forma as adjusted (2)</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21,802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61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Series D preferred stock, $0.001 par value, 11,800,000 shares authorized and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w w:val="95"/>
              </w:rPr>
              <w:t>11,413,984 shares outstanding, actual; and no shares issued or outstanding pro</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0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forma or pro forma as adjusted (3)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14,185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100" w:type="dxa"/>
            <w:vAlign w:val="bottom"/>
            <w:gridSpan w:val="3"/>
          </w:tcPr>
          <w:p>
            <w:pPr>
              <w:ind w:left="160"/>
              <w:spacing w:after="0"/>
              <w:rPr>
                <w:sz w:val="20"/>
                <w:szCs w:val="20"/>
                <w:color w:val="auto"/>
              </w:rPr>
            </w:pPr>
            <w:r>
              <w:rPr>
                <w:rFonts w:ascii="Arial" w:cs="Arial" w:eastAsia="Arial" w:hAnsi="Arial"/>
                <w:sz w:val="17"/>
                <w:szCs w:val="17"/>
                <w:color w:val="auto"/>
              </w:rPr>
              <w:t>Series E preferred stock, $0.001 par value, 11,000,000 shares authorized and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gridSpan w:val="3"/>
          </w:tcPr>
          <w:p>
            <w:pPr>
              <w:ind w:left="320"/>
              <w:spacing w:after="0"/>
              <w:rPr>
                <w:sz w:val="20"/>
                <w:szCs w:val="20"/>
                <w:color w:val="auto"/>
              </w:rPr>
            </w:pPr>
            <w:r>
              <w:rPr>
                <w:rFonts w:ascii="Arial" w:cs="Arial" w:eastAsia="Arial" w:hAnsi="Arial"/>
                <w:sz w:val="17"/>
                <w:szCs w:val="17"/>
                <w:color w:val="auto"/>
                <w:w w:val="95"/>
              </w:rPr>
              <w:t>10,338,654 shares outstanding, actual; and no shares issued or outstanding pro</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gridSpan w:val="3"/>
          </w:tcPr>
          <w:p>
            <w:pPr>
              <w:ind w:left="320"/>
              <w:spacing w:after="0"/>
              <w:rPr>
                <w:sz w:val="20"/>
                <w:szCs w:val="20"/>
                <w:color w:val="auto"/>
              </w:rPr>
            </w:pPr>
            <w:r>
              <w:rPr>
                <w:rFonts w:ascii="Arial" w:cs="Arial" w:eastAsia="Arial" w:hAnsi="Arial"/>
                <w:sz w:val="17"/>
                <w:szCs w:val="17"/>
                <w:color w:val="auto"/>
              </w:rPr>
              <w:t>forma or pro forma as adjusted (4)</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28,055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61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Series F preferred stock, $0.001 par value, 82,000,000 shares authorized and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w w:val="95"/>
              </w:rPr>
              <w:t>80,310,352 shares outstanding, actual; and no shares issued or outstanding pro</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0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forma or pro forma as adjusted (5)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19,476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100" w:type="dxa"/>
            <w:vAlign w:val="bottom"/>
            <w:gridSpan w:val="3"/>
          </w:tcPr>
          <w:p>
            <w:pPr>
              <w:ind w:left="160"/>
              <w:spacing w:after="0"/>
              <w:rPr>
                <w:sz w:val="20"/>
                <w:szCs w:val="20"/>
                <w:color w:val="auto"/>
              </w:rPr>
            </w:pPr>
            <w:r>
              <w:rPr>
                <w:rFonts w:ascii="Arial" w:cs="Arial" w:eastAsia="Arial" w:hAnsi="Arial"/>
                <w:sz w:val="17"/>
                <w:szCs w:val="17"/>
                <w:color w:val="auto"/>
              </w:rPr>
              <w:t>Series G preferred stock, $0.001 par value, 45,000,000 shares authorized and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gridSpan w:val="3"/>
          </w:tcPr>
          <w:p>
            <w:pPr>
              <w:ind w:left="320"/>
              <w:spacing w:after="0"/>
              <w:rPr>
                <w:sz w:val="20"/>
                <w:szCs w:val="20"/>
                <w:color w:val="auto"/>
              </w:rPr>
            </w:pPr>
            <w:r>
              <w:rPr>
                <w:rFonts w:ascii="Arial" w:cs="Arial" w:eastAsia="Arial" w:hAnsi="Arial"/>
                <w:sz w:val="17"/>
                <w:szCs w:val="17"/>
                <w:color w:val="auto"/>
                <w:w w:val="95"/>
              </w:rPr>
              <w:t>42,940,441 shares outstanding, actual; and no shares issued or outstanding pro</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gridSpan w:val="3"/>
          </w:tcPr>
          <w:p>
            <w:pPr>
              <w:ind w:left="320"/>
              <w:spacing w:after="0"/>
              <w:rPr>
                <w:sz w:val="20"/>
                <w:szCs w:val="20"/>
                <w:color w:val="auto"/>
              </w:rPr>
            </w:pPr>
            <w:r>
              <w:rPr>
                <w:rFonts w:ascii="Arial" w:cs="Arial" w:eastAsia="Arial" w:hAnsi="Arial"/>
                <w:sz w:val="17"/>
                <w:szCs w:val="17"/>
                <w:color w:val="auto"/>
              </w:rPr>
              <w:t>forma or pro forma as adjusted (6)</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14,993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61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w w:val="93"/>
              </w:rPr>
              <w:t>Common stock, $0.001 par value: 300,000,000 shares authorized; 8,529,755 shares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outstanding, actual; 269,816,365 shares issued and outstanding, pro forma;</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and</w:t>
            </w:r>
          </w:p>
        </w:tc>
        <w:tc>
          <w:tcPr>
            <w:tcW w:w="52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shares issued and outstanding pro forma as adjusted</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1,184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106,799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gridSpan w:val="3"/>
          </w:tcPr>
          <w:p>
            <w:pPr>
              <w:ind w:left="160"/>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4,679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4,679</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Accumulated other comprehensive income</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2,255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2,255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3"/>
          </w:tcPr>
          <w:p>
            <w:pPr>
              <w:ind w:left="160"/>
              <w:spacing w:after="0"/>
              <w:rPr>
                <w:sz w:val="20"/>
                <w:szCs w:val="20"/>
                <w:color w:val="auto"/>
              </w:rPr>
            </w:pPr>
            <w:r>
              <w:rPr>
                <w:rFonts w:ascii="Arial" w:cs="Arial" w:eastAsia="Arial" w:hAnsi="Arial"/>
                <w:sz w:val="17"/>
                <w:szCs w:val="17"/>
                <w:color w:val="auto"/>
              </w:rPr>
              <w:t>Accumulated deficit</w:t>
            </w:r>
          </w:p>
        </w:tc>
        <w:tc>
          <w:tcPr>
            <w:tcW w:w="14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7"/>
                <w:szCs w:val="17"/>
                <w:color w:val="auto"/>
              </w:rPr>
              <w:t>(83,193)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(83,193)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gridSpan w:val="2"/>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 stockholders' equity (deficit)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30,540</w:t>
            </w: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30,540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100" w:type="dxa"/>
            <w:vAlign w:val="bottom"/>
            <w:gridSpan w:val="3"/>
            <w:vMerge w:val="restart"/>
          </w:tcPr>
          <w:p>
            <w:pPr>
              <w:ind w:left="20"/>
              <w:spacing w:after="0"/>
              <w:rPr>
                <w:sz w:val="20"/>
                <w:szCs w:val="20"/>
                <w:color w:val="auto"/>
              </w:rPr>
            </w:pPr>
            <w:r>
              <w:rPr>
                <w:rFonts w:ascii="Arial" w:cs="Arial" w:eastAsia="Arial" w:hAnsi="Arial"/>
                <w:sz w:val="17"/>
                <w:szCs w:val="17"/>
                <w:color w:val="auto"/>
              </w:rPr>
              <w:t>Total capitalization</w:t>
            </w: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00" w:type="dxa"/>
            <w:vAlign w:val="bottom"/>
            <w:gridSpan w:val="3"/>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56,462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56,462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8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hanging="533"/>
        <w:spacing w:after="0"/>
        <w:tabs>
          <w:tab w:leader="none" w:pos="1680"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The 4,805,871 shares of our redeemable Series A preferred stock outstanding on an actual basis will convert into 15,249,354 shares of common stock upon the closing of this offering.</w:t>
      </w:r>
    </w:p>
    <w:p>
      <w:pPr>
        <w:spacing w:after="0" w:line="148" w:lineRule="exact"/>
        <w:rPr>
          <w:rFonts w:ascii="Arial" w:cs="Arial" w:eastAsia="Arial" w:hAnsi="Arial"/>
          <w:sz w:val="11"/>
          <w:szCs w:val="11"/>
          <w:color w:val="auto"/>
        </w:rPr>
      </w:pPr>
    </w:p>
    <w:p>
      <w:pPr>
        <w:ind w:left="1680" w:hanging="533"/>
        <w:spacing w:after="0"/>
        <w:tabs>
          <w:tab w:leader="none" w:pos="16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17,470,093 shares of our Series C preferred stock outstanding on an actual basis will convert into 40,366,821 shares of common stock upon the closing of this offering.</w:t>
      </w:r>
    </w:p>
    <w:p>
      <w:pPr>
        <w:spacing w:after="0" w:line="137" w:lineRule="exact"/>
        <w:rPr>
          <w:rFonts w:ascii="Arial" w:cs="Arial" w:eastAsia="Arial" w:hAnsi="Arial"/>
          <w:sz w:val="12"/>
          <w:szCs w:val="12"/>
          <w:color w:val="auto"/>
        </w:rPr>
      </w:pPr>
    </w:p>
    <w:p>
      <w:pPr>
        <w:ind w:left="1680" w:hanging="533"/>
        <w:spacing w:after="0"/>
        <w:tabs>
          <w:tab w:leader="none" w:pos="16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11,413,984 shares of our Series D preferred stock outstanding on an actual basis will convert into 28,944,936 shares of common stock upon the closing of this offering.</w:t>
      </w:r>
    </w:p>
    <w:p>
      <w:pPr>
        <w:spacing w:after="0" w:line="137" w:lineRule="exact"/>
        <w:rPr>
          <w:rFonts w:ascii="Arial" w:cs="Arial" w:eastAsia="Arial" w:hAnsi="Arial"/>
          <w:sz w:val="12"/>
          <w:szCs w:val="12"/>
          <w:color w:val="auto"/>
        </w:rPr>
      </w:pPr>
    </w:p>
    <w:p>
      <w:pPr>
        <w:ind w:left="1680" w:hanging="533"/>
        <w:spacing w:after="0"/>
        <w:tabs>
          <w:tab w:leader="none" w:pos="16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10,338,654 shares of our Series E preferred stock outstanding on an actual basis will convert into 37,411,163 shares of common stock upon the closing of this offering.</w:t>
      </w: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680" w:hanging="533"/>
        <w:spacing w:after="0"/>
        <w:tabs>
          <w:tab w:leader="none" w:pos="16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80,310,352 shares of our Series F preferred stock outstanding on an actual basis will convert into 96,373,895 shares of common stock upon the closing of this offering.</w:t>
      </w:r>
    </w:p>
    <w:p>
      <w:pPr>
        <w:spacing w:after="0" w:line="137" w:lineRule="exact"/>
        <w:rPr>
          <w:rFonts w:ascii="Arial" w:cs="Arial" w:eastAsia="Arial" w:hAnsi="Arial"/>
          <w:sz w:val="12"/>
          <w:szCs w:val="12"/>
          <w:color w:val="auto"/>
        </w:rPr>
      </w:pPr>
    </w:p>
    <w:p>
      <w:pPr>
        <w:ind w:left="1680" w:hanging="533"/>
        <w:spacing w:after="0"/>
        <w:tabs>
          <w:tab w:leader="none" w:pos="16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42,940,441 shares of our Series G preferred stock outstanding on an actual basis will convert into 42,940,441 shares of common stock upon the closing of this offering.</w:t>
      </w:r>
    </w:p>
    <w:p>
      <w:pPr>
        <w:spacing w:after="0" w:line="137" w:lineRule="exact"/>
        <w:rPr>
          <w:rFonts w:ascii="Arial" w:cs="Arial" w:eastAsia="Arial" w:hAnsi="Arial"/>
          <w:sz w:val="12"/>
          <w:szCs w:val="12"/>
          <w:color w:val="auto"/>
        </w:rPr>
      </w:pPr>
    </w:p>
    <w:p>
      <w:pPr>
        <w:ind w:left="1680" w:hanging="533"/>
        <w:spacing w:after="0"/>
        <w:tabs>
          <w:tab w:leader="none" w:pos="16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 $1.00 increase (decrease) in the assumed initial public offering price of $  per share, which is the midpoint of the range listed on the cover page of this prospectus, would increase</w:t>
      </w:r>
    </w:p>
    <w:p>
      <w:pPr>
        <w:spacing w:after="0" w:line="16" w:lineRule="exact"/>
        <w:rPr>
          <w:sz w:val="20"/>
          <w:szCs w:val="20"/>
          <w:color w:val="auto"/>
        </w:rPr>
      </w:pPr>
    </w:p>
    <w:p>
      <w:pPr>
        <w:ind w:left="1680"/>
        <w:spacing w:after="0"/>
        <w:tabs>
          <w:tab w:leader="none" w:pos="9360" w:val="left"/>
        </w:tabs>
        <w:rPr>
          <w:sz w:val="20"/>
          <w:szCs w:val="20"/>
          <w:color w:val="auto"/>
        </w:rPr>
      </w:pPr>
      <w:r>
        <w:rPr>
          <w:rFonts w:ascii="Arial" w:cs="Arial" w:eastAsia="Arial" w:hAnsi="Arial"/>
          <w:sz w:val="12"/>
          <w:szCs w:val="12"/>
          <w:color w:val="auto"/>
        </w:rPr>
        <w:t>(decrease) each of pro forma as adjusted additional paid-in capital, total stockholders' equity (deficit) and total capitalization by approximately $</w:t>
      </w:r>
      <w:r>
        <w:rPr>
          <w:sz w:val="20"/>
          <w:szCs w:val="20"/>
          <w:color w:val="auto"/>
        </w:rPr>
        <w:tab/>
      </w:r>
      <w:r>
        <w:rPr>
          <w:rFonts w:ascii="Arial" w:cs="Arial" w:eastAsia="Arial" w:hAnsi="Arial"/>
          <w:sz w:val="7"/>
          <w:szCs w:val="7"/>
          <w:color w:val="auto"/>
        </w:rPr>
        <w:t>.</w:t>
      </w:r>
    </w:p>
    <w:p>
      <w:pPr>
        <w:spacing w:after="0" w:line="206"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The number of shares of our common stock to be outstanding after this offering is based on 269,816,365 shares of our common stock outstanding as of June 30, 2013. This number of shares does not include:</w:t>
      </w:r>
    </w:p>
    <w:p>
      <w:pPr>
        <w:spacing w:after="0" w:line="183" w:lineRule="exact"/>
        <w:rPr>
          <w:sz w:val="20"/>
          <w:szCs w:val="20"/>
          <w:color w:val="auto"/>
        </w:rPr>
      </w:pPr>
    </w:p>
    <w:p>
      <w:pPr>
        <w:ind w:left="1060" w:hanging="531"/>
        <w:spacing w:after="0"/>
        <w:tabs>
          <w:tab w:leader="none" w:pos="10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22,083,499 shares of common stock subject to outstanding options as of June 30, 2013, with a weighted average exercise price of $0.25436 per share;</w:t>
      </w:r>
    </w:p>
    <w:p>
      <w:pPr>
        <w:spacing w:after="0" w:line="273"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1,394,000 shares of Series F preferred stock issuable upon the exercise of outstanding warrants, with a weighted average exercise price of $0.31277 per share;</w:t>
      </w:r>
    </w:p>
    <w:p>
      <w:pPr>
        <w:spacing w:after="0" w:line="182" w:lineRule="exact"/>
        <w:rPr>
          <w:rFonts w:ascii="Arial" w:cs="Arial" w:eastAsia="Arial" w:hAnsi="Arial"/>
          <w:sz w:val="17"/>
          <w:szCs w:val="17"/>
          <w:color w:val="auto"/>
        </w:rPr>
      </w:pPr>
    </w:p>
    <w:p>
      <w:pPr>
        <w:ind w:left="1060" w:right="100" w:hanging="531"/>
        <w:spacing w:after="0" w:line="28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299,109 shares of Series G preferred stock issuable upon the exercise of outstanding warrants, with a weighted average exercise price of $0.43284 per share; and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24,000,000 shares of common stock available for future sale or issuance under our stock option plans.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DILUTION</w:t>
      </w:r>
    </w:p>
    <w:p>
      <w:pPr>
        <w:spacing w:after="0" w:line="228" w:lineRule="exact"/>
        <w:rPr>
          <w:sz w:val="20"/>
          <w:szCs w:val="20"/>
          <w:color w:val="auto"/>
        </w:rPr>
      </w:pPr>
    </w:p>
    <w:p>
      <w:pPr>
        <w:jc w:val="both"/>
        <w:ind w:right="200" w:firstLine="341"/>
        <w:spacing w:after="0" w:line="294" w:lineRule="auto"/>
        <w:rPr>
          <w:sz w:val="20"/>
          <w:szCs w:val="20"/>
          <w:color w:val="auto"/>
        </w:rPr>
      </w:pPr>
      <w:r>
        <w:rPr>
          <w:rFonts w:ascii="Arial" w:cs="Arial" w:eastAsia="Arial" w:hAnsi="Arial"/>
          <w:sz w:val="15"/>
          <w:szCs w:val="15"/>
          <w:color w:val="auto"/>
        </w:rPr>
        <w:t>If you invest in our common stock, your interest will be diluted to the extent of the difference between the initial public offering price per share of our common stock and the pro forma net tangible book value per share of our common stock after this offering. We calculate actual net tangible book value per share by dividing the net tangible book value, or tangible assets less total liabilities, by the number of outstanding shares of common stock. Our actual net tangible book value at</w:t>
      </w:r>
    </w:p>
    <w:p>
      <w:pPr>
        <w:spacing w:after="0" w:line="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June 30, 2013, was $28.8 million, or $3.37 per share. We calculate pro forma net tangible book value per share by dividing the net tangible book value, tangible assets less total liabilities, by the number of outstanding shares of common stock after giving effect to the assumed conversion of all of our convertible preferred stock. Our pro forma net tangible book value at June 30, 2013, was $28.8 million, or $0.11 per share.</w:t>
      </w:r>
    </w:p>
    <w:p>
      <w:pPr>
        <w:spacing w:after="0" w:line="183" w:lineRule="exact"/>
        <w:rPr>
          <w:sz w:val="20"/>
          <w:szCs w:val="20"/>
          <w:color w:val="auto"/>
        </w:rPr>
      </w:pPr>
    </w:p>
    <w:p>
      <w:pPr>
        <w:jc w:val="both"/>
        <w:ind w:right="140" w:firstLine="332"/>
        <w:spacing w:after="0" w:line="296" w:lineRule="auto"/>
        <w:rPr>
          <w:sz w:val="20"/>
          <w:szCs w:val="20"/>
          <w:color w:val="auto"/>
        </w:rPr>
      </w:pPr>
      <w:r>
        <w:rPr>
          <w:rFonts w:ascii="Arial" w:cs="Arial" w:eastAsia="Arial" w:hAnsi="Arial"/>
          <w:sz w:val="15"/>
          <w:szCs w:val="15"/>
          <w:color w:val="auto"/>
        </w:rPr>
        <w:t>After giving effect to the sale of the shares of common stock by us at the assumed initial public offering price of $ per share, which is the midpoint of the range listed on the cover page of this prospectus, and after deducting the underwriting discounts and commissions and estimated offering expenses payable by us,</w:t>
      </w:r>
    </w:p>
    <w:tbl>
      <w:tblPr>
        <w:tblLayout w:type="fixed"/>
        <w:tblInd w:w="0" w:type="dxa"/>
        <w:tblCellMar>
          <w:top w:w="0" w:type="dxa"/>
          <w:left w:w="0" w:type="dxa"/>
          <w:bottom w:w="0" w:type="dxa"/>
          <w:right w:w="0" w:type="dxa"/>
        </w:tblCellMar>
      </w:tblPr>
      <w:tr>
        <w:trPr>
          <w:trHeight w:val="204"/>
        </w:trPr>
        <w:tc>
          <w:tcPr>
            <w:tcW w:w="5540" w:type="dxa"/>
            <w:vAlign w:val="bottom"/>
            <w:gridSpan w:val="4"/>
          </w:tcPr>
          <w:p>
            <w:pPr>
              <w:spacing w:after="0"/>
              <w:rPr>
                <w:sz w:val="20"/>
                <w:szCs w:val="20"/>
                <w:color w:val="auto"/>
              </w:rPr>
            </w:pPr>
            <w:r>
              <w:rPr>
                <w:rFonts w:ascii="Arial" w:cs="Arial" w:eastAsia="Arial" w:hAnsi="Arial"/>
                <w:sz w:val="17"/>
                <w:szCs w:val="17"/>
                <w:color w:val="auto"/>
                <w:w w:val="92"/>
              </w:rPr>
              <w:t>our pro forma as adjusted net tangible book value at June 30, 2013, would be $</w:t>
            </w:r>
          </w:p>
        </w:tc>
        <w:tc>
          <w:tcPr>
            <w:tcW w:w="660" w:type="dxa"/>
            <w:vAlign w:val="bottom"/>
          </w:tcPr>
          <w:p>
            <w:pPr>
              <w:ind w:left="140"/>
              <w:spacing w:after="0"/>
              <w:rPr>
                <w:sz w:val="20"/>
                <w:szCs w:val="20"/>
                <w:color w:val="auto"/>
              </w:rPr>
            </w:pPr>
            <w:r>
              <w:rPr>
                <w:rFonts w:ascii="Arial" w:cs="Arial" w:eastAsia="Arial" w:hAnsi="Arial"/>
                <w:sz w:val="17"/>
                <w:szCs w:val="17"/>
                <w:color w:val="auto"/>
              </w:rPr>
              <w:t>, or $</w:t>
            </w:r>
          </w:p>
        </w:tc>
        <w:tc>
          <w:tcPr>
            <w:tcW w:w="4840" w:type="dxa"/>
            <w:vAlign w:val="bottom"/>
            <w:gridSpan w:val="5"/>
          </w:tcPr>
          <w:p>
            <w:pPr>
              <w:jc w:val="right"/>
              <w:spacing w:after="0"/>
              <w:rPr>
                <w:sz w:val="20"/>
                <w:szCs w:val="20"/>
                <w:color w:val="auto"/>
              </w:rPr>
            </w:pPr>
            <w:r>
              <w:rPr>
                <w:rFonts w:ascii="Arial" w:cs="Arial" w:eastAsia="Arial" w:hAnsi="Arial"/>
                <w:sz w:val="17"/>
                <w:szCs w:val="17"/>
                <w:color w:val="auto"/>
                <w:w w:val="91"/>
              </w:rPr>
              <w:t>per share. This represents an immediate increase in the pro forma net</w:t>
            </w:r>
          </w:p>
        </w:tc>
        <w:tc>
          <w:tcPr>
            <w:tcW w:w="0" w:type="dxa"/>
            <w:vAlign w:val="bottom"/>
          </w:tcPr>
          <w:p>
            <w:pPr>
              <w:spacing w:after="0"/>
              <w:rPr>
                <w:sz w:val="1"/>
                <w:szCs w:val="1"/>
                <w:color w:val="auto"/>
              </w:rPr>
            </w:pPr>
          </w:p>
        </w:tc>
      </w:tr>
      <w:tr>
        <w:trPr>
          <w:trHeight w:val="210"/>
        </w:trPr>
        <w:tc>
          <w:tcPr>
            <w:tcW w:w="1700" w:type="dxa"/>
            <w:vAlign w:val="bottom"/>
            <w:gridSpan w:val="2"/>
          </w:tcPr>
          <w:p>
            <w:pPr>
              <w:spacing w:after="0"/>
              <w:rPr>
                <w:sz w:val="20"/>
                <w:szCs w:val="20"/>
                <w:color w:val="auto"/>
              </w:rPr>
            </w:pPr>
            <w:r>
              <w:rPr>
                <w:rFonts w:ascii="Arial" w:cs="Arial" w:eastAsia="Arial" w:hAnsi="Arial"/>
                <w:sz w:val="17"/>
                <w:szCs w:val="17"/>
                <w:color w:val="auto"/>
                <w:w w:val="93"/>
              </w:rPr>
              <w:t>tangible book value of $</w:t>
            </w:r>
          </w:p>
        </w:tc>
        <w:tc>
          <w:tcPr>
            <w:tcW w:w="20" w:type="dxa"/>
            <w:vAlign w:val="bottom"/>
          </w:tcPr>
          <w:p>
            <w:pPr>
              <w:spacing w:after="0"/>
              <w:rPr>
                <w:sz w:val="18"/>
                <w:szCs w:val="18"/>
                <w:color w:val="auto"/>
              </w:rPr>
            </w:pPr>
          </w:p>
        </w:tc>
        <w:tc>
          <w:tcPr>
            <w:tcW w:w="4800" w:type="dxa"/>
            <w:vAlign w:val="bottom"/>
            <w:gridSpan w:val="3"/>
          </w:tcPr>
          <w:p>
            <w:pPr>
              <w:ind w:left="240"/>
              <w:spacing w:after="0"/>
              <w:rPr>
                <w:sz w:val="20"/>
                <w:szCs w:val="20"/>
                <w:color w:val="auto"/>
              </w:rPr>
            </w:pPr>
            <w:r>
              <w:rPr>
                <w:rFonts w:ascii="Arial" w:cs="Arial" w:eastAsia="Arial" w:hAnsi="Arial"/>
                <w:sz w:val="17"/>
                <w:szCs w:val="17"/>
                <w:color w:val="auto"/>
                <w:w w:val="93"/>
              </w:rPr>
              <w:t>per share to existing stockholders and an immediate dilution of $</w:t>
            </w:r>
          </w:p>
        </w:tc>
        <w:tc>
          <w:tcPr>
            <w:tcW w:w="4520" w:type="dxa"/>
            <w:vAlign w:val="bottom"/>
            <w:gridSpan w:val="4"/>
          </w:tcPr>
          <w:p>
            <w:pPr>
              <w:jc w:val="right"/>
              <w:spacing w:after="0"/>
              <w:rPr>
                <w:sz w:val="20"/>
                <w:szCs w:val="20"/>
                <w:color w:val="auto"/>
              </w:rPr>
            </w:pPr>
            <w:r>
              <w:rPr>
                <w:rFonts w:ascii="Arial" w:cs="Arial" w:eastAsia="Arial" w:hAnsi="Arial"/>
                <w:sz w:val="17"/>
                <w:szCs w:val="17"/>
                <w:color w:val="auto"/>
                <w:w w:val="93"/>
              </w:rPr>
              <w:t>per share to new investors purchasing shares at the initial public</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7"/>
                <w:szCs w:val="17"/>
                <w:color w:val="auto"/>
              </w:rPr>
              <w:t>offering price of $</w:t>
            </w:r>
          </w:p>
        </w:tc>
        <w:tc>
          <w:tcPr>
            <w:tcW w:w="4800" w:type="dxa"/>
            <w:vAlign w:val="bottom"/>
            <w:gridSpan w:val="4"/>
          </w:tcPr>
          <w:p>
            <w:pPr>
              <w:ind w:left="140"/>
              <w:spacing w:after="0"/>
              <w:rPr>
                <w:sz w:val="20"/>
                <w:szCs w:val="20"/>
                <w:color w:val="auto"/>
              </w:rPr>
            </w:pPr>
            <w:r>
              <w:rPr>
                <w:rFonts w:ascii="Arial" w:cs="Arial" w:eastAsia="Arial" w:hAnsi="Arial"/>
                <w:sz w:val="17"/>
                <w:szCs w:val="17"/>
                <w:color w:val="auto"/>
                <w:w w:val="98"/>
              </w:rPr>
              <w:t>per share. The following table illustrates this per share dilution:</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2"/>
          </w:tcPr>
          <w:p>
            <w:pPr>
              <w:ind w:left="180"/>
              <w:spacing w:after="0"/>
              <w:rPr>
                <w:sz w:val="20"/>
                <w:szCs w:val="20"/>
                <w:color w:val="auto"/>
              </w:rPr>
            </w:pPr>
            <w:r>
              <w:rPr>
                <w:rFonts w:ascii="Arial" w:cs="Arial" w:eastAsia="Arial" w:hAnsi="Arial"/>
                <w:sz w:val="17"/>
                <w:szCs w:val="17"/>
                <w:color w:val="auto"/>
                <w:w w:val="98"/>
              </w:rPr>
              <w:t>Actual net tangible book value per share at June 30, 2013</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3.37</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2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Dilution per share to existing investors from conversion of preferred stock</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3.26</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2"/>
          </w:tcPr>
          <w:p>
            <w:pPr>
              <w:ind w:left="180"/>
              <w:spacing w:after="0"/>
              <w:rPr>
                <w:sz w:val="20"/>
                <w:szCs w:val="20"/>
                <w:color w:val="auto"/>
              </w:rPr>
            </w:pPr>
            <w:r>
              <w:rPr>
                <w:rFonts w:ascii="Arial" w:cs="Arial" w:eastAsia="Arial" w:hAnsi="Arial"/>
                <w:sz w:val="17"/>
                <w:szCs w:val="17"/>
                <w:color w:val="auto"/>
                <w:w w:val="92"/>
              </w:rPr>
              <w:t>Pro forma net tangible book value per share at June 30, 2013</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0.11</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Increase per share attributable to new investors</w:t>
            </w:r>
          </w:p>
        </w:tc>
        <w:tc>
          <w:tcPr>
            <w:tcW w:w="6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40" w:type="dxa"/>
            <w:vAlign w:val="bottom"/>
            <w:gridSpan w:val="5"/>
          </w:tcPr>
          <w:p>
            <w:pPr>
              <w:ind w:left="20"/>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12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Dilution per share to new investors in this offering</w:t>
            </w:r>
          </w:p>
        </w:tc>
        <w:tc>
          <w:tcPr>
            <w:tcW w:w="6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If the underwriters' over-allotment option were exercised in full, the pro forma as adjusted net tangible book value per share after the offering would be $ per share, the increase in net tangible book value per share attributable to new investors would be $ per share and the dilution per share to new investors in this offering would be $ per share, in each case assuming an initial public offering price of $ per share.</w:t>
      </w:r>
    </w:p>
    <w:p>
      <w:pPr>
        <w:spacing w:after="0" w:line="179" w:lineRule="exact"/>
        <w:rPr>
          <w:sz w:val="20"/>
          <w:szCs w:val="20"/>
          <w:color w:val="auto"/>
        </w:rPr>
      </w:pPr>
    </w:p>
    <w:p>
      <w:pPr>
        <w:jc w:val="both"/>
        <w:ind w:right="140" w:firstLine="338"/>
        <w:spacing w:after="0" w:line="294" w:lineRule="auto"/>
        <w:rPr>
          <w:sz w:val="20"/>
          <w:szCs w:val="20"/>
          <w:color w:val="auto"/>
        </w:rPr>
      </w:pPr>
      <w:r>
        <w:rPr>
          <w:rFonts w:ascii="Arial" w:cs="Arial" w:eastAsia="Arial" w:hAnsi="Arial"/>
          <w:sz w:val="16"/>
          <w:szCs w:val="16"/>
          <w:color w:val="auto"/>
        </w:rPr>
        <w:t>The following table shows on a pro forma as adjusted basis at June 30, 2013 and after giving effect to this offering the differences between existing stockholders and new investors with respect to the number of shares of common stock purchased from us, the total consideration paid to us and the average price paid per share by existing stockholders and by new investors purchasing common stock in this offering before deducting underwriting discounts and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Table of Contents</w:t>
              </w:r>
            </w:hyperlink>
          </w:p>
        </w:tc>
        <w:tc>
          <w:tcPr>
            <w:tcW w:w="3720" w:type="dxa"/>
            <w:vAlign w:val="bottom"/>
            <w:gridSpan w:val="2"/>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6480" w:type="dxa"/>
            <w:vAlign w:val="bottom"/>
            <w:gridSpan w:val="6"/>
          </w:tcPr>
          <w:p>
            <w:pPr>
              <w:spacing w:after="0"/>
              <w:rPr>
                <w:sz w:val="20"/>
                <w:szCs w:val="20"/>
                <w:color w:val="auto"/>
              </w:rPr>
            </w:pPr>
            <w:r>
              <w:rPr>
                <w:rFonts w:ascii="Arial" w:cs="Arial" w:eastAsia="Arial" w:hAnsi="Arial"/>
                <w:sz w:val="17"/>
                <w:szCs w:val="17"/>
                <w:color w:val="auto"/>
                <w:w w:val="93"/>
              </w:rPr>
              <w:t>commissions. The calculation below is based on an assumed initial public offering price of $</w:t>
            </w:r>
          </w:p>
        </w:tc>
        <w:tc>
          <w:tcPr>
            <w:tcW w:w="1140" w:type="dxa"/>
            <w:vAlign w:val="bottom"/>
            <w:gridSpan w:val="4"/>
          </w:tcPr>
          <w:p>
            <w:pPr>
              <w:ind w:left="140"/>
              <w:spacing w:after="0"/>
              <w:rPr>
                <w:sz w:val="20"/>
                <w:szCs w:val="20"/>
                <w:color w:val="auto"/>
              </w:rPr>
            </w:pPr>
            <w:r>
              <w:rPr>
                <w:rFonts w:ascii="Arial" w:cs="Arial" w:eastAsia="Arial" w:hAnsi="Arial"/>
                <w:sz w:val="17"/>
                <w:szCs w:val="17"/>
                <w:color w:val="auto"/>
              </w:rPr>
              <w:t>per share:</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540" w:type="dxa"/>
            <w:vAlign w:val="bottom"/>
            <w:tcBorders>
              <w:bottom w:val="single" w:sz="8" w:color="auto"/>
            </w:tcBorders>
            <w:gridSpan w:val="3"/>
          </w:tcPr>
          <w:p>
            <w:pPr>
              <w:ind w:left="420"/>
              <w:spacing w:after="0"/>
              <w:rPr>
                <w:sz w:val="20"/>
                <w:szCs w:val="20"/>
                <w:color w:val="auto"/>
              </w:rPr>
            </w:pPr>
            <w:r>
              <w:rPr>
                <w:rFonts w:ascii="Arial" w:cs="Arial" w:eastAsia="Arial" w:hAnsi="Arial"/>
                <w:sz w:val="13"/>
                <w:szCs w:val="13"/>
                <w:b w:val="1"/>
                <w:bCs w:val="1"/>
                <w:color w:val="auto"/>
                <w:w w:val="97"/>
              </w:rPr>
              <w:t>Shares purchased</w:t>
            </w: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rPr>
              <w:t>Total consideration</w:t>
            </w:r>
          </w:p>
        </w:tc>
        <w:tc>
          <w:tcPr>
            <w:tcW w:w="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Average price</w:t>
            </w: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6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5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2"/>
              </w:rPr>
              <w:t>Percent</w:t>
            </w:r>
          </w:p>
        </w:tc>
        <w:tc>
          <w:tcPr>
            <w:tcW w:w="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6"/>
              </w:rPr>
              <w:t>Percent</w:t>
            </w:r>
          </w:p>
        </w:tc>
        <w:tc>
          <w:tcPr>
            <w:tcW w:w="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per share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269,816,365</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834"/>
              <w:spacing w:after="0"/>
              <w:rPr>
                <w:sz w:val="20"/>
                <w:szCs w:val="20"/>
                <w:color w:val="auto"/>
              </w:rPr>
            </w:pPr>
            <w:r>
              <w:rPr>
                <w:rFonts w:ascii="Arial" w:cs="Arial" w:eastAsia="Arial" w:hAnsi="Arial"/>
                <w:sz w:val="17"/>
                <w:szCs w:val="17"/>
                <w:color w:val="auto"/>
                <w:w w:val="95"/>
              </w:rPr>
              <w:t>% $</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New investors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7"/>
                <w:szCs w:val="17"/>
                <w:color w:val="auto"/>
                <w:w w:val="92"/>
              </w:rPr>
              <w: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3"/>
          </w:tcPr>
          <w:p>
            <w:pPr>
              <w:jc w:val="right"/>
              <w:ind w:right="834"/>
              <w:spacing w:after="0"/>
              <w:rPr>
                <w:sz w:val="20"/>
                <w:szCs w:val="20"/>
                <w:color w:val="auto"/>
              </w:rPr>
            </w:pPr>
            <w:r>
              <w:rPr>
                <w:rFonts w:ascii="Arial" w:cs="Arial" w:eastAsia="Arial" w:hAnsi="Arial"/>
                <w:sz w:val="17"/>
                <w:szCs w:val="17"/>
                <w:color w:val="auto"/>
                <w:w w:val="95"/>
              </w:rPr>
              <w:t>%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834"/>
              <w:spacing w:after="0"/>
              <w:rPr>
                <w:sz w:val="20"/>
                <w:szCs w:val="20"/>
                <w:color w:val="auto"/>
              </w:rPr>
            </w:pPr>
            <w:r>
              <w:rPr>
                <w:rFonts w:ascii="Arial" w:cs="Arial" w:eastAsia="Arial" w:hAnsi="Arial"/>
                <w:sz w:val="17"/>
                <w:szCs w:val="17"/>
                <w:color w:val="auto"/>
                <w:w w:val="95"/>
              </w:rPr>
              <w:t>% $</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firstLine="341"/>
        <w:spacing w:after="0" w:line="282" w:lineRule="auto"/>
        <w:rPr>
          <w:sz w:val="20"/>
          <w:szCs w:val="20"/>
          <w:color w:val="auto"/>
        </w:rPr>
      </w:pPr>
      <w:r>
        <w:rPr>
          <w:rFonts w:ascii="Arial" w:cs="Arial" w:eastAsia="Arial" w:hAnsi="Arial"/>
          <w:sz w:val="17"/>
          <w:szCs w:val="17"/>
          <w:color w:val="auto"/>
        </w:rPr>
        <w:t>If the underwriters' over-allotment option is exercised in full, the number of shares held by new investors would increase to , or approximately % of the total number of shares of our common stock outstanding after completion of this offering.</w:t>
      </w:r>
    </w:p>
    <w:p>
      <w:pPr>
        <w:spacing w:after="0" w:line="170"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The number of shares of our common stock to be outstanding after this offering is based on 269,816,365 shares of our common stock outstanding as of June 30, 2013. This number of shares does not include:</w:t>
      </w:r>
    </w:p>
    <w:p>
      <w:pPr>
        <w:spacing w:after="0" w:line="183" w:lineRule="exact"/>
        <w:rPr>
          <w:sz w:val="20"/>
          <w:szCs w:val="20"/>
          <w:color w:val="auto"/>
        </w:rPr>
      </w:pPr>
    </w:p>
    <w:p>
      <w:pPr>
        <w:ind w:left="1060" w:hanging="531"/>
        <w:spacing w:after="0"/>
        <w:tabs>
          <w:tab w:leader="none" w:pos="10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22,083,499 shares of common stock subject to outstanding options as of June 30, 2013, with a weighted average exercise price of $0.25436 per share;</w:t>
      </w:r>
    </w:p>
    <w:p>
      <w:pPr>
        <w:spacing w:after="0" w:line="273"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1,394,000 shares of Series F preferred stock issuable upon the exercise of outstanding warrants, with a weighted average exercise price of $0.31277 per share;</w:t>
      </w:r>
    </w:p>
    <w:p>
      <w:pPr>
        <w:spacing w:after="0" w:line="182" w:lineRule="exact"/>
        <w:rPr>
          <w:rFonts w:ascii="Arial" w:cs="Arial" w:eastAsia="Arial" w:hAnsi="Arial"/>
          <w:sz w:val="17"/>
          <w:szCs w:val="17"/>
          <w:color w:val="auto"/>
        </w:rPr>
      </w:pPr>
    </w:p>
    <w:p>
      <w:pPr>
        <w:ind w:left="1060" w:right="100" w:hanging="531"/>
        <w:spacing w:after="0" w:line="28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299,109 shares of Series G preferred stock issuable upon the exercise of outstanding warrants, with a weighted average exercise price of $0.43284 per share; and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24,000,000 shares of common stock available for future sale or issuance under our stock option plans.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SELECTED CONSOLIDATED FINANCIAL DATA</w:t>
      </w:r>
    </w:p>
    <w:p>
      <w:pPr>
        <w:spacing w:after="0" w:line="228"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 selected consolidated financial data in this section is not intended to replace our consolidated financial statements and the related notes. You should read this summary consolidated financial data together with the sections titled "Management's Discussion and Analysis of Financial Condition and Results of Operations" and our audited consolidated financial statements and related notes, all included elsewhere in this prospectus. We derived the consolidated statements of operations data for the years ended December 31, 2010, 2011 and 2012 and the consolidated balance sheet data as of December 31, 2011 and 2012 from our consolidated financial statements appearing elsewhere in this prospectus. The consolidated statements of operations data for the six months ended June 30, 2012 and 2013 and the consolidated balance sheet data as of June 30, 2013 have been derived from our unaudited consolidated financial statements included elsewhere in this prospectus. Our historical results are not necessarily indicative of the results to be expected in the future and results of interim periods are not necessarily indicative of results for the entire year.</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87"/>
              </w:rPr>
              <w:t>Six months ended</w:t>
            </w:r>
          </w:p>
        </w:tc>
        <w:tc>
          <w:tcPr>
            <w:tcW w:w="0" w:type="dxa"/>
            <w:vAlign w:val="bottom"/>
          </w:tcPr>
          <w:p>
            <w:pPr>
              <w:spacing w:after="0"/>
              <w:rPr>
                <w:sz w:val="1"/>
                <w:szCs w:val="1"/>
                <w:color w:val="auto"/>
              </w:rPr>
            </w:pPr>
          </w:p>
        </w:tc>
      </w:tr>
      <w:tr>
        <w:trPr>
          <w:trHeight w:val="157"/>
        </w:trPr>
        <w:tc>
          <w:tcPr>
            <w:tcW w:w="28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Years ended December 31,</w:t>
            </w: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center"/>
              <w:ind w:left="354"/>
              <w:spacing w:after="0"/>
              <w:rPr>
                <w:sz w:val="20"/>
                <w:szCs w:val="20"/>
                <w:color w:val="auto"/>
              </w:rPr>
            </w:pPr>
            <w:r>
              <w:rPr>
                <w:rFonts w:ascii="Arial" w:cs="Arial" w:eastAsia="Arial" w:hAnsi="Arial"/>
                <w:sz w:val="13"/>
                <w:szCs w:val="13"/>
                <w:b w:val="1"/>
                <w:bCs w:val="1"/>
                <w:color w:val="auto"/>
                <w:w w:val="88"/>
              </w:rPr>
              <w:t>June 30,</w:t>
            </w: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8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4"/>
              <w:spacing w:after="0" w:line="138" w:lineRule="exact"/>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74"/>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74"/>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94"/>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9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94"/>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94"/>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gridSpan w:val="9"/>
            <w:vMerge w:val="restart"/>
          </w:tcPr>
          <w:p>
            <w:pPr>
              <w:spacing w:after="0"/>
              <w:rPr>
                <w:sz w:val="20"/>
                <w:szCs w:val="20"/>
                <w:color w:val="auto"/>
              </w:rPr>
            </w:pPr>
            <w:r>
              <w:rPr>
                <w:rFonts w:ascii="Arial" w:cs="Arial" w:eastAsia="Arial" w:hAnsi="Arial"/>
                <w:sz w:val="13"/>
                <w:szCs w:val="13"/>
                <w:b w:val="1"/>
                <w:bCs w:val="1"/>
                <w:color w:val="auto"/>
                <w:w w:val="92"/>
              </w:rPr>
              <w:t>(in thousands, except share and per share data)</w:t>
            </w:r>
          </w:p>
        </w:tc>
        <w:tc>
          <w:tcPr>
            <w:tcW w:w="140" w:type="dxa"/>
            <w:vAlign w:val="bottom"/>
          </w:tcPr>
          <w:p>
            <w:pPr>
              <w:spacing w:after="0"/>
              <w:rPr>
                <w:sz w:val="14"/>
                <w:szCs w:val="14"/>
                <w:color w:val="auto"/>
              </w:rPr>
            </w:pPr>
          </w:p>
        </w:tc>
        <w:tc>
          <w:tcPr>
            <w:tcW w:w="168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60" w:type="dxa"/>
            <w:vAlign w:val="bottom"/>
            <w:gridSpan w:val="9"/>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Consolidated Statements of Operations Data:</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spacing w:after="0" w:line="144" w:lineRule="exact"/>
              <w:rPr>
                <w:sz w:val="20"/>
                <w:szCs w:val="20"/>
                <w:color w:val="auto"/>
              </w:rPr>
            </w:pPr>
            <w:r>
              <w:rPr>
                <w:rFonts w:ascii="Arial" w:cs="Arial" w:eastAsia="Arial" w:hAnsi="Arial"/>
                <w:sz w:val="13"/>
                <w:szCs w:val="13"/>
                <w:color w:val="auto"/>
              </w:rPr>
              <w:t>Revenue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31,224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24,969</w:t>
            </w:r>
          </w:p>
        </w:tc>
        <w:tc>
          <w:tcPr>
            <w:tcW w:w="16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40,489</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47,840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63,421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28,144</w:t>
            </w:r>
          </w:p>
        </w:tc>
        <w:tc>
          <w:tcPr>
            <w:tcW w:w="200" w:type="dxa"/>
            <w:vAlign w:val="bottom"/>
          </w:tcPr>
          <w:p>
            <w:pPr>
              <w:jc w:val="right"/>
              <w:ind w:right="54"/>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33,914</w:t>
            </w:r>
          </w:p>
        </w:tc>
        <w:tc>
          <w:tcPr>
            <w:tcW w:w="0" w:type="dxa"/>
            <w:vAlign w:val="bottom"/>
          </w:tcPr>
          <w:p>
            <w:pPr>
              <w:spacing w:after="0"/>
              <w:rPr>
                <w:sz w:val="1"/>
                <w:szCs w:val="1"/>
                <w:color w:val="auto"/>
              </w:rPr>
            </w:pPr>
          </w:p>
        </w:tc>
      </w:tr>
      <w:tr>
        <w:trPr>
          <w:trHeight w:val="144"/>
        </w:trPr>
        <w:tc>
          <w:tcPr>
            <w:tcW w:w="2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Cost of goods sold (1)</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25,562</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21,525</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27,539</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34,468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44,492</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19,331</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23,882</w:t>
            </w:r>
          </w:p>
        </w:tc>
        <w:tc>
          <w:tcPr>
            <w:tcW w:w="0" w:type="dxa"/>
            <w:vAlign w:val="bottom"/>
          </w:tcPr>
          <w:p>
            <w:pPr>
              <w:spacing w:after="0"/>
              <w:rPr>
                <w:sz w:val="1"/>
                <w:szCs w:val="1"/>
                <w:color w:val="auto"/>
              </w:rPr>
            </w:pPr>
          </w:p>
        </w:tc>
      </w:tr>
      <w:tr>
        <w:trPr>
          <w:trHeight w:val="26"/>
        </w:trPr>
        <w:tc>
          <w:tcPr>
            <w:tcW w:w="2880" w:type="dxa"/>
            <w:vAlign w:val="bottom"/>
            <w:vMerge w:val="restart"/>
          </w:tcPr>
          <w:p>
            <w:pPr>
              <w:spacing w:after="0"/>
              <w:rPr>
                <w:sz w:val="20"/>
                <w:szCs w:val="20"/>
                <w:color w:val="auto"/>
              </w:rPr>
            </w:pPr>
            <w:r>
              <w:rPr>
                <w:rFonts w:ascii="Arial" w:cs="Arial" w:eastAsia="Arial" w:hAnsi="Arial"/>
                <w:sz w:val="13"/>
                <w:szCs w:val="13"/>
                <w:color w:val="auto"/>
              </w:rPr>
              <w:t>Gross profit</w:t>
            </w: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880" w:type="dxa"/>
            <w:vAlign w:val="bottom"/>
            <w:vMerge w:val="continue"/>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5,662</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3,444</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12,950</w:t>
            </w:r>
          </w:p>
        </w:tc>
        <w:tc>
          <w:tcPr>
            <w:tcW w:w="1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13,372</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18,929</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8,813</w:t>
            </w:r>
          </w:p>
        </w:tc>
        <w:tc>
          <w:tcPr>
            <w:tcW w:w="1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10,032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88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Operating expenses: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60"/>
              <w:spacing w:after="0" w:line="144" w:lineRule="exact"/>
              <w:rPr>
                <w:sz w:val="20"/>
                <w:szCs w:val="20"/>
                <w:color w:val="auto"/>
              </w:rPr>
            </w:pPr>
            <w:r>
              <w:rPr>
                <w:rFonts w:ascii="Arial" w:cs="Arial" w:eastAsia="Arial" w:hAnsi="Arial"/>
                <w:sz w:val="13"/>
                <w:szCs w:val="13"/>
                <w:color w:val="auto"/>
              </w:rPr>
              <w:t>Research and development (1)</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7,117</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5,707</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5,176</w:t>
            </w:r>
          </w:p>
        </w:tc>
        <w:tc>
          <w:tcPr>
            <w:tcW w:w="220" w:type="dxa"/>
            <w:vAlign w:val="bottom"/>
          </w:tcPr>
          <w:p>
            <w:pPr>
              <w:spacing w:after="0"/>
              <w:rPr>
                <w:sz w:val="12"/>
                <w:szCs w:val="12"/>
                <w:color w:val="auto"/>
              </w:rPr>
            </w:pPr>
          </w:p>
        </w:tc>
        <w:tc>
          <w:tcPr>
            <w:tcW w:w="7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6,451</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7,603</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3,284</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3,902</w:t>
            </w:r>
          </w:p>
        </w:tc>
        <w:tc>
          <w:tcPr>
            <w:tcW w:w="0" w:type="dxa"/>
            <w:vAlign w:val="bottom"/>
          </w:tcPr>
          <w:p>
            <w:pPr>
              <w:spacing w:after="0"/>
              <w:rPr>
                <w:sz w:val="1"/>
                <w:szCs w:val="1"/>
                <w:color w:val="auto"/>
              </w:rPr>
            </w:pPr>
          </w:p>
        </w:tc>
      </w:tr>
      <w:tr>
        <w:trPr>
          <w:trHeight w:val="144"/>
        </w:trPr>
        <w:tc>
          <w:tcPr>
            <w:tcW w:w="288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Sales and marketing (1)</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2,907</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2,018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1,993</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2,412</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3,135</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1,614</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1,959</w:t>
            </w:r>
          </w:p>
        </w:tc>
        <w:tc>
          <w:tcPr>
            <w:tcW w:w="0" w:type="dxa"/>
            <w:vAlign w:val="bottom"/>
          </w:tcPr>
          <w:p>
            <w:pPr>
              <w:spacing w:after="0"/>
              <w:rPr>
                <w:sz w:val="1"/>
                <w:szCs w:val="1"/>
                <w:color w:val="auto"/>
              </w:rPr>
            </w:pPr>
          </w:p>
        </w:tc>
      </w:tr>
      <w:tr>
        <w:trPr>
          <w:trHeight w:val="144"/>
        </w:trPr>
        <w:tc>
          <w:tcPr>
            <w:tcW w:w="2880" w:type="dxa"/>
            <w:vAlign w:val="bottom"/>
          </w:tcPr>
          <w:p>
            <w:pPr>
              <w:ind w:left="260"/>
              <w:spacing w:after="0" w:line="144" w:lineRule="exact"/>
              <w:rPr>
                <w:sz w:val="20"/>
                <w:szCs w:val="20"/>
                <w:color w:val="auto"/>
              </w:rPr>
            </w:pPr>
            <w:r>
              <w:rPr>
                <w:rFonts w:ascii="Arial" w:cs="Arial" w:eastAsia="Arial" w:hAnsi="Arial"/>
                <w:sz w:val="13"/>
                <w:szCs w:val="13"/>
                <w:color w:val="auto"/>
              </w:rPr>
              <w:t>General and administrative (1)</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10,171</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7,298</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8,382</w:t>
            </w:r>
          </w:p>
        </w:tc>
        <w:tc>
          <w:tcPr>
            <w:tcW w:w="220" w:type="dxa"/>
            <w:vAlign w:val="bottom"/>
          </w:tcPr>
          <w:p>
            <w:pPr>
              <w:spacing w:after="0"/>
              <w:rPr>
                <w:sz w:val="12"/>
                <w:szCs w:val="12"/>
                <w:color w:val="auto"/>
              </w:rPr>
            </w:pPr>
          </w:p>
        </w:tc>
        <w:tc>
          <w:tcPr>
            <w:tcW w:w="7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8,243</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8,012</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3,912</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4,822</w:t>
            </w:r>
          </w:p>
        </w:tc>
        <w:tc>
          <w:tcPr>
            <w:tcW w:w="0" w:type="dxa"/>
            <w:vAlign w:val="bottom"/>
          </w:tcPr>
          <w:p>
            <w:pPr>
              <w:spacing w:after="0"/>
              <w:rPr>
                <w:sz w:val="1"/>
                <w:szCs w:val="1"/>
                <w:color w:val="auto"/>
              </w:rPr>
            </w:pPr>
          </w:p>
        </w:tc>
      </w:tr>
      <w:tr>
        <w:trPr>
          <w:trHeight w:val="144"/>
        </w:trPr>
        <w:tc>
          <w:tcPr>
            <w:tcW w:w="288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Asset impairment charges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3,651</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492</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
        </w:trPr>
        <w:tc>
          <w:tcPr>
            <w:tcW w:w="2880" w:type="dxa"/>
            <w:vAlign w:val="bottom"/>
            <w:vMerge w:val="restart"/>
          </w:tcPr>
          <w:p>
            <w:pPr>
              <w:ind w:left="120"/>
              <w:spacing w:after="0"/>
              <w:rPr>
                <w:sz w:val="20"/>
                <w:szCs w:val="20"/>
                <w:color w:val="auto"/>
              </w:rPr>
            </w:pPr>
            <w:r>
              <w:rPr>
                <w:rFonts w:ascii="Arial" w:cs="Arial" w:eastAsia="Arial" w:hAnsi="Arial"/>
                <w:sz w:val="13"/>
                <w:szCs w:val="13"/>
                <w:color w:val="auto"/>
              </w:rPr>
              <w:t>Total operating expenses</w:t>
            </w: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880" w:type="dxa"/>
            <w:vAlign w:val="bottom"/>
            <w:vMerge w:val="continue"/>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23,846</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15,023</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16,043</w:t>
            </w:r>
          </w:p>
        </w:tc>
        <w:tc>
          <w:tcPr>
            <w:tcW w:w="1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17,106</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18,750</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8,810</w:t>
            </w:r>
          </w:p>
        </w:tc>
        <w:tc>
          <w:tcPr>
            <w:tcW w:w="1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10,683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88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Income (loss) from operations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(18,184)</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(11,580)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(3,093)</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(3,734)</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179</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3</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(651)</w:t>
            </w:r>
          </w:p>
        </w:tc>
        <w:tc>
          <w:tcPr>
            <w:tcW w:w="0" w:type="dxa"/>
            <w:vAlign w:val="bottom"/>
          </w:tcPr>
          <w:p>
            <w:pPr>
              <w:spacing w:after="0"/>
              <w:rPr>
                <w:sz w:val="1"/>
                <w:szCs w:val="1"/>
                <w:color w:val="auto"/>
              </w:rPr>
            </w:pPr>
          </w:p>
        </w:tc>
      </w:tr>
      <w:tr>
        <w:trPr>
          <w:trHeight w:val="144"/>
        </w:trPr>
        <w:tc>
          <w:tcPr>
            <w:tcW w:w="2880" w:type="dxa"/>
            <w:vAlign w:val="bottom"/>
          </w:tcPr>
          <w:p>
            <w:pPr>
              <w:spacing w:after="0" w:line="144" w:lineRule="exact"/>
              <w:rPr>
                <w:sz w:val="20"/>
                <w:szCs w:val="20"/>
                <w:color w:val="auto"/>
              </w:rPr>
            </w:pPr>
            <w:r>
              <w:rPr>
                <w:rFonts w:ascii="Arial" w:cs="Arial" w:eastAsia="Arial" w:hAnsi="Arial"/>
                <w:sz w:val="13"/>
                <w:szCs w:val="13"/>
                <w:color w:val="auto"/>
              </w:rPr>
              <w:t>Interest and other income (expense), net: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Interest income</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12</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34</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15</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26</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44"/>
        </w:trPr>
        <w:tc>
          <w:tcPr>
            <w:tcW w:w="2880" w:type="dxa"/>
            <w:vAlign w:val="bottom"/>
          </w:tcPr>
          <w:p>
            <w:pPr>
              <w:ind w:left="260"/>
              <w:spacing w:after="0" w:line="144" w:lineRule="exact"/>
              <w:rPr>
                <w:sz w:val="20"/>
                <w:szCs w:val="20"/>
                <w:color w:val="auto"/>
              </w:rPr>
            </w:pPr>
            <w:r>
              <w:rPr>
                <w:rFonts w:ascii="Arial" w:cs="Arial" w:eastAsia="Arial" w:hAnsi="Arial"/>
                <w:sz w:val="13"/>
                <w:szCs w:val="13"/>
                <w:color w:val="auto"/>
              </w:rPr>
              <w:t>Interest expense</w:t>
            </w: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(983)</w:t>
            </w: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(1,038)</w:t>
            </w: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(906)</w:t>
            </w:r>
          </w:p>
        </w:tc>
        <w:tc>
          <w:tcPr>
            <w:tcW w:w="220" w:type="dxa"/>
            <w:vAlign w:val="bottom"/>
          </w:tcPr>
          <w:p>
            <w:pPr>
              <w:spacing w:after="0"/>
              <w:rPr>
                <w:sz w:val="12"/>
                <w:szCs w:val="12"/>
                <w:color w:val="auto"/>
              </w:rPr>
            </w:pPr>
          </w:p>
        </w:tc>
        <w:tc>
          <w:tcPr>
            <w:tcW w:w="7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(1,338)</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(1,381)</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(717)</w:t>
            </w:r>
          </w:p>
        </w:tc>
        <w:tc>
          <w:tcPr>
            <w:tcW w:w="200" w:type="dxa"/>
            <w:vAlign w:val="bottom"/>
          </w:tcPr>
          <w:p>
            <w:pPr>
              <w:spacing w:after="0"/>
              <w:rPr>
                <w:sz w:val="12"/>
                <w:szCs w:val="12"/>
                <w:color w:val="auto"/>
              </w:rPr>
            </w:pPr>
          </w:p>
        </w:tc>
        <w:tc>
          <w:tcPr>
            <w:tcW w:w="7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(602)</w:t>
            </w:r>
          </w:p>
        </w:tc>
        <w:tc>
          <w:tcPr>
            <w:tcW w:w="0" w:type="dxa"/>
            <w:vAlign w:val="bottom"/>
          </w:tcPr>
          <w:p>
            <w:pPr>
              <w:spacing w:after="0"/>
              <w:rPr>
                <w:sz w:val="1"/>
                <w:szCs w:val="1"/>
                <w:color w:val="auto"/>
              </w:rPr>
            </w:pPr>
          </w:p>
        </w:tc>
      </w:tr>
      <w:tr>
        <w:trPr>
          <w:trHeight w:val="144"/>
        </w:trPr>
        <w:tc>
          <w:tcPr>
            <w:tcW w:w="288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Other income (expense), net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(187)</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68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585</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(271)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231</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90</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26"/>
        </w:trPr>
        <w:tc>
          <w:tcPr>
            <w:tcW w:w="2880" w:type="dxa"/>
            <w:vAlign w:val="bottom"/>
            <w:vMerge w:val="restart"/>
          </w:tcPr>
          <w:p>
            <w:pPr>
              <w:ind w:left="120"/>
              <w:spacing w:after="0"/>
              <w:rPr>
                <w:sz w:val="20"/>
                <w:szCs w:val="20"/>
                <w:color w:val="auto"/>
              </w:rPr>
            </w:pPr>
            <w:r>
              <w:rPr>
                <w:rFonts w:ascii="Arial" w:cs="Arial" w:eastAsia="Arial" w:hAnsi="Arial"/>
                <w:sz w:val="13"/>
                <w:szCs w:val="13"/>
                <w:color w:val="auto"/>
              </w:rPr>
              <w:t>Total interest and other income (expense), net</w:t>
            </w: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880" w:type="dxa"/>
            <w:vAlign w:val="bottom"/>
            <w:vMerge w:val="continue"/>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(1,159)</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(964)</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(287)</w:t>
            </w:r>
          </w:p>
        </w:tc>
        <w:tc>
          <w:tcPr>
            <w:tcW w:w="1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(1,594)</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(1,124)</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(620)</w:t>
            </w:r>
          </w:p>
        </w:tc>
        <w:tc>
          <w:tcPr>
            <w:tcW w:w="1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88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(19,342)</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(12,543)</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(3,380)</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(5,328)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(945)</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(617)</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(1,276)</w:t>
            </w:r>
          </w:p>
        </w:tc>
        <w:tc>
          <w:tcPr>
            <w:tcW w:w="0" w:type="dxa"/>
            <w:vAlign w:val="bottom"/>
          </w:tcPr>
          <w:p>
            <w:pPr>
              <w:spacing w:after="0"/>
              <w:rPr>
                <w:sz w:val="1"/>
                <w:szCs w:val="1"/>
                <w:color w:val="auto"/>
              </w:rPr>
            </w:pPr>
          </w:p>
        </w:tc>
      </w:tr>
      <w:tr>
        <w:trPr>
          <w:trHeight w:val="168"/>
        </w:trPr>
        <w:tc>
          <w:tcPr>
            <w:tcW w:w="2880" w:type="dxa"/>
            <w:vAlign w:val="bottom"/>
          </w:tcPr>
          <w:p>
            <w:pPr>
              <w:spacing w:after="0"/>
              <w:rPr>
                <w:sz w:val="20"/>
                <w:szCs w:val="20"/>
                <w:color w:val="auto"/>
              </w:rPr>
            </w:pPr>
            <w:r>
              <w:rPr>
                <w:rFonts w:ascii="Arial" w:cs="Arial" w:eastAsia="Arial" w:hAnsi="Arial"/>
                <w:sz w:val="13"/>
                <w:szCs w:val="13"/>
                <w:color w:val="auto"/>
              </w:rPr>
              <w:t>Benefit from (provision for) income taxes</w:t>
            </w:r>
          </w:p>
        </w:tc>
        <w:tc>
          <w:tcPr>
            <w:tcW w:w="12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(54)</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38</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1"/>
        </w:trPr>
        <w:tc>
          <w:tcPr>
            <w:tcW w:w="28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Net income (loss) attributable to common</w:t>
            </w: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stockholders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(19,397)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(12,505)</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(3,380)</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(5,328)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(945)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(617)</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(1,276)</w:t>
            </w:r>
          </w:p>
        </w:tc>
        <w:tc>
          <w:tcPr>
            <w:tcW w:w="0" w:type="dxa"/>
            <w:vAlign w:val="bottom"/>
          </w:tcPr>
          <w:p>
            <w:pPr>
              <w:spacing w:after="0"/>
              <w:rPr>
                <w:sz w:val="1"/>
                <w:szCs w:val="1"/>
                <w:color w:val="auto"/>
              </w:rPr>
            </w:pPr>
          </w:p>
        </w:tc>
      </w:tr>
      <w:tr>
        <w:trPr>
          <w:trHeight w:val="135"/>
        </w:trPr>
        <w:tc>
          <w:tcPr>
            <w:tcW w:w="2880" w:type="dxa"/>
            <w:vAlign w:val="bottom"/>
          </w:tcPr>
          <w:p>
            <w:pPr>
              <w:spacing w:after="0" w:line="136" w:lineRule="exact"/>
              <w:rPr>
                <w:sz w:val="20"/>
                <w:szCs w:val="20"/>
                <w:color w:val="auto"/>
              </w:rPr>
            </w:pPr>
            <w:r>
              <w:rPr>
                <w:rFonts w:ascii="Arial" w:cs="Arial" w:eastAsia="Arial" w:hAnsi="Arial"/>
                <w:sz w:val="13"/>
                <w:szCs w:val="13"/>
                <w:color w:val="auto"/>
              </w:rPr>
              <w:t>Accretion of redeemable convertible preferred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880" w:type="dxa"/>
            <w:vAlign w:val="bottom"/>
          </w:tcPr>
          <w:p>
            <w:pPr>
              <w:ind w:left="120"/>
              <w:spacing w:after="0"/>
              <w:rPr>
                <w:sz w:val="20"/>
                <w:szCs w:val="20"/>
                <w:color w:val="auto"/>
              </w:rPr>
            </w:pPr>
            <w:r>
              <w:rPr>
                <w:rFonts w:ascii="Arial" w:cs="Arial" w:eastAsia="Arial" w:hAnsi="Arial"/>
                <w:sz w:val="13"/>
                <w:szCs w:val="13"/>
                <w:color w:val="auto"/>
              </w:rPr>
              <w:t>stock and convertible preferred stock</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Net income (loss) attributable to common</w:t>
            </w: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stockholders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(19,397)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(12,505)</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(3,380)</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(5,328)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(945)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(617)</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(1,276)</w:t>
            </w:r>
          </w:p>
        </w:tc>
        <w:tc>
          <w:tcPr>
            <w:tcW w:w="0" w:type="dxa"/>
            <w:vAlign w:val="bottom"/>
          </w:tcPr>
          <w:p>
            <w:pPr>
              <w:spacing w:after="0"/>
              <w:rPr>
                <w:sz w:val="1"/>
                <w:szCs w:val="1"/>
                <w:color w:val="auto"/>
              </w:rPr>
            </w:pPr>
          </w:p>
        </w:tc>
      </w:tr>
      <w:tr>
        <w:trPr>
          <w:trHeight w:val="26"/>
        </w:trPr>
        <w:tc>
          <w:tcPr>
            <w:tcW w:w="2880" w:type="dxa"/>
            <w:vAlign w:val="bottom"/>
            <w:vMerge w:val="restart"/>
          </w:tcPr>
          <w:p>
            <w:pPr>
              <w:spacing w:after="0"/>
              <w:rPr>
                <w:sz w:val="20"/>
                <w:szCs w:val="20"/>
                <w:color w:val="auto"/>
              </w:rPr>
            </w:pPr>
            <w:r>
              <w:rPr>
                <w:rFonts w:ascii="Arial" w:cs="Arial" w:eastAsia="Arial" w:hAnsi="Arial"/>
                <w:sz w:val="13"/>
                <w:szCs w:val="13"/>
                <w:color w:val="auto"/>
                <w:w w:val="96"/>
              </w:rPr>
              <w:t>Net income (loss) per share attributable to common</w:t>
            </w: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8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880" w:type="dxa"/>
            <w:vAlign w:val="bottom"/>
          </w:tcPr>
          <w:p>
            <w:pPr>
              <w:ind w:left="120"/>
              <w:spacing w:after="0"/>
              <w:rPr>
                <w:sz w:val="20"/>
                <w:szCs w:val="20"/>
                <w:color w:val="auto"/>
              </w:rPr>
            </w:pPr>
            <w:r>
              <w:rPr>
                <w:rFonts w:ascii="Arial" w:cs="Arial" w:eastAsia="Arial" w:hAnsi="Arial"/>
                <w:sz w:val="13"/>
                <w:szCs w:val="13"/>
                <w:color w:val="auto"/>
              </w:rPr>
              <w:t>stockholders: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Basic and diluted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(2.55)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(1.61)</w:t>
            </w:r>
          </w:p>
        </w:tc>
        <w:tc>
          <w:tcPr>
            <w:tcW w:w="1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(0.44)</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(0.67)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(0.12)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(0.08)</w:t>
            </w:r>
          </w:p>
        </w:tc>
        <w:tc>
          <w:tcPr>
            <w:tcW w:w="200" w:type="dxa"/>
            <w:vAlign w:val="bottom"/>
            <w:shd w:val="clear" w:color="auto" w:fill="CCEEFF"/>
          </w:tcPr>
          <w:p>
            <w:pPr>
              <w:jc w:val="right"/>
              <w:ind w:right="54"/>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(0.16)</w:t>
            </w:r>
          </w:p>
        </w:tc>
        <w:tc>
          <w:tcPr>
            <w:tcW w:w="0" w:type="dxa"/>
            <w:vAlign w:val="bottom"/>
          </w:tcPr>
          <w:p>
            <w:pPr>
              <w:spacing w:after="0"/>
              <w:rPr>
                <w:sz w:val="1"/>
                <w:szCs w:val="1"/>
                <w:color w:val="auto"/>
              </w:rPr>
            </w:pPr>
          </w:p>
        </w:tc>
      </w:tr>
      <w:tr>
        <w:trPr>
          <w:trHeight w:val="26"/>
        </w:trPr>
        <w:tc>
          <w:tcPr>
            <w:tcW w:w="2880" w:type="dxa"/>
            <w:vAlign w:val="bottom"/>
            <w:vMerge w:val="restart"/>
          </w:tcPr>
          <w:p>
            <w:pPr>
              <w:spacing w:after="0"/>
              <w:rPr>
                <w:sz w:val="20"/>
                <w:szCs w:val="20"/>
                <w:color w:val="auto"/>
              </w:rPr>
            </w:pPr>
            <w:r>
              <w:rPr>
                <w:rFonts w:ascii="Arial" w:cs="Arial" w:eastAsia="Arial" w:hAnsi="Arial"/>
                <w:sz w:val="13"/>
                <w:szCs w:val="13"/>
                <w:color w:val="auto"/>
              </w:rPr>
              <w:t>Weighted average shares used to compute net</w:t>
            </w: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8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120"/>
              <w:spacing w:after="0" w:line="144" w:lineRule="exact"/>
              <w:rPr>
                <w:sz w:val="20"/>
                <w:szCs w:val="20"/>
                <w:color w:val="auto"/>
              </w:rPr>
            </w:pPr>
            <w:r>
              <w:rPr>
                <w:rFonts w:ascii="Arial" w:cs="Arial" w:eastAsia="Arial" w:hAnsi="Arial"/>
                <w:sz w:val="13"/>
                <w:szCs w:val="13"/>
                <w:color w:val="auto"/>
              </w:rPr>
              <w:t>income (loss) per share attributable to common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80" w:type="dxa"/>
            <w:vAlign w:val="bottom"/>
          </w:tcPr>
          <w:p>
            <w:pPr>
              <w:ind w:left="120"/>
              <w:spacing w:after="0"/>
              <w:rPr>
                <w:sz w:val="20"/>
                <w:szCs w:val="20"/>
                <w:color w:val="auto"/>
              </w:rPr>
            </w:pPr>
            <w:r>
              <w:rPr>
                <w:rFonts w:ascii="Arial" w:cs="Arial" w:eastAsia="Arial" w:hAnsi="Arial"/>
                <w:sz w:val="13"/>
                <w:szCs w:val="13"/>
                <w:color w:val="auto"/>
              </w:rPr>
              <w:t>stockholders: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Basic and diluted</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6"/>
              </w:rPr>
              <w:t>7,620,283</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7,752,429</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7,767,035</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89"/>
              </w:rPr>
              <w:t>7,909,736</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7,967,272</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7,957,574</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96"/>
              </w:rPr>
              <w:t>8,031,323</w:t>
            </w:r>
          </w:p>
        </w:tc>
        <w:tc>
          <w:tcPr>
            <w:tcW w:w="0" w:type="dxa"/>
            <w:vAlign w:val="bottom"/>
          </w:tcPr>
          <w:p>
            <w:pPr>
              <w:spacing w:after="0"/>
              <w:rPr>
                <w:sz w:val="1"/>
                <w:szCs w:val="1"/>
                <w:color w:val="auto"/>
              </w:rPr>
            </w:pPr>
          </w:p>
        </w:tc>
      </w:tr>
      <w:tr>
        <w:trPr>
          <w:trHeight w:val="26"/>
        </w:trPr>
        <w:tc>
          <w:tcPr>
            <w:tcW w:w="2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16814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8148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520" w:hanging="515"/>
        <w:spacing w:after="0" w:line="256" w:lineRule="auto"/>
        <w:tabs>
          <w:tab w:leader="none" w:pos="5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These expenses include stock-based compensation expense. Stock-based compensation expense is accounted for at fair value, using the Black-Scholes option-pricing model. Stock-based compensation expense is recognized over the vesting period of the stock options and was included in cost of goods sold and operating expenses as follows: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center"/>
              <w:ind w:left="214"/>
              <w:spacing w:after="0"/>
              <w:rPr>
                <w:sz w:val="20"/>
                <w:szCs w:val="20"/>
                <w:color w:val="auto"/>
              </w:rPr>
            </w:pPr>
            <w:r>
              <w:rPr>
                <w:rFonts w:ascii="Arial" w:cs="Arial" w:eastAsia="Arial" w:hAnsi="Arial"/>
                <w:sz w:val="13"/>
                <w:szCs w:val="13"/>
                <w:b w:val="1"/>
                <w:bCs w:val="1"/>
                <w:color w:val="auto"/>
                <w:w w:val="91"/>
              </w:rPr>
              <w:t>Six</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months</w:t>
            </w:r>
          </w:p>
        </w:tc>
        <w:tc>
          <w:tcPr>
            <w:tcW w:w="0" w:type="dxa"/>
            <w:vAlign w:val="bottom"/>
          </w:tcPr>
          <w:p>
            <w:pPr>
              <w:spacing w:after="0"/>
              <w:rPr>
                <w:sz w:val="1"/>
                <w:szCs w:val="1"/>
                <w:color w:val="auto"/>
              </w:rPr>
            </w:pPr>
          </w:p>
        </w:tc>
      </w:tr>
      <w:tr>
        <w:trPr>
          <w:trHeight w:val="144"/>
        </w:trPr>
        <w:tc>
          <w:tcPr>
            <w:tcW w:w="3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ended</w:t>
            </w:r>
          </w:p>
        </w:tc>
        <w:tc>
          <w:tcPr>
            <w:tcW w:w="0" w:type="dxa"/>
            <w:vAlign w:val="bottom"/>
          </w:tcPr>
          <w:p>
            <w:pPr>
              <w:spacing w:after="0"/>
              <w:rPr>
                <w:sz w:val="1"/>
                <w:szCs w:val="1"/>
                <w:color w:val="auto"/>
              </w:rPr>
            </w:pPr>
          </w:p>
        </w:tc>
      </w:tr>
      <w:tr>
        <w:trPr>
          <w:trHeight w:val="157"/>
        </w:trPr>
        <w:tc>
          <w:tcPr>
            <w:tcW w:w="3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9"/>
          </w:tcPr>
          <w:p>
            <w:pPr>
              <w:ind w:left="20"/>
              <w:spacing w:after="0"/>
              <w:rPr>
                <w:sz w:val="20"/>
                <w:szCs w:val="20"/>
                <w:color w:val="auto"/>
              </w:rPr>
            </w:pPr>
            <w:r>
              <w:rPr>
                <w:rFonts w:ascii="Arial" w:cs="Arial" w:eastAsia="Arial" w:hAnsi="Arial"/>
                <w:sz w:val="13"/>
                <w:szCs w:val="13"/>
                <w:b w:val="1"/>
                <w:bCs w:val="1"/>
                <w:color w:val="auto"/>
              </w:rPr>
              <w:t>Years ended December 31,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137"/>
        </w:trPr>
        <w:tc>
          <w:tcPr>
            <w:tcW w:w="3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74"/>
              <w:spacing w:after="0" w:line="138" w:lineRule="exact"/>
              <w:rPr>
                <w:sz w:val="20"/>
                <w:szCs w:val="20"/>
                <w:color w:val="auto"/>
              </w:rPr>
            </w:pPr>
            <w:r>
              <w:rPr>
                <w:rFonts w:ascii="Arial" w:cs="Arial" w:eastAsia="Arial" w:hAnsi="Arial"/>
                <w:sz w:val="13"/>
                <w:szCs w:val="13"/>
                <w:b w:val="1"/>
                <w:bCs w:val="1"/>
                <w:color w:val="auto"/>
                <w:w w:val="89"/>
              </w:rPr>
              <w:t>2008</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34"/>
              <w:spacing w:after="0" w:line="138" w:lineRule="exact"/>
              <w:rPr>
                <w:sz w:val="20"/>
                <w:szCs w:val="20"/>
                <w:color w:val="auto"/>
              </w:rPr>
            </w:pPr>
            <w:r>
              <w:rPr>
                <w:rFonts w:ascii="Arial" w:cs="Arial" w:eastAsia="Arial" w:hAnsi="Arial"/>
                <w:sz w:val="13"/>
                <w:szCs w:val="13"/>
                <w:b w:val="1"/>
                <w:bCs w:val="1"/>
                <w:color w:val="auto"/>
                <w:w w:val="82"/>
              </w:rPr>
              <w:t>2009</w:t>
            </w: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w w:val="89"/>
              </w:rPr>
              <w:t>2010</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34"/>
              <w:spacing w:after="0" w:line="138" w:lineRule="exact"/>
              <w:rPr>
                <w:sz w:val="20"/>
                <w:szCs w:val="20"/>
                <w:color w:val="auto"/>
              </w:rPr>
            </w:pPr>
            <w:r>
              <w:rPr>
                <w:rFonts w:ascii="Arial" w:cs="Arial" w:eastAsia="Arial" w:hAnsi="Arial"/>
                <w:sz w:val="13"/>
                <w:szCs w:val="13"/>
                <w:b w:val="1"/>
                <w:bCs w:val="1"/>
                <w:color w:val="auto"/>
                <w:w w:val="82"/>
              </w:rPr>
              <w:t>2011</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34"/>
              <w:spacing w:after="0" w:line="138" w:lineRule="exact"/>
              <w:rPr>
                <w:sz w:val="20"/>
                <w:szCs w:val="20"/>
                <w:color w:val="auto"/>
              </w:rPr>
            </w:pPr>
            <w:r>
              <w:rPr>
                <w:rFonts w:ascii="Arial" w:cs="Arial" w:eastAsia="Arial" w:hAnsi="Arial"/>
                <w:sz w:val="13"/>
                <w:szCs w:val="13"/>
                <w:b w:val="1"/>
                <w:bCs w:val="1"/>
                <w:color w:val="auto"/>
                <w:w w:val="82"/>
              </w:rPr>
              <w:t>2012</w:t>
            </w: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5"/>
            <w:vMerge w:val="restart"/>
          </w:tcPr>
          <w:p>
            <w:pPr>
              <w:ind w:left="280"/>
              <w:spacing w:after="0"/>
              <w:rPr>
                <w:sz w:val="20"/>
                <w:szCs w:val="20"/>
                <w:color w:val="auto"/>
              </w:rPr>
            </w:pPr>
            <w:r>
              <w:rPr>
                <w:rFonts w:ascii="Arial" w:cs="Arial" w:eastAsia="Arial" w:hAnsi="Arial"/>
                <w:sz w:val="13"/>
                <w:szCs w:val="13"/>
                <w:b w:val="1"/>
                <w:bCs w:val="1"/>
                <w:color w:val="auto"/>
                <w:w w:val="89"/>
              </w:rPr>
              <w:t>(in thousands)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120"/>
        </w:trPr>
        <w:tc>
          <w:tcPr>
            <w:tcW w:w="3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Cost of goods sold</w:t>
            </w:r>
          </w:p>
        </w:tc>
        <w:tc>
          <w:tcPr>
            <w:tcW w:w="12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110</w:t>
            </w:r>
          </w:p>
        </w:tc>
        <w:tc>
          <w:tcPr>
            <w:tcW w:w="2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102</w:t>
            </w:r>
          </w:p>
        </w:tc>
        <w:tc>
          <w:tcPr>
            <w:tcW w:w="2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61</w:t>
            </w:r>
          </w:p>
        </w:tc>
        <w:tc>
          <w:tcPr>
            <w:tcW w:w="24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w:t>
            </w:r>
          </w:p>
        </w:tc>
        <w:tc>
          <w:tcPr>
            <w:tcW w:w="1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w:t>
            </w:r>
          </w:p>
        </w:tc>
        <w:tc>
          <w:tcPr>
            <w:tcW w:w="24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w:t>
            </w:r>
          </w:p>
        </w:tc>
        <w:tc>
          <w:tcPr>
            <w:tcW w:w="2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120"/>
              <w:spacing w:after="0" w:line="144" w:lineRule="exact"/>
              <w:rPr>
                <w:sz w:val="20"/>
                <w:szCs w:val="20"/>
                <w:color w:val="auto"/>
              </w:rPr>
            </w:pPr>
            <w:r>
              <w:rPr>
                <w:rFonts w:ascii="Arial" w:cs="Arial" w:eastAsia="Arial" w:hAnsi="Arial"/>
                <w:sz w:val="13"/>
                <w:szCs w:val="13"/>
                <w:color w:val="auto"/>
              </w:rPr>
              <w:t>Research and development</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4" w:lineRule="exact"/>
              <w:rPr>
                <w:sz w:val="20"/>
                <w:szCs w:val="20"/>
                <w:color w:val="auto"/>
              </w:rPr>
            </w:pPr>
            <w:r>
              <w:rPr>
                <w:rFonts w:ascii="Arial" w:cs="Arial" w:eastAsia="Arial" w:hAnsi="Arial"/>
                <w:sz w:val="13"/>
                <w:szCs w:val="13"/>
                <w:color w:val="auto"/>
              </w:rPr>
              <w:t>143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98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50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Sales and marketing</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120"/>
              <w:spacing w:after="0"/>
              <w:rPr>
                <w:sz w:val="20"/>
                <w:szCs w:val="20"/>
                <w:color w:val="auto"/>
              </w:rPr>
            </w:pPr>
            <w:r>
              <w:rPr>
                <w:rFonts w:ascii="Arial" w:cs="Arial" w:eastAsia="Arial" w:hAnsi="Arial"/>
                <w:sz w:val="13"/>
                <w:szCs w:val="13"/>
                <w:color w:val="auto"/>
              </w:rPr>
              <w:t>General and administrative</w:t>
            </w: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668</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579</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24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 stock-based compensation expense</w:t>
            </w:r>
          </w:p>
        </w:tc>
        <w:tc>
          <w:tcPr>
            <w:tcW w:w="12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1,033</w:t>
            </w:r>
          </w:p>
        </w:tc>
        <w:tc>
          <w:tcPr>
            <w:tcW w:w="2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913</w:t>
            </w:r>
          </w:p>
        </w:tc>
        <w:tc>
          <w:tcPr>
            <w:tcW w:w="2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780</w:t>
            </w:r>
          </w:p>
        </w:tc>
        <w:tc>
          <w:tcPr>
            <w:tcW w:w="24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563</w:t>
            </w:r>
          </w:p>
        </w:tc>
        <w:tc>
          <w:tcPr>
            <w:tcW w:w="1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161</w:t>
            </w:r>
          </w:p>
        </w:tc>
        <w:tc>
          <w:tcPr>
            <w:tcW w:w="24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36</w:t>
            </w:r>
          </w:p>
        </w:tc>
        <w:tc>
          <w:tcPr>
            <w:tcW w:w="2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240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3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5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Six</w:t>
            </w:r>
          </w:p>
        </w:tc>
      </w:tr>
      <w:tr>
        <w:trPr>
          <w:trHeight w:val="144"/>
        </w:trPr>
        <w:tc>
          <w:tcPr>
            <w:tcW w:w="15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months</w:t>
            </w:r>
          </w:p>
        </w:tc>
      </w:tr>
      <w:tr>
        <w:trPr>
          <w:trHeight w:val="144"/>
        </w:trPr>
        <w:tc>
          <w:tcPr>
            <w:tcW w:w="15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ended</w:t>
            </w:r>
          </w:p>
        </w:tc>
      </w:tr>
      <w:tr>
        <w:trPr>
          <w:trHeight w:val="157"/>
        </w:trPr>
        <w:tc>
          <w:tcPr>
            <w:tcW w:w="15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6"/>
          </w:tcPr>
          <w:p>
            <w:pPr>
              <w:jc w:val="right"/>
              <w:spacing w:after="0"/>
              <w:rPr>
                <w:sz w:val="20"/>
                <w:szCs w:val="20"/>
                <w:color w:val="auto"/>
              </w:rPr>
            </w:pPr>
            <w:r>
              <w:rPr>
                <w:rFonts w:ascii="Arial" w:cs="Arial" w:eastAsia="Arial" w:hAnsi="Arial"/>
                <w:sz w:val="13"/>
                <w:szCs w:val="13"/>
                <w:b w:val="1"/>
                <w:bCs w:val="1"/>
                <w:color w:val="auto"/>
              </w:rPr>
              <w:t>Years ended December 31,</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June 30,</w:t>
            </w:r>
          </w:p>
        </w:tc>
      </w:tr>
      <w:tr>
        <w:trPr>
          <w:trHeight w:val="190"/>
        </w:trPr>
        <w:tc>
          <w:tcPr>
            <w:tcW w:w="15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2008</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6"/>
                <w:szCs w:val="16"/>
                <w:color w:val="auto"/>
              </w:rPr>
            </w:pPr>
          </w:p>
        </w:tc>
      </w:tr>
      <w:tr>
        <w:trPr>
          <w:trHeight w:val="215"/>
        </w:trPr>
        <w:tc>
          <w:tcPr>
            <w:tcW w:w="1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(unaudited)</w:t>
            </w:r>
          </w:p>
        </w:tc>
      </w:tr>
      <w:tr>
        <w:trPr>
          <w:trHeight w:val="198"/>
        </w:trPr>
        <w:tc>
          <w:tcPr>
            <w:tcW w:w="1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280" w:type="dxa"/>
            <w:vAlign w:val="bottom"/>
            <w:gridSpan w:val="2"/>
          </w:tcPr>
          <w:p>
            <w:pPr>
              <w:spacing w:after="0"/>
              <w:rPr>
                <w:sz w:val="20"/>
                <w:szCs w:val="20"/>
                <w:color w:val="auto"/>
              </w:rPr>
            </w:pPr>
            <w:r>
              <w:rPr>
                <w:rFonts w:ascii="Arial" w:cs="Arial" w:eastAsia="Arial" w:hAnsi="Arial"/>
                <w:sz w:val="17"/>
                <w:szCs w:val="17"/>
                <w:color w:val="auto"/>
              </w:rPr>
              <w:t>Total cash (1)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1,395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2,867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4,643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2,074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11,226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10,854</w:t>
            </w:r>
          </w:p>
        </w:tc>
      </w:tr>
      <w:tr>
        <w:trPr>
          <w:trHeight w:val="210"/>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Working capital (2)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7,511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(2,322)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(1,911)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13,669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14,003</w:t>
            </w:r>
          </w:p>
        </w:tc>
      </w:tr>
      <w:tr>
        <w:trPr>
          <w:trHeight w:val="210"/>
        </w:trPr>
        <w:tc>
          <w:tcPr>
            <w:tcW w:w="328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47,405</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45,560</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52,934</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53,723</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65,748</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71,996</w:t>
            </w:r>
          </w:p>
        </w:tc>
      </w:tr>
      <w:tr>
        <w:trPr>
          <w:trHeight w:val="210"/>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debt (3)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23,417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14,300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23,071</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22,597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24,584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25,922</w:t>
            </w:r>
          </w:p>
        </w:tc>
      </w:tr>
      <w:tr>
        <w:trPr>
          <w:trHeight w:val="201"/>
        </w:trPr>
        <w:tc>
          <w:tcPr>
            <w:tcW w:w="3280" w:type="dxa"/>
            <w:vAlign w:val="bottom"/>
            <w:gridSpan w:val="2"/>
          </w:tcPr>
          <w:p>
            <w:pPr>
              <w:spacing w:after="0"/>
              <w:rPr>
                <w:sz w:val="20"/>
                <w:szCs w:val="20"/>
                <w:color w:val="auto"/>
              </w:rPr>
            </w:pPr>
            <w:r>
              <w:rPr>
                <w:rFonts w:ascii="Arial" w:cs="Arial" w:eastAsia="Arial" w:hAnsi="Arial"/>
                <w:sz w:val="17"/>
                <w:szCs w:val="17"/>
                <w:color w:val="auto"/>
                <w:w w:val="97"/>
              </w:rPr>
              <w:t>Redeemable convertible preferred stock and</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7"/>
        </w:trPr>
        <w:tc>
          <w:tcPr>
            <w:tcW w:w="3280" w:type="dxa"/>
            <w:vAlign w:val="bottom"/>
            <w:gridSpan w:val="2"/>
          </w:tcPr>
          <w:p>
            <w:pPr>
              <w:ind w:left="180"/>
              <w:spacing w:after="0"/>
              <w:rPr>
                <w:sz w:val="20"/>
                <w:szCs w:val="20"/>
                <w:color w:val="auto"/>
              </w:rPr>
            </w:pPr>
            <w:r>
              <w:rPr>
                <w:rFonts w:ascii="Arial" w:cs="Arial" w:eastAsia="Arial" w:hAnsi="Arial"/>
                <w:sz w:val="17"/>
                <w:szCs w:val="17"/>
                <w:color w:val="auto"/>
              </w:rPr>
              <w:t>convertible preferred stock</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71,145</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90,423</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90,423</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94,373</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105,367</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105,614</w:t>
            </w:r>
          </w:p>
        </w:tc>
      </w:tr>
      <w:tr>
        <w:trPr>
          <w:trHeight w:val="211"/>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7"/>
              </w:rPr>
              <w:t>Common stock and additional paid-in-capital</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3,939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4,723</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5,303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5,864</w:t>
            </w:r>
          </w:p>
        </w:tc>
      </w:tr>
      <w:tr>
        <w:trPr>
          <w:trHeight w:val="216"/>
        </w:trPr>
        <w:tc>
          <w:tcPr>
            <w:tcW w:w="3280" w:type="dxa"/>
            <w:vAlign w:val="bottom"/>
            <w:gridSpan w:val="2"/>
          </w:tcPr>
          <w:p>
            <w:pPr>
              <w:spacing w:after="0"/>
              <w:rPr>
                <w:sz w:val="20"/>
                <w:szCs w:val="20"/>
                <w:color w:val="auto"/>
              </w:rPr>
            </w:pPr>
            <w:r>
              <w:rPr>
                <w:rFonts w:ascii="Arial" w:cs="Arial" w:eastAsia="Arial" w:hAnsi="Arial"/>
                <w:sz w:val="17"/>
                <w:szCs w:val="17"/>
                <w:color w:val="auto"/>
              </w:rPr>
              <w:t>Total deficit</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(59,758)</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(72,263)</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(75,643)</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(80,972)</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(81,917)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(83,193)</w:t>
            </w:r>
          </w:p>
        </w:tc>
      </w:tr>
      <w:tr>
        <w:trPr>
          <w:trHeight w:val="99"/>
        </w:trPr>
        <w:tc>
          <w:tcPr>
            <w:tcW w:w="152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88" w:lineRule="exact"/>
        <w:rPr>
          <w:sz w:val="20"/>
          <w:szCs w:val="20"/>
          <w:color w:val="auto"/>
        </w:rPr>
      </w:pPr>
    </w:p>
    <w:p>
      <w:pPr>
        <w:ind w:left="1680" w:hanging="533"/>
        <w:spacing w:after="0"/>
        <w:tabs>
          <w:tab w:leader="none" w:pos="1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Total cash is defined as cash, cash equivalents and restricted cash.</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Working capital is defined as total current assets less total current liabilities.</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Total debt is defined as short-term loans, notes payable and total long-term debt.</w:t>
      </w: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20"/>
          </w:cols>
          <w:pgMar w:left="240" w:top="131" w:right="6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18" w:lineRule="exact"/>
        <w:rPr>
          <w:sz w:val="20"/>
          <w:szCs w:val="20"/>
          <w:color w:val="auto"/>
        </w:rPr>
      </w:pPr>
    </w:p>
    <w:p>
      <w:pPr>
        <w:ind w:right="60" w:firstLine="341"/>
        <w:spacing w:after="0" w:line="26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the accompanying notes appearing elsewhere in this prospectus. This discussion and other parts of this prospectus contain forward-looking statements that involve risks and uncertainties, such as statements of our plans, objectives, expectations and intentions. Our actual results could differ materially from those discussed in the forward-looking statements. Factors that could cause or contribute to such differences include, but are not limited to, those discussed in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ind w:right="80" w:firstLine="338"/>
        <w:spacing w:after="0" w:line="301" w:lineRule="auto"/>
        <w:rPr>
          <w:sz w:val="20"/>
          <w:szCs w:val="20"/>
          <w:color w:val="auto"/>
        </w:rPr>
      </w:pPr>
      <w:r>
        <w:rPr>
          <w:rFonts w:ascii="Arial" w:cs="Arial" w:eastAsia="Arial" w:hAnsi="Arial"/>
          <w:sz w:val="15"/>
          <w:szCs w:val="15"/>
          <w:color w:val="auto"/>
        </w:rPr>
        <w:t>We are a leading, vertically integrated provider of fiber-optic networking products. We target three networking end-markets: CATV, FTTH and internet data centers.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CATV, FTTH and internet data center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spacing w:after="0" w:line="164" w:lineRule="exact"/>
        <w:rPr>
          <w:sz w:val="20"/>
          <w:szCs w:val="20"/>
          <w:color w:val="auto"/>
        </w:rPr>
      </w:pPr>
    </w:p>
    <w:p>
      <w:pPr>
        <w:ind w:firstLine="338"/>
        <w:spacing w:after="0" w:line="293" w:lineRule="auto"/>
        <w:rPr>
          <w:sz w:val="20"/>
          <w:szCs w:val="20"/>
          <w:color w:val="auto"/>
        </w:rPr>
      </w:pPr>
      <w:r>
        <w:rPr>
          <w:rFonts w:ascii="Arial" w:cs="Arial" w:eastAsia="Arial" w:hAnsi="Arial"/>
          <w:sz w:val="15"/>
          <w:szCs w:val="15"/>
          <w:color w:val="auto"/>
        </w:rPr>
        <w:t>The three end markets we target are all driven by significant bandwidth demand fueled by the growth of network-connected devices, video traffic, cloud computing and online social networking. Within the CATV market, we benefit from a number of ongoing trends including the global build-out of CATV infrastructure, the move to higher bandwidth networks among CATV service providers and the outsourcing of system design among CATV networking equipment companies. In the FTTH market, we benefit from continuing PON deployments and system upgrades among telecommunication service providers. Within the internet data center market, we benefit from the increasing use of higher-capacity optical networking technology as a replacement for copper cables, particularly as speeds reach</w:t>
      </w:r>
    </w:p>
    <w:p>
      <w:pPr>
        <w:spacing w:after="0" w:line="2"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color w:val="auto"/>
        </w:rPr>
        <w:t>10 gigabits per second and above, as well as the movement to open internet data center architectures and the increasing use of in-house equipment design among leading internet companies.</w:t>
      </w:r>
    </w:p>
    <w:p>
      <w:pPr>
        <w:spacing w:after="0" w:line="175" w:lineRule="exact"/>
        <w:rPr>
          <w:sz w:val="20"/>
          <w:szCs w:val="20"/>
          <w:color w:val="auto"/>
        </w:rPr>
      </w:pPr>
    </w:p>
    <w:p>
      <w:pPr>
        <w:ind w:right="40" w:firstLine="338"/>
        <w:spacing w:after="0" w:line="279" w:lineRule="auto"/>
        <w:rPr>
          <w:sz w:val="20"/>
          <w:szCs w:val="20"/>
          <w:color w:val="auto"/>
        </w:rPr>
      </w:pPr>
      <w:r>
        <w:rPr>
          <w:rFonts w:ascii="Arial" w:cs="Arial" w:eastAsia="Arial" w:hAnsi="Arial"/>
          <w:sz w:val="16"/>
          <w:szCs w:val="16"/>
          <w:color w:val="auto"/>
        </w:rPr>
        <w:t>We sell our products to leading original equipment manufacturers, or OEMs, in the CATV and FTTH markets as well as internet data center operators. In 2012, our products were used by the five largest CATV equipment OEMs consisting of Arris Group Inc., Aurora Networks, Inc., Cisco Systems, Inc., Harmonic Inc. and Motorola Mobility Holdings, Inc. Our other key customers by revenue included Genexis B.V. in the FTTH market and Microsoft Corporation in the internet data center market. In 2012, 78.6% of our revenue was attributable to sales of our products into the CATV market, 8.3% of our revenue was attributable to sales of our products into the internet data center market, 5.8% of our revenue was attributable to sales of our products into the FTTH market and the remaining 7.2% was attributable to other markets (including telecom networking). During the first six months of 2013, 55.4% of our revenue was attributable to sales of our products in the CATV market, 30.3% of our revenue was attributable to sales of our products in the internet data center market, 5.3% of our revenue was attributable to sales of our products in the FTTH market, and 9.0% of our revenue is attributable to sales of our products in other markets.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41"/>
        <w:spacing w:after="0" w:line="283" w:lineRule="auto"/>
        <w:rPr>
          <w:sz w:val="20"/>
          <w:szCs w:val="20"/>
          <w:color w:val="auto"/>
        </w:rPr>
      </w:pPr>
      <w:r>
        <w:rPr>
          <w:rFonts w:ascii="Arial" w:cs="Arial" w:eastAsia="Arial" w:hAnsi="Arial"/>
          <w:sz w:val="16"/>
          <w:szCs w:val="16"/>
          <w:color w:val="auto"/>
        </w:rPr>
        <w:t>Our sales model focuses on direct engagement and close coordination with our customers to determine product design, qualifications, performance and price. Our strategy is to use our direct sales force to sell to key accounts and to expand our use of distributors for increased coverage in certain international markets and certain domestic market segments. We have direct sales personnel that cover the U.S., Taiwan and China focusing primarily on major OEM customers and internet data center operators. Throughout our sales cycle, we work closely with our customers to qualify our products into their product lines. As a result, we strive to build strategic and long-lasting customer relationships and deliver products that are customized to our customers' requirements.</w:t>
      </w:r>
    </w:p>
    <w:p>
      <w:pPr>
        <w:spacing w:after="0" w:line="174" w:lineRule="exact"/>
        <w:rPr>
          <w:sz w:val="20"/>
          <w:szCs w:val="20"/>
          <w:color w:val="auto"/>
        </w:rPr>
      </w:pPr>
    </w:p>
    <w:p>
      <w:pPr>
        <w:ind w:right="60" w:firstLine="341"/>
        <w:spacing w:after="0" w:line="261" w:lineRule="auto"/>
        <w:rPr>
          <w:sz w:val="20"/>
          <w:szCs w:val="20"/>
          <w:color w:val="auto"/>
        </w:rPr>
      </w:pPr>
      <w:r>
        <w:rPr>
          <w:rFonts w:ascii="Arial" w:cs="Arial" w:eastAsia="Arial" w:hAnsi="Arial"/>
          <w:sz w:val="17"/>
          <w:szCs w:val="17"/>
          <w:color w:val="auto"/>
        </w:rPr>
        <w:t>Our business depends on winning competitive bid selection processes, known as design wins,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all of whom purchase our products on a purchase order basis. Once one of our solutions is incorporated into a customer's design, however, we believe that our solution is likely to continue to be purchased for that design throughout that product's life cycle because of the time and expense associated with redesigning the product or substituting an alternative solution.</w:t>
      </w:r>
    </w:p>
    <w:p>
      <w:pPr>
        <w:spacing w:after="0" w:line="190" w:lineRule="exact"/>
        <w:rPr>
          <w:sz w:val="20"/>
          <w:szCs w:val="20"/>
          <w:color w:val="auto"/>
        </w:rPr>
      </w:pPr>
    </w:p>
    <w:p>
      <w:pPr>
        <w:ind w:right="160" w:firstLine="338"/>
        <w:spacing w:after="0" w:line="265" w:lineRule="auto"/>
        <w:rPr>
          <w:sz w:val="20"/>
          <w:szCs w:val="20"/>
          <w:color w:val="auto"/>
        </w:rPr>
      </w:pPr>
      <w:r>
        <w:rPr>
          <w:rFonts w:ascii="Arial" w:cs="Arial" w:eastAsia="Arial" w:hAnsi="Arial"/>
          <w:sz w:val="17"/>
          <w:szCs w:val="17"/>
          <w:color w:val="auto"/>
        </w:rPr>
        <w:t>We believe we have an attractive financial profile, with strong revenue performance and control over our manufacturing costs through our vertically integrated manufacturing model. While we have incurred substantial losses since our inception, and as of December 31, 2012 had an accumulated deficit of $81.9 million, we achieved profitability (net income on a GAAP basis) in the fourth quarter of 2012. We have grown our revenue at a 36.4% CAGR between 2009 and 2012, including 32.6% growth year-over-year from 2011 to 2012.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228" w:lineRule="exact"/>
        <w:rPr>
          <w:sz w:val="20"/>
          <w:szCs w:val="20"/>
          <w:color w:val="auto"/>
        </w:rPr>
      </w:pPr>
    </w:p>
    <w:p>
      <w:pPr>
        <w:jc w:val="both"/>
        <w:ind w:right="220" w:firstLine="341"/>
        <w:spacing w:after="0" w:line="294" w:lineRule="auto"/>
        <w:rPr>
          <w:sz w:val="20"/>
          <w:szCs w:val="20"/>
          <w:color w:val="auto"/>
        </w:rPr>
      </w:pPr>
      <w:r>
        <w:rPr>
          <w:rFonts w:ascii="Arial" w:cs="Arial" w:eastAsia="Arial" w:hAnsi="Arial"/>
          <w:sz w:val="16"/>
          <w:szCs w:val="16"/>
          <w:i w:val="1"/>
          <w:iCs w:val="1"/>
          <w:color w:val="auto"/>
        </w:rPr>
        <w:t xml:space="preserve">Increasing Consumer Demand for Bandwidth. </w:t>
      </w:r>
      <w:r>
        <w:rPr>
          <w:rFonts w:ascii="Arial" w:cs="Arial" w:eastAsia="Arial" w:hAnsi="Arial"/>
          <w:sz w:val="16"/>
          <w:szCs w:val="16"/>
          <w:color w:val="auto"/>
        </w:rPr>
        <w:t>Bandwidth demand in all of our target markets is driving service provider investment in new equipment and in</w:t>
      </w:r>
      <w:r>
        <w:rPr>
          <w:rFonts w:ascii="Arial" w:cs="Arial" w:eastAsia="Arial" w:hAnsi="Arial"/>
          <w:sz w:val="16"/>
          <w:szCs w:val="16"/>
          <w:i w:val="1"/>
          <w:iCs w:val="1"/>
          <w:color w:val="auto"/>
        </w:rPr>
        <w:t xml:space="preserve"> </w:t>
      </w:r>
      <w:r>
        <w:rPr>
          <w:rFonts w:ascii="Arial" w:cs="Arial" w:eastAsia="Arial" w:hAnsi="Arial"/>
          <w:sz w:val="16"/>
          <w:szCs w:val="16"/>
          <w:color w:val="auto"/>
        </w:rPr>
        <w:t>turn generating demand for our products. Increasingly, optical networking technologies are being incorporated into networking equipment, replacing legacy copper-based networking technologies. This shift to optical networking solutions benefits us as a provider of those solutions.</w:t>
      </w:r>
    </w:p>
    <w:p>
      <w:pPr>
        <w:spacing w:after="0" w:line="163"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i w:val="1"/>
          <w:iCs w:val="1"/>
          <w:color w:val="auto"/>
        </w:rPr>
        <w:t xml:space="preserve">Pricing, Product Cost and Margins. </w:t>
      </w:r>
      <w:r>
        <w:rPr>
          <w:rFonts w:ascii="Arial" w:cs="Arial" w:eastAsia="Arial" w:hAnsi="Arial"/>
          <w:sz w:val="17"/>
          <w:szCs w:val="17"/>
          <w:color w:val="auto"/>
        </w:rPr>
        <w:t>Our solution pricing varies depending upon the end market, the complexity of the product and the level of competition. Our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costs also vary with complexity as well as the degree to which we can utilize components designed and manufactured ourselves. We tend to realize higher gross margins on products that incorporate a higher percentage of our own components. We often initially experience lower gross margins on new products, as our pricing is based upon anticipated volume-driven cost reductions over the life of the design win. Thus, if we are unable to realize our expected cost reductions, we may experience declining gross margins on such products.</w:t>
      </w:r>
    </w:p>
    <w:p>
      <w:pPr>
        <w:spacing w:after="0" w:line="187"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Our product pricing is established when the product is initially introduced to the market, and thereafter through periodic negotiations with customers. We generally do not agree to periodic automatic price reductions. Furthermore, due to the dynamics in the CATV market and the value of our outsourced design services to our customers, we believe we face less downward price pressure than many of our competitors. We sell a wide variety of products among our three target markets and our gross margin is heavily dependent in any quarter on the product mix achieved during that period.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41"/>
        <w:spacing w:after="0" w:line="281" w:lineRule="auto"/>
        <w:rPr>
          <w:sz w:val="20"/>
          <w:szCs w:val="20"/>
          <w:color w:val="auto"/>
        </w:rPr>
      </w:pPr>
      <w:r>
        <w:rPr>
          <w:rFonts w:ascii="Arial" w:cs="Arial" w:eastAsia="Arial" w:hAnsi="Arial"/>
          <w:sz w:val="16"/>
          <w:szCs w:val="16"/>
          <w:i w:val="1"/>
          <w:iCs w:val="1"/>
          <w:color w:val="auto"/>
        </w:rPr>
        <w:t xml:space="preserve">Decreasing Customer Concentration within End Markets. </w:t>
      </w:r>
      <w:r>
        <w:rPr>
          <w:rFonts w:ascii="Arial" w:cs="Arial" w:eastAsia="Arial" w:hAnsi="Arial"/>
          <w:sz w:val="16"/>
          <w:szCs w:val="16"/>
          <w:color w:val="auto"/>
        </w:rPr>
        <w:t>Historically, our revenue has been significantly concentrated within the CATV market and among a</w:t>
      </w:r>
      <w:r>
        <w:rPr>
          <w:rFonts w:ascii="Arial" w:cs="Arial" w:eastAsia="Arial" w:hAnsi="Arial"/>
          <w:sz w:val="16"/>
          <w:szCs w:val="16"/>
          <w:i w:val="1"/>
          <w:iCs w:val="1"/>
          <w:color w:val="auto"/>
        </w:rPr>
        <w:t xml:space="preserve"> </w:t>
      </w:r>
      <w:r>
        <w:rPr>
          <w:rFonts w:ascii="Arial" w:cs="Arial" w:eastAsia="Arial" w:hAnsi="Arial"/>
          <w:sz w:val="16"/>
          <w:szCs w:val="16"/>
          <w:color w:val="auto"/>
        </w:rPr>
        <w:t>few customers within this market. Over the past two years, we have developed new products from design wins within the FTTH and internet data center markets. Furthermore, we have developed additional original design manufacturer, or ODM, relationships with customers in each of our target markets which should enable us to diversify our revenue. Although we expect the CATV market to remain our largest market for the next several years, we anticipate that sales in the FTTH and internet data center markets will continue to account for a more significant percentage of our total revenue into the future. We believe that our entry into the FTTH and internet data center markets with new customers and with new products will continue to facilitate revenue growth and customer diversification.</w:t>
      </w:r>
    </w:p>
    <w:p>
      <w:pPr>
        <w:spacing w:after="0" w:line="176"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We invest heavily to develop new and innovative products. The majority of our research and development expense is allocated to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usually with a specific customer and customer platform in mind. We believe our close coordination with our customers regarding their future product requirements enhances the efficiency of our research and development expenditures.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of Financial Performance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24" w:lineRule="exact"/>
        <w:rPr>
          <w:sz w:val="20"/>
          <w:szCs w:val="20"/>
          <w:color w:val="auto"/>
        </w:rPr>
      </w:pPr>
    </w:p>
    <w:p>
      <w:pPr>
        <w:ind w:right="40" w:firstLine="338"/>
        <w:spacing w:after="0" w:line="283" w:lineRule="auto"/>
        <w:rPr>
          <w:sz w:val="20"/>
          <w:szCs w:val="20"/>
          <w:color w:val="auto"/>
        </w:rPr>
      </w:pPr>
      <w:r>
        <w:rPr>
          <w:rFonts w:ascii="Arial" w:cs="Arial" w:eastAsia="Arial" w:hAnsi="Arial"/>
          <w:sz w:val="16"/>
          <w:szCs w:val="16"/>
          <w:color w:val="auto"/>
        </w:rPr>
        <w:t>We generate revenue through the sale of our products to equipment providers for the CATV, FTTH and internet data center markets. We derive a significant portion of our revenue from our top ten customers, and we anticipate that we will continue to do so for the foreseeable future. We also anticipate that our revenue derived from the FTTH and internet data center markets will increase as a percentage of our revenue as we further penetrate and extend our products into these markets. The following chart provides the revenue contribution from each of the markets we serve for the years ended 2010, 2011 and 2012, and the six month periods ended June 30, 2012 and 2013, as well as the corresponding percentage of our total revenue for each period:</w:t>
      </w:r>
    </w:p>
    <w:p>
      <w:pPr>
        <w:spacing w:after="0" w:line="16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ind w:left="40"/>
              <w:spacing w:after="0"/>
              <w:rPr>
                <w:sz w:val="20"/>
                <w:szCs w:val="20"/>
                <w:color w:val="auto"/>
              </w:rPr>
            </w:pPr>
            <w:r>
              <w:rPr>
                <w:rFonts w:ascii="Arial" w:cs="Arial" w:eastAsia="Arial" w:hAnsi="Arial"/>
                <w:sz w:val="13"/>
                <w:szCs w:val="13"/>
                <w:b w:val="1"/>
                <w:bCs w:val="1"/>
                <w:color w:val="auto"/>
              </w:rPr>
              <w:t>Years ended</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 w:type="dxa"/>
            <w:vAlign w:val="bottom"/>
            <w:vMerge w:val="restart"/>
          </w:tcPr>
          <w:p>
            <w:pPr>
              <w:spacing w:after="0"/>
              <w:rPr>
                <w:sz w:val="20"/>
                <w:szCs w:val="20"/>
                <w:color w:val="auto"/>
              </w:rPr>
            </w:pPr>
            <w:r>
              <w:rPr>
                <w:rFonts w:ascii="Arial" w:cs="Arial" w:eastAsia="Arial" w:hAnsi="Arial"/>
                <w:sz w:val="13"/>
                <w:szCs w:val="13"/>
                <w:b w:val="1"/>
                <w:bCs w:val="1"/>
                <w:color w:val="auto"/>
              </w:rPr>
              <w:t>Market</w:t>
            </w:r>
          </w:p>
        </w:tc>
        <w:tc>
          <w:tcPr>
            <w:tcW w:w="29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87"/>
              </w:rPr>
              <w:t>December 31,</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w w:val="92"/>
              </w:rPr>
              <w:t>Six Months Ended June 30,</w:t>
            </w:r>
          </w:p>
        </w:tc>
        <w:tc>
          <w:tcPr>
            <w:tcW w:w="0" w:type="dxa"/>
            <w:vAlign w:val="bottom"/>
          </w:tcPr>
          <w:p>
            <w:pPr>
              <w:spacing w:after="0"/>
              <w:rPr>
                <w:sz w:val="1"/>
                <w:szCs w:val="1"/>
                <w:color w:val="auto"/>
              </w:rPr>
            </w:pPr>
          </w:p>
        </w:tc>
      </w:tr>
      <w:tr>
        <w:trPr>
          <w:trHeight w:val="137"/>
        </w:trPr>
        <w:tc>
          <w:tcPr>
            <w:tcW w:w="480" w:type="dxa"/>
            <w:vAlign w:val="bottom"/>
            <w:tcBorders>
              <w:bottom w:val="single" w:sz="8" w:color="auto"/>
            </w:tcBorders>
            <w:vMerge w:val="continue"/>
          </w:tcPr>
          <w:p>
            <w:pPr>
              <w:spacing w:after="0"/>
              <w:rPr>
                <w:sz w:val="11"/>
                <w:szCs w:val="11"/>
                <w:color w:val="auto"/>
              </w:rPr>
            </w:pPr>
          </w:p>
        </w:tc>
        <w:tc>
          <w:tcPr>
            <w:tcW w:w="2980" w:type="dxa"/>
            <w:vAlign w:val="bottom"/>
            <w:vMerge w:val="continue"/>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77"/>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7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8"/>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40" w:type="dxa"/>
            <w:vAlign w:val="bottom"/>
            <w:gridSpan w:val="8"/>
          </w:tcPr>
          <w:p>
            <w:pPr>
              <w:jc w:val="right"/>
              <w:ind w:right="480"/>
              <w:spacing w:after="0" w:line="138" w:lineRule="exact"/>
              <w:rPr>
                <w:sz w:val="20"/>
                <w:szCs w:val="20"/>
                <w:color w:val="auto"/>
              </w:rPr>
            </w:pPr>
            <w:r>
              <w:rPr>
                <w:rFonts w:ascii="Arial" w:cs="Arial" w:eastAsia="Arial" w:hAnsi="Arial"/>
                <w:sz w:val="13"/>
                <w:szCs w:val="13"/>
                <w:b w:val="1"/>
                <w:bCs w:val="1"/>
                <w:color w:val="auto"/>
                <w:w w:val="93"/>
              </w:rPr>
              <w:t>(in thousands, except percentages)</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CATV</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32,959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gridSpan w:val="2"/>
          </w:tcPr>
          <w:p>
            <w:pPr>
              <w:spacing w:after="0"/>
              <w:rPr>
                <w:sz w:val="20"/>
                <w:szCs w:val="20"/>
                <w:color w:val="auto"/>
              </w:rPr>
            </w:pPr>
            <w:r>
              <w:rPr>
                <w:rFonts w:ascii="Arial" w:cs="Arial" w:eastAsia="Arial" w:hAnsi="Arial"/>
                <w:sz w:val="17"/>
                <w:szCs w:val="17"/>
                <w:color w:val="auto"/>
              </w:rPr>
              <w:t>Data Center</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5,293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10,260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FTTH</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5,561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5,573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4,596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2,312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3,089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40,489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47,840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63,421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28,144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33,914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5"/>
          </w:tcPr>
          <w:p>
            <w:pPr>
              <w:jc w:val="right"/>
              <w:ind w:right="160"/>
              <w:spacing w:after="0"/>
              <w:rPr>
                <w:sz w:val="20"/>
                <w:szCs w:val="20"/>
                <w:color w:val="auto"/>
              </w:rPr>
            </w:pPr>
            <w:r>
              <w:rPr>
                <w:rFonts w:ascii="Arial" w:cs="Arial" w:eastAsia="Arial" w:hAnsi="Arial"/>
                <w:sz w:val="13"/>
                <w:szCs w:val="13"/>
                <w:b w:val="1"/>
                <w:bCs w:val="1"/>
                <w:color w:val="auto"/>
              </w:rPr>
              <w:t>Percentage of Revenue</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CATV</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81.4%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78.6%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81.8%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0" w:type="dxa"/>
            <w:vAlign w:val="bottom"/>
          </w:tcPr>
          <w:p>
            <w:pPr>
              <w:spacing w:after="0"/>
              <w:rPr>
                <w:sz w:val="1"/>
                <w:szCs w:val="1"/>
                <w:color w:val="auto"/>
              </w:rPr>
            </w:pPr>
          </w:p>
        </w:tc>
      </w:tr>
      <w:tr>
        <w:trPr>
          <w:trHeight w:val="210"/>
        </w:trPr>
        <w:tc>
          <w:tcPr>
            <w:tcW w:w="3460" w:type="dxa"/>
            <w:vAlign w:val="bottom"/>
            <w:gridSpan w:val="2"/>
          </w:tcPr>
          <w:p>
            <w:pPr>
              <w:spacing w:after="0"/>
              <w:rPr>
                <w:sz w:val="20"/>
                <w:szCs w:val="20"/>
                <w:color w:val="auto"/>
              </w:rPr>
            </w:pPr>
            <w:r>
              <w:rPr>
                <w:rFonts w:ascii="Arial" w:cs="Arial" w:eastAsia="Arial" w:hAnsi="Arial"/>
                <w:sz w:val="17"/>
                <w:szCs w:val="17"/>
                <w:color w:val="auto"/>
              </w:rPr>
              <w:t>Data Center</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0.0%</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0.0%</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8.3%</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4.7%</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FTTH</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0"/>
        </w:trPr>
        <w:tc>
          <w:tcPr>
            <w:tcW w:w="3460" w:type="dxa"/>
            <w:vAlign w:val="bottom"/>
            <w:gridSpan w:val="2"/>
          </w:tcPr>
          <w:p>
            <w:pPr>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13.7%</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11.7%</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7.3%</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8.2%</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In 2010, 2011 and 2012, our top ten customers represented 80.5% 76.6% and 77.7% of our revenue, respectively. Our largest customer Cisco Systems, Inc. represented 18.9%, 26.8% and 33.2% of our revenue in 2010, 2011 and 2012, respectively. Biogenomics Corp., a distributor, accounted for 13.8%, 11.7% and 11.2%, of our revenue in 2010, 2011 and 2012, respectively. In 2010, Aurora Networks, Inc. accounted for 10.8% of our revenue and Electroline Systems accounted for 10.2% of our revenue. No other customer represented more than 10.0% of our revenue in 2010, 2011 or 2012.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firstLine="341"/>
        <w:spacing w:after="0" w:line="306" w:lineRule="auto"/>
        <w:rPr>
          <w:sz w:val="20"/>
          <w:szCs w:val="20"/>
          <w:color w:val="auto"/>
        </w:rPr>
      </w:pPr>
      <w:r>
        <w:rPr>
          <w:rFonts w:ascii="Arial" w:cs="Arial" w:eastAsia="Arial" w:hAnsi="Arial"/>
          <w:sz w:val="15"/>
          <w:szCs w:val="15"/>
          <w:color w:val="auto"/>
        </w:rPr>
        <w:t>Revenue is recognized when the product is shipped and title has transferred to the customer. We bear all costs and risks of loss or damage to the goods up to that point. On most orders, our terms of sale provide that title passes to the customer upon placement by us with a common carrier (upon shipment). A majority of our annual sales are denominated in U.S. dollars, but some sales from our Taiwan location and China-based subsidiary are denominated in NT dollars and RMB, respectively. For the year ended December 31, 2012, 18.1% of our total revenue was derived from our China-based subsidiary, with $11.4 million denominated in RMB, and an immaterial amount sold directly by our Taiwan location. We expect a similar portion of our sales to be denominated in foreign currencies in 2013.</w:t>
      </w:r>
    </w:p>
    <w:p>
      <w:pPr>
        <w:spacing w:after="0" w:line="159" w:lineRule="exact"/>
        <w:rPr>
          <w:sz w:val="20"/>
          <w:szCs w:val="20"/>
          <w:color w:val="auto"/>
        </w:rPr>
      </w:pPr>
    </w:p>
    <w:p>
      <w:pPr>
        <w:ind w:right="180" w:firstLine="341"/>
        <w:spacing w:after="0" w:line="322" w:lineRule="auto"/>
        <w:rPr>
          <w:sz w:val="20"/>
          <w:szCs w:val="20"/>
          <w:color w:val="auto"/>
        </w:rPr>
      </w:pPr>
      <w:r>
        <w:rPr>
          <w:rFonts w:ascii="Arial" w:cs="Arial" w:eastAsia="Arial" w:hAnsi="Arial"/>
          <w:sz w:val="15"/>
          <w:szCs w:val="15"/>
          <w:color w:val="auto"/>
        </w:rPr>
        <w:t>During 2012 compared to 2011, our average sales price across our product lines declined less than 8.0%. Certain of our competitors in the optical industry, who may have narrower market focus than us or broader product lines within a market, have publically stated that they typically experience annual price declines of 10-15%. Revenue from period to period is driven by the volume of shipments and may be impacted by pricing pressures, among other factors.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goods sold and gross margin</w:t>
      </w:r>
    </w:p>
    <w:p>
      <w:pPr>
        <w:spacing w:after="0" w:line="224" w:lineRule="exact"/>
        <w:rPr>
          <w:sz w:val="20"/>
          <w:szCs w:val="20"/>
          <w:color w:val="auto"/>
        </w:rPr>
      </w:pPr>
    </w:p>
    <w:p>
      <w:pPr>
        <w:ind w:right="680" w:firstLine="341"/>
        <w:spacing w:after="0" w:line="315" w:lineRule="auto"/>
        <w:rPr>
          <w:sz w:val="20"/>
          <w:szCs w:val="20"/>
          <w:color w:val="auto"/>
        </w:rPr>
      </w:pPr>
      <w:r>
        <w:rPr>
          <w:rFonts w:ascii="Arial" w:cs="Arial" w:eastAsia="Arial" w:hAnsi="Arial"/>
          <w:sz w:val="16"/>
          <w:szCs w:val="16"/>
          <w:color w:val="auto"/>
        </w:rPr>
        <w:t>Our cost of goods sold consists of material costs, direct labor, allocated overhead and periodic cost variances, including reserves for excess and obsolete inventory, with each representing approximately 69.5%, 9.3%, 16.1%, and 5.1% of our total cost of goods sold, respectively, in 2012.</w:t>
      </w:r>
    </w:p>
    <w:p>
      <w:pPr>
        <w:spacing w:after="0" w:line="146" w:lineRule="exact"/>
        <w:rPr>
          <w:sz w:val="20"/>
          <w:szCs w:val="20"/>
          <w:color w:val="auto"/>
        </w:rPr>
      </w:pPr>
    </w:p>
    <w:p>
      <w:pPr>
        <w:ind w:right="700" w:firstLine="341"/>
        <w:spacing w:after="0" w:line="270" w:lineRule="auto"/>
        <w:rPr>
          <w:sz w:val="20"/>
          <w:szCs w:val="20"/>
          <w:color w:val="auto"/>
        </w:rPr>
      </w:pPr>
      <w:r>
        <w:rPr>
          <w:rFonts w:ascii="Arial" w:cs="Arial" w:eastAsia="Arial" w:hAnsi="Arial"/>
          <w:sz w:val="17"/>
          <w:szCs w:val="17"/>
          <w:color w:val="auto"/>
        </w:rPr>
        <w:t>Our cost of goods sold is impacted by variances arising from changes in yields and production volume. We typically experience lower yields and higher associated costs on new products. In general, our cost of goods sold for a particular product declines over time as a result of increasing efficiencies in the manufacturing processes, or supply cost declines, as well as yield improvements and testing enhancements.</w:t>
      </w:r>
    </w:p>
    <w:p>
      <w:pPr>
        <w:spacing w:after="0" w:line="179" w:lineRule="exact"/>
        <w:rPr>
          <w:sz w:val="20"/>
          <w:szCs w:val="20"/>
          <w:color w:val="auto"/>
        </w:rPr>
      </w:pPr>
    </w:p>
    <w:p>
      <w:pPr>
        <w:ind w:right="200" w:firstLine="338"/>
        <w:spacing w:after="0" w:line="263" w:lineRule="auto"/>
        <w:rPr>
          <w:sz w:val="20"/>
          <w:szCs w:val="20"/>
          <w:color w:val="auto"/>
        </w:rPr>
      </w:pPr>
      <w:r>
        <w:rPr>
          <w:rFonts w:ascii="Arial" w:cs="Arial" w:eastAsia="Arial" w:hAnsi="Arial"/>
          <w:sz w:val="17"/>
          <w:szCs w:val="17"/>
          <w:color w:val="auto"/>
        </w:rPr>
        <w:t>We manufacture our products in all three of our facilities in the U.S., Taiwan and China. Generally, laser chips and optical components are manufactured in our U.S. facility, optical components and subassemblies are manufactured in our Taiwan facility, and equipment is manufactured in our China facility. Because of our vertical integration model, we utilize our own products in our semi-finished and finished goods that we sell between and among our respective manufacturing operations. We base those internal sales upon established transfer pricing methodologies. However, we eliminate all of those internal sales, and cost of goods sold transactions, to arrive at total revenue and cost of goods sold on a consolidated basis.</w:t>
      </w:r>
    </w:p>
    <w:p>
      <w:pPr>
        <w:spacing w:after="0" w:line="187" w:lineRule="exact"/>
        <w:rPr>
          <w:sz w:val="20"/>
          <w:szCs w:val="20"/>
          <w:color w:val="auto"/>
        </w:rPr>
      </w:pPr>
    </w:p>
    <w:p>
      <w:pPr>
        <w:ind w:right="580" w:firstLine="338"/>
        <w:spacing w:after="0" w:line="282" w:lineRule="auto"/>
        <w:rPr>
          <w:sz w:val="20"/>
          <w:szCs w:val="20"/>
          <w:color w:val="auto"/>
        </w:rPr>
      </w:pPr>
      <w:r>
        <w:rPr>
          <w:rFonts w:ascii="Arial" w:cs="Arial" w:eastAsia="Arial" w:hAnsi="Arial"/>
          <w:sz w:val="17"/>
          <w:szCs w:val="17"/>
          <w:color w:val="auto"/>
        </w:rPr>
        <w:t>We have a global set of suppliers to help balance considerations related to product availability, quality and cost. Components of our cost of goods sold are denominated in U.S. or NT dollars or RMB, depending upon the manufacturing location.</w:t>
      </w:r>
    </w:p>
    <w:p>
      <w:pPr>
        <w:spacing w:after="0" w:line="170" w:lineRule="exact"/>
        <w:rPr>
          <w:sz w:val="20"/>
          <w:szCs w:val="20"/>
          <w:color w:val="auto"/>
        </w:rPr>
      </w:pPr>
    </w:p>
    <w:p>
      <w:pPr>
        <w:ind w:firstLine="341"/>
        <w:spacing w:after="0" w:line="301" w:lineRule="auto"/>
        <w:rPr>
          <w:sz w:val="20"/>
          <w:szCs w:val="20"/>
          <w:color w:val="auto"/>
        </w:rPr>
      </w:pPr>
      <w:r>
        <w:rPr>
          <w:rFonts w:ascii="Arial" w:cs="Arial" w:eastAsia="Arial" w:hAnsi="Arial"/>
          <w:sz w:val="15"/>
          <w:szCs w:val="15"/>
          <w:color w:val="auto"/>
        </w:rPr>
        <w:t>Gross profit as a percentage of total revenue, or gross margin, has been and is expected to continue to be affected by a variety of factors, including the introduction of new products, production volumes, the mix of products sold, the geographic region in which products are sold, changes in the cost and volumes of materials purchased from our suppliers, changes in labor costs, changes in overhead costs, reserves for excess and obsolete inventories and changes in the average selling prices of our products. Although our overall gross margins over the past three years have been between 28.0% and 32.0%, our gross margins vary more broadly on a product-by-product basis. Our newer and more advanced products typically have higher average selling prices and higher gross margins; however, until the product volumes scale, the gross margin from newer and advanced products may initially be lower. Within our markets, we sell similar products to different geographic regions at different prices, and therefore realize different gross margins among those similar products. We generally realize a lower gross margin in sales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240"/>
        <w:spacing w:after="0" w:line="270" w:lineRule="auto"/>
        <w:rPr>
          <w:sz w:val="20"/>
          <w:szCs w:val="20"/>
          <w:color w:val="auto"/>
        </w:rPr>
      </w:pPr>
      <w:r>
        <w:rPr>
          <w:rFonts w:ascii="Arial" w:cs="Arial" w:eastAsia="Arial" w:hAnsi="Arial"/>
          <w:sz w:val="17"/>
          <w:szCs w:val="17"/>
          <w:color w:val="auto"/>
        </w:rPr>
        <w:t>to Asian markets. Our strategy is to improve our gross margins through vertical integration such as utilization of our own laser chips and optical sub-components in our solutions. We expect that our gross margins are likely to continue to fluctuate from quarter to quarter because of the variety of products we sell and the relative product mix within a quarter.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24" w:lineRule="exact"/>
        <w:rPr>
          <w:sz w:val="20"/>
          <w:szCs w:val="20"/>
          <w:color w:val="auto"/>
        </w:rPr>
      </w:pPr>
    </w:p>
    <w:p>
      <w:pPr>
        <w:ind w:right="480" w:firstLine="341"/>
        <w:spacing w:after="0" w:line="270"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expenses. Personnel costs are the most significant component of operating expenses and include salaries, benefits, bonuses and stock-based compensation. With regard to sales and marketing expense, personnel costs also include sales commissions.</w:t>
      </w:r>
    </w:p>
    <w:p>
      <w:pPr>
        <w:spacing w:after="0" w:line="179"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or R&amp;D, expense consists primarily of personnel costs, including stock-based compensation for R&amp;D</w:t>
      </w:r>
      <w:r>
        <w:rPr>
          <w:rFonts w:ascii="Arial" w:cs="Arial" w:eastAsia="Arial" w:hAnsi="Arial"/>
          <w:sz w:val="16"/>
          <w:szCs w:val="16"/>
          <w:i w:val="1"/>
          <w:iCs w:val="1"/>
          <w:color w:val="auto"/>
        </w:rPr>
        <w:t xml:space="preserve"> </w:t>
      </w:r>
      <w:r>
        <w:rPr>
          <w:rFonts w:ascii="Arial" w:cs="Arial" w:eastAsia="Arial" w:hAnsi="Arial"/>
          <w:sz w:val="16"/>
          <w:szCs w:val="16"/>
          <w:color w:val="auto"/>
        </w:rPr>
        <w:t>personnel, and R&amp;D work orders (that include material, direct labor and allocated overhead), as well as allocated development costs, such as engineering services, software and hardware tools, depreciation of capital equipment and facility costs. We record all research and development expense as incurred. Customers rely upon us to assist them with the development of new products and modification of existing products because of our extensive optical design and manufacturing expertise. We work closely with our customers in the critical design phase of product development, and are often reimbursed for those development efforts. By virtue of our overseas R&amp;D operations and by focusing on customer-specific projects, our research and development expenses have tended to represent a lower percentage of revenue compared to some of our competitors. In the future, we expect research and development expense to increase on a dollar basis, but continue to decline as a percentage of revenue, to the extent our revenue increases over time.</w:t>
      </w:r>
    </w:p>
    <w:p>
      <w:pPr>
        <w:spacing w:after="0" w:line="177" w:lineRule="exact"/>
        <w:rPr>
          <w:sz w:val="20"/>
          <w:szCs w:val="20"/>
          <w:color w:val="auto"/>
        </w:rPr>
      </w:pPr>
    </w:p>
    <w:p>
      <w:pPr>
        <w:ind w:right="40" w:firstLine="341"/>
        <w:spacing w:after="0" w:line="278"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 consists primarily of personnel costs, including stock-based compensation for our sales and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personnel, as well as travel and trade show expense, sales commissions and the allocation of overall corporate services and facility costs. We sell our products to customers who either incorporate our products into their offering or resell our products to end customers. Because we sell to a limited number of well-established customers, we employ a limited number of sales professionals who are able to cover large markets. We compensate our sales staff through base salary and commissions, with base salary being the largest component of overall compensation. Total sales commissions to employees amounted to less than one percent of our revenue in 2012. Additionally, we pay commissions to third parties on certain product lines and identified customers, which also amounted to less than one percent of our revenue in 2012. As such, our sales and marketing expense does not directly increase with revenue. In the future, we expect sales and marketing expense to increase on a dollar basis as we incrementally increase our overall sales activities, but expect our sales and marketing expense to decline as a percentage of revenue, to the extent our revenue increases over time.</w:t>
      </w:r>
    </w:p>
    <w:p>
      <w:pPr>
        <w:spacing w:after="0" w:line="179"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 consists primarily of personnel costs, including stock-based compensation, primarily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finance, human resources and information technology personnel and certain executive officers, as well as professional services costs related to accounting, tax, banking, legal and information technology services, depreciation of capital equipment and facility costs. We expect general and administrative expense to increase in the short term, as we develop the infrastructure necessary to operate as a public company, including increased audit and legal fees, costs to comply with the Sarbanes-Oxley Act and the rules and regulations applicable to companies listed on a national stock exchange, as well as investor relations expense and higher insurance premiums. In the future, we expect general and administrative expense to increase on a dollar basis but continue to decline as a percentage of revenue, to the extent our revenue increases over time.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w:t>
      </w:r>
    </w:p>
    <w:p>
      <w:pPr>
        <w:spacing w:after="0" w:line="224"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Interest income consists of income earned on our cash, cash equivalents and short-term investments. Interest expense consists of amounts paid for interest on our short-term and long-term debt borrowings.</w:t>
      </w:r>
    </w:p>
    <w:p>
      <w:pPr>
        <w:spacing w:after="0" w:line="170" w:lineRule="exact"/>
        <w:rPr>
          <w:sz w:val="20"/>
          <w:szCs w:val="20"/>
          <w:color w:val="auto"/>
        </w:rPr>
      </w:pPr>
    </w:p>
    <w:p>
      <w:pPr>
        <w:jc w:val="both"/>
        <w:ind w:right="180" w:firstLine="341"/>
        <w:spacing w:after="0" w:line="322" w:lineRule="auto"/>
        <w:rPr>
          <w:sz w:val="20"/>
          <w:szCs w:val="20"/>
          <w:color w:val="auto"/>
        </w:rPr>
      </w:pPr>
      <w:r>
        <w:rPr>
          <w:rFonts w:ascii="Arial" w:cs="Arial" w:eastAsia="Arial" w:hAnsi="Arial"/>
          <w:sz w:val="15"/>
          <w:szCs w:val="15"/>
          <w:color w:val="auto"/>
        </w:rPr>
        <w:t>Other income (expense), net is primarily made up of foreign currency transaction gains and losses. The functional currency of our China subsidiary is the RMB and the foreign currency transaction gains and losses of our China subsidiary primarily result from their transactions in U.S. dollars. The functional currency of our Taiwan location is the NT dollar and the foreign currency transaction gains and losses of our Taiwan location primarily result from their transactions in U.S. dollars.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224" w:lineRule="exact"/>
        <w:rPr>
          <w:sz w:val="20"/>
          <w:szCs w:val="20"/>
          <w:color w:val="auto"/>
        </w:rPr>
      </w:pPr>
    </w:p>
    <w:p>
      <w:pPr>
        <w:ind w:firstLine="338"/>
        <w:spacing w:after="0" w:line="292" w:lineRule="auto"/>
        <w:rPr>
          <w:sz w:val="20"/>
          <w:szCs w:val="20"/>
          <w:color w:val="auto"/>
        </w:rPr>
      </w:pPr>
      <w:r>
        <w:rPr>
          <w:rFonts w:ascii="Arial" w:cs="Arial" w:eastAsia="Arial" w:hAnsi="Arial"/>
          <w:sz w:val="15"/>
          <w:szCs w:val="15"/>
          <w:color w:val="auto"/>
        </w:rPr>
        <w:t>We conduct our business globally. However, our operating income is subject to varying rates of tax in the U.S., Taiwan and China. Consequently, our effective tax rate is dependent upon the geographic distribution of our earnings or losses and the tax laws and regulations in each geographical region. We expect that our income taxes will vary in relation to our profitability and the geographic distribution of our profits. Our effective U.S. federal income tax rate was 0% in the past three years as we have incurred operating losses. At December 31, 2012, our U.S. accumulated net operating loss, or NOL, was $66.7 million. As we earn profits in the U.S., we expect to reduce our cash tax obligations by the utilization of NOL carry-forwards. Our NOL benefits expire over the twelve-year period from 2020 to 2032. Under Section 382 of the Internal Revenue Code of 1986, as amended, if a corporation undergoes an "ownership change," the corporation's ability to use its pre-change NOLs, capital loss carry-forwards and other pre-change tax attributes to offset its post-change income may be limited going forward. Based upon an analysis of our equity ownership, we have experienced an ownership change and our NOL carryforwards are limited in dollar amount. As of December 31, 2012, of the total accumulated NOL only $38.7 million is available for utilization in 2013 and thereafter to shelter federal taxable income. Each year after 2013, an additional</w:t>
      </w:r>
    </w:p>
    <w:p>
      <w:pPr>
        <w:spacing w:after="0" w:line="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$0.3 million is added to the total available NOL, until a maximum of $64.1 million is reached. The amount of NOL available each year may decrease by the amount of NOL utilized and may increase by the amount of any operating losses incurred. Should we experience additional ownership changes our NOL carryforwards may be further limited.</w:t>
      </w:r>
    </w:p>
    <w:p>
      <w:pPr>
        <w:spacing w:after="0" w:line="183" w:lineRule="exact"/>
        <w:rPr>
          <w:sz w:val="20"/>
          <w:szCs w:val="20"/>
          <w:color w:val="auto"/>
        </w:rPr>
      </w:pPr>
    </w:p>
    <w:p>
      <w:pPr>
        <w:ind w:firstLine="341"/>
        <w:spacing w:after="0" w:line="297" w:lineRule="auto"/>
        <w:rPr>
          <w:sz w:val="20"/>
          <w:szCs w:val="20"/>
          <w:color w:val="auto"/>
        </w:rPr>
      </w:pPr>
      <w:r>
        <w:rPr>
          <w:rFonts w:ascii="Arial" w:cs="Arial" w:eastAsia="Arial" w:hAnsi="Arial"/>
          <w:sz w:val="15"/>
          <w:szCs w:val="15"/>
          <w:color w:val="auto"/>
        </w:rPr>
        <w:t>In China, our wholly owned China subsidiary has enjoyed preferential tax concessions as a "high-tech enterprise." Pursuant to China's State Council's Regulations on Encouraging Investment in and Development, our China subsidiary is entitled to full exemption from China's Foreign Enterprise Income Tax, or FEIT, for the first two years and a 50% reduction for the next three years, commencing from the first profit making year after offsetting all tax losses carried forward from the previous five years. In March 2007, China enacted the PRC Enterprise Income Tax Law, or EIT Law, under which, effective January 1, 2008, China adopted a uniform income tax rate of 25% for all enterprises (including foreign invested enterprises) and cancelled several tax incentives enjoyed previously by foreign invested enterprises. For foreign invested enterprises like our China subsidiary that were established before the promulgation of the EIT Law, a five-year transition period is provided during which reduced income tax rates will apply but gradually be phased out. The Chinese government has not yet announced implementation measures for the transitional policy concerning such preferential tax rates, so we are unable at this time to estimate the financial impact of the new tax law. We expect that our income tax liability from China profits will vary based upon the implementation of that tax policy and the utilization of our NOL carry-forwards. At December 31, 2012, our accumulated NOLs for our China subsidiary were $9.0 million, which expire over a four year period from 2013 to 2016. As we earn profits in China, we expect to reduce our cash tax obligations by the utilization of NOL carry-forwards. The NOL benefits are available to reduce our tax obligations in future periods.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8" w:lineRule="exact"/>
        <w:rPr>
          <w:sz w:val="20"/>
          <w:szCs w:val="20"/>
          <w:color w:val="auto"/>
        </w:rPr>
      </w:pPr>
    </w:p>
    <w:p>
      <w:pPr>
        <w:ind w:right="580" w:firstLine="338"/>
        <w:spacing w:after="0" w:line="282" w:lineRule="auto"/>
        <w:rPr>
          <w:sz w:val="20"/>
          <w:szCs w:val="20"/>
          <w:color w:val="auto"/>
        </w:rPr>
      </w:pPr>
      <w:r>
        <w:rPr>
          <w:rFonts w:ascii="Arial" w:cs="Arial" w:eastAsia="Arial" w:hAnsi="Arial"/>
          <w:sz w:val="17"/>
          <w:szCs w:val="17"/>
          <w:color w:val="auto"/>
        </w:rPr>
        <w:t>The following table set forth our results of operations for the periods presented and as a percentage of our revenue for those periods. The period-to-period comparison of our financial results is not necessarily indicative of our financial results to be achieved in future periods.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0"/>
              </w:rPr>
              <w:t>Years ended</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25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5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96"/>
              </w:rPr>
              <w:t>2013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gridSpan w:val="8"/>
          </w:tcPr>
          <w:p>
            <w:pPr>
              <w:jc w:val="right"/>
              <w:ind w:right="480"/>
              <w:spacing w:after="0"/>
              <w:rPr>
                <w:sz w:val="20"/>
                <w:szCs w:val="20"/>
                <w:color w:val="auto"/>
              </w:rPr>
            </w:pPr>
            <w:r>
              <w:rPr>
                <w:rFonts w:ascii="Arial" w:cs="Arial" w:eastAsia="Arial" w:hAnsi="Arial"/>
                <w:sz w:val="13"/>
                <w:szCs w:val="13"/>
                <w:b w:val="1"/>
                <w:bCs w:val="1"/>
                <w:color w:val="auto"/>
                <w:w w:val="93"/>
              </w:rPr>
              <w:t>(in thousands, except percentages)</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Consolidated Statements of Operations Data:</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gridSpan w:val="2"/>
          </w:tcPr>
          <w:p>
            <w:pPr>
              <w:ind w:left="180"/>
              <w:spacing w:after="0"/>
              <w:rPr>
                <w:sz w:val="20"/>
                <w:szCs w:val="20"/>
                <w:color w:val="auto"/>
              </w:rPr>
            </w:pPr>
            <w:r>
              <w:rPr>
                <w:rFonts w:ascii="Arial" w:cs="Arial" w:eastAsia="Arial" w:hAnsi="Arial"/>
                <w:sz w:val="17"/>
                <w:szCs w:val="17"/>
                <w:color w:val="auto"/>
              </w:rPr>
              <w:t>Revenue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40,489</w:t>
            </w:r>
          </w:p>
        </w:tc>
        <w:tc>
          <w:tcPr>
            <w:tcW w:w="22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47,840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63,421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28,144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33,914</w:t>
            </w: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Cost of goods sold (1)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27,539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34,468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44,492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19,331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23,882</w:t>
            </w:r>
          </w:p>
        </w:tc>
        <w:tc>
          <w:tcPr>
            <w:tcW w:w="0" w:type="dxa"/>
            <w:vAlign w:val="bottom"/>
          </w:tcPr>
          <w:p>
            <w:pPr>
              <w:spacing w:after="0"/>
              <w:rPr>
                <w:sz w:val="1"/>
                <w:szCs w:val="1"/>
                <w:color w:val="auto"/>
              </w:rPr>
            </w:pPr>
          </w:p>
        </w:tc>
      </w:tr>
      <w:tr>
        <w:trPr>
          <w:trHeight w:val="26"/>
        </w:trPr>
        <w:tc>
          <w:tcPr>
            <w:tcW w:w="6320" w:type="dxa"/>
            <w:vAlign w:val="bottom"/>
            <w:gridSpan w:val="2"/>
            <w:vMerge w:val="restart"/>
          </w:tcPr>
          <w:p>
            <w:pPr>
              <w:ind w:left="180"/>
              <w:spacing w:after="0"/>
              <w:rPr>
                <w:sz w:val="20"/>
                <w:szCs w:val="20"/>
                <w:color w:val="auto"/>
              </w:rPr>
            </w:pPr>
            <w:r>
              <w:rPr>
                <w:rFonts w:ascii="Arial" w:cs="Arial" w:eastAsia="Arial" w:hAnsi="Arial"/>
                <w:sz w:val="17"/>
                <w:szCs w:val="17"/>
                <w:color w:val="auto"/>
              </w:rPr>
              <w:t>Gross profit</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12,950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13,372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18,929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8,813</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10,032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Gross margin</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28.0%</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29.8%</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31.3%</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10"/>
        </w:trPr>
        <w:tc>
          <w:tcPr>
            <w:tcW w:w="6320" w:type="dxa"/>
            <w:vAlign w:val="bottom"/>
            <w:gridSpan w:val="2"/>
          </w:tcPr>
          <w:p>
            <w:pPr>
              <w:ind w:left="180"/>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Research and development (1)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5,176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6,451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7,603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3,294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3,902</w:t>
            </w:r>
          </w:p>
        </w:tc>
        <w:tc>
          <w:tcPr>
            <w:tcW w:w="0" w:type="dxa"/>
            <w:vAlign w:val="bottom"/>
          </w:tcPr>
          <w:p>
            <w:pPr>
              <w:spacing w:after="0"/>
              <w:rPr>
                <w:sz w:val="1"/>
                <w:szCs w:val="1"/>
                <w:color w:val="auto"/>
              </w:rPr>
            </w:pPr>
          </w:p>
        </w:tc>
      </w:tr>
      <w:tr>
        <w:trPr>
          <w:trHeight w:val="210"/>
        </w:trPr>
        <w:tc>
          <w:tcPr>
            <w:tcW w:w="6320" w:type="dxa"/>
            <w:vAlign w:val="bottom"/>
            <w:gridSpan w:val="2"/>
          </w:tcPr>
          <w:p>
            <w:pPr>
              <w:ind w:left="360"/>
              <w:spacing w:after="0"/>
              <w:rPr>
                <w:sz w:val="20"/>
                <w:szCs w:val="20"/>
                <w:color w:val="auto"/>
              </w:rPr>
            </w:pPr>
            <w:r>
              <w:rPr>
                <w:rFonts w:ascii="Arial" w:cs="Arial" w:eastAsia="Arial" w:hAnsi="Arial"/>
                <w:sz w:val="17"/>
                <w:szCs w:val="17"/>
                <w:color w:val="auto"/>
              </w:rPr>
              <w:t>Sales and marketing (1)</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1,993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2,412</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3,135</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1,614</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1,959</w:t>
            </w: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General and administrative (1)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8,341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8,197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7,952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3,883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4,788</w:t>
            </w:r>
          </w:p>
        </w:tc>
        <w:tc>
          <w:tcPr>
            <w:tcW w:w="0" w:type="dxa"/>
            <w:vAlign w:val="bottom"/>
          </w:tcPr>
          <w:p>
            <w:pPr>
              <w:spacing w:after="0"/>
              <w:rPr>
                <w:sz w:val="1"/>
                <w:szCs w:val="1"/>
                <w:color w:val="auto"/>
              </w:rPr>
            </w:pPr>
          </w:p>
        </w:tc>
      </w:tr>
      <w:tr>
        <w:trPr>
          <w:trHeight w:val="210"/>
        </w:trPr>
        <w:tc>
          <w:tcPr>
            <w:tcW w:w="6320" w:type="dxa"/>
            <w:vAlign w:val="bottom"/>
            <w:gridSpan w:val="2"/>
          </w:tcPr>
          <w:p>
            <w:pPr>
              <w:ind w:left="360"/>
              <w:spacing w:after="0"/>
              <w:rPr>
                <w:sz w:val="20"/>
                <w:szCs w:val="20"/>
                <w:color w:val="auto"/>
              </w:rPr>
            </w:pPr>
            <w:r>
              <w:rPr>
                <w:rFonts w:ascii="Arial" w:cs="Arial" w:eastAsia="Arial" w:hAnsi="Arial"/>
                <w:sz w:val="17"/>
                <w:szCs w:val="17"/>
                <w:color w:val="auto"/>
              </w:rPr>
              <w:t>Amortization of intangible assets</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46</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29</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Asset impairment charges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320" w:type="dxa"/>
            <w:vAlign w:val="bottom"/>
            <w:gridSpan w:val="2"/>
            <w:vMerge w:val="restart"/>
          </w:tcPr>
          <w:p>
            <w:pPr>
              <w:ind w:left="180"/>
              <w:spacing w:after="0"/>
              <w:rPr>
                <w:sz w:val="20"/>
                <w:szCs w:val="20"/>
                <w:color w:val="auto"/>
              </w:rPr>
            </w:pPr>
            <w:r>
              <w:rPr>
                <w:rFonts w:ascii="Arial" w:cs="Arial" w:eastAsia="Arial" w:hAnsi="Arial"/>
                <w:sz w:val="17"/>
                <w:szCs w:val="17"/>
                <w:color w:val="auto"/>
              </w:rPr>
              <w:t>Total operating expenses</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16,043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17,106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18,750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8,810</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10,683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Income (loss) from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(3,093)</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(3,734)</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179</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(651)</w:t>
            </w: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7"/>
                <w:szCs w:val="17"/>
                <w:color w:val="auto"/>
              </w:rPr>
              <w:t>Interest and other income (expense), net</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(287)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(1,594)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(1,124)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(620)</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(625)</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Income (loss) before income taxes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(3,380)</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(5,328)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(1,276)</w:t>
            </w:r>
          </w:p>
        </w:tc>
        <w:tc>
          <w:tcPr>
            <w:tcW w:w="0" w:type="dxa"/>
            <w:vAlign w:val="bottom"/>
          </w:tcPr>
          <w:p>
            <w:pPr>
              <w:spacing w:after="0"/>
              <w:rPr>
                <w:sz w:val="1"/>
                <w:szCs w:val="1"/>
                <w:color w:val="auto"/>
              </w:rPr>
            </w:pPr>
          </w:p>
        </w:tc>
      </w:tr>
      <w:tr>
        <w:trPr>
          <w:trHeight w:val="26"/>
        </w:trPr>
        <w:tc>
          <w:tcPr>
            <w:tcW w:w="6320" w:type="dxa"/>
            <w:vAlign w:val="bottom"/>
            <w:gridSpan w:val="2"/>
            <w:vMerge w:val="restart"/>
          </w:tcPr>
          <w:p>
            <w:pPr>
              <w:ind w:left="180"/>
              <w:spacing w:after="0"/>
              <w:rPr>
                <w:sz w:val="20"/>
                <w:szCs w:val="20"/>
                <w:color w:val="auto"/>
              </w:rPr>
            </w:pPr>
            <w:r>
              <w:rPr>
                <w:rFonts w:ascii="Arial" w:cs="Arial" w:eastAsia="Arial" w:hAnsi="Arial"/>
                <w:sz w:val="17"/>
                <w:szCs w:val="17"/>
                <w:color w:val="auto"/>
              </w:rPr>
              <w:t>Benefit from (provision for) income taxes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20" w:type="dxa"/>
            <w:vAlign w:val="bottom"/>
            <w:gridSpan w:val="2"/>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Net income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(3,380)</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(5,328)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(1,276)</w:t>
            </w:r>
          </w:p>
        </w:tc>
        <w:tc>
          <w:tcPr>
            <w:tcW w:w="0" w:type="dxa"/>
            <w:vAlign w:val="bottom"/>
          </w:tcPr>
          <w:p>
            <w:pPr>
              <w:spacing w:after="0"/>
              <w:rPr>
                <w:sz w:val="1"/>
                <w:szCs w:val="1"/>
                <w:color w:val="auto"/>
              </w:rPr>
            </w:pPr>
          </w:p>
        </w:tc>
      </w:tr>
      <w:tr>
        <w:trPr>
          <w:trHeight w:val="26"/>
        </w:trPr>
        <w:tc>
          <w:tcPr>
            <w:tcW w:w="63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Additional Financial Data:</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3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Non-GAAP gross profit (2)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13,011</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13,405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18,936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8,817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10,058</w:t>
            </w:r>
          </w:p>
        </w:tc>
        <w:tc>
          <w:tcPr>
            <w:tcW w:w="0" w:type="dxa"/>
            <w:vAlign w:val="bottom"/>
          </w:tcPr>
          <w:p>
            <w:pPr>
              <w:spacing w:after="0"/>
              <w:rPr>
                <w:sz w:val="1"/>
                <w:szCs w:val="1"/>
                <w:color w:val="auto"/>
              </w:rPr>
            </w:pPr>
          </w:p>
        </w:tc>
      </w:tr>
      <w:tr>
        <w:trPr>
          <w:trHeight w:val="210"/>
        </w:trPr>
        <w:tc>
          <w:tcPr>
            <w:tcW w:w="6320" w:type="dxa"/>
            <w:vAlign w:val="bottom"/>
            <w:gridSpan w:val="2"/>
          </w:tcPr>
          <w:p>
            <w:pPr>
              <w:spacing w:after="0"/>
              <w:rPr>
                <w:sz w:val="20"/>
                <w:szCs w:val="20"/>
                <w:color w:val="auto"/>
              </w:rPr>
            </w:pPr>
            <w:r>
              <w:rPr>
                <w:rFonts w:ascii="Arial" w:cs="Arial" w:eastAsia="Arial" w:hAnsi="Arial"/>
                <w:sz w:val="17"/>
                <w:szCs w:val="17"/>
                <w:color w:val="auto"/>
              </w:rPr>
              <w:t>Non-GAAP income (loss) from operations (2)</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(1,923)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(3,000)</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441</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74</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Non-GAAP net income (loss) (2)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(1,780)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(5,027)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(552)</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(780)</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7"/>
                <w:szCs w:val="17"/>
                <w:color w:val="auto"/>
              </w:rPr>
              <w:t>Adjusted EBITDA (2)</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2,881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(638)</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3,734</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1,607</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1,310</w:t>
            </w:r>
          </w:p>
        </w:tc>
        <w:tc>
          <w:tcPr>
            <w:tcW w:w="0" w:type="dxa"/>
            <w:vAlign w:val="bottom"/>
          </w:tcPr>
          <w:p>
            <w:pPr>
              <w:spacing w:after="0"/>
              <w:rPr>
                <w:sz w:val="1"/>
                <w:szCs w:val="1"/>
                <w:color w:val="auto"/>
              </w:rPr>
            </w:pPr>
          </w:p>
        </w:tc>
      </w:tr>
      <w:tr>
        <w:trPr>
          <w:trHeight w:val="99"/>
        </w:trPr>
        <w:tc>
          <w:tcPr>
            <w:tcW w:w="252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980" w:hanging="519"/>
        <w:spacing w:after="0" w:line="256" w:lineRule="auto"/>
        <w:tabs>
          <w:tab w:leader="none" w:pos="9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These expenses include stock-based compensation expense, which is accounted for at fair value, using the Black-Scholes option-pricing model. Stock-based compensation expense is recognized over the vesting period of the stock options and was included in cost of goods sold and operating expenses as follows: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3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center"/>
              <w:ind w:left="214"/>
              <w:spacing w:after="0"/>
              <w:rPr>
                <w:sz w:val="20"/>
                <w:szCs w:val="20"/>
                <w:color w:val="auto"/>
              </w:rPr>
            </w:pPr>
            <w:r>
              <w:rPr>
                <w:rFonts w:ascii="Arial" w:cs="Arial" w:eastAsia="Arial" w:hAnsi="Arial"/>
                <w:sz w:val="13"/>
                <w:szCs w:val="13"/>
                <w:b w:val="1"/>
                <w:bCs w:val="1"/>
                <w:color w:val="auto"/>
                <w:w w:val="91"/>
              </w:rPr>
              <w:t>Six</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3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months</w:t>
            </w:r>
          </w:p>
        </w:tc>
      </w:tr>
      <w:tr>
        <w:trPr>
          <w:trHeight w:val="144"/>
        </w:trPr>
        <w:tc>
          <w:tcPr>
            <w:tcW w:w="3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ended</w:t>
            </w:r>
          </w:p>
        </w:tc>
      </w:tr>
      <w:tr>
        <w:trPr>
          <w:trHeight w:val="157"/>
        </w:trPr>
        <w:tc>
          <w:tcPr>
            <w:tcW w:w="3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gridSpan w:val="7"/>
          </w:tcPr>
          <w:p>
            <w:pPr>
              <w:jc w:val="right"/>
              <w:spacing w:after="0"/>
              <w:rPr>
                <w:sz w:val="20"/>
                <w:szCs w:val="20"/>
                <w:color w:val="auto"/>
              </w:rPr>
            </w:pPr>
            <w:r>
              <w:rPr>
                <w:rFonts w:ascii="Arial" w:cs="Arial" w:eastAsia="Arial" w:hAnsi="Arial"/>
                <w:sz w:val="13"/>
                <w:szCs w:val="13"/>
                <w:b w:val="1"/>
                <w:bCs w:val="1"/>
                <w:color w:val="auto"/>
                <w:w w:val="88"/>
              </w:rPr>
              <w:t>Years ended December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8"/>
              </w:rPr>
              <w:t>June 30,</w:t>
            </w:r>
          </w:p>
        </w:tc>
      </w:tr>
      <w:tr>
        <w:trPr>
          <w:trHeight w:val="190"/>
        </w:trPr>
        <w:tc>
          <w:tcPr>
            <w:tcW w:w="38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w w:val="82"/>
              </w:rPr>
              <w:t>2012</w:t>
            </w: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6"/>
                <w:szCs w:val="16"/>
                <w:color w:val="auto"/>
              </w:rPr>
            </w:pPr>
          </w:p>
        </w:tc>
      </w:tr>
      <w:tr>
        <w:trPr>
          <w:trHeight w:val="137"/>
        </w:trPr>
        <w:tc>
          <w:tcPr>
            <w:tcW w:w="38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line="138" w:lineRule="exact"/>
              <w:rPr>
                <w:sz w:val="20"/>
                <w:szCs w:val="20"/>
                <w:color w:val="auto"/>
              </w:rPr>
            </w:pPr>
            <w:r>
              <w:rPr>
                <w:rFonts w:ascii="Arial" w:cs="Arial" w:eastAsia="Arial" w:hAnsi="Arial"/>
                <w:sz w:val="13"/>
                <w:szCs w:val="13"/>
                <w:b w:val="1"/>
                <w:bCs w:val="1"/>
                <w:color w:val="auto"/>
                <w:w w:val="87"/>
              </w:rPr>
              <w:t>(in</w:t>
            </w:r>
          </w:p>
        </w:tc>
        <w:tc>
          <w:tcPr>
            <w:tcW w:w="660" w:type="dxa"/>
            <w:vAlign w:val="bottom"/>
            <w:gridSpan w:val="4"/>
          </w:tcPr>
          <w:p>
            <w:pPr>
              <w:spacing w:after="0" w:line="138" w:lineRule="exact"/>
              <w:rPr>
                <w:sz w:val="20"/>
                <w:szCs w:val="20"/>
                <w:color w:val="auto"/>
              </w:rPr>
            </w:pPr>
            <w:r>
              <w:rPr>
                <w:rFonts w:ascii="Arial" w:cs="Arial" w:eastAsia="Arial" w:hAnsi="Arial"/>
                <w:sz w:val="13"/>
                <w:szCs w:val="13"/>
                <w:b w:val="1"/>
                <w:bCs w:val="1"/>
                <w:color w:val="auto"/>
                <w:w w:val="91"/>
              </w:rPr>
              <w:t>thousands)</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4"/>
        </w:trPr>
        <w:tc>
          <w:tcPr>
            <w:tcW w:w="386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Cost of goods sold</w:t>
            </w:r>
          </w:p>
        </w:tc>
        <w:tc>
          <w:tcPr>
            <w:tcW w:w="18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61</w:t>
            </w:r>
          </w:p>
        </w:tc>
        <w:tc>
          <w:tcPr>
            <w:tcW w:w="240" w:type="dxa"/>
            <w:vAlign w:val="bottom"/>
            <w:gridSpan w:val="2"/>
            <w:shd w:val="clear" w:color="auto" w:fill="CCEEFF"/>
          </w:tcPr>
          <w:p>
            <w:pPr>
              <w:ind w:left="160"/>
              <w:spacing w:after="0" w:line="144"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w:t>
            </w:r>
          </w:p>
        </w:tc>
        <w:tc>
          <w:tcPr>
            <w:tcW w:w="2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w:t>
            </w:r>
          </w:p>
        </w:tc>
        <w:tc>
          <w:tcPr>
            <w:tcW w:w="24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w:t>
            </w:r>
          </w:p>
        </w:tc>
        <w:tc>
          <w:tcPr>
            <w:tcW w:w="2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26</w:t>
            </w:r>
          </w:p>
        </w:tc>
        <w:tc>
          <w:tcPr>
            <w:tcW w:w="160" w:type="dxa"/>
            <w:vAlign w:val="bottom"/>
            <w:shd w:val="clear" w:color="auto" w:fill="CCEEFF"/>
          </w:tcPr>
          <w:p>
            <w:pPr>
              <w:spacing w:after="0"/>
              <w:rPr>
                <w:sz w:val="12"/>
                <w:szCs w:val="12"/>
                <w:color w:val="auto"/>
              </w:rPr>
            </w:pPr>
          </w:p>
        </w:tc>
      </w:tr>
      <w:tr>
        <w:trPr>
          <w:trHeight w:val="144"/>
        </w:trPr>
        <w:tc>
          <w:tcPr>
            <w:tcW w:w="3860" w:type="dxa"/>
            <w:vAlign w:val="bottom"/>
          </w:tcPr>
          <w:p>
            <w:pPr>
              <w:ind w:left="140"/>
              <w:spacing w:after="0" w:line="144" w:lineRule="exact"/>
              <w:rPr>
                <w:sz w:val="20"/>
                <w:szCs w:val="20"/>
                <w:color w:val="auto"/>
              </w:rPr>
            </w:pPr>
            <w:r>
              <w:rPr>
                <w:rFonts w:ascii="Arial" w:cs="Arial" w:eastAsia="Arial" w:hAnsi="Arial"/>
                <w:sz w:val="13"/>
                <w:szCs w:val="13"/>
                <w:color w:val="auto"/>
              </w:rPr>
              <w:t>Research and development</w:t>
            </w: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50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24</w:t>
            </w:r>
          </w:p>
        </w:tc>
        <w:tc>
          <w:tcPr>
            <w:tcW w:w="160" w:type="dxa"/>
            <w:vAlign w:val="bottom"/>
          </w:tcPr>
          <w:p>
            <w:pPr>
              <w:spacing w:after="0"/>
              <w:rPr>
                <w:sz w:val="12"/>
                <w:szCs w:val="12"/>
                <w:color w:val="auto"/>
              </w:rPr>
            </w:pPr>
          </w:p>
        </w:tc>
      </w:tr>
      <w:tr>
        <w:trPr>
          <w:trHeight w:val="144"/>
        </w:trPr>
        <w:tc>
          <w:tcPr>
            <w:tcW w:w="386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Sales and marketing</w:t>
            </w: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w:t>
            </w:r>
          </w:p>
        </w:tc>
        <w:tc>
          <w:tcPr>
            <w:tcW w:w="160" w:type="dxa"/>
            <w:vAlign w:val="bottom"/>
            <w:shd w:val="clear" w:color="auto" w:fill="CCEEFF"/>
          </w:tcPr>
          <w:p>
            <w:pPr>
              <w:spacing w:after="0"/>
              <w:rPr>
                <w:sz w:val="12"/>
                <w:szCs w:val="12"/>
                <w:color w:val="auto"/>
              </w:rPr>
            </w:pPr>
          </w:p>
        </w:tc>
      </w:tr>
      <w:tr>
        <w:trPr>
          <w:trHeight w:val="168"/>
        </w:trPr>
        <w:tc>
          <w:tcPr>
            <w:tcW w:w="386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7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579</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w:t>
            </w:r>
          </w:p>
        </w:tc>
        <w:tc>
          <w:tcPr>
            <w:tcW w:w="160" w:type="dxa"/>
            <w:vAlign w:val="bottom"/>
          </w:tcPr>
          <w:p>
            <w:pPr>
              <w:spacing w:after="0"/>
              <w:rPr>
                <w:sz w:val="14"/>
                <w:szCs w:val="14"/>
                <w:color w:val="auto"/>
              </w:rPr>
            </w:pPr>
          </w:p>
        </w:tc>
      </w:tr>
      <w:tr>
        <w:trPr>
          <w:trHeight w:val="140"/>
        </w:trPr>
        <w:tc>
          <w:tcPr>
            <w:tcW w:w="38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 stock-based compensation expense</w:t>
            </w:r>
          </w:p>
        </w:tc>
        <w:tc>
          <w:tcPr>
            <w:tcW w:w="18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780</w:t>
            </w:r>
          </w:p>
        </w:tc>
        <w:tc>
          <w:tcPr>
            <w:tcW w:w="240" w:type="dxa"/>
            <w:vAlign w:val="bottom"/>
            <w:gridSpan w:val="2"/>
            <w:shd w:val="clear" w:color="auto" w:fill="CCEEFF"/>
          </w:tcPr>
          <w:p>
            <w:pPr>
              <w:ind w:left="160"/>
              <w:spacing w:after="0" w:line="140"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563</w:t>
            </w:r>
          </w:p>
        </w:tc>
        <w:tc>
          <w:tcPr>
            <w:tcW w:w="2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161</w:t>
            </w:r>
          </w:p>
        </w:tc>
        <w:tc>
          <w:tcPr>
            <w:tcW w:w="24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36</w:t>
            </w:r>
          </w:p>
        </w:tc>
        <w:tc>
          <w:tcPr>
            <w:tcW w:w="2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240</w:t>
            </w:r>
          </w:p>
        </w:tc>
        <w:tc>
          <w:tcPr>
            <w:tcW w:w="160" w:type="dxa"/>
            <w:vAlign w:val="bottom"/>
            <w:shd w:val="clear" w:color="auto" w:fill="CCEEFF"/>
          </w:tcPr>
          <w:p>
            <w:pPr>
              <w:spacing w:after="0"/>
              <w:rPr>
                <w:sz w:val="12"/>
                <w:szCs w:val="12"/>
                <w:color w:val="auto"/>
              </w:rPr>
            </w:pPr>
          </w:p>
        </w:tc>
      </w:tr>
      <w:tr>
        <w:trPr>
          <w:trHeight w:val="26"/>
        </w:trPr>
        <w:tc>
          <w:tcPr>
            <w:tcW w:w="3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ind w:left="980" w:right="80" w:hanging="519"/>
        <w:spacing w:after="0" w:line="239" w:lineRule="auto"/>
        <w:tabs>
          <w:tab w:leader="none" w:pos="9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We prepare Adjusted EBITDA and our other non-GAAP measures to eliminate the impact of items that we do not consider indicative of our overall operating performance. To arrive at our non-GAAP gross profit, we exclude stock-based compensation expense from our GAAP gross profit. To arrive at our non-GAAP income (loss) from operations we exclude all amortization of intangible assets, stock-based compensation expense and non-recurring consulting fees, if any, from our GAAP net income (loss) from operations. To arrive at our Adjusted EBITDA, we exclude these same items and, additionally, exclude asset impairment charges, loss (gain) from disposal of idle assets, unrealized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980"/>
        <w:spacing w:after="0"/>
        <w:rPr>
          <w:sz w:val="20"/>
          <w:szCs w:val="20"/>
          <w:color w:val="auto"/>
        </w:rPr>
      </w:pPr>
      <w:r>
        <w:rPr>
          <w:rFonts w:ascii="Arial" w:cs="Arial" w:eastAsia="Arial" w:hAnsi="Arial"/>
          <w:sz w:val="13"/>
          <w:szCs w:val="13"/>
          <w:color w:val="auto"/>
        </w:rPr>
        <w:t>exchange loss (gain), interest (income) expense, on a net basis, provision for (benefit from) income taxes and all depreciation expense from our GAAP net income (loss).</w:t>
      </w:r>
    </w:p>
    <w:p>
      <w:pPr>
        <w:spacing w:after="0" w:line="283"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We believe that our non-GAAP measures are useful to investors in evaluating our operating performance for the following reasons:</w:t>
      </w:r>
    </w:p>
    <w:p>
      <w:pPr>
        <w:spacing w:after="0" w:line="200" w:lineRule="exact"/>
        <w:rPr>
          <w:sz w:val="20"/>
          <w:szCs w:val="20"/>
          <w:color w:val="auto"/>
        </w:rPr>
      </w:pPr>
    </w:p>
    <w:p>
      <w:pPr>
        <w:spacing w:after="0" w:line="267" w:lineRule="exact"/>
        <w:rPr>
          <w:sz w:val="20"/>
          <w:szCs w:val="20"/>
          <w:color w:val="auto"/>
        </w:rPr>
      </w:pPr>
    </w:p>
    <w:p>
      <w:pPr>
        <w:ind w:left="1520" w:right="60" w:hanging="534"/>
        <w:spacing w:after="0" w:line="214" w:lineRule="auto"/>
        <w:tabs>
          <w:tab w:leader="none" w:pos="1520" w:val="left"/>
        </w:tabs>
        <w:numPr>
          <w:ilvl w:val="0"/>
          <w:numId w:val="33"/>
        </w:numPr>
        <w:rPr>
          <w:rFonts w:ascii="Arial" w:cs="Arial" w:eastAsia="Arial" w:hAnsi="Arial"/>
          <w:sz w:val="17"/>
          <w:szCs w:val="17"/>
          <w:color w:val="auto"/>
        </w:rPr>
      </w:pPr>
      <w:r>
        <w:rPr>
          <w:rFonts w:ascii="Arial" w:cs="Arial" w:eastAsia="Arial" w:hAnsi="Arial"/>
          <w:sz w:val="13"/>
          <w:szCs w:val="13"/>
          <w:color w:val="auto"/>
        </w:rPr>
        <w:t>We believe that elimination of items, such as stock-based compensation expense, adjusted depreciation and amortization, income tax expense and other income, net, is appropriate because treatment of these items may vary for reasons unrelated to our overall operating performance;</w:t>
      </w:r>
    </w:p>
    <w:p>
      <w:pPr>
        <w:spacing w:after="0" w:line="203" w:lineRule="exact"/>
        <w:rPr>
          <w:rFonts w:ascii="Arial" w:cs="Arial" w:eastAsia="Arial" w:hAnsi="Arial"/>
          <w:sz w:val="17"/>
          <w:szCs w:val="17"/>
          <w:color w:val="auto"/>
        </w:rPr>
      </w:pPr>
    </w:p>
    <w:p>
      <w:pPr>
        <w:ind w:left="1520" w:right="60" w:hanging="534"/>
        <w:spacing w:after="0" w:line="230" w:lineRule="auto"/>
        <w:tabs>
          <w:tab w:leader="none" w:pos="1520" w:val="left"/>
        </w:tabs>
        <w:numPr>
          <w:ilvl w:val="0"/>
          <w:numId w:val="33"/>
        </w:numPr>
        <w:rPr>
          <w:rFonts w:ascii="Arial" w:cs="Arial" w:eastAsia="Arial" w:hAnsi="Arial"/>
          <w:sz w:val="16"/>
          <w:szCs w:val="16"/>
          <w:color w:val="auto"/>
        </w:rPr>
      </w:pPr>
      <w:r>
        <w:rPr>
          <w:rFonts w:ascii="Arial" w:cs="Arial" w:eastAsia="Arial" w:hAnsi="Arial"/>
          <w:sz w:val="12"/>
          <w:szCs w:val="12"/>
          <w:color w:val="auto"/>
        </w:rPr>
        <w:t>We use non-GAAP measures in conjunction with our GAAP financial measures for planning purposes, including the preparation of our annual operating budget, as a measure of operating performance and the effectiveness of our business strategies and in communications with our board of directors concerning our financial performance;</w:t>
      </w:r>
    </w:p>
    <w:p>
      <w:pPr>
        <w:spacing w:after="0" w:line="202" w:lineRule="exact"/>
        <w:rPr>
          <w:rFonts w:ascii="Arial" w:cs="Arial" w:eastAsia="Arial" w:hAnsi="Arial"/>
          <w:sz w:val="16"/>
          <w:szCs w:val="16"/>
          <w:color w:val="auto"/>
        </w:rPr>
      </w:pPr>
    </w:p>
    <w:p>
      <w:pPr>
        <w:ind w:left="1520" w:right="380" w:hanging="534"/>
        <w:spacing w:after="0" w:line="230" w:lineRule="auto"/>
        <w:tabs>
          <w:tab w:leader="none" w:pos="1520" w:val="left"/>
        </w:tabs>
        <w:numPr>
          <w:ilvl w:val="0"/>
          <w:numId w:val="33"/>
        </w:numPr>
        <w:rPr>
          <w:rFonts w:ascii="Arial" w:cs="Arial" w:eastAsia="Arial" w:hAnsi="Arial"/>
          <w:sz w:val="16"/>
          <w:szCs w:val="16"/>
          <w:color w:val="auto"/>
        </w:rPr>
      </w:pPr>
      <w:r>
        <w:rPr>
          <w:rFonts w:ascii="Arial" w:cs="Arial" w:eastAsia="Arial" w:hAnsi="Arial"/>
          <w:sz w:val="12"/>
          <w:szCs w:val="12"/>
          <w:color w:val="auto"/>
        </w:rPr>
        <w:t>We believe that non-GAAP measures provide better comparability with our past financial performance, facilitates better period-to-period comparisons of operational results and also facilitates comparisons with our peer companies, many of which also use similar non-GAAP financial measures to supplement their GAAP reporting; and</w:t>
      </w:r>
    </w:p>
    <w:p>
      <w:pPr>
        <w:spacing w:after="0" w:line="215" w:lineRule="exact"/>
        <w:rPr>
          <w:rFonts w:ascii="Arial" w:cs="Arial" w:eastAsia="Arial" w:hAnsi="Arial"/>
          <w:sz w:val="16"/>
          <w:szCs w:val="16"/>
          <w:color w:val="auto"/>
        </w:rPr>
      </w:pPr>
    </w:p>
    <w:p>
      <w:pPr>
        <w:ind w:left="1520" w:right="580" w:hanging="534"/>
        <w:spacing w:after="0" w:line="214" w:lineRule="auto"/>
        <w:tabs>
          <w:tab w:leader="none" w:pos="1520" w:val="left"/>
        </w:tabs>
        <w:numPr>
          <w:ilvl w:val="0"/>
          <w:numId w:val="33"/>
        </w:numPr>
        <w:rPr>
          <w:rFonts w:ascii="Arial" w:cs="Arial" w:eastAsia="Arial" w:hAnsi="Arial"/>
          <w:sz w:val="17"/>
          <w:szCs w:val="17"/>
          <w:color w:val="auto"/>
        </w:rPr>
      </w:pPr>
      <w:r>
        <w:rPr>
          <w:rFonts w:ascii="Arial" w:cs="Arial" w:eastAsia="Arial" w:hAnsi="Arial"/>
          <w:sz w:val="13"/>
          <w:szCs w:val="13"/>
          <w:color w:val="auto"/>
        </w:rPr>
        <w:t>We anticipate that, after consummating this offering, our investor presentations and those of securities analyst will include non-GAAP measures to evaluate our overall operating performance.</w:t>
      </w:r>
    </w:p>
    <w:p>
      <w:pPr>
        <w:spacing w:after="0" w:line="374" w:lineRule="exact"/>
        <w:rPr>
          <w:sz w:val="20"/>
          <w:szCs w:val="20"/>
          <w:color w:val="auto"/>
        </w:rPr>
      </w:pPr>
    </w:p>
    <w:p>
      <w:pPr>
        <w:ind w:left="980" w:right="60"/>
        <w:spacing w:after="0" w:line="238" w:lineRule="auto"/>
        <w:rPr>
          <w:sz w:val="20"/>
          <w:szCs w:val="20"/>
          <w:color w:val="auto"/>
        </w:rPr>
      </w:pPr>
      <w:r>
        <w:rPr>
          <w:rFonts w:ascii="Arial" w:cs="Arial" w:eastAsia="Arial" w:hAnsi="Arial"/>
          <w:sz w:val="13"/>
          <w:szCs w:val="13"/>
          <w:color w:val="auto"/>
        </w:rPr>
        <w:t>Adjusted EBITDA and other non-GAAP measures should not be considered as an alternative to gross profit, income (loss) from operations, net income (loss) or any other measure of financial performance calculated and presented in accordance with GAAP. Our Adjusted EBITDA and other non-GAAP measures may not be comparable to similarly titled measures of other organizations because other organizations may not calculate Adjusted EBITDA or such other non-GAAP measures in the same manner. You are encouraged to evaluate these adjustments and the reason we consider them appropriate. For a reconciliation between GAAP and Non-GAAP measures, see footnote (3) to the table in the section titled "Summary Consolidated Financial Data" on page 9 of this prospectus.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Six Months Ended June 30, 2013 and 2012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900" w:type="dxa"/>
            <w:vAlign w:val="bottom"/>
          </w:tcPr>
          <w:p>
            <w:pPr>
              <w:spacing w:after="0"/>
              <w:rPr>
                <w:sz w:val="13"/>
                <w:szCs w:val="13"/>
                <w:color w:val="auto"/>
              </w:rPr>
            </w:pPr>
          </w:p>
        </w:tc>
        <w:tc>
          <w:tcPr>
            <w:tcW w:w="1820" w:type="dxa"/>
            <w:vAlign w:val="bottom"/>
            <w:gridSpan w:val="5"/>
          </w:tcPr>
          <w:p>
            <w:pPr>
              <w:ind w:left="340"/>
              <w:spacing w:after="0"/>
              <w:rPr>
                <w:sz w:val="20"/>
                <w:szCs w:val="20"/>
                <w:color w:val="auto"/>
              </w:rPr>
            </w:pPr>
            <w:r>
              <w:rPr>
                <w:rFonts w:ascii="Arial" w:cs="Arial" w:eastAsia="Arial" w:hAnsi="Arial"/>
                <w:sz w:val="13"/>
                <w:szCs w:val="13"/>
                <w:b w:val="1"/>
                <w:bCs w:val="1"/>
                <w:color w:val="auto"/>
              </w:rPr>
              <w:t>Six months ended</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5900" w:type="dxa"/>
            <w:vAlign w:val="bottom"/>
          </w:tcPr>
          <w:p>
            <w:pPr>
              <w:spacing w:after="0"/>
              <w:rPr>
                <w:sz w:val="13"/>
                <w:szCs w:val="13"/>
                <w:color w:val="auto"/>
              </w:rPr>
            </w:pPr>
          </w:p>
        </w:tc>
        <w:tc>
          <w:tcPr>
            <w:tcW w:w="112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w w:val="96"/>
              </w:rPr>
              <w:t>June 30,</w:t>
            </w: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auto"/>
            </w:tcBorders>
            <w:gridSpan w:val="3"/>
          </w:tcPr>
          <w:p>
            <w:pPr>
              <w:ind w:left="420"/>
              <w:spacing w:after="0"/>
              <w:rPr>
                <w:sz w:val="20"/>
                <w:szCs w:val="20"/>
                <w:color w:val="auto"/>
              </w:rPr>
            </w:pPr>
            <w:r>
              <w:rPr>
                <w:rFonts w:ascii="Arial" w:cs="Arial" w:eastAsia="Arial" w:hAnsi="Arial"/>
                <w:sz w:val="13"/>
                <w:szCs w:val="13"/>
                <w:b w:val="1"/>
                <w:bCs w:val="1"/>
                <w:color w:val="auto"/>
                <w:w w:val="96"/>
              </w:rPr>
              <w:t>Change</w:t>
            </w:r>
          </w:p>
        </w:tc>
        <w:tc>
          <w:tcPr>
            <w:tcW w:w="3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5900" w:type="dxa"/>
            <w:vAlign w:val="bottom"/>
          </w:tcPr>
          <w:p>
            <w:pPr>
              <w:spacing w:after="0"/>
              <w:rPr>
                <w:sz w:val="16"/>
                <w:szCs w:val="16"/>
                <w:color w:val="auto"/>
              </w:rPr>
            </w:pPr>
          </w:p>
        </w:tc>
        <w:tc>
          <w:tcPr>
            <w:tcW w:w="76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w w:val="96"/>
              </w:rPr>
              <w:t>2013</w:t>
            </w:r>
          </w:p>
        </w:tc>
        <w:tc>
          <w:tcPr>
            <w:tcW w:w="16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6"/>
                <w:szCs w:val="16"/>
                <w:color w:val="auto"/>
              </w:rPr>
            </w:pPr>
          </w:p>
        </w:tc>
      </w:tr>
      <w:tr>
        <w:trPr>
          <w:trHeight w:val="203"/>
        </w:trPr>
        <w:tc>
          <w:tcPr>
            <w:tcW w:w="5900" w:type="dxa"/>
            <w:vAlign w:val="bottom"/>
          </w:tcPr>
          <w:p>
            <w:pPr>
              <w:spacing w:after="0"/>
              <w:rPr>
                <w:sz w:val="17"/>
                <w:szCs w:val="17"/>
                <w:color w:val="auto"/>
              </w:rPr>
            </w:pPr>
          </w:p>
        </w:tc>
        <w:tc>
          <w:tcPr>
            <w:tcW w:w="2720" w:type="dxa"/>
            <w:vAlign w:val="bottom"/>
            <w:gridSpan w:val="8"/>
          </w:tcPr>
          <w:p>
            <w:pPr>
              <w:ind w:left="580"/>
              <w:spacing w:after="0"/>
              <w:rPr>
                <w:sz w:val="20"/>
                <w:szCs w:val="20"/>
                <w:color w:val="auto"/>
              </w:rPr>
            </w:pPr>
            <w:r>
              <w:rPr>
                <w:rFonts w:ascii="Arial" w:cs="Arial" w:eastAsia="Arial" w:hAnsi="Arial"/>
                <w:sz w:val="13"/>
                <w:szCs w:val="13"/>
                <w:b w:val="1"/>
                <w:bCs w:val="1"/>
                <w:color w:val="auto"/>
                <w:w w:val="97"/>
              </w:rPr>
              <w:t>(in thousands, except percentages)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  28,144</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33,914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5,770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7"/>
              </w:rPr>
              <w:t>20.5%</w:t>
            </w:r>
          </w:p>
        </w:tc>
      </w:tr>
    </w:tbl>
    <w:p>
      <w:pPr>
        <w:spacing w:after="0" w:line="201" w:lineRule="exact"/>
        <w:rPr>
          <w:sz w:val="20"/>
          <w:szCs w:val="20"/>
          <w:color w:val="auto"/>
        </w:rPr>
      </w:pPr>
    </w:p>
    <w:p>
      <w:pPr>
        <w:ind w:right="280" w:firstLine="341"/>
        <w:spacing w:after="0" w:line="282" w:lineRule="auto"/>
        <w:rPr>
          <w:sz w:val="20"/>
          <w:szCs w:val="20"/>
          <w:color w:val="auto"/>
        </w:rPr>
      </w:pPr>
      <w:r>
        <w:rPr>
          <w:rFonts w:ascii="Arial" w:cs="Arial" w:eastAsia="Arial" w:hAnsi="Arial"/>
          <w:sz w:val="17"/>
          <w:szCs w:val="17"/>
          <w:color w:val="auto"/>
        </w:rPr>
        <w:t>Of our total revenue in the six months ended June 30, 2013, we generated $18.8 million, or 55.4%, from the CATV market, $10.3 million, or 30.3%, from the internet data center market, $1.8 million, or 5.3%, in the FTTH market, and $3.1 million, or, 9.0%, from other markets.</w:t>
      </w:r>
    </w:p>
    <w:p>
      <w:pPr>
        <w:spacing w:after="0" w:line="170" w:lineRule="exact"/>
        <w:rPr>
          <w:sz w:val="20"/>
          <w:szCs w:val="20"/>
          <w:color w:val="auto"/>
        </w:rPr>
      </w:pPr>
    </w:p>
    <w:p>
      <w:pPr>
        <w:ind w:firstLine="338"/>
        <w:spacing w:after="0" w:line="287" w:lineRule="auto"/>
        <w:rPr>
          <w:sz w:val="20"/>
          <w:szCs w:val="20"/>
          <w:color w:val="auto"/>
        </w:rPr>
      </w:pPr>
      <w:r>
        <w:rPr>
          <w:rFonts w:ascii="Arial" w:cs="Arial" w:eastAsia="Arial" w:hAnsi="Arial"/>
          <w:sz w:val="16"/>
          <w:szCs w:val="16"/>
          <w:color w:val="auto"/>
        </w:rPr>
        <w:t>The increase in revenue was attributable to a $8.9 million increase from the internet data center market, and a $1.1 million increase from the other markets, which increases were partially offset by a $4.3 million decrease in the CATV market. Revenues in the internet data center market were driven by increasing sales to new customers acquired late in 2012. The decline in revenues in the CATV market in 2013 was a result of market-wide weakness in the first half of 2013, particularly in China, as well as delays in orders as a consequence of mergers among several of our CATV customers.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goods sold and gross margin</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3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3"/>
                <w:szCs w:val="13"/>
                <w:b w:val="1"/>
                <w:bCs w:val="1"/>
                <w:color w:val="auto"/>
                <w:w w:val="90"/>
              </w:rPr>
              <w:t>Six months ended June 30,</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4380" w:type="dxa"/>
            <w:vAlign w:val="bottom"/>
          </w:tcPr>
          <w:p>
            <w:pPr>
              <w:spacing w:after="0"/>
              <w:rPr>
                <w:sz w:val="24"/>
                <w:szCs w:val="2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2012</w:t>
            </w:r>
          </w:p>
        </w:tc>
        <w:tc>
          <w:tcPr>
            <w:tcW w:w="6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2013</w:t>
            </w: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vMerge w:val="restart"/>
          </w:tcPr>
          <w:p>
            <w:pPr>
              <w:jc w:val="center"/>
              <w:ind w:right="280"/>
              <w:spacing w:after="0"/>
              <w:rPr>
                <w:sz w:val="20"/>
                <w:szCs w:val="20"/>
                <w:color w:val="auto"/>
              </w:rPr>
            </w:pPr>
            <w:r>
              <w:rPr>
                <w:rFonts w:ascii="Arial" w:cs="Arial" w:eastAsia="Arial" w:hAnsi="Arial"/>
                <w:sz w:val="13"/>
                <w:szCs w:val="13"/>
                <w:b w:val="1"/>
                <w:bCs w:val="1"/>
                <w:color w:val="auto"/>
                <w:w w:val="94"/>
              </w:rPr>
              <w:t>% of</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rPr>
              <w:t>% of</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b w:val="1"/>
                <w:bCs w:val="1"/>
                <w:color w:val="auto"/>
              </w:rPr>
              <w:t>Change</w:t>
            </w:r>
          </w:p>
        </w:tc>
        <w:tc>
          <w:tcPr>
            <w:tcW w:w="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8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8"/>
          </w:tcPr>
          <w:p>
            <w:pPr>
              <w:ind w:left="460"/>
              <w:spacing w:after="0"/>
              <w:rPr>
                <w:sz w:val="20"/>
                <w:szCs w:val="20"/>
                <w:color w:val="auto"/>
              </w:rPr>
            </w:pPr>
            <w:r>
              <w:rPr>
                <w:rFonts w:ascii="Arial" w:cs="Arial" w:eastAsia="Arial" w:hAnsi="Arial"/>
                <w:sz w:val="13"/>
                <w:szCs w:val="13"/>
                <w:b w:val="1"/>
                <w:bCs w:val="1"/>
                <w:color w:val="auto"/>
                <w:w w:val="95"/>
              </w:rPr>
              <w:t>(in thousands, except percentages)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19,331</w:t>
            </w:r>
          </w:p>
        </w:tc>
        <w:tc>
          <w:tcPr>
            <w:tcW w:w="100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w w:val="97"/>
              </w:rPr>
              <w:t>68.7%$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23,882</w:t>
            </w:r>
          </w:p>
        </w:tc>
        <w:tc>
          <w:tcPr>
            <w:tcW w:w="8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w w:val="90"/>
              </w:rPr>
              <w:t>70.4%$</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4,551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7"/>
              </w:rPr>
              <w:t>23.5%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7"/>
                <w:szCs w:val="17"/>
                <w:color w:val="auto"/>
              </w:rPr>
              <w:t>Gross margin</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ind w:left="420"/>
              <w:spacing w:after="0"/>
              <w:rPr>
                <w:sz w:val="20"/>
                <w:szCs w:val="20"/>
                <w:color w:val="auto"/>
              </w:rPr>
            </w:pPr>
            <w:r>
              <w:rPr>
                <w:rFonts w:ascii="Arial" w:cs="Arial" w:eastAsia="Arial" w:hAnsi="Arial"/>
                <w:sz w:val="17"/>
                <w:szCs w:val="17"/>
                <w:color w:val="auto"/>
                <w:w w:val="91"/>
              </w:rPr>
              <w:t>31.3%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7"/>
                <w:szCs w:val="17"/>
                <w:color w:val="auto"/>
                <w:w w:val="91"/>
              </w:rPr>
              <w:t>29.6%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Cost of goods sold increased by $4.6 million, or 23.5%, from the six months ended June 30, 2012 to the six months ended June 30, 2013, primarily due to a combination of a $3.3 million increase in direct material costs and a $0.7 million increase in labor and overhead costs, both of which were associated with our increase in revenues. Within our markets, we sell similar products in different geographic regions at different prices, and therefore realize different gross margins among those similar products. The decrease in gross margin was primarily the result of an unfavorable product mix in the Asian market, leading to higher than normal direct labor and overhead charges in the three-months ended June 30, 2013. Additionally, in the six-month period ended June 30, 2013, we recorded a higher than normal inventory reserve from discontinued products associated with inventory on hand in our Asia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3"/>
                <w:szCs w:val="13"/>
                <w:b w:val="1"/>
                <w:bCs w:val="1"/>
                <w:color w:val="auto"/>
                <w:w w:val="88"/>
              </w:rPr>
              <w:t>Six months ended June 30,</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4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504"/>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2013</w:t>
            </w: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4"/>
              </w:rPr>
              <w:t>% of</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rPr>
              <w:t>% of</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b w:val="1"/>
                <w:bCs w:val="1"/>
                <w:color w:val="auto"/>
              </w:rPr>
              <w:t>Change</w:t>
            </w:r>
          </w:p>
        </w:tc>
        <w:tc>
          <w:tcPr>
            <w:tcW w:w="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7"/>
          </w:tcPr>
          <w:p>
            <w:pPr>
              <w:jc w:val="right"/>
              <w:ind w:right="60"/>
              <w:spacing w:after="0"/>
              <w:rPr>
                <w:sz w:val="20"/>
                <w:szCs w:val="20"/>
                <w:color w:val="auto"/>
              </w:rPr>
            </w:pPr>
            <w:r>
              <w:rPr>
                <w:rFonts w:ascii="Arial" w:cs="Arial" w:eastAsia="Arial" w:hAnsi="Arial"/>
                <w:sz w:val="13"/>
                <w:szCs w:val="13"/>
                <w:b w:val="1"/>
                <w:bCs w:val="1"/>
                <w:color w:val="auto"/>
              </w:rPr>
              <w:t>(in thousands, except percentages)</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3,284</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3,902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7"/>
              </w:rPr>
              <w:t>18.8%</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7"/>
                <w:szCs w:val="17"/>
                <w:color w:val="auto"/>
              </w:rPr>
              <w:t>Sales and marketing</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1,614</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1,959</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5.8%</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7"/>
                <w:szCs w:val="17"/>
                <w:color w:val="auto"/>
                <w:w w:val="87"/>
              </w:rPr>
              <w:t>21.4%</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3,883</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4,788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905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7"/>
              </w:rPr>
              <w:t>23.3%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7"/>
                <w:szCs w:val="17"/>
                <w:color w:val="auto"/>
              </w:rPr>
              <w:t>Amortization of intangible assets</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29</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34</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7"/>
                <w:szCs w:val="17"/>
                <w:color w:val="auto"/>
                <w:w w:val="87"/>
              </w:rPr>
              <w:t>18.3%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operating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8,810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10,683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1,873</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7"/>
              </w:rPr>
              <w:t>21.3%</w:t>
            </w: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224"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color w:val="auto"/>
        </w:rPr>
        <w:t>Research and development expense increased by $0.6 million, or 18.8%, from the six months ended June 30, 2012 to the six months ended June 30, 2013. This was primarily due to increases in personnel costs and R&amp;D work order and project costs related to new product development.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expense</w:t>
      </w:r>
    </w:p>
    <w:p>
      <w:pPr>
        <w:spacing w:after="0" w:line="224" w:lineRule="exact"/>
        <w:rPr>
          <w:sz w:val="20"/>
          <w:szCs w:val="20"/>
          <w:color w:val="auto"/>
        </w:rPr>
      </w:pPr>
    </w:p>
    <w:p>
      <w:pPr>
        <w:ind w:right="320" w:firstLine="341"/>
        <w:spacing w:after="0" w:line="282" w:lineRule="auto"/>
        <w:rPr>
          <w:sz w:val="20"/>
          <w:szCs w:val="20"/>
          <w:color w:val="auto"/>
        </w:rPr>
      </w:pPr>
      <w:r>
        <w:rPr>
          <w:rFonts w:ascii="Arial" w:cs="Arial" w:eastAsia="Arial" w:hAnsi="Arial"/>
          <w:sz w:val="17"/>
          <w:szCs w:val="17"/>
          <w:color w:val="auto"/>
        </w:rPr>
        <w:t>Sales and marketing expense increased by $0.3 million, or 21.4%, from the six months ended June 30, 2012 to the six months ended June 30, 2013. This was primarily due to an increase in personnel costs due to additional sales and marketing staff.</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24"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color w:val="auto"/>
        </w:rPr>
        <w:t>General and administrative expense increased by $0.9 million, or 23.3%, from the six months ended June 30, 2012 to the six months ended June 30, 2013. This was primarily due to an increase in personnel costs, professional fees and travel expenses.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9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Six months ended June 30,</w:t>
            </w:r>
          </w:p>
        </w:tc>
        <w:tc>
          <w:tcPr>
            <w:tcW w:w="5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3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503"/>
              <w:spacing w:after="0"/>
              <w:rPr>
                <w:sz w:val="20"/>
                <w:szCs w:val="20"/>
                <w:color w:val="auto"/>
              </w:rPr>
            </w:pPr>
            <w:r>
              <w:rPr>
                <w:rFonts w:ascii="Arial" w:cs="Arial" w:eastAsia="Arial" w:hAnsi="Arial"/>
                <w:sz w:val="13"/>
                <w:szCs w:val="13"/>
                <w:b w:val="1"/>
                <w:bCs w:val="1"/>
                <w:color w:val="auto"/>
              </w:rPr>
              <w:t>2012</w:t>
            </w: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2013</w:t>
            </w:r>
          </w:p>
        </w:tc>
        <w:tc>
          <w:tcPr>
            <w:tcW w:w="5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restart"/>
          </w:tcPr>
          <w:p>
            <w:pPr>
              <w:jc w:val="center"/>
              <w:ind w:right="234"/>
              <w:spacing w:after="0"/>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rPr>
              <w:t>% of</w:t>
            </w: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ind w:left="420"/>
              <w:spacing w:after="0"/>
              <w:rPr>
                <w:sz w:val="20"/>
                <w:szCs w:val="20"/>
                <w:color w:val="auto"/>
              </w:rPr>
            </w:pPr>
            <w:r>
              <w:rPr>
                <w:rFonts w:ascii="Arial" w:cs="Arial" w:eastAsia="Arial" w:hAnsi="Arial"/>
                <w:sz w:val="13"/>
                <w:szCs w:val="13"/>
                <w:b w:val="1"/>
                <w:bCs w:val="1"/>
                <w:color w:val="auto"/>
                <w:w w:val="92"/>
              </w:rPr>
              <w:t>Change</w:t>
            </w:r>
          </w:p>
        </w:tc>
        <w:tc>
          <w:tcPr>
            <w:tcW w:w="4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88"/>
              </w:rPr>
              <w:t>revenue</w:t>
            </w: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80" w:type="dxa"/>
            <w:vAlign w:val="bottom"/>
            <w:gridSpan w:val="7"/>
          </w:tcPr>
          <w:p>
            <w:pPr>
              <w:jc w:val="center"/>
              <w:spacing w:after="0"/>
              <w:rPr>
                <w:sz w:val="20"/>
                <w:szCs w:val="20"/>
                <w:color w:val="auto"/>
              </w:rPr>
            </w:pPr>
            <w:r>
              <w:rPr>
                <w:rFonts w:ascii="Arial" w:cs="Arial" w:eastAsia="Arial" w:hAnsi="Arial"/>
                <w:sz w:val="13"/>
                <w:szCs w:val="13"/>
                <w:b w:val="1"/>
                <w:bCs w:val="1"/>
                <w:color w:val="auto"/>
                <w:w w:val="87"/>
              </w:rPr>
              <w:t>(in thousands, except percentages)</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9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400.0%</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7"/>
                <w:szCs w:val="17"/>
                <w:color w:val="auto"/>
              </w:rPr>
              <w:t>Interest expense</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(717)</w:t>
            </w:r>
          </w:p>
        </w:tc>
        <w:tc>
          <w:tcPr>
            <w:tcW w:w="940" w:type="dxa"/>
            <w:vAlign w:val="bottom"/>
            <w:gridSpan w:val="2"/>
          </w:tcPr>
          <w:p>
            <w:pPr>
              <w:jc w:val="right"/>
              <w:ind w:right="54"/>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(602)</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115</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90</w:t>
            </w:r>
          </w:p>
        </w:tc>
        <w:tc>
          <w:tcPr>
            <w:tcW w:w="9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5"/>
              </w:rPr>
              <w:t>(164.4)%</w:t>
            </w:r>
          </w:p>
        </w:tc>
        <w:tc>
          <w:tcPr>
            <w:tcW w:w="0" w:type="dxa"/>
            <w:vAlign w:val="bottom"/>
          </w:tcPr>
          <w:p>
            <w:pPr>
              <w:spacing w:after="0"/>
              <w:rPr>
                <w:sz w:val="1"/>
                <w:szCs w:val="1"/>
                <w:color w:val="auto"/>
              </w:rPr>
            </w:pPr>
          </w:p>
        </w:tc>
      </w:tr>
      <w:tr>
        <w:trPr>
          <w:trHeight w:val="26"/>
        </w:trPr>
        <w:tc>
          <w:tcPr>
            <w:tcW w:w="3900" w:type="dxa"/>
            <w:vAlign w:val="bottom"/>
            <w:vMerge w:val="restart"/>
          </w:tcPr>
          <w:p>
            <w:pPr>
              <w:ind w:left="180"/>
              <w:spacing w:after="0"/>
              <w:rPr>
                <w:sz w:val="20"/>
                <w:szCs w:val="20"/>
                <w:color w:val="auto"/>
              </w:rPr>
            </w:pPr>
            <w:r>
              <w:rPr>
                <w:rFonts w:ascii="Arial" w:cs="Arial" w:eastAsia="Arial" w:hAnsi="Arial"/>
                <w:sz w:val="17"/>
                <w:szCs w:val="17"/>
                <w:color w:val="auto"/>
              </w:rPr>
              <w:t>Total other income (expense), net</w:t>
            </w: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(620)</w:t>
            </w:r>
          </w:p>
        </w:tc>
        <w:tc>
          <w:tcPr>
            <w:tcW w:w="160" w:type="dxa"/>
            <w:vAlign w:val="bottom"/>
          </w:tcPr>
          <w:p>
            <w:pPr>
              <w:spacing w:after="0"/>
              <w:rPr>
                <w:sz w:val="18"/>
                <w:szCs w:val="18"/>
                <w:color w:val="auto"/>
              </w:rPr>
            </w:pPr>
          </w:p>
        </w:tc>
        <w:tc>
          <w:tcPr>
            <w:tcW w:w="940" w:type="dxa"/>
            <w:vAlign w:val="bottom"/>
            <w:gridSpan w:val="2"/>
          </w:tcPr>
          <w:p>
            <w:pPr>
              <w:jc w:val="right"/>
              <w:ind w:right="54"/>
              <w:spacing w:after="0"/>
              <w:rPr>
                <w:sz w:val="20"/>
                <w:szCs w:val="20"/>
                <w:color w:val="auto"/>
              </w:rPr>
            </w:pPr>
            <w:r>
              <w:rPr>
                <w:rFonts w:ascii="Arial" w:cs="Arial" w:eastAsia="Arial" w:hAnsi="Arial"/>
                <w:sz w:val="17"/>
                <w:szCs w:val="17"/>
                <w:color w:val="auto"/>
              </w:rPr>
              <w:t>(2.2)%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other income (expense), net remained relatively unchanged from the six months ended June 30, 2012 to the six months ended June 30, 2013.</w:t>
      </w:r>
    </w:p>
    <w:p>
      <w:pPr>
        <w:spacing w:after="0" w:line="236" w:lineRule="exact"/>
        <w:rPr>
          <w:sz w:val="20"/>
          <w:szCs w:val="20"/>
          <w:color w:val="auto"/>
        </w:rPr>
      </w:pPr>
    </w:p>
    <w:p>
      <w:pPr>
        <w:ind w:right="220" w:firstLine="341"/>
        <w:spacing w:after="0" w:line="282" w:lineRule="auto"/>
        <w:rPr>
          <w:sz w:val="20"/>
          <w:szCs w:val="20"/>
          <w:color w:val="auto"/>
        </w:rPr>
      </w:pPr>
      <w:r>
        <w:rPr>
          <w:rFonts w:ascii="Arial" w:cs="Arial" w:eastAsia="Arial" w:hAnsi="Arial"/>
          <w:sz w:val="17"/>
          <w:szCs w:val="17"/>
          <w:color w:val="auto"/>
        </w:rPr>
        <w:t>Interest expense decreased for the six months ended June 30, 2012 to the six months ended June 30, 2013 due to the benefit of lower interest rates on relatively unchanged loan balances.</w:t>
      </w:r>
    </w:p>
    <w:p>
      <w:pPr>
        <w:spacing w:after="0" w:line="170" w:lineRule="exact"/>
        <w:rPr>
          <w:sz w:val="20"/>
          <w:szCs w:val="20"/>
          <w:color w:val="auto"/>
        </w:rPr>
      </w:pPr>
    </w:p>
    <w:p>
      <w:pPr>
        <w:ind w:right="240" w:firstLine="341"/>
        <w:spacing w:after="0" w:line="270" w:lineRule="auto"/>
        <w:rPr>
          <w:sz w:val="20"/>
          <w:szCs w:val="20"/>
          <w:color w:val="auto"/>
        </w:rPr>
      </w:pPr>
      <w:r>
        <w:rPr>
          <w:rFonts w:ascii="Arial" w:cs="Arial" w:eastAsia="Arial" w:hAnsi="Arial"/>
          <w:sz w:val="17"/>
          <w:szCs w:val="17"/>
          <w:color w:val="auto"/>
        </w:rPr>
        <w:t>Other income (expense) increased due to government subsidies received in China offset by an unrealized foreign exchange loss recognized resulting from the depreciation of the NT dollar against the U.S. dollar. We qualify as a high-tech enterprise and are paid subsidies from time to time based upon the revenue earned in China by the Chinese government to foster local high-tech manufacturing.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Benefit from (provision for) income taxes</w:t>
      </w:r>
    </w:p>
    <w:p>
      <w:pPr>
        <w:spacing w:after="0" w:line="220" w:lineRule="exact"/>
        <w:rPr>
          <w:sz w:val="20"/>
          <w:szCs w:val="20"/>
          <w:color w:val="auto"/>
        </w:rPr>
      </w:pPr>
    </w:p>
    <w:p>
      <w:pPr>
        <w:jc w:val="center"/>
        <w:ind w:left="6160"/>
        <w:spacing w:after="0"/>
        <w:rPr>
          <w:sz w:val="20"/>
          <w:szCs w:val="20"/>
          <w:color w:val="auto"/>
        </w:rPr>
      </w:pPr>
      <w:r>
        <w:rPr>
          <w:rFonts w:ascii="Arial" w:cs="Arial" w:eastAsia="Arial" w:hAnsi="Arial"/>
          <w:sz w:val="13"/>
          <w:szCs w:val="13"/>
          <w:b w:val="1"/>
          <w:bCs w:val="1"/>
          <w:color w:val="auto"/>
        </w:rPr>
        <w:t>Six</w:t>
      </w:r>
    </w:p>
    <w:p>
      <w:pPr>
        <w:spacing w:after="0" w:line="3" w:lineRule="exact"/>
        <w:rPr>
          <w:sz w:val="20"/>
          <w:szCs w:val="20"/>
          <w:color w:val="auto"/>
        </w:rPr>
      </w:pPr>
    </w:p>
    <w:p>
      <w:pPr>
        <w:jc w:val="center"/>
        <w:ind w:left="6160"/>
        <w:spacing w:after="0"/>
        <w:rPr>
          <w:sz w:val="20"/>
          <w:szCs w:val="20"/>
          <w:color w:val="auto"/>
        </w:rPr>
      </w:pPr>
      <w:r>
        <w:rPr>
          <w:rFonts w:ascii="Arial" w:cs="Arial" w:eastAsia="Arial" w:hAnsi="Arial"/>
          <w:sz w:val="13"/>
          <w:szCs w:val="13"/>
          <w:b w:val="1"/>
          <w:bCs w:val="1"/>
          <w:color w:val="auto"/>
        </w:rPr>
        <w:t>Months</w:t>
      </w:r>
    </w:p>
    <w:p>
      <w:pPr>
        <w:jc w:val="center"/>
        <w:ind w:left="6160"/>
        <w:spacing w:after="0" w:line="231" w:lineRule="auto"/>
        <w:rPr>
          <w:sz w:val="20"/>
          <w:szCs w:val="20"/>
          <w:color w:val="auto"/>
        </w:rPr>
      </w:pPr>
      <w:r>
        <w:rPr>
          <w:rFonts w:ascii="Arial" w:cs="Arial" w:eastAsia="Arial" w:hAnsi="Arial"/>
          <w:sz w:val="13"/>
          <w:szCs w:val="13"/>
          <w:b w:val="1"/>
          <w:bCs w:val="1"/>
          <w:color w:val="auto"/>
        </w:rPr>
        <w:t>ended</w:t>
      </w:r>
    </w:p>
    <w:p>
      <w:pPr>
        <w:jc w:val="center"/>
        <w:ind w:left="6160"/>
        <w:spacing w:after="0"/>
        <w:rPr>
          <w:sz w:val="20"/>
          <w:szCs w:val="20"/>
          <w:color w:val="auto"/>
        </w:rPr>
      </w:pPr>
      <w:r>
        <w:rPr>
          <w:rFonts w:ascii="Arial" w:cs="Arial" w:eastAsia="Arial" w:hAnsi="Arial"/>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5222240</wp:posOffset>
            </wp:positionH>
            <wp:positionV relativeFrom="paragraph">
              <wp:posOffset>-3175</wp:posOffset>
            </wp:positionV>
            <wp:extent cx="7156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645" cy="8255"/>
                    </a:xfrm>
                    <a:prstGeom prst="rect">
                      <a:avLst/>
                    </a:prstGeom>
                    <a:noFill/>
                  </pic:spPr>
                </pic:pic>
              </a:graphicData>
            </a:graphic>
          </wp:anchor>
        </w:drawing>
      </w:r>
    </w:p>
    <w:p>
      <w:pPr>
        <w:spacing w:after="0" w:line="26" w:lineRule="exact"/>
        <w:rPr>
          <w:sz w:val="20"/>
          <w:szCs w:val="20"/>
          <w:color w:val="auto"/>
        </w:rPr>
      </w:pPr>
    </w:p>
    <w:p>
      <w:pPr>
        <w:ind w:left="8320"/>
        <w:spacing w:after="0"/>
        <w:tabs>
          <w:tab w:leader="none" w:pos="8980" w:val="left"/>
          <w:tab w:leader="none" w:pos="9580" w:val="left"/>
        </w:tabs>
        <w:rPr>
          <w:sz w:val="20"/>
          <w:szCs w:val="20"/>
          <w:color w:val="auto"/>
        </w:rPr>
      </w:pPr>
      <w:r>
        <w:rPr>
          <w:rFonts w:ascii="Arial" w:cs="Arial" w:eastAsia="Arial" w:hAnsi="Arial"/>
          <w:sz w:val="13"/>
          <w:szCs w:val="13"/>
          <w:b w:val="1"/>
          <w:bCs w:val="1"/>
          <w:color w:val="auto"/>
        </w:rPr>
        <w:t>2012</w:t>
      </w:r>
      <w:r>
        <w:rPr>
          <w:sz w:val="20"/>
          <w:szCs w:val="20"/>
          <w:color w:val="auto"/>
        </w:rPr>
        <w:tab/>
      </w:r>
      <w:r>
        <w:rPr>
          <w:rFonts w:ascii="Arial" w:cs="Arial" w:eastAsia="Arial" w:hAnsi="Arial"/>
          <w:sz w:val="13"/>
          <w:szCs w:val="13"/>
          <w:b w:val="1"/>
          <w:bCs w:val="1"/>
          <w:color w:val="auto"/>
        </w:rPr>
        <w:t>2013</w:t>
      </w:r>
      <w:r>
        <w:rPr>
          <w:sz w:val="20"/>
          <w:szCs w:val="20"/>
          <w:color w:val="auto"/>
        </w:rPr>
        <w:tab/>
      </w:r>
      <w:r>
        <w:rPr>
          <w:rFonts w:ascii="Arial" w:cs="Arial" w:eastAsia="Arial" w:hAnsi="Arial"/>
          <w:sz w:val="11"/>
          <w:szCs w:val="11"/>
          <w:b w:val="1"/>
          <w:bCs w:val="1"/>
          <w:color w:val="auto"/>
        </w:rPr>
        <w:t>Change</w:t>
      </w:r>
    </w:p>
    <w:p>
      <w:pPr>
        <w:spacing w:after="0" w:line="28"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70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4"/>
        </w:trPr>
        <w:tc>
          <w:tcPr>
            <w:tcW w:w="7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gridSpan w:val="4"/>
          </w:tcPr>
          <w:p>
            <w:pPr>
              <w:jc w:val="center"/>
              <w:ind w:right="160"/>
              <w:spacing w:after="0" w:line="105" w:lineRule="exact"/>
              <w:rPr>
                <w:sz w:val="20"/>
                <w:szCs w:val="20"/>
                <w:color w:val="auto"/>
              </w:rPr>
            </w:pPr>
            <w:r>
              <w:rPr>
                <w:rFonts w:ascii="Arial" w:cs="Arial" w:eastAsia="Arial" w:hAnsi="Arial"/>
                <w:sz w:val="12"/>
                <w:szCs w:val="12"/>
                <w:b w:val="1"/>
                <w:bCs w:val="1"/>
                <w:color w:val="auto"/>
                <w:w w:val="95"/>
              </w:rPr>
              <w:t>(in thousands,</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57"/>
        </w:trPr>
        <w:tc>
          <w:tcPr>
            <w:tcW w:w="7080" w:type="dxa"/>
            <w:vAlign w:val="bottom"/>
          </w:tcPr>
          <w:p>
            <w:pPr>
              <w:spacing w:after="0"/>
              <w:rPr>
                <w:sz w:val="13"/>
                <w:szCs w:val="13"/>
                <w:color w:val="auto"/>
              </w:rPr>
            </w:pPr>
          </w:p>
        </w:tc>
        <w:tc>
          <w:tcPr>
            <w:tcW w:w="1600" w:type="dxa"/>
            <w:vAlign w:val="bottom"/>
            <w:gridSpan w:val="5"/>
          </w:tcPr>
          <w:p>
            <w:pPr>
              <w:jc w:val="center"/>
              <w:ind w:left="221"/>
              <w:spacing w:after="0"/>
              <w:rPr>
                <w:sz w:val="20"/>
                <w:szCs w:val="20"/>
                <w:color w:val="auto"/>
              </w:rPr>
            </w:pPr>
            <w:r>
              <w:rPr>
                <w:rFonts w:ascii="Arial" w:cs="Arial" w:eastAsia="Arial" w:hAnsi="Arial"/>
                <w:sz w:val="13"/>
                <w:szCs w:val="13"/>
                <w:b w:val="1"/>
                <w:bCs w:val="1"/>
                <w:color w:val="auto"/>
                <w:w w:val="87"/>
              </w:rPr>
              <w:t>except percentages)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0"/>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60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   —   $   —  $</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08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0.0%</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0.0%</w:t>
            </w: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0.0%</w:t>
            </w: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Our effective tax rate was 0.0% for the six months ended June 30, 2013 and the six months ended June 30, 2012, as we did not generate positive taxable income.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Years Ended December 31, 2012 and 2011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6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3"/>
                <w:szCs w:val="13"/>
                <w:b w:val="1"/>
                <w:bCs w:val="1"/>
                <w:color w:val="auto"/>
                <w:w w:val="93"/>
              </w:rPr>
              <w:t>Years ended December 31,</w:t>
            </w:r>
          </w:p>
        </w:tc>
        <w:tc>
          <w:tcPr>
            <w:tcW w:w="140" w:type="dxa"/>
            <w:vAlign w:val="bottom"/>
          </w:tcPr>
          <w:p>
            <w:pPr>
              <w:spacing w:after="0"/>
              <w:rPr>
                <w:sz w:val="13"/>
                <w:szCs w:val="13"/>
                <w:color w:val="auto"/>
              </w:rPr>
            </w:pPr>
          </w:p>
        </w:tc>
        <w:tc>
          <w:tcPr>
            <w:tcW w:w="920" w:type="dxa"/>
            <w:vAlign w:val="bottom"/>
            <w:tcBorders>
              <w:bottom w:val="single" w:sz="8" w:color="auto"/>
            </w:tcBorders>
            <w:gridSpan w:val="2"/>
          </w:tcPr>
          <w:p>
            <w:pPr>
              <w:ind w:left="480"/>
              <w:spacing w:after="0"/>
              <w:rPr>
                <w:sz w:val="20"/>
                <w:szCs w:val="20"/>
                <w:color w:val="auto"/>
              </w:rPr>
            </w:pPr>
            <w:r>
              <w:rPr>
                <w:rFonts w:ascii="Arial" w:cs="Arial" w:eastAsia="Arial" w:hAnsi="Arial"/>
                <w:sz w:val="13"/>
                <w:szCs w:val="13"/>
                <w:b w:val="1"/>
                <w:bCs w:val="1"/>
                <w:color w:val="auto"/>
                <w:w w:val="88"/>
              </w:rPr>
              <w:t>Change</w:t>
            </w:r>
          </w:p>
        </w:tc>
        <w:tc>
          <w:tcPr>
            <w:tcW w:w="4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90"/>
        </w:trPr>
        <w:tc>
          <w:tcPr>
            <w:tcW w:w="11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6"/>
                <w:szCs w:val="16"/>
                <w:color w:val="auto"/>
              </w:rPr>
            </w:pPr>
          </w:p>
        </w:tc>
        <w:tc>
          <w:tcPr>
            <w:tcW w:w="4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3"/>
        </w:trPr>
        <w:tc>
          <w:tcPr>
            <w:tcW w:w="11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720" w:type="dxa"/>
            <w:vAlign w:val="bottom"/>
            <w:gridSpan w:val="7"/>
          </w:tcPr>
          <w:p>
            <w:pPr>
              <w:ind w:left="640"/>
              <w:spacing w:after="0"/>
              <w:rPr>
                <w:sz w:val="20"/>
                <w:szCs w:val="20"/>
                <w:color w:val="auto"/>
              </w:rPr>
            </w:pPr>
            <w:r>
              <w:rPr>
                <w:rFonts w:ascii="Arial" w:cs="Arial" w:eastAsia="Arial" w:hAnsi="Arial"/>
                <w:sz w:val="13"/>
                <w:szCs w:val="13"/>
                <w:b w:val="1"/>
                <w:bCs w:val="1"/>
                <w:color w:val="auto"/>
                <w:w w:val="94"/>
              </w:rPr>
              <w:t>(in thousands, except percentages)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41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  47,840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63,421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15,581</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7"/>
              </w:rPr>
              <w:t>32.6%</w:t>
            </w:r>
          </w:p>
        </w:tc>
        <w:tc>
          <w:tcPr>
            <w:tcW w:w="1160" w:type="dxa"/>
            <w:vAlign w:val="bottom"/>
          </w:tcPr>
          <w:p>
            <w:pPr>
              <w:spacing w:after="0"/>
              <w:rPr>
                <w:sz w:val="18"/>
                <w:szCs w:val="18"/>
                <w:color w:val="auto"/>
              </w:rPr>
            </w:pPr>
          </w:p>
        </w:tc>
      </w:tr>
      <w:tr>
        <w:trPr>
          <w:trHeight w:val="417"/>
        </w:trPr>
        <w:tc>
          <w:tcPr>
            <w:tcW w:w="1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60" w:type="dxa"/>
            <w:vAlign w:val="bottom"/>
          </w:tcPr>
          <w:p>
            <w:pPr>
              <w:jc w:val="right"/>
              <w:ind w:right="1055"/>
              <w:spacing w:after="0"/>
              <w:rPr>
                <w:sz w:val="20"/>
                <w:szCs w:val="20"/>
                <w:color w:val="auto"/>
              </w:rPr>
            </w:pPr>
            <w:r>
              <w:rPr>
                <w:rFonts w:ascii="Arial" w:cs="Arial" w:eastAsia="Arial" w:hAnsi="Arial"/>
                <w:sz w:val="17"/>
                <w:szCs w:val="17"/>
                <w:color w:val="auto"/>
              </w:rPr>
              <w:t>56</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Of our total revenue in 2012, we generated $49.8 million, or 78.6%, from the CATV market, $5.3 million, or 8.3%, from the internet data center market,</w:t>
      </w:r>
    </w:p>
    <w:p>
      <w:pPr>
        <w:spacing w:after="0" w:line="32"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$3.7 million, or 5.8%, from the FTTH market, and $4.6 million, or 7.3%, from other markets. Total revenue increased by $15.6 million, or 32.6%, from 2011 to 2012. The increase in revenue was attributable to an $11.0 million increase in revenue from our CATV market, a $5.3 million increase from the internet data center market, and a $0.4 million increase in the FTTH market, which increases were partially offset by a $1.0 million decrease from other markets. Our CATV market revenue increased in 2012 primarily due to increased capital expenditures by CATV service providers and increased shipments of our CATV equipment products. Revenues in 2012 were also driven by sales increases from two customers in the internet data center market. Our FTTH market revenue increased primarily because of the sale of new transceiver products to existing customers. Revenue declined in other markets because of a de-emphasis by our sales staff and the decline in sales of certain legacy products within those markets.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goods sold and gross margin</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2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3"/>
                <w:szCs w:val="13"/>
                <w:b w:val="1"/>
                <w:bCs w:val="1"/>
                <w:color w:val="auto"/>
                <w:w w:val="91"/>
              </w:rPr>
              <w:t>Years ended December 31,</w:t>
            </w:r>
          </w:p>
        </w:tc>
        <w:tc>
          <w:tcPr>
            <w:tcW w:w="6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260" w:type="dxa"/>
            <w:vAlign w:val="bottom"/>
          </w:tcPr>
          <w:p>
            <w:pPr>
              <w:spacing w:after="0"/>
              <w:rPr>
                <w:sz w:val="23"/>
                <w:szCs w:val="23"/>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2011</w:t>
            </w:r>
          </w:p>
        </w:tc>
        <w:tc>
          <w:tcPr>
            <w:tcW w:w="62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2012</w:t>
            </w:r>
          </w:p>
        </w:tc>
        <w:tc>
          <w:tcPr>
            <w:tcW w:w="64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auto"/>
                <w:w w:val="88"/>
              </w:rPr>
              <w:t>Change</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4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vMerge w:val="restart"/>
          </w:tcPr>
          <w:p>
            <w:pPr>
              <w:jc w:val="center"/>
              <w:ind w:right="234"/>
              <w:spacing w:after="0"/>
              <w:rPr>
                <w:sz w:val="20"/>
                <w:szCs w:val="20"/>
                <w:color w:val="auto"/>
              </w:rPr>
            </w:pPr>
            <w:r>
              <w:rPr>
                <w:rFonts w:ascii="Arial" w:cs="Arial" w:eastAsia="Arial" w:hAnsi="Arial"/>
                <w:sz w:val="13"/>
                <w:szCs w:val="13"/>
                <w:b w:val="1"/>
                <w:bCs w:val="1"/>
                <w:color w:val="auto"/>
              </w:rPr>
              <w:t>% of</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rPr>
              <w:t>% of</w:t>
            </w: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4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6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3"/>
                <w:szCs w:val="13"/>
                <w:color w:val="auto"/>
              </w:rPr>
            </w:pPr>
          </w:p>
        </w:tc>
        <w:tc>
          <w:tcPr>
            <w:tcW w:w="4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Arial" w:cs="Arial" w:eastAsia="Arial" w:hAnsi="Arial"/>
                <w:sz w:val="11"/>
                <w:szCs w:val="11"/>
                <w:b w:val="1"/>
                <w:bCs w:val="1"/>
                <w:color w:val="auto"/>
                <w:w w:val="74"/>
              </w:rPr>
              <w:t>(in</w:t>
            </w:r>
          </w:p>
        </w:tc>
        <w:tc>
          <w:tcPr>
            <w:tcW w:w="160" w:type="dxa"/>
            <w:vAlign w:val="bottom"/>
          </w:tcPr>
          <w:p>
            <w:pPr>
              <w:spacing w:after="0"/>
              <w:rPr>
                <w:sz w:val="11"/>
                <w:szCs w:val="11"/>
                <w:color w:val="auto"/>
              </w:rPr>
            </w:pPr>
          </w:p>
        </w:tc>
        <w:tc>
          <w:tcPr>
            <w:tcW w:w="90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77"/>
              </w:rPr>
              <w:t>thousands, except</w:t>
            </w:r>
          </w:p>
        </w:tc>
        <w:tc>
          <w:tcPr>
            <w:tcW w:w="6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74"/>
              </w:rPr>
              <w:t>percentages)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34,468</w:t>
            </w:r>
          </w:p>
        </w:tc>
        <w:tc>
          <w:tcPr>
            <w:tcW w:w="100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w w:val="89"/>
              </w:rPr>
              <w:t>72.0% $</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44,492</w:t>
            </w:r>
          </w:p>
        </w:tc>
        <w:tc>
          <w:tcPr>
            <w:tcW w:w="90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w w:val="86"/>
              </w:rPr>
              <w:t>70.2% $</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10,024</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7"/>
              </w:rPr>
              <w:t>29.1%</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7"/>
                <w:szCs w:val="17"/>
                <w:color w:val="auto"/>
              </w:rPr>
              <w:t>Gross margin</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ind w:left="420"/>
              <w:spacing w:after="0"/>
              <w:rPr>
                <w:sz w:val="20"/>
                <w:szCs w:val="20"/>
                <w:color w:val="auto"/>
              </w:rPr>
            </w:pPr>
            <w:r>
              <w:rPr>
                <w:rFonts w:ascii="Arial" w:cs="Arial" w:eastAsia="Arial" w:hAnsi="Arial"/>
                <w:sz w:val="17"/>
                <w:szCs w:val="17"/>
                <w:color w:val="auto"/>
                <w:w w:val="91"/>
              </w:rPr>
              <w:t>28.0%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340"/>
              <w:spacing w:after="0"/>
              <w:rPr>
                <w:sz w:val="20"/>
                <w:szCs w:val="20"/>
                <w:color w:val="auto"/>
              </w:rPr>
            </w:pPr>
            <w:r>
              <w:rPr>
                <w:rFonts w:ascii="Arial" w:cs="Arial" w:eastAsia="Arial" w:hAnsi="Arial"/>
                <w:sz w:val="17"/>
                <w:szCs w:val="17"/>
                <w:color w:val="auto"/>
                <w:w w:val="87"/>
              </w:rPr>
              <w:t>29.8%</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Cost of goods sold increased by $10.0 million, or 29.1%, from 2011 to 2012, primarily due to a combination of an $8.5 million increase in direct material costs and a $1.3 million increase in labor and overhead costs, both of which were associated with our increase in revenues. The increase in gross margin was caused by lower direct labor costs and lower overhead from improved efficiency, combined with a reduction in our inventory reserve. The inventory reserves were higher in 2011 primarily due to discontinued products and aging of inventory on hand.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3"/>
                <w:szCs w:val="13"/>
                <w:b w:val="1"/>
                <w:bCs w:val="1"/>
                <w:color w:val="auto"/>
                <w:w w:val="91"/>
              </w:rPr>
              <w:t>Years ended December 31,</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1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2011</w:t>
            </w:r>
          </w:p>
        </w:tc>
        <w:tc>
          <w:tcPr>
            <w:tcW w:w="62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2012</w:t>
            </w:r>
          </w:p>
        </w:tc>
        <w:tc>
          <w:tcPr>
            <w:tcW w:w="64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3"/>
            <w:vMerge w:val="restart"/>
          </w:tcPr>
          <w:p>
            <w:pPr>
              <w:ind w:left="320"/>
              <w:spacing w:after="0"/>
              <w:rPr>
                <w:sz w:val="20"/>
                <w:szCs w:val="20"/>
                <w:color w:val="auto"/>
              </w:rPr>
            </w:pPr>
            <w:r>
              <w:rPr>
                <w:rFonts w:ascii="Arial" w:cs="Arial" w:eastAsia="Arial" w:hAnsi="Arial"/>
                <w:sz w:val="13"/>
                <w:szCs w:val="13"/>
                <w:b w:val="1"/>
                <w:bCs w:val="1"/>
                <w:color w:val="auto"/>
              </w:rPr>
              <w:t>Change</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4"/>
              </w:rPr>
              <w:t>%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rPr>
              <w:t>% of</w:t>
            </w: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460"/>
              <w:spacing w:after="0" w:line="138" w:lineRule="exact"/>
              <w:rPr>
                <w:sz w:val="20"/>
                <w:szCs w:val="20"/>
                <w:color w:val="auto"/>
              </w:rPr>
            </w:pPr>
            <w:r>
              <w:rPr>
                <w:rFonts w:ascii="Arial" w:cs="Arial" w:eastAsia="Arial" w:hAnsi="Arial"/>
                <w:sz w:val="13"/>
                <w:szCs w:val="13"/>
                <w:b w:val="1"/>
                <w:bCs w:val="1"/>
                <w:color w:val="auto"/>
                <w:w w:val="87"/>
              </w:rPr>
              <w:t>(in</w:t>
            </w:r>
          </w:p>
        </w:tc>
        <w:tc>
          <w:tcPr>
            <w:tcW w:w="160" w:type="dxa"/>
            <w:vAlign w:val="bottom"/>
          </w:tcPr>
          <w:p>
            <w:pPr>
              <w:spacing w:after="0"/>
              <w:rPr>
                <w:sz w:val="11"/>
                <w:szCs w:val="11"/>
                <w:color w:val="auto"/>
              </w:rPr>
            </w:pPr>
          </w:p>
        </w:tc>
        <w:tc>
          <w:tcPr>
            <w:tcW w:w="90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w w:val="77"/>
              </w:rPr>
              <w:t>thousands, except</w:t>
            </w:r>
          </w:p>
        </w:tc>
        <w:tc>
          <w:tcPr>
            <w:tcW w:w="6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79"/>
              </w:rPr>
              <w:t>percentages)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6,451</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13.5%</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7,603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1,152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9"/>
              </w:rPr>
              <w:t>17.9%</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7"/>
                <w:szCs w:val="17"/>
                <w:color w:val="auto"/>
              </w:rPr>
              <w:t>Sales and marketing</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2,412</w:t>
            </w:r>
          </w:p>
        </w:tc>
        <w:tc>
          <w:tcPr>
            <w:tcW w:w="880" w:type="dxa"/>
            <w:vAlign w:val="bottom"/>
            <w:gridSpan w:val="3"/>
          </w:tcPr>
          <w:p>
            <w:pPr>
              <w:jc w:val="right"/>
              <w:ind w:right="20"/>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3,135</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4.9%</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723</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w w:val="99"/>
              </w:rPr>
              <w:t>30.0%</w:t>
            </w: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8,197</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17.1%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7,952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7"/>
                <w:szCs w:val="17"/>
                <w:color w:val="auto"/>
              </w:rPr>
              <w:t>Amortization of intangible assets</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46</w:t>
            </w:r>
          </w:p>
        </w:tc>
        <w:tc>
          <w:tcPr>
            <w:tcW w:w="880" w:type="dxa"/>
            <w:vAlign w:val="bottom"/>
            <w:gridSpan w:val="3"/>
          </w:tcPr>
          <w:p>
            <w:pPr>
              <w:jc w:val="right"/>
              <w:ind w:right="20"/>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60</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w w:val="99"/>
              </w:rPr>
              <w:t>29.4%</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17,106</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35.8%</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18,750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1,644</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224" w:lineRule="exact"/>
        <w:rPr>
          <w:sz w:val="20"/>
          <w:szCs w:val="20"/>
          <w:color w:val="auto"/>
        </w:rPr>
      </w:pPr>
    </w:p>
    <w:p>
      <w:pPr>
        <w:jc w:val="both"/>
        <w:ind w:right="180" w:firstLine="341"/>
        <w:spacing w:after="0" w:line="270" w:lineRule="auto"/>
        <w:rPr>
          <w:sz w:val="20"/>
          <w:szCs w:val="20"/>
          <w:color w:val="auto"/>
        </w:rPr>
      </w:pPr>
      <w:r>
        <w:rPr>
          <w:rFonts w:ascii="Arial" w:cs="Arial" w:eastAsia="Arial" w:hAnsi="Arial"/>
          <w:sz w:val="17"/>
          <w:szCs w:val="17"/>
          <w:color w:val="auto"/>
        </w:rPr>
        <w:t>Research and development expense increased by $1.2 million, or 17.9%, from 2011 to 2012, $0.7 million of which was attributable to R&amp;D material expenses associated with new product development. The remaining $0.5 million increase was a result of a reallocation of existing personnel costs to R&amp;D work orders and an increase in R&amp;D staffing. Because our R&amp;D staff is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0"/>
        <w:spacing w:after="0" w:line="282" w:lineRule="auto"/>
        <w:rPr>
          <w:sz w:val="20"/>
          <w:szCs w:val="20"/>
          <w:color w:val="auto"/>
        </w:rPr>
      </w:pPr>
      <w:r>
        <w:rPr>
          <w:rFonts w:ascii="Arial" w:cs="Arial" w:eastAsia="Arial" w:hAnsi="Arial"/>
          <w:sz w:val="17"/>
          <w:szCs w:val="17"/>
          <w:color w:val="auto"/>
        </w:rPr>
        <w:t>integral to new product development, our R&amp;D staff often rotate between R&amp;D work orders (non-production orders) and production orders. As we shift those personnel from production back to R&amp;D, our R&amp;D expenses vary.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expense</w:t>
      </w:r>
    </w:p>
    <w:p>
      <w:pPr>
        <w:spacing w:after="0" w:line="224" w:lineRule="exact"/>
        <w:rPr>
          <w:sz w:val="20"/>
          <w:szCs w:val="20"/>
          <w:color w:val="auto"/>
        </w:rPr>
      </w:pPr>
    </w:p>
    <w:p>
      <w:pPr>
        <w:ind w:firstLine="341"/>
        <w:spacing w:after="0" w:line="315" w:lineRule="auto"/>
        <w:rPr>
          <w:sz w:val="20"/>
          <w:szCs w:val="20"/>
          <w:color w:val="auto"/>
        </w:rPr>
      </w:pPr>
      <w:r>
        <w:rPr>
          <w:rFonts w:ascii="Arial" w:cs="Arial" w:eastAsia="Arial" w:hAnsi="Arial"/>
          <w:sz w:val="16"/>
          <w:szCs w:val="16"/>
          <w:color w:val="auto"/>
        </w:rPr>
        <w:t>Sales and marketing expense increased by $0.7 million, or 30.0%, from 2011 to 2012. This was due to a $0.5 million increase in personnel costs due to additional sales and marketing staff to better serve our customers, and an increase in sales commissions of $0.2 million because of our revenue growth.</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24" w:lineRule="exact"/>
        <w:rPr>
          <w:sz w:val="20"/>
          <w:szCs w:val="20"/>
          <w:color w:val="auto"/>
        </w:rPr>
      </w:pPr>
    </w:p>
    <w:p>
      <w:pPr>
        <w:ind w:right="160" w:firstLine="341"/>
        <w:spacing w:after="0" w:line="282" w:lineRule="auto"/>
        <w:rPr>
          <w:sz w:val="20"/>
          <w:szCs w:val="20"/>
          <w:color w:val="auto"/>
        </w:rPr>
      </w:pPr>
      <w:r>
        <w:rPr>
          <w:rFonts w:ascii="Arial" w:cs="Arial" w:eastAsia="Arial" w:hAnsi="Arial"/>
          <w:sz w:val="17"/>
          <w:szCs w:val="17"/>
          <w:color w:val="auto"/>
        </w:rPr>
        <w:t>General and administrative expense decreased by $0.2 million, or 3.0%, from 2011 to 2012. This was primarily due to a decrease in stock option compensation expense because of the use of a reduced volatility assumption and prior grants becoming fully vested.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7"/>
          </w:tcPr>
          <w:p>
            <w:pPr>
              <w:ind w:left="40"/>
              <w:spacing w:after="0"/>
              <w:rPr>
                <w:sz w:val="20"/>
                <w:szCs w:val="20"/>
                <w:color w:val="auto"/>
              </w:rPr>
            </w:pPr>
            <w:r>
              <w:rPr>
                <w:rFonts w:ascii="Arial" w:cs="Arial" w:eastAsia="Arial" w:hAnsi="Arial"/>
                <w:sz w:val="13"/>
                <w:szCs w:val="13"/>
                <w:b w:val="1"/>
                <w:bCs w:val="1"/>
                <w:color w:val="auto"/>
              </w:rPr>
              <w:t>Years ended December 31,</w:t>
            </w:r>
          </w:p>
        </w:tc>
        <w:tc>
          <w:tcPr>
            <w:tcW w:w="5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1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2012</w:t>
            </w:r>
          </w:p>
        </w:tc>
        <w:tc>
          <w:tcPr>
            <w:tcW w:w="560" w:type="dxa"/>
            <w:vAlign w:val="bottom"/>
            <w:tcBorders>
              <w:bottom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vMerge w:val="restart"/>
          </w:tcPr>
          <w:p>
            <w:pPr>
              <w:ind w:left="380"/>
              <w:spacing w:after="0"/>
              <w:rPr>
                <w:sz w:val="20"/>
                <w:szCs w:val="20"/>
                <w:color w:val="auto"/>
              </w:rPr>
            </w:pPr>
            <w:r>
              <w:rPr>
                <w:rFonts w:ascii="Arial" w:cs="Arial" w:eastAsia="Arial" w:hAnsi="Arial"/>
                <w:sz w:val="13"/>
                <w:szCs w:val="13"/>
                <w:b w:val="1"/>
                <w:bCs w:val="1"/>
                <w:color w:val="auto"/>
                <w:w w:val="92"/>
              </w:rPr>
              <w:t>Change</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4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3"/>
            <w:vMerge w:val="restart"/>
          </w:tcPr>
          <w:p>
            <w:pPr>
              <w:jc w:val="center"/>
              <w:ind w:right="320"/>
              <w:spacing w:after="0"/>
              <w:rPr>
                <w:sz w:val="20"/>
                <w:szCs w:val="20"/>
                <w:color w:val="auto"/>
              </w:rPr>
            </w:pPr>
            <w:r>
              <w:rPr>
                <w:rFonts w:ascii="Arial" w:cs="Arial" w:eastAsia="Arial" w:hAnsi="Arial"/>
                <w:sz w:val="13"/>
                <w:szCs w:val="13"/>
                <w:b w:val="1"/>
                <w:bCs w:val="1"/>
                <w:color w:val="auto"/>
              </w:rPr>
              <w:t>% of</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3"/>
                <w:szCs w:val="13"/>
                <w:b w:val="1"/>
                <w:bCs w:val="1"/>
                <w:color w:val="auto"/>
              </w:rPr>
              <w:t>% of</w:t>
            </w: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20" w:type="dxa"/>
            <w:vAlign w:val="bottom"/>
            <w:gridSpan w:val="7"/>
          </w:tcPr>
          <w:p>
            <w:pPr>
              <w:jc w:val="center"/>
              <w:ind w:right="100"/>
              <w:spacing w:after="0" w:line="138" w:lineRule="exact"/>
              <w:rPr>
                <w:sz w:val="20"/>
                <w:szCs w:val="20"/>
                <w:color w:val="auto"/>
              </w:rPr>
            </w:pPr>
            <w:r>
              <w:rPr>
                <w:rFonts w:ascii="Arial" w:cs="Arial" w:eastAsia="Arial" w:hAnsi="Arial"/>
                <w:sz w:val="13"/>
                <w:szCs w:val="13"/>
                <w:b w:val="1"/>
                <w:bCs w:val="1"/>
                <w:color w:val="auto"/>
                <w:w w:val="87"/>
              </w:rPr>
              <w:t>(in thousands, except percentages)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0.0% $</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71.3%</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(1,338)</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(1,381)</w:t>
            </w:r>
          </w:p>
        </w:tc>
        <w:tc>
          <w:tcPr>
            <w:tcW w:w="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(45)</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(271)</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231</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502</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186.0%</w:t>
            </w:r>
          </w:p>
        </w:tc>
        <w:tc>
          <w:tcPr>
            <w:tcW w:w="0" w:type="dxa"/>
            <w:vAlign w:val="bottom"/>
          </w:tcPr>
          <w:p>
            <w:pPr>
              <w:spacing w:after="0"/>
              <w:rPr>
                <w:sz w:val="1"/>
                <w:szCs w:val="1"/>
                <w:color w:val="auto"/>
              </w:rPr>
            </w:pPr>
          </w:p>
        </w:tc>
      </w:tr>
      <w:tr>
        <w:trPr>
          <w:trHeight w:val="26"/>
        </w:trPr>
        <w:tc>
          <w:tcPr>
            <w:tcW w:w="4140" w:type="dxa"/>
            <w:vAlign w:val="bottom"/>
            <w:vMerge w:val="restart"/>
          </w:tcPr>
          <w:p>
            <w:pPr>
              <w:ind w:left="180"/>
              <w:spacing w:after="0"/>
              <w:rPr>
                <w:sz w:val="20"/>
                <w:szCs w:val="20"/>
                <w:color w:val="auto"/>
              </w:rPr>
            </w:pPr>
            <w:r>
              <w:rPr>
                <w:rFonts w:ascii="Arial" w:cs="Arial" w:eastAsia="Arial" w:hAnsi="Arial"/>
                <w:sz w:val="17"/>
                <w:szCs w:val="17"/>
                <w:color w:val="auto"/>
              </w:rPr>
              <w:t>Total Other income (expense), net</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(1,594)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7"/>
                <w:szCs w:val="17"/>
                <w:color w:val="auto"/>
              </w:rPr>
              <w:t>(3.3)% $</w:t>
            </w:r>
          </w:p>
        </w:tc>
        <w:tc>
          <w:tcPr>
            <w:tcW w:w="580" w:type="dxa"/>
            <w:vAlign w:val="bottom"/>
          </w:tcPr>
          <w:p>
            <w:pPr>
              <w:jc w:val="right"/>
              <w:spacing w:after="0"/>
              <w:rPr>
                <w:sz w:val="20"/>
                <w:szCs w:val="20"/>
                <w:color w:val="auto"/>
              </w:rPr>
            </w:pPr>
            <w:r>
              <w:rPr>
                <w:rFonts w:ascii="Arial" w:cs="Arial" w:eastAsia="Arial" w:hAnsi="Arial"/>
                <w:sz w:val="17"/>
                <w:szCs w:val="17"/>
                <w:color w:val="auto"/>
              </w:rPr>
              <w:t>(1,124)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Total net other expense decreased by $0.5 million, or 29.5%, from 2011 to 2012. Interest expense remained relatively unchanged from 2011 to 2012. While average loan balances increased from 2011 to 2012 by about $2.0 million, we benefited from a reduction in interest rates in 2012. The net other expense decreased by $0.5 million from 2011 to 2012 primarily due to foreign currency revaluation gains from U.S. denominated accounts in 2012 when the NT dollar appreciated against the U.S. dollar.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Benefit from (provision for) income taxes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040" w:type="dxa"/>
            <w:vAlign w:val="bottom"/>
          </w:tcPr>
          <w:p>
            <w:pPr>
              <w:spacing w:after="0"/>
              <w:rPr>
                <w:sz w:val="12"/>
                <w:szCs w:val="12"/>
                <w:color w:val="auto"/>
              </w:rPr>
            </w:pPr>
          </w:p>
        </w:tc>
        <w:tc>
          <w:tcPr>
            <w:tcW w:w="132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Years ended</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7040" w:type="dxa"/>
            <w:vAlign w:val="bottom"/>
          </w:tcPr>
          <w:p>
            <w:pPr>
              <w:spacing w:after="0"/>
              <w:rPr>
                <w:sz w:val="13"/>
                <w:szCs w:val="13"/>
                <w:color w:val="auto"/>
              </w:rPr>
            </w:pPr>
          </w:p>
        </w:tc>
        <w:tc>
          <w:tcPr>
            <w:tcW w:w="132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704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2011</w:t>
            </w: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rPr>
              <w:t>2012</w:t>
            </w:r>
          </w:p>
        </w:tc>
        <w:tc>
          <w:tcPr>
            <w:tcW w:w="200" w:type="dxa"/>
            <w:vAlign w:val="bottom"/>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Change</w:t>
            </w:r>
          </w:p>
        </w:tc>
        <w:tc>
          <w:tcPr>
            <w:tcW w:w="140" w:type="dxa"/>
            <w:vAlign w:val="bottom"/>
          </w:tcPr>
          <w:p>
            <w:pPr>
              <w:spacing w:after="0"/>
              <w:rPr>
                <w:sz w:val="16"/>
                <w:szCs w:val="16"/>
                <w:color w:val="auto"/>
              </w:rPr>
            </w:pPr>
          </w:p>
        </w:tc>
      </w:tr>
      <w:tr>
        <w:trPr>
          <w:trHeight w:val="137"/>
        </w:trPr>
        <w:tc>
          <w:tcPr>
            <w:tcW w:w="7040" w:type="dxa"/>
            <w:vAlign w:val="bottom"/>
          </w:tcPr>
          <w:p>
            <w:pPr>
              <w:spacing w:after="0"/>
              <w:rPr>
                <w:sz w:val="11"/>
                <w:szCs w:val="11"/>
                <w:color w:val="auto"/>
              </w:rPr>
            </w:pPr>
          </w:p>
        </w:tc>
        <w:tc>
          <w:tcPr>
            <w:tcW w:w="2080" w:type="dxa"/>
            <w:vAlign w:val="bottom"/>
            <w:gridSpan w:val="7"/>
          </w:tcPr>
          <w:p>
            <w:pPr>
              <w:jc w:val="right"/>
              <w:ind w:right="160"/>
              <w:spacing w:after="0" w:line="138" w:lineRule="exact"/>
              <w:rPr>
                <w:sz w:val="20"/>
                <w:szCs w:val="20"/>
                <w:color w:val="auto"/>
              </w:rPr>
            </w:pPr>
            <w:r>
              <w:rPr>
                <w:rFonts w:ascii="Arial" w:cs="Arial" w:eastAsia="Arial" w:hAnsi="Arial"/>
                <w:sz w:val="13"/>
                <w:szCs w:val="13"/>
                <w:b w:val="1"/>
                <w:bCs w:val="1"/>
                <w:color w:val="auto"/>
                <w:w w:val="87"/>
              </w:rPr>
              <w:t>(in thousands, except percentages)</w:t>
            </w: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  —</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  —</w:t>
            </w: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04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0.0%</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0.0%</w:t>
            </w:r>
          </w:p>
        </w:tc>
        <w:tc>
          <w:tcPr>
            <w:tcW w:w="2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0.0%</w:t>
            </w: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effective tax rate was 0.0% for 2011 and 2012, as we did not generate positive taxable income.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Years Ended December 31,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900" w:type="dxa"/>
            <w:vAlign w:val="bottom"/>
          </w:tcPr>
          <w:p>
            <w:pPr>
              <w:spacing w:after="0"/>
              <w:rPr>
                <w:sz w:val="13"/>
                <w:szCs w:val="13"/>
                <w:color w:val="auto"/>
              </w:rPr>
            </w:pPr>
          </w:p>
        </w:tc>
        <w:tc>
          <w:tcPr>
            <w:tcW w:w="182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7"/>
              </w:rPr>
              <w:t>Years ended</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5900" w:type="dxa"/>
            <w:vAlign w:val="bottom"/>
          </w:tcPr>
          <w:p>
            <w:pPr>
              <w:spacing w:after="0"/>
              <w:rPr>
                <w:sz w:val="13"/>
                <w:szCs w:val="13"/>
                <w:color w:val="auto"/>
              </w:rPr>
            </w:pPr>
          </w:p>
        </w:tc>
        <w:tc>
          <w:tcPr>
            <w:tcW w:w="182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9"/>
              </w:rPr>
              <w:t>December 31,</w:t>
            </w:r>
          </w:p>
        </w:tc>
        <w:tc>
          <w:tcPr>
            <w:tcW w:w="900" w:type="dxa"/>
            <w:vAlign w:val="bottom"/>
            <w:gridSpan w:val="3"/>
          </w:tcPr>
          <w:p>
            <w:pPr>
              <w:ind w:left="420"/>
              <w:spacing w:after="0"/>
              <w:rPr>
                <w:sz w:val="20"/>
                <w:szCs w:val="20"/>
                <w:color w:val="auto"/>
              </w:rPr>
            </w:pPr>
            <w:r>
              <w:rPr>
                <w:rFonts w:ascii="Arial" w:cs="Arial" w:eastAsia="Arial" w:hAnsi="Arial"/>
                <w:sz w:val="13"/>
                <w:szCs w:val="13"/>
                <w:b w:val="1"/>
                <w:bCs w:val="1"/>
                <w:color w:val="auto"/>
                <w:w w:val="96"/>
              </w:rPr>
              <w:t>Change</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590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2010</w:t>
            </w: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6"/>
                <w:szCs w:val="16"/>
                <w:color w:val="auto"/>
              </w:rPr>
            </w:pPr>
          </w:p>
        </w:tc>
      </w:tr>
      <w:tr>
        <w:trPr>
          <w:trHeight w:val="137"/>
        </w:trPr>
        <w:tc>
          <w:tcPr>
            <w:tcW w:w="5900" w:type="dxa"/>
            <w:vAlign w:val="bottom"/>
          </w:tcPr>
          <w:p>
            <w:pPr>
              <w:spacing w:after="0"/>
              <w:rPr>
                <w:sz w:val="11"/>
                <w:szCs w:val="11"/>
                <w:color w:val="auto"/>
              </w:rPr>
            </w:pPr>
          </w:p>
        </w:tc>
        <w:tc>
          <w:tcPr>
            <w:tcW w:w="760" w:type="dxa"/>
            <w:vAlign w:val="bottom"/>
          </w:tcPr>
          <w:p>
            <w:pPr>
              <w:ind w:left="580"/>
              <w:spacing w:after="0" w:line="138" w:lineRule="exact"/>
              <w:rPr>
                <w:sz w:val="20"/>
                <w:szCs w:val="20"/>
                <w:color w:val="auto"/>
              </w:rPr>
            </w:pPr>
            <w:r>
              <w:rPr>
                <w:rFonts w:ascii="Arial" w:cs="Arial" w:eastAsia="Arial" w:hAnsi="Arial"/>
                <w:sz w:val="13"/>
                <w:szCs w:val="13"/>
                <w:b w:val="1"/>
                <w:bCs w:val="1"/>
                <w:color w:val="auto"/>
              </w:rPr>
              <w:t>(in</w:t>
            </w:r>
          </w:p>
        </w:tc>
        <w:tc>
          <w:tcPr>
            <w:tcW w:w="140" w:type="dxa"/>
            <w:vAlign w:val="bottom"/>
          </w:tcPr>
          <w:p>
            <w:pPr>
              <w:spacing w:after="0"/>
              <w:rPr>
                <w:sz w:val="11"/>
                <w:szCs w:val="11"/>
                <w:color w:val="auto"/>
              </w:rPr>
            </w:pPr>
          </w:p>
        </w:tc>
        <w:tc>
          <w:tcPr>
            <w:tcW w:w="1820" w:type="dxa"/>
            <w:vAlign w:val="bottom"/>
            <w:gridSpan w:val="6"/>
          </w:tcPr>
          <w:p>
            <w:pPr>
              <w:spacing w:after="0" w:line="138" w:lineRule="exact"/>
              <w:rPr>
                <w:sz w:val="20"/>
                <w:szCs w:val="20"/>
                <w:color w:val="auto"/>
              </w:rPr>
            </w:pPr>
            <w:r>
              <w:rPr>
                <w:rFonts w:ascii="Arial" w:cs="Arial" w:eastAsia="Arial" w:hAnsi="Arial"/>
                <w:sz w:val="13"/>
                <w:szCs w:val="13"/>
                <w:b w:val="1"/>
                <w:bCs w:val="1"/>
                <w:color w:val="auto"/>
                <w:w w:val="90"/>
              </w:rPr>
              <w:t>thousands, except percentages)</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  40,489</w:t>
            </w: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47,840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7,351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7"/>
              </w:rPr>
              <w:t>18.2%</w:t>
            </w: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Of our total revenue in 2011, we generated $38.9 million, or 81.4%, from the CATV market, $3.3 million, or 6.9%, from the FTTH market, $5.6 million,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11.6%, from other markets and an immaterial amount from the internet data center market. Total revenue increased by $7.4 million, or 18.2%, from 2010 to 2011. The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increase in revenue was attributable to a $5.9 million increase in revenue from our CATV market, a $1.4 million increase in the FTTH market, and immaterial</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increases from other markets, including the internet data center market. Our CATV market revenue increased in 2011 primarily due to increased capital expenditures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by CATV service providers and increased shipments of our CATV equipment products. Our FTTH market revenue increased primarily because of the sale of new</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transceiver products within our existing customer base. Revenue in other markets was flat because of a de-emphasis by our sales staff on certain legacy products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within those markets.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goods sold and gross margin</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3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3"/>
                <w:szCs w:val="13"/>
                <w:b w:val="1"/>
                <w:bCs w:val="1"/>
                <w:color w:val="auto"/>
                <w:w w:val="91"/>
              </w:rPr>
              <w:t>Years ended December 31,</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380" w:type="dxa"/>
            <w:vAlign w:val="bottom"/>
          </w:tcPr>
          <w:p>
            <w:pPr>
              <w:spacing w:after="0"/>
              <w:rPr>
                <w:sz w:val="23"/>
                <w:szCs w:val="2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2010</w:t>
            </w:r>
          </w:p>
        </w:tc>
        <w:tc>
          <w:tcPr>
            <w:tcW w:w="62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2011</w:t>
            </w:r>
          </w:p>
        </w:tc>
        <w:tc>
          <w:tcPr>
            <w:tcW w:w="64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3"/>
            <w:vMerge w:val="restart"/>
          </w:tcPr>
          <w:p>
            <w:pPr>
              <w:ind w:left="320"/>
              <w:spacing w:after="0"/>
              <w:rPr>
                <w:sz w:val="20"/>
                <w:szCs w:val="20"/>
                <w:color w:val="auto"/>
              </w:rPr>
            </w:pPr>
            <w:r>
              <w:rPr>
                <w:rFonts w:ascii="Arial" w:cs="Arial" w:eastAsia="Arial" w:hAnsi="Arial"/>
                <w:sz w:val="13"/>
                <w:szCs w:val="13"/>
                <w:b w:val="1"/>
                <w:bCs w:val="1"/>
                <w:color w:val="auto"/>
              </w:rPr>
              <w:t>Change</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4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vMerge w:val="restart"/>
          </w:tcPr>
          <w:p>
            <w:pPr>
              <w:jc w:val="center"/>
              <w:ind w:right="214"/>
              <w:spacing w:after="0"/>
              <w:rPr>
                <w:sz w:val="20"/>
                <w:szCs w:val="20"/>
                <w:color w:val="auto"/>
              </w:rPr>
            </w:pPr>
            <w:r>
              <w:rPr>
                <w:rFonts w:ascii="Arial" w:cs="Arial" w:eastAsia="Arial" w:hAnsi="Arial"/>
                <w:sz w:val="13"/>
                <w:szCs w:val="13"/>
                <w:b w:val="1"/>
                <w:bCs w:val="1"/>
                <w:color w:val="auto"/>
                <w:w w:val="94"/>
              </w:rPr>
              <w:t>% of</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rPr>
              <w:t>% of</w:t>
            </w: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8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460"/>
              <w:spacing w:after="0" w:line="138" w:lineRule="exact"/>
              <w:rPr>
                <w:sz w:val="20"/>
                <w:szCs w:val="20"/>
                <w:color w:val="auto"/>
              </w:rPr>
            </w:pPr>
            <w:r>
              <w:rPr>
                <w:rFonts w:ascii="Arial" w:cs="Arial" w:eastAsia="Arial" w:hAnsi="Arial"/>
                <w:sz w:val="13"/>
                <w:szCs w:val="13"/>
                <w:b w:val="1"/>
                <w:bCs w:val="1"/>
                <w:color w:val="auto"/>
                <w:w w:val="87"/>
              </w:rPr>
              <w:t>(in</w:t>
            </w:r>
          </w:p>
        </w:tc>
        <w:tc>
          <w:tcPr>
            <w:tcW w:w="160" w:type="dxa"/>
            <w:vAlign w:val="bottom"/>
          </w:tcPr>
          <w:p>
            <w:pPr>
              <w:spacing w:after="0"/>
              <w:rPr>
                <w:sz w:val="11"/>
                <w:szCs w:val="11"/>
                <w:color w:val="auto"/>
              </w:rPr>
            </w:pPr>
          </w:p>
        </w:tc>
        <w:tc>
          <w:tcPr>
            <w:tcW w:w="900" w:type="dxa"/>
            <w:vAlign w:val="bottom"/>
            <w:gridSpan w:val="3"/>
          </w:tcPr>
          <w:p>
            <w:pPr>
              <w:jc w:val="right"/>
              <w:ind w:right="40"/>
              <w:spacing w:after="0" w:line="138" w:lineRule="exact"/>
              <w:rPr>
                <w:sz w:val="20"/>
                <w:szCs w:val="20"/>
                <w:color w:val="auto"/>
              </w:rPr>
            </w:pPr>
            <w:r>
              <w:rPr>
                <w:rFonts w:ascii="Arial" w:cs="Arial" w:eastAsia="Arial" w:hAnsi="Arial"/>
                <w:sz w:val="13"/>
                <w:szCs w:val="13"/>
                <w:b w:val="1"/>
                <w:bCs w:val="1"/>
                <w:color w:val="auto"/>
                <w:w w:val="73"/>
              </w:rPr>
              <w:t>thousands, except</w:t>
            </w:r>
          </w:p>
        </w:tc>
        <w:tc>
          <w:tcPr>
            <w:tcW w:w="6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79"/>
              </w:rPr>
              <w:t>percentages)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27,539</w:t>
            </w:r>
          </w:p>
        </w:tc>
        <w:tc>
          <w:tcPr>
            <w:tcW w:w="100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w w:val="89"/>
              </w:rPr>
              <w:t>68.0% $</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34,468</w:t>
            </w:r>
          </w:p>
        </w:tc>
        <w:tc>
          <w:tcPr>
            <w:tcW w:w="8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w w:val="83"/>
              </w:rPr>
              <w:t>72.0% $</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6,930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7"/>
              </w:rPr>
              <w:t>25.2%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7"/>
                <w:szCs w:val="17"/>
                <w:color w:val="auto"/>
              </w:rPr>
              <w:t>Gross margin</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ind w:left="420"/>
              <w:spacing w:after="0"/>
              <w:rPr>
                <w:sz w:val="20"/>
                <w:szCs w:val="20"/>
                <w:color w:val="auto"/>
              </w:rPr>
            </w:pPr>
            <w:r>
              <w:rPr>
                <w:rFonts w:ascii="Arial" w:cs="Arial" w:eastAsia="Arial" w:hAnsi="Arial"/>
                <w:sz w:val="17"/>
                <w:szCs w:val="17"/>
                <w:color w:val="auto"/>
                <w:w w:val="91"/>
              </w:rPr>
              <w:t>32.0%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7"/>
                <w:szCs w:val="17"/>
                <w:color w:val="auto"/>
                <w:w w:val="91"/>
              </w:rPr>
              <w:t>28.0%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Cost of goods sold increased by $6.9 million, or 25.2%, from 2010 to 2011. The increase was primarily due to higher sales volumes in the CATV market. Cost of goods sold in 2011 was also affected by an increase in inventory reserves of $0.7 million, including a specific write-off of discontinued products in the fourth quarter of 2011.</w:t>
      </w:r>
    </w:p>
    <w:p>
      <w:pPr>
        <w:spacing w:after="0" w:line="179" w:lineRule="exact"/>
        <w:rPr>
          <w:sz w:val="20"/>
          <w:szCs w:val="20"/>
          <w:color w:val="auto"/>
        </w:rPr>
      </w:pPr>
    </w:p>
    <w:p>
      <w:pPr>
        <w:ind w:right="60" w:firstLine="338"/>
        <w:spacing w:after="0" w:line="282" w:lineRule="auto"/>
        <w:rPr>
          <w:sz w:val="20"/>
          <w:szCs w:val="20"/>
          <w:color w:val="auto"/>
        </w:rPr>
      </w:pPr>
      <w:r>
        <w:rPr>
          <w:rFonts w:ascii="Arial" w:cs="Arial" w:eastAsia="Arial" w:hAnsi="Arial"/>
          <w:sz w:val="17"/>
          <w:szCs w:val="17"/>
          <w:color w:val="auto"/>
        </w:rPr>
        <w:t>The decrease in gross margin was primarily the result of an unfavorable product mix in the CATV market in addition to the $0.7 million in higher inventory loss reserve through the application of our inventory reserve policy.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0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3"/>
                <w:szCs w:val="13"/>
                <w:b w:val="1"/>
                <w:bCs w:val="1"/>
                <w:color w:val="auto"/>
                <w:w w:val="94"/>
              </w:rPr>
              <w:t>Years ended December 31,</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0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2010</w:t>
            </w:r>
          </w:p>
        </w:tc>
        <w:tc>
          <w:tcPr>
            <w:tcW w:w="64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2011</w:t>
            </w:r>
          </w:p>
        </w:tc>
        <w:tc>
          <w:tcPr>
            <w:tcW w:w="62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vMerge w:val="restart"/>
          </w:tcPr>
          <w:p>
            <w:pPr>
              <w:ind w:left="400"/>
              <w:spacing w:after="0"/>
              <w:rPr>
                <w:sz w:val="20"/>
                <w:szCs w:val="20"/>
                <w:color w:val="auto"/>
              </w:rPr>
            </w:pPr>
            <w:r>
              <w:rPr>
                <w:rFonts w:ascii="Arial" w:cs="Arial" w:eastAsia="Arial" w:hAnsi="Arial"/>
                <w:sz w:val="13"/>
                <w:szCs w:val="13"/>
                <w:b w:val="1"/>
                <w:bCs w:val="1"/>
                <w:color w:val="auto"/>
                <w:w w:val="88"/>
              </w:rPr>
              <w:t>Change</w:t>
            </w: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4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4"/>
              </w:rPr>
              <w:t>% of</w:t>
            </w: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vMerge w:val="continue"/>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w w:val="93"/>
              </w:rPr>
              <w:t>Amount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gridSpan w:val="7"/>
          </w:tcPr>
          <w:p>
            <w:pPr>
              <w:jc w:val="right"/>
              <w:ind w:right="20"/>
              <w:spacing w:after="0" w:line="138" w:lineRule="exact"/>
              <w:rPr>
                <w:sz w:val="20"/>
                <w:szCs w:val="20"/>
                <w:color w:val="auto"/>
              </w:rPr>
            </w:pPr>
            <w:r>
              <w:rPr>
                <w:rFonts w:ascii="Arial" w:cs="Arial" w:eastAsia="Arial" w:hAnsi="Arial"/>
                <w:sz w:val="13"/>
                <w:szCs w:val="13"/>
                <w:b w:val="1"/>
                <w:bCs w:val="1"/>
                <w:color w:val="auto"/>
              </w:rPr>
              <w:t>(in thousands, except percentages)</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5,176</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6,451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1,275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7"/>
                <w:szCs w:val="17"/>
                <w:color w:val="auto"/>
              </w:rPr>
              <w:t>Sales and marketing</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1,993</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2,412</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419</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8,341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8,197</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7"/>
                <w:szCs w:val="17"/>
                <w:color w:val="auto"/>
              </w:rPr>
              <w:t>Amortization of intangible assets</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41</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46</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Asset impairment charges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492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(100.0)%</w:t>
            </w:r>
          </w:p>
        </w:tc>
        <w:tc>
          <w:tcPr>
            <w:tcW w:w="0" w:type="dxa"/>
            <w:vAlign w:val="bottom"/>
          </w:tcPr>
          <w:p>
            <w:pPr>
              <w:spacing w:after="0"/>
              <w:rPr>
                <w:sz w:val="1"/>
                <w:szCs w:val="1"/>
                <w:color w:val="auto"/>
              </w:rPr>
            </w:pPr>
          </w:p>
        </w:tc>
      </w:tr>
      <w:tr>
        <w:trPr>
          <w:trHeight w:val="26"/>
        </w:trPr>
        <w:tc>
          <w:tcPr>
            <w:tcW w:w="4020" w:type="dxa"/>
            <w:vAlign w:val="bottom"/>
            <w:vMerge w:val="restart"/>
          </w:tcPr>
          <w:p>
            <w:pPr>
              <w:ind w:left="180"/>
              <w:spacing w:after="0"/>
              <w:rPr>
                <w:sz w:val="20"/>
                <w:szCs w:val="20"/>
                <w:color w:val="auto"/>
              </w:rPr>
            </w:pPr>
            <w:r>
              <w:rPr>
                <w:rFonts w:ascii="Arial" w:cs="Arial" w:eastAsia="Arial" w:hAnsi="Arial"/>
                <w:sz w:val="17"/>
                <w:szCs w:val="17"/>
                <w:color w:val="auto"/>
              </w:rPr>
              <w:t>Total operating expenses</w:t>
            </w: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16,043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39.6%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17,106</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35.8%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1,063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22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Research and development expense increased by $1.3 million, or 24.6%, from 2010 to 2011. This was primarily due to a $0.6 million increase in personnel costs and a $0.4 million increase in R&amp;D work order and project costs.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expense</w:t>
      </w:r>
    </w:p>
    <w:p>
      <w:pPr>
        <w:spacing w:after="0" w:line="224" w:lineRule="exact"/>
        <w:rPr>
          <w:sz w:val="20"/>
          <w:szCs w:val="20"/>
          <w:color w:val="auto"/>
        </w:rPr>
      </w:pPr>
    </w:p>
    <w:p>
      <w:pPr>
        <w:ind w:right="440" w:firstLine="341"/>
        <w:spacing w:after="0" w:line="352" w:lineRule="auto"/>
        <w:rPr>
          <w:sz w:val="20"/>
          <w:szCs w:val="20"/>
          <w:color w:val="auto"/>
        </w:rPr>
      </w:pPr>
      <w:r>
        <w:rPr>
          <w:rFonts w:ascii="Arial" w:cs="Arial" w:eastAsia="Arial" w:hAnsi="Arial"/>
          <w:sz w:val="15"/>
          <w:szCs w:val="15"/>
          <w:color w:val="auto"/>
        </w:rPr>
        <w:t>Sales and marketing expense increased by $0.4 million, or 21.0%, from 2010 to 2011. The increase was primarily attributable to a $0.2 million increase in personnel costs from additional sales personnel, and a $0.2 million increase in shipping and samples expense as we expanded our customer base and markets.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2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General and administrative expense decreased by $0.1 million, or 1.7%, from 2010 to 2011. The decrease was due primarily to a change in accounting for stock-based compensation expense and other savings and lower professional service fees, offset by an increase in personnel costs.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 impairment charges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2010, we recognized a $0.5 million asset impairment charge related to equipment with carrying values lower than the estimated fair values.</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8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3"/>
                <w:szCs w:val="13"/>
                <w:b w:val="1"/>
                <w:bCs w:val="1"/>
                <w:color w:val="auto"/>
                <w:w w:val="88"/>
              </w:rPr>
              <w:t>Years ended December 31,</w:t>
            </w:r>
          </w:p>
        </w:tc>
        <w:tc>
          <w:tcPr>
            <w:tcW w:w="5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38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2010</w:t>
            </w:r>
          </w:p>
        </w:tc>
        <w:tc>
          <w:tcPr>
            <w:tcW w:w="56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2011</w:t>
            </w:r>
          </w:p>
        </w:tc>
        <w:tc>
          <w:tcPr>
            <w:tcW w:w="58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vMerge w:val="restart"/>
          </w:tcPr>
          <w:p>
            <w:pPr>
              <w:ind w:left="400"/>
              <w:spacing w:after="0"/>
              <w:rPr>
                <w:sz w:val="20"/>
                <w:szCs w:val="20"/>
                <w:color w:val="auto"/>
              </w:rPr>
            </w:pPr>
            <w:r>
              <w:rPr>
                <w:rFonts w:ascii="Arial" w:cs="Arial" w:eastAsia="Arial" w:hAnsi="Arial"/>
                <w:sz w:val="13"/>
                <w:szCs w:val="13"/>
                <w:b w:val="1"/>
                <w:bCs w:val="1"/>
                <w:color w:val="auto"/>
                <w:w w:val="96"/>
              </w:rPr>
              <w:t>Change</w:t>
            </w: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3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restart"/>
          </w:tcPr>
          <w:p>
            <w:pPr>
              <w:jc w:val="center"/>
              <w:ind w:right="274"/>
              <w:spacing w:after="0"/>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rPr>
              <w:t>% of</w:t>
            </w: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vMerge w:val="continue"/>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00" w:type="dxa"/>
            <w:vAlign w:val="bottom"/>
            <w:gridSpan w:val="7"/>
          </w:tcPr>
          <w:p>
            <w:pPr>
              <w:jc w:val="right"/>
              <w:ind w:right="60"/>
              <w:spacing w:after="0" w:line="138" w:lineRule="exact"/>
              <w:rPr>
                <w:sz w:val="20"/>
                <w:szCs w:val="20"/>
                <w:color w:val="auto"/>
              </w:rPr>
            </w:pPr>
            <w:r>
              <w:rPr>
                <w:rFonts w:ascii="Arial" w:cs="Arial" w:eastAsia="Arial" w:hAnsi="Arial"/>
                <w:sz w:val="13"/>
                <w:szCs w:val="13"/>
                <w:b w:val="1"/>
                <w:bCs w:val="1"/>
                <w:color w:val="auto"/>
                <w:w w:val="92"/>
              </w:rPr>
              <w:t>(in thousands, except percentages)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(56.2)%</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(906)</w:t>
            </w:r>
          </w:p>
        </w:tc>
        <w:tc>
          <w:tcPr>
            <w:tcW w:w="60" w:type="dxa"/>
            <w:vAlign w:val="bottom"/>
          </w:tcPr>
          <w:p>
            <w:pPr>
              <w:spacing w:after="0"/>
              <w:rPr>
                <w:sz w:val="18"/>
                <w:szCs w:val="18"/>
                <w:color w:val="auto"/>
              </w:rPr>
            </w:pPr>
          </w:p>
        </w:tc>
        <w:tc>
          <w:tcPr>
            <w:tcW w:w="860" w:type="dxa"/>
            <w:vAlign w:val="bottom"/>
            <w:gridSpan w:val="2"/>
          </w:tcPr>
          <w:p>
            <w:pPr>
              <w:jc w:val="right"/>
              <w:ind w:right="34"/>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(1,338)</w:t>
            </w:r>
          </w:p>
        </w:tc>
        <w:tc>
          <w:tcPr>
            <w:tcW w:w="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(431)</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47.6%</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585</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(271)</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5"/>
              </w:rPr>
              <w:t>(146.3)%</w:t>
            </w:r>
          </w:p>
        </w:tc>
        <w:tc>
          <w:tcPr>
            <w:tcW w:w="0" w:type="dxa"/>
            <w:vAlign w:val="bottom"/>
          </w:tcPr>
          <w:p>
            <w:pPr>
              <w:spacing w:after="0"/>
              <w:rPr>
                <w:sz w:val="1"/>
                <w:szCs w:val="1"/>
                <w:color w:val="auto"/>
              </w:rPr>
            </w:pPr>
          </w:p>
        </w:tc>
      </w:tr>
      <w:tr>
        <w:trPr>
          <w:trHeight w:val="26"/>
        </w:trPr>
        <w:tc>
          <w:tcPr>
            <w:tcW w:w="3860" w:type="dxa"/>
            <w:vAlign w:val="bottom"/>
            <w:vMerge w:val="restart"/>
          </w:tcPr>
          <w:p>
            <w:pPr>
              <w:ind w:left="180"/>
              <w:spacing w:after="0"/>
              <w:rPr>
                <w:sz w:val="20"/>
                <w:szCs w:val="20"/>
                <w:color w:val="auto"/>
              </w:rPr>
            </w:pPr>
            <w:r>
              <w:rPr>
                <w:rFonts w:ascii="Arial" w:cs="Arial" w:eastAsia="Arial" w:hAnsi="Arial"/>
                <w:sz w:val="17"/>
                <w:szCs w:val="17"/>
                <w:color w:val="auto"/>
              </w:rPr>
              <w:t>Total Other income (expense), net</w:t>
            </w: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(287)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34"/>
              <w:spacing w:after="0"/>
              <w:rPr>
                <w:sz w:val="20"/>
                <w:szCs w:val="20"/>
                <w:color w:val="auto"/>
              </w:rPr>
            </w:pPr>
            <w:r>
              <w:rPr>
                <w:rFonts w:ascii="Arial" w:cs="Arial" w:eastAsia="Arial" w:hAnsi="Arial"/>
                <w:sz w:val="17"/>
                <w:szCs w:val="17"/>
                <w:color w:val="auto"/>
              </w:rPr>
              <w:t>(0.7)%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(1,594)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(1,307)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455.6%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increase in interest expense of $0.4 million, or 47.7%, from 2010 to 2011 was due to additional debt in 2011 related to loans for our China subsidiary and loans from stockholders in 2010.</w:t>
      </w:r>
    </w:p>
    <w:p>
      <w:pPr>
        <w:spacing w:after="0" w:line="170"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Other income (expense), net decreased by $0.9 million, or 146.4%, from 2010 to 2011 primarily related to an unrealized foreign exchange loss recognized resulting from the depreciation of the NT dollar against the U.S. dollar.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Benefit from (provision for) income taxes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040" w:type="dxa"/>
            <w:vAlign w:val="bottom"/>
          </w:tcPr>
          <w:p>
            <w:pPr>
              <w:spacing w:after="0"/>
              <w:rPr>
                <w:sz w:val="13"/>
                <w:szCs w:val="13"/>
                <w:color w:val="auto"/>
              </w:rPr>
            </w:pPr>
          </w:p>
        </w:tc>
        <w:tc>
          <w:tcPr>
            <w:tcW w:w="132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Years ended</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7040" w:type="dxa"/>
            <w:vAlign w:val="bottom"/>
          </w:tcPr>
          <w:p>
            <w:pPr>
              <w:spacing w:after="0"/>
              <w:rPr>
                <w:sz w:val="13"/>
                <w:szCs w:val="13"/>
                <w:color w:val="auto"/>
              </w:rPr>
            </w:pPr>
          </w:p>
        </w:tc>
        <w:tc>
          <w:tcPr>
            <w:tcW w:w="132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704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2010</w:t>
            </w: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Change</w:t>
            </w:r>
          </w:p>
        </w:tc>
        <w:tc>
          <w:tcPr>
            <w:tcW w:w="140" w:type="dxa"/>
            <w:vAlign w:val="bottom"/>
          </w:tcPr>
          <w:p>
            <w:pPr>
              <w:spacing w:after="0"/>
              <w:rPr>
                <w:sz w:val="16"/>
                <w:szCs w:val="16"/>
                <w:color w:val="auto"/>
              </w:rPr>
            </w:pPr>
          </w:p>
        </w:tc>
      </w:tr>
      <w:tr>
        <w:trPr>
          <w:trHeight w:val="137"/>
        </w:trPr>
        <w:tc>
          <w:tcPr>
            <w:tcW w:w="7040" w:type="dxa"/>
            <w:vAlign w:val="bottom"/>
          </w:tcPr>
          <w:p>
            <w:pPr>
              <w:spacing w:after="0"/>
              <w:rPr>
                <w:sz w:val="11"/>
                <w:szCs w:val="11"/>
                <w:color w:val="auto"/>
              </w:rPr>
            </w:pPr>
          </w:p>
        </w:tc>
        <w:tc>
          <w:tcPr>
            <w:tcW w:w="2080" w:type="dxa"/>
            <w:vAlign w:val="bottom"/>
            <w:gridSpan w:val="7"/>
          </w:tcPr>
          <w:p>
            <w:pPr>
              <w:jc w:val="right"/>
              <w:ind w:right="160"/>
              <w:spacing w:after="0" w:line="138" w:lineRule="exact"/>
              <w:rPr>
                <w:sz w:val="20"/>
                <w:szCs w:val="20"/>
                <w:color w:val="auto"/>
              </w:rPr>
            </w:pPr>
            <w:r>
              <w:rPr>
                <w:rFonts w:ascii="Arial" w:cs="Arial" w:eastAsia="Arial" w:hAnsi="Arial"/>
                <w:sz w:val="13"/>
                <w:szCs w:val="13"/>
                <w:b w:val="1"/>
                <w:bCs w:val="1"/>
                <w:color w:val="auto"/>
                <w:w w:val="87"/>
              </w:rPr>
              <w:t>(in thousands, except percentages)</w:t>
            </w: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  —</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  —</w:t>
            </w: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04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0.0%</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0.0%</w:t>
            </w:r>
          </w:p>
        </w:tc>
        <w:tc>
          <w:tcPr>
            <w:tcW w:w="2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0.0%</w:t>
            </w: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effective tax rate was 0.0% for 2010 and 2011, as we did not generate positive taxable income.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 of Operations</w:t>
      </w:r>
    </w:p>
    <w:p>
      <w:pPr>
        <w:spacing w:after="0" w:line="228"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following tables set forth selected unaudited quarterly statements of operations data for our last ten completed fiscal quarters. The information for each of these quarters has been prepared on the same basis as the consolidated financial statements appearing elsewhere in this prospectus and, in the opinion of management, includes all adjustments necessary for the fair presentation of the results of operations for these periods. These data should be read in conjunction with our consolidated financial statements and related notes appearing elsewhere in this prospectus. These quarterly operating results are not necessarily indicative of our operating results for any future period.</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4"/>
              </w:rPr>
              <w:t>Mar. 31,</w:t>
            </w:r>
          </w:p>
        </w:tc>
        <w:tc>
          <w:tcPr>
            <w:tcW w:w="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0"/>
              </w:rPr>
              <w:t>Jun. 30,</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5"/>
              </w:rPr>
              <w:t>Sep. 30,</w:t>
            </w:r>
          </w:p>
        </w:tc>
        <w:tc>
          <w:tcPr>
            <w:tcW w:w="8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5"/>
              </w:rPr>
              <w:t>Dec. 31,</w:t>
            </w:r>
          </w:p>
        </w:tc>
        <w:tc>
          <w:tcPr>
            <w:tcW w:w="100" w:type="dxa"/>
            <w:vAlign w:val="bottom"/>
          </w:tcPr>
          <w:p>
            <w:pPr>
              <w:spacing w:after="0"/>
              <w:rPr>
                <w:sz w:val="13"/>
                <w:szCs w:val="13"/>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Mar. 31,</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6"/>
              </w:rPr>
              <w:t>Jun. 30,</w:t>
            </w:r>
          </w:p>
        </w:tc>
        <w:tc>
          <w:tcPr>
            <w:tcW w:w="8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5"/>
              </w:rPr>
              <w:t>Sep. 30,</w:t>
            </w:r>
          </w:p>
        </w:tc>
        <w:tc>
          <w:tcPr>
            <w:tcW w:w="10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5"/>
              </w:rPr>
              <w:t>Dec. 31,</w:t>
            </w:r>
          </w:p>
        </w:tc>
        <w:tc>
          <w:tcPr>
            <w:tcW w:w="8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4"/>
              </w:rPr>
              <w:t>Mar. 31,</w:t>
            </w:r>
          </w:p>
        </w:tc>
        <w:tc>
          <w:tcPr>
            <w:tcW w:w="8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6"/>
              </w:rPr>
              <w:t>Jun. 30,</w:t>
            </w: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9"/>
              </w:rPr>
              <w:t>2012</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2012</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2012</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2012</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2013</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gridSpan w:val="8"/>
          </w:tcPr>
          <w:p>
            <w:pPr>
              <w:jc w:val="center"/>
              <w:ind w:right="200"/>
              <w:spacing w:after="0" w:line="138" w:lineRule="exact"/>
              <w:rPr>
                <w:sz w:val="20"/>
                <w:szCs w:val="20"/>
                <w:color w:val="auto"/>
              </w:rPr>
            </w:pPr>
            <w:r>
              <w:rPr>
                <w:rFonts w:ascii="Arial" w:cs="Arial" w:eastAsia="Arial" w:hAnsi="Arial"/>
                <w:sz w:val="13"/>
                <w:szCs w:val="13"/>
                <w:b w:val="1"/>
                <w:bCs w:val="1"/>
                <w:color w:val="auto"/>
                <w:w w:val="87"/>
              </w:rPr>
              <w:t>(in thousands, except percentages)</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Revenue</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9,507</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11,489</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12,094</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14,750</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12,506</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15,638</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16,416</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18,861</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14,317</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19,597</w:t>
            </w:r>
          </w:p>
        </w:tc>
        <w:tc>
          <w:tcPr>
            <w:tcW w:w="0" w:type="dxa"/>
            <w:vAlign w:val="bottom"/>
          </w:tcPr>
          <w:p>
            <w:pPr>
              <w:spacing w:after="0"/>
              <w:rPr>
                <w:sz w:val="1"/>
                <w:szCs w:val="1"/>
                <w:color w:val="auto"/>
              </w:rPr>
            </w:pPr>
          </w:p>
        </w:tc>
      </w:tr>
      <w:tr>
        <w:trPr>
          <w:trHeight w:val="168"/>
        </w:trPr>
        <w:tc>
          <w:tcPr>
            <w:tcW w:w="1740" w:type="dxa"/>
            <w:vAlign w:val="bottom"/>
            <w:gridSpan w:val="2"/>
          </w:tcPr>
          <w:p>
            <w:pPr>
              <w:spacing w:after="0"/>
              <w:rPr>
                <w:sz w:val="20"/>
                <w:szCs w:val="20"/>
                <w:color w:val="auto"/>
              </w:rPr>
            </w:pPr>
            <w:r>
              <w:rPr>
                <w:rFonts w:ascii="Arial" w:cs="Arial" w:eastAsia="Arial" w:hAnsi="Arial"/>
                <w:sz w:val="13"/>
                <w:szCs w:val="13"/>
                <w:color w:val="auto"/>
              </w:rPr>
              <w:t>Cost of goods sold (1)</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6,844</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7,956</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8,297</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11,371</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8,393</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10,938</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11,743</w:t>
            </w: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13,418</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9,732</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14,150</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7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Gross profit</w:t>
            </w:r>
          </w:p>
        </w:tc>
        <w:tc>
          <w:tcPr>
            <w:tcW w:w="1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2,663</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3,533</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3,797</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3,379</w:t>
            </w:r>
          </w:p>
        </w:tc>
        <w:tc>
          <w:tcPr>
            <w:tcW w:w="1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4,113</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4,700</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4,673</w:t>
            </w:r>
          </w:p>
        </w:tc>
        <w:tc>
          <w:tcPr>
            <w:tcW w:w="1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5,443</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4,585</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5,447</w:t>
            </w:r>
          </w:p>
        </w:tc>
        <w:tc>
          <w:tcPr>
            <w:tcW w:w="0" w:type="dxa"/>
            <w:vAlign w:val="bottom"/>
          </w:tcPr>
          <w:p>
            <w:pPr>
              <w:spacing w:after="0"/>
              <w:rPr>
                <w:sz w:val="1"/>
                <w:szCs w:val="1"/>
                <w:color w:val="auto"/>
              </w:rPr>
            </w:pPr>
          </w:p>
        </w:tc>
      </w:tr>
      <w:tr>
        <w:trPr>
          <w:trHeight w:val="26"/>
        </w:trPr>
        <w:tc>
          <w:tcPr>
            <w:tcW w:w="1740" w:type="dxa"/>
            <w:vAlign w:val="bottom"/>
            <w:gridSpan w:val="2"/>
            <w:vMerge w:val="restart"/>
          </w:tcPr>
          <w:p>
            <w:pPr>
              <w:spacing w:after="0"/>
              <w:rPr>
                <w:sz w:val="20"/>
                <w:szCs w:val="20"/>
                <w:color w:val="auto"/>
              </w:rPr>
            </w:pPr>
            <w:r>
              <w:rPr>
                <w:rFonts w:ascii="Arial" w:cs="Arial" w:eastAsia="Arial" w:hAnsi="Arial"/>
                <w:sz w:val="13"/>
                <w:szCs w:val="13"/>
                <w:color w:val="auto"/>
              </w:rPr>
              <w:t>Gross margin</w:t>
            </w: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28.0%</w:t>
            </w: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30.8%</w:t>
            </w: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31.4%</w:t>
            </w:r>
          </w:p>
        </w:tc>
        <w:tc>
          <w:tcPr>
            <w:tcW w:w="80" w:type="dxa"/>
            <w:vAlign w:val="bottom"/>
          </w:tcPr>
          <w:p>
            <w:pPr>
              <w:spacing w:after="0"/>
              <w:rPr>
                <w:sz w:val="11"/>
                <w:szCs w:val="11"/>
                <w:color w:val="auto"/>
              </w:rPr>
            </w:pP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22.9%</w:t>
            </w:r>
          </w:p>
        </w:tc>
        <w:tc>
          <w:tcPr>
            <w:tcW w:w="100" w:type="dxa"/>
            <w:vAlign w:val="bottom"/>
          </w:tcPr>
          <w:p>
            <w:pPr>
              <w:spacing w:after="0"/>
              <w:rPr>
                <w:sz w:val="11"/>
                <w:szCs w:val="11"/>
                <w:color w:val="auto"/>
              </w:rPr>
            </w:pPr>
          </w:p>
        </w:tc>
        <w:tc>
          <w:tcPr>
            <w:tcW w:w="6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32.9%</w:t>
            </w: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30.1%</w:t>
            </w:r>
          </w:p>
        </w:tc>
        <w:tc>
          <w:tcPr>
            <w:tcW w:w="80" w:type="dxa"/>
            <w:vAlign w:val="bottom"/>
          </w:tcPr>
          <w:p>
            <w:pPr>
              <w:spacing w:after="0"/>
              <w:rPr>
                <w:sz w:val="11"/>
                <w:szCs w:val="11"/>
                <w:color w:val="auto"/>
              </w:rPr>
            </w:pP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28.5%</w:t>
            </w:r>
          </w:p>
        </w:tc>
        <w:tc>
          <w:tcPr>
            <w:tcW w:w="100" w:type="dxa"/>
            <w:vAlign w:val="bottom"/>
          </w:tcPr>
          <w:p>
            <w:pPr>
              <w:spacing w:after="0"/>
              <w:rPr>
                <w:sz w:val="11"/>
                <w:szCs w:val="11"/>
                <w:color w:val="auto"/>
              </w:rPr>
            </w:pP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28.9%</w:t>
            </w:r>
          </w:p>
        </w:tc>
        <w:tc>
          <w:tcPr>
            <w:tcW w:w="80" w:type="dxa"/>
            <w:vAlign w:val="bottom"/>
          </w:tcPr>
          <w:p>
            <w:pPr>
              <w:spacing w:after="0"/>
              <w:rPr>
                <w:sz w:val="11"/>
                <w:szCs w:val="11"/>
                <w:color w:val="auto"/>
              </w:rPr>
            </w:pPr>
          </w:p>
        </w:tc>
        <w:tc>
          <w:tcPr>
            <w:tcW w:w="7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32.0%</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8" w:lineRule="exact"/>
              <w:rPr>
                <w:sz w:val="20"/>
                <w:szCs w:val="20"/>
                <w:color w:val="auto"/>
              </w:rPr>
            </w:pPr>
            <w:r>
              <w:rPr>
                <w:rFonts w:ascii="Arial" w:cs="Arial" w:eastAsia="Arial" w:hAnsi="Arial"/>
                <w:sz w:val="13"/>
                <w:szCs w:val="13"/>
                <w:color w:val="auto"/>
              </w:rPr>
              <w:t>27.8%</w:t>
            </w:r>
          </w:p>
        </w:tc>
        <w:tc>
          <w:tcPr>
            <w:tcW w:w="0" w:type="dxa"/>
            <w:vAlign w:val="bottom"/>
          </w:tcPr>
          <w:p>
            <w:pPr>
              <w:spacing w:after="0"/>
              <w:rPr>
                <w:sz w:val="1"/>
                <w:szCs w:val="1"/>
                <w:color w:val="auto"/>
              </w:rPr>
            </w:pPr>
          </w:p>
        </w:tc>
      </w:tr>
      <w:tr>
        <w:trPr>
          <w:trHeight w:val="302"/>
        </w:trPr>
        <w:tc>
          <w:tcPr>
            <w:tcW w:w="1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40" w:type="dxa"/>
            <w:vAlign w:val="bottom"/>
            <w:gridSpan w:val="2"/>
          </w:tcPr>
          <w:p>
            <w:pPr>
              <w:ind w:left="140"/>
              <w:spacing w:after="0" w:line="136" w:lineRule="exact"/>
              <w:rPr>
                <w:sz w:val="20"/>
                <w:szCs w:val="20"/>
                <w:color w:val="auto"/>
              </w:rPr>
            </w:pPr>
            <w:r>
              <w:rPr>
                <w:rFonts w:ascii="Arial" w:cs="Arial" w:eastAsia="Arial" w:hAnsi="Arial"/>
                <w:sz w:val="13"/>
                <w:szCs w:val="13"/>
                <w:color w:val="auto"/>
                <w:w w:val="99"/>
              </w:rPr>
              <w:t>Research and development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40" w:type="dxa"/>
            <w:vAlign w:val="bottom"/>
          </w:tcPr>
          <w:p>
            <w:pPr>
              <w:ind w:left="280"/>
              <w:spacing w:after="0"/>
              <w:rPr>
                <w:sz w:val="20"/>
                <w:szCs w:val="20"/>
                <w:color w:val="auto"/>
              </w:rPr>
            </w:pPr>
            <w:r>
              <w:rPr>
                <w:rFonts w:ascii="Arial" w:cs="Arial" w:eastAsia="Arial" w:hAnsi="Arial"/>
                <w:sz w:val="13"/>
                <w:szCs w:val="13"/>
                <w:color w:val="auto"/>
              </w:rPr>
              <w:t>(1)</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1,520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1,396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1,758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1,777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1,575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1,708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2,178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2,144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2,004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1,898</w:t>
            </w:r>
          </w:p>
        </w:tc>
        <w:tc>
          <w:tcPr>
            <w:tcW w:w="0" w:type="dxa"/>
            <w:vAlign w:val="bottom"/>
          </w:tcPr>
          <w:p>
            <w:pPr>
              <w:spacing w:after="0"/>
              <w:rPr>
                <w:sz w:val="1"/>
                <w:szCs w:val="1"/>
                <w:color w:val="auto"/>
              </w:rPr>
            </w:pPr>
          </w:p>
        </w:tc>
      </w:tr>
      <w:tr>
        <w:trPr>
          <w:trHeight w:val="144"/>
        </w:trPr>
        <w:tc>
          <w:tcPr>
            <w:tcW w:w="1740" w:type="dxa"/>
            <w:vAlign w:val="bottom"/>
            <w:gridSpan w:val="2"/>
            <w:shd w:val="clear" w:color="auto" w:fill="CCEEFF"/>
          </w:tcPr>
          <w:p>
            <w:pPr>
              <w:ind w:left="140"/>
              <w:spacing w:after="0" w:line="144" w:lineRule="exact"/>
              <w:rPr>
                <w:sz w:val="20"/>
                <w:szCs w:val="20"/>
                <w:color w:val="auto"/>
              </w:rPr>
            </w:pPr>
            <w:r>
              <w:rPr>
                <w:rFonts w:ascii="Arial" w:cs="Arial" w:eastAsia="Arial" w:hAnsi="Arial"/>
                <w:sz w:val="13"/>
                <w:szCs w:val="13"/>
                <w:color w:val="auto"/>
              </w:rPr>
              <w:t>Sales and marketing (1)</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492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560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625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736</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809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806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759</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756</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907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1,053</w:t>
            </w:r>
          </w:p>
        </w:tc>
        <w:tc>
          <w:tcPr>
            <w:tcW w:w="0" w:type="dxa"/>
            <w:vAlign w:val="bottom"/>
          </w:tcPr>
          <w:p>
            <w:pPr>
              <w:spacing w:after="0"/>
              <w:rPr>
                <w:sz w:val="1"/>
                <w:szCs w:val="1"/>
                <w:color w:val="auto"/>
              </w:rPr>
            </w:pPr>
          </w:p>
        </w:tc>
      </w:tr>
      <w:tr>
        <w:trPr>
          <w:trHeight w:val="135"/>
        </w:trPr>
        <w:tc>
          <w:tcPr>
            <w:tcW w:w="1740" w:type="dxa"/>
            <w:vAlign w:val="bottom"/>
            <w:gridSpan w:val="2"/>
          </w:tcPr>
          <w:p>
            <w:pPr>
              <w:ind w:left="140"/>
              <w:spacing w:after="0" w:line="136" w:lineRule="exact"/>
              <w:rPr>
                <w:sz w:val="20"/>
                <w:szCs w:val="20"/>
                <w:color w:val="auto"/>
              </w:rPr>
            </w:pPr>
            <w:r>
              <w:rPr>
                <w:rFonts w:ascii="Arial" w:cs="Arial" w:eastAsia="Arial" w:hAnsi="Arial"/>
                <w:sz w:val="13"/>
                <w:szCs w:val="13"/>
                <w:color w:val="auto"/>
              </w:rPr>
              <w:t>General and administrative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440" w:type="dxa"/>
            <w:vAlign w:val="bottom"/>
          </w:tcPr>
          <w:p>
            <w:pPr>
              <w:ind w:left="280"/>
              <w:spacing w:after="0"/>
              <w:rPr>
                <w:sz w:val="20"/>
                <w:szCs w:val="20"/>
                <w:color w:val="auto"/>
              </w:rPr>
            </w:pPr>
            <w:r>
              <w:rPr>
                <w:rFonts w:ascii="Arial" w:cs="Arial" w:eastAsia="Arial" w:hAnsi="Arial"/>
                <w:sz w:val="13"/>
                <w:szCs w:val="13"/>
                <w:color w:val="auto"/>
              </w:rPr>
              <w:t>(1)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2,043</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2,064</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2,048</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2,087</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1,965</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1,947</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1,892</w:t>
            </w: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2,213</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2,374</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2,447</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7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Total operating expenses</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4,056</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4,020</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4,431</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4,601</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4,349</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4,460</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4,829</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5,112</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5,285</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5,398</w:t>
            </w:r>
          </w:p>
        </w:tc>
        <w:tc>
          <w:tcPr>
            <w:tcW w:w="0" w:type="dxa"/>
            <w:vAlign w:val="bottom"/>
          </w:tcPr>
          <w:p>
            <w:pPr>
              <w:spacing w:after="0"/>
              <w:rPr>
                <w:sz w:val="1"/>
                <w:szCs w:val="1"/>
                <w:color w:val="auto"/>
              </w:rPr>
            </w:pPr>
          </w:p>
        </w:tc>
      </w:tr>
      <w:tr>
        <w:trPr>
          <w:trHeight w:val="26"/>
        </w:trPr>
        <w:tc>
          <w:tcPr>
            <w:tcW w:w="1740" w:type="dxa"/>
            <w:vAlign w:val="bottom"/>
            <w:gridSpan w:val="2"/>
            <w:vMerge w:val="restart"/>
          </w:tcPr>
          <w:p>
            <w:pPr>
              <w:spacing w:after="0"/>
              <w:rPr>
                <w:sz w:val="20"/>
                <w:szCs w:val="20"/>
                <w:color w:val="auto"/>
              </w:rPr>
            </w:pPr>
            <w:r>
              <w:rPr>
                <w:rFonts w:ascii="Arial" w:cs="Arial" w:eastAsia="Arial" w:hAnsi="Arial"/>
                <w:sz w:val="13"/>
                <w:szCs w:val="13"/>
                <w:color w:val="auto"/>
              </w:rPr>
              <w:t>Income (loss) from operations</w:t>
            </w: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740" w:type="dxa"/>
            <w:vAlign w:val="bottom"/>
            <w:gridSpan w:val="2"/>
            <w:vMerge w:val="continue"/>
          </w:tcPr>
          <w:p>
            <w:pPr>
              <w:spacing w:after="0"/>
              <w:rPr>
                <w:sz w:val="11"/>
                <w:szCs w:val="11"/>
                <w:color w:val="auto"/>
              </w:rPr>
            </w:pPr>
          </w:p>
        </w:tc>
        <w:tc>
          <w:tcPr>
            <w:tcW w:w="1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(1,392)</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(487)</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(634)</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(1,221)</w:t>
            </w:r>
          </w:p>
        </w:tc>
        <w:tc>
          <w:tcPr>
            <w:tcW w:w="120" w:type="dxa"/>
            <w:vAlign w:val="bottom"/>
          </w:tcPr>
          <w:p>
            <w:pPr>
              <w:spacing w:after="0"/>
              <w:rPr>
                <w:sz w:val="11"/>
                <w:szCs w:val="11"/>
                <w:color w:val="auto"/>
              </w:rPr>
            </w:pPr>
          </w:p>
        </w:tc>
        <w:tc>
          <w:tcPr>
            <w:tcW w:w="1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(236)</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240</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(156)</w:t>
            </w:r>
          </w:p>
        </w:tc>
        <w:tc>
          <w:tcPr>
            <w:tcW w:w="120" w:type="dxa"/>
            <w:vAlign w:val="bottom"/>
          </w:tcPr>
          <w:p>
            <w:pPr>
              <w:spacing w:after="0"/>
              <w:rPr>
                <w:sz w:val="11"/>
                <w:szCs w:val="11"/>
                <w:color w:val="auto"/>
              </w:rPr>
            </w:pPr>
          </w:p>
        </w:tc>
        <w:tc>
          <w:tcPr>
            <w:tcW w:w="1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331</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(700)</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49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Interest and other income</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(expense), net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(279)</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(334)</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(634)</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(347)</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(287)</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(332)</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(294)</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26"/>
        </w:trPr>
        <w:tc>
          <w:tcPr>
            <w:tcW w:w="1740" w:type="dxa"/>
            <w:vAlign w:val="bottom"/>
            <w:gridSpan w:val="2"/>
            <w:vMerge w:val="restart"/>
          </w:tcPr>
          <w:p>
            <w:pPr>
              <w:spacing w:after="0"/>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1740" w:type="dxa"/>
            <w:vAlign w:val="bottom"/>
            <w:gridSpan w:val="2"/>
            <w:vMerge w:val="continue"/>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(1,671)</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(821)</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(1,268)</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(1,568)</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(523)</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(381)</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(994)</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740" w:type="dxa"/>
            <w:vAlign w:val="bottom"/>
            <w:gridSpan w:val="2"/>
            <w:shd w:val="clear" w:color="auto" w:fill="CCEEFF"/>
          </w:tcPr>
          <w:p>
            <w:pPr>
              <w:spacing w:after="0" w:line="126" w:lineRule="exact"/>
              <w:rPr>
                <w:sz w:val="20"/>
                <w:szCs w:val="20"/>
                <w:color w:val="auto"/>
              </w:rPr>
            </w:pPr>
            <w:r>
              <w:rPr>
                <w:rFonts w:ascii="Arial" w:cs="Arial" w:eastAsia="Arial" w:hAnsi="Arial"/>
                <w:sz w:val="13"/>
                <w:szCs w:val="13"/>
                <w:b w:val="1"/>
                <w:bCs w:val="1"/>
                <w:color w:val="auto"/>
              </w:rPr>
              <w:t>Additional Financial Data:</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40" w:type="dxa"/>
            <w:vAlign w:val="bottom"/>
            <w:gridSpan w:val="2"/>
          </w:tcPr>
          <w:p>
            <w:pPr>
              <w:spacing w:after="0" w:line="144" w:lineRule="exact"/>
              <w:rPr>
                <w:sz w:val="20"/>
                <w:szCs w:val="20"/>
                <w:color w:val="auto"/>
              </w:rPr>
            </w:pPr>
            <w:r>
              <w:rPr>
                <w:rFonts w:ascii="Arial" w:cs="Arial" w:eastAsia="Arial" w:hAnsi="Arial"/>
                <w:sz w:val="13"/>
                <w:szCs w:val="13"/>
                <w:color w:val="auto"/>
              </w:rPr>
              <w:t>Non-GAAP gross profit (2)</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2,672</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3,542</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3,806</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3,388</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4,115</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4,702</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4,675</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5,445</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4,597</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5,460</w:t>
            </w:r>
          </w:p>
        </w:tc>
        <w:tc>
          <w:tcPr>
            <w:tcW w:w="0" w:type="dxa"/>
            <w:vAlign w:val="bottom"/>
          </w:tcPr>
          <w:p>
            <w:pPr>
              <w:spacing w:after="0"/>
              <w:rPr>
                <w:sz w:val="1"/>
                <w:szCs w:val="1"/>
                <w:color w:val="auto"/>
              </w:rPr>
            </w:pPr>
          </w:p>
        </w:tc>
      </w:tr>
      <w:tr>
        <w:trPr>
          <w:trHeight w:val="135"/>
        </w:trPr>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w w:val="98"/>
              </w:rPr>
              <w:t>Non-GAAP income (loss) from</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operations (2)</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(1,160)</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(280)</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(483)</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(1,076)</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(203)</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278</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(555)</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135"/>
        </w:trPr>
        <w:tc>
          <w:tcPr>
            <w:tcW w:w="1740" w:type="dxa"/>
            <w:vAlign w:val="bottom"/>
            <w:gridSpan w:val="2"/>
          </w:tcPr>
          <w:p>
            <w:pPr>
              <w:spacing w:after="0" w:line="136" w:lineRule="exact"/>
              <w:rPr>
                <w:sz w:val="20"/>
                <w:szCs w:val="20"/>
                <w:color w:val="auto"/>
              </w:rPr>
            </w:pPr>
            <w:r>
              <w:rPr>
                <w:rFonts w:ascii="Arial" w:cs="Arial" w:eastAsia="Arial" w:hAnsi="Arial"/>
                <w:sz w:val="13"/>
                <w:szCs w:val="13"/>
                <w:color w:val="auto"/>
              </w:rPr>
              <w:t>Non-GAAP net income (loss)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40" w:type="dxa"/>
            <w:vAlign w:val="bottom"/>
          </w:tcPr>
          <w:p>
            <w:pPr>
              <w:ind w:left="140"/>
              <w:spacing w:after="0"/>
              <w:rPr>
                <w:sz w:val="20"/>
                <w:szCs w:val="20"/>
                <w:color w:val="auto"/>
              </w:rPr>
            </w:pPr>
            <w:r>
              <w:rPr>
                <w:rFonts w:ascii="Arial" w:cs="Arial" w:eastAsia="Arial" w:hAnsi="Arial"/>
                <w:sz w:val="13"/>
                <w:szCs w:val="13"/>
                <w:color w:val="auto"/>
              </w:rPr>
              <w:t>(2)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(1,469)</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(832)</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(1,340)</w:t>
            </w:r>
          </w:p>
        </w:tc>
        <w:tc>
          <w:tcPr>
            <w:tcW w:w="8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(1,385)</w:t>
            </w: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(443)</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(106)</w:t>
            </w:r>
          </w:p>
        </w:tc>
        <w:tc>
          <w:tcPr>
            <w:tcW w:w="8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262</w:t>
            </w:r>
          </w:p>
        </w:tc>
        <w:tc>
          <w:tcPr>
            <w:tcW w:w="8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(686)</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44"/>
        </w:trPr>
        <w:tc>
          <w:tcPr>
            <w:tcW w:w="17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Adjusted EBITDA (2)</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(432)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255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(214)</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(245)</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656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953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851</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1,275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305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959</w:t>
            </w:r>
          </w:p>
        </w:tc>
        <w:tc>
          <w:tcPr>
            <w:tcW w:w="0" w:type="dxa"/>
            <w:vAlign w:val="bottom"/>
          </w:tcPr>
          <w:p>
            <w:pPr>
              <w:spacing w:after="0"/>
              <w:rPr>
                <w:sz w:val="1"/>
                <w:szCs w:val="1"/>
                <w:color w:val="auto"/>
              </w:rPr>
            </w:pPr>
          </w:p>
        </w:tc>
      </w:tr>
      <w:tr>
        <w:trPr>
          <w:trHeight w:val="105"/>
        </w:trPr>
        <w:tc>
          <w:tcPr>
            <w:tcW w:w="14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hanging="533"/>
        <w:spacing w:after="0"/>
        <w:tabs>
          <w:tab w:leader="none" w:pos="16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These expenses include stock-based compensation expense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Jun. 30,</w:t>
            </w:r>
          </w:p>
        </w:tc>
        <w:tc>
          <w:tcPr>
            <w:tcW w:w="80" w:type="dxa"/>
            <w:vAlign w:val="bottom"/>
          </w:tcPr>
          <w:p>
            <w:pPr>
              <w:spacing w:after="0"/>
              <w:rPr>
                <w:sz w:val="12"/>
                <w:szCs w:val="12"/>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Sep. 30,</w:t>
            </w:r>
          </w:p>
        </w:tc>
        <w:tc>
          <w:tcPr>
            <w:tcW w:w="100" w:type="dxa"/>
            <w:vAlign w:val="bottom"/>
          </w:tcPr>
          <w:p>
            <w:pPr>
              <w:spacing w:after="0"/>
              <w:rPr>
                <w:sz w:val="12"/>
                <w:szCs w:val="12"/>
                <w:color w:val="auto"/>
              </w:rPr>
            </w:pPr>
          </w:p>
        </w:tc>
        <w:tc>
          <w:tcPr>
            <w:tcW w:w="520" w:type="dxa"/>
            <w:vAlign w:val="bottom"/>
          </w:tcPr>
          <w:p>
            <w:pPr>
              <w:jc w:val="right"/>
              <w:ind w:right="14"/>
              <w:spacing w:after="0"/>
              <w:rPr>
                <w:sz w:val="20"/>
                <w:szCs w:val="20"/>
                <w:color w:val="auto"/>
              </w:rPr>
            </w:pPr>
            <w:r>
              <w:rPr>
                <w:rFonts w:ascii="Arial" w:cs="Arial" w:eastAsia="Arial" w:hAnsi="Arial"/>
                <w:sz w:val="13"/>
                <w:szCs w:val="13"/>
                <w:b w:val="1"/>
                <w:bCs w:val="1"/>
                <w:color w:val="auto"/>
                <w:w w:val="85"/>
              </w:rPr>
              <w:t>Dec.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Jun. 30,</w:t>
            </w:r>
          </w:p>
        </w:tc>
        <w:tc>
          <w:tcPr>
            <w:tcW w:w="80" w:type="dxa"/>
            <w:vAlign w:val="bottom"/>
          </w:tcPr>
          <w:p>
            <w:pPr>
              <w:spacing w:after="0"/>
              <w:rPr>
                <w:sz w:val="12"/>
                <w:szCs w:val="12"/>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Sep. 30,</w:t>
            </w:r>
          </w:p>
        </w:tc>
        <w:tc>
          <w:tcPr>
            <w:tcW w:w="8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Dec. 31,</w:t>
            </w:r>
          </w:p>
        </w:tc>
        <w:tc>
          <w:tcPr>
            <w:tcW w:w="80" w:type="dxa"/>
            <w:vAlign w:val="bottom"/>
          </w:tcPr>
          <w:p>
            <w:pPr>
              <w:spacing w:after="0"/>
              <w:rPr>
                <w:sz w:val="12"/>
                <w:szCs w:val="12"/>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2"/>
                <w:szCs w:val="12"/>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Jun. 30,</w:t>
            </w:r>
          </w:p>
        </w:tc>
      </w:tr>
      <w:tr>
        <w:trPr>
          <w:trHeight w:val="157"/>
        </w:trPr>
        <w:tc>
          <w:tcPr>
            <w:tcW w:w="2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2013</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3"/>
                <w:szCs w:val="13"/>
                <w:color w:val="auto"/>
              </w:rPr>
            </w:pPr>
          </w:p>
        </w:tc>
      </w:tr>
      <w:tr>
        <w:trPr>
          <w:trHeight w:val="137"/>
        </w:trPr>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0"/>
              </w:rPr>
              <w:t>(in 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210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Cost of goods sold</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w:t>
            </w:r>
          </w:p>
        </w:tc>
        <w:tc>
          <w:tcPr>
            <w:tcW w:w="1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24</w:t>
            </w:r>
          </w:p>
        </w:tc>
      </w:tr>
      <w:tr>
        <w:trPr>
          <w:trHeight w:val="144"/>
        </w:trPr>
        <w:tc>
          <w:tcPr>
            <w:tcW w:w="2100" w:type="dxa"/>
            <w:vAlign w:val="bottom"/>
          </w:tcPr>
          <w:p>
            <w:pPr>
              <w:ind w:left="80"/>
              <w:spacing w:after="0" w:line="144" w:lineRule="exact"/>
              <w:rPr>
                <w:sz w:val="20"/>
                <w:szCs w:val="20"/>
                <w:color w:val="auto"/>
              </w:rPr>
            </w:pPr>
            <w:r>
              <w:rPr>
                <w:rFonts w:ascii="Arial" w:cs="Arial" w:eastAsia="Arial" w:hAnsi="Arial"/>
                <w:sz w:val="13"/>
                <w:szCs w:val="13"/>
                <w:color w:val="auto"/>
              </w:rPr>
              <w:t>Research and development</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Arial" w:cs="Arial" w:eastAsia="Arial" w:hAnsi="Arial"/>
                <w:sz w:val="13"/>
                <w:szCs w:val="13"/>
                <w:color w:val="auto"/>
              </w:rPr>
              <w:t>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11</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22</w:t>
            </w:r>
          </w:p>
        </w:tc>
      </w:tr>
      <w:tr>
        <w:trPr>
          <w:trHeight w:val="144"/>
        </w:trPr>
        <w:tc>
          <w:tcPr>
            <w:tcW w:w="210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Sales and marketing</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19</w:t>
            </w:r>
          </w:p>
        </w:tc>
      </w:tr>
      <w:tr>
        <w:trPr>
          <w:trHeight w:val="168"/>
        </w:trPr>
        <w:tc>
          <w:tcPr>
            <w:tcW w:w="2100" w:type="dxa"/>
            <w:vAlign w:val="bottom"/>
          </w:tcPr>
          <w:p>
            <w:pPr>
              <w:ind w:left="80"/>
              <w:spacing w:after="0"/>
              <w:rPr>
                <w:sz w:val="20"/>
                <w:szCs w:val="20"/>
                <w:color w:val="auto"/>
              </w:rPr>
            </w:pPr>
            <w:r>
              <w:rPr>
                <w:rFonts w:ascii="Arial" w:cs="Arial" w:eastAsia="Arial" w:hAnsi="Arial"/>
                <w:sz w:val="13"/>
                <w:szCs w:val="13"/>
                <w:color w:val="auto"/>
              </w:rPr>
              <w:t>General and administrative</w:t>
            </w: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65</w:t>
            </w:r>
          </w:p>
        </w:tc>
      </w:tr>
      <w:tr>
        <w:trPr>
          <w:trHeight w:val="131"/>
        </w:trPr>
        <w:tc>
          <w:tcPr>
            <w:tcW w:w="2100" w:type="dxa"/>
            <w:vAlign w:val="bottom"/>
            <w:shd w:val="clear" w:color="auto" w:fill="CCEEFF"/>
          </w:tcPr>
          <w:p>
            <w:pPr>
              <w:ind w:left="80"/>
              <w:spacing w:after="0" w:line="131" w:lineRule="exact"/>
              <w:rPr>
                <w:sz w:val="20"/>
                <w:szCs w:val="20"/>
                <w:color w:val="auto"/>
              </w:rPr>
            </w:pPr>
            <w:r>
              <w:rPr>
                <w:rFonts w:ascii="Arial" w:cs="Arial" w:eastAsia="Arial" w:hAnsi="Arial"/>
                <w:sz w:val="13"/>
                <w:szCs w:val="13"/>
                <w:color w:val="auto"/>
              </w:rPr>
              <w:t>Total stock-based compensation</w:t>
            </w: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3"/>
        </w:trPr>
        <w:tc>
          <w:tcPr>
            <w:tcW w:w="21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130</w:t>
            </w:r>
          </w:p>
        </w:tc>
      </w:tr>
      <w:tr>
        <w:trPr>
          <w:trHeight w:val="26"/>
        </w:trPr>
        <w:tc>
          <w:tcPr>
            <w:tcW w:w="2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680" w:hanging="533"/>
        <w:spacing w:after="0" w:line="256" w:lineRule="auto"/>
        <w:tabs>
          <w:tab w:leader="none" w:pos="16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See footnote 3 to the table in the section titled "Summary Consolidated Financial Data" on page 9 of this prospectus for further discussion regarding Non-GAAP measures. The following table reflects the reconciliation of U.S. GAAP financial measures to non-GAAP financial measures: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0"/>
              </w:rPr>
              <w:t>Mar. 31,</w:t>
            </w:r>
          </w:p>
        </w:tc>
        <w:tc>
          <w:tcPr>
            <w:tcW w:w="8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6"/>
              </w:rPr>
              <w:t>Jun. 30,</w:t>
            </w:r>
          </w:p>
        </w:tc>
        <w:tc>
          <w:tcPr>
            <w:tcW w:w="8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5"/>
              </w:rPr>
              <w:t>Sep. 30,</w:t>
            </w:r>
          </w:p>
        </w:tc>
        <w:tc>
          <w:tcPr>
            <w:tcW w:w="100" w:type="dxa"/>
            <w:vAlign w:val="bottom"/>
          </w:tcPr>
          <w:p>
            <w:pPr>
              <w:spacing w:after="0"/>
              <w:rPr>
                <w:sz w:val="13"/>
                <w:szCs w:val="13"/>
                <w:color w:val="auto"/>
              </w:rPr>
            </w:pPr>
          </w:p>
        </w:tc>
        <w:tc>
          <w:tcPr>
            <w:tcW w:w="600" w:type="dxa"/>
            <w:vAlign w:val="bottom"/>
            <w:gridSpan w:val="2"/>
          </w:tcPr>
          <w:p>
            <w:pPr>
              <w:jc w:val="right"/>
              <w:ind w:right="94"/>
              <w:spacing w:after="0"/>
              <w:rPr>
                <w:sz w:val="20"/>
                <w:szCs w:val="20"/>
                <w:color w:val="auto"/>
              </w:rPr>
            </w:pPr>
            <w:r>
              <w:rPr>
                <w:rFonts w:ascii="Arial" w:cs="Arial" w:eastAsia="Arial" w:hAnsi="Arial"/>
                <w:sz w:val="13"/>
                <w:szCs w:val="13"/>
                <w:b w:val="1"/>
                <w:bCs w:val="1"/>
                <w:color w:val="auto"/>
                <w:w w:val="85"/>
              </w:rPr>
              <w:t>Dec. 31,</w:t>
            </w:r>
          </w:p>
        </w:tc>
        <w:tc>
          <w:tcPr>
            <w:tcW w:w="8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4"/>
              </w:rPr>
              <w:t>Mar. 31,</w:t>
            </w:r>
          </w:p>
        </w:tc>
        <w:tc>
          <w:tcPr>
            <w:tcW w:w="8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6"/>
              </w:rPr>
              <w:t>Jun. 30,</w:t>
            </w:r>
          </w:p>
        </w:tc>
        <w:tc>
          <w:tcPr>
            <w:tcW w:w="8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5"/>
              </w:rPr>
              <w:t>Sep. 30,</w:t>
            </w: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9"/>
              </w:rPr>
              <w:t>Dec. 31,</w:t>
            </w:r>
          </w:p>
        </w:tc>
        <w:tc>
          <w:tcPr>
            <w:tcW w:w="8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4"/>
              </w:rPr>
              <w:t>Mar. 31,</w:t>
            </w:r>
          </w:p>
        </w:tc>
        <w:tc>
          <w:tcPr>
            <w:tcW w:w="8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6"/>
              </w:rPr>
              <w:t>Jun. 30,</w:t>
            </w:r>
          </w:p>
        </w:tc>
        <w:tc>
          <w:tcPr>
            <w:tcW w:w="0" w:type="dxa"/>
            <w:vAlign w:val="bottom"/>
          </w:tcPr>
          <w:p>
            <w:pPr>
              <w:spacing w:after="0"/>
              <w:rPr>
                <w:sz w:val="1"/>
                <w:szCs w:val="1"/>
                <w:color w:val="auto"/>
              </w:rPr>
            </w:pPr>
          </w:p>
        </w:tc>
      </w:tr>
      <w:tr>
        <w:trPr>
          <w:trHeight w:val="157"/>
        </w:trPr>
        <w:tc>
          <w:tcPr>
            <w:tcW w:w="2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2013</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0"/>
              </w:rPr>
              <w:t>(in 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Gross profits</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2,663</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3,533</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3,797</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3,379</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4,113</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4,700</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4,673</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5,443</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4,585</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5,447</w:t>
            </w:r>
          </w:p>
        </w:tc>
        <w:tc>
          <w:tcPr>
            <w:tcW w:w="0" w:type="dxa"/>
            <w:vAlign w:val="bottom"/>
          </w:tcPr>
          <w:p>
            <w:pPr>
              <w:spacing w:after="0"/>
              <w:rPr>
                <w:sz w:val="1"/>
                <w:szCs w:val="1"/>
                <w:color w:val="auto"/>
              </w:rPr>
            </w:pPr>
          </w:p>
        </w:tc>
      </w:tr>
      <w:tr>
        <w:trPr>
          <w:trHeight w:val="144"/>
        </w:trPr>
        <w:tc>
          <w:tcPr>
            <w:tcW w:w="2100" w:type="dxa"/>
            <w:vAlign w:val="bottom"/>
          </w:tcPr>
          <w:p>
            <w:pPr>
              <w:spacing w:after="0" w:line="144" w:lineRule="exact"/>
              <w:rPr>
                <w:sz w:val="20"/>
                <w:szCs w:val="20"/>
                <w:color w:val="auto"/>
              </w:rPr>
            </w:pPr>
            <w:r>
              <w:rPr>
                <w:rFonts w:ascii="Arial" w:cs="Arial" w:eastAsia="Arial" w:hAnsi="Arial"/>
                <w:sz w:val="13"/>
                <w:szCs w:val="13"/>
                <w:color w:val="auto"/>
              </w:rPr>
              <w:t>Non-GAAP adjustment: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w w:val="92"/>
              </w:rPr>
              <w:t>Stock-based compensation expense</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6"/>
        </w:trPr>
        <w:tc>
          <w:tcPr>
            <w:tcW w:w="2100" w:type="dxa"/>
            <w:vAlign w:val="bottom"/>
            <w:vMerge w:val="restart"/>
          </w:tcPr>
          <w:p>
            <w:pPr>
              <w:spacing w:after="0"/>
              <w:rPr>
                <w:sz w:val="20"/>
                <w:szCs w:val="20"/>
                <w:color w:val="auto"/>
              </w:rPr>
            </w:pPr>
            <w:r>
              <w:rPr>
                <w:rFonts w:ascii="Arial" w:cs="Arial" w:eastAsia="Arial" w:hAnsi="Arial"/>
                <w:sz w:val="13"/>
                <w:szCs w:val="13"/>
                <w:color w:val="auto"/>
              </w:rPr>
              <w:t>Non-GAAP gross profit</w:t>
            </w: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100" w:type="dxa"/>
            <w:vAlign w:val="bottom"/>
            <w:vMerge w:val="continue"/>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2,672</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3,542</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3,806</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3,388</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4,115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4,702</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4,675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5,445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4,597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5,461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(1,392)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(634)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(1,221)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(700)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44"/>
        </w:trPr>
        <w:tc>
          <w:tcPr>
            <w:tcW w:w="2100" w:type="dxa"/>
            <w:vAlign w:val="bottom"/>
          </w:tcPr>
          <w:p>
            <w:pPr>
              <w:spacing w:after="0" w:line="144" w:lineRule="exact"/>
              <w:rPr>
                <w:sz w:val="20"/>
                <w:szCs w:val="20"/>
                <w:color w:val="auto"/>
              </w:rPr>
            </w:pPr>
            <w:r>
              <w:rPr>
                <w:rFonts w:ascii="Arial" w:cs="Arial" w:eastAsia="Arial" w:hAnsi="Arial"/>
                <w:sz w:val="13"/>
                <w:szCs w:val="13"/>
                <w:color w:val="auto"/>
              </w:rPr>
              <w:t>Non-GAAP adjustments: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Amortization of intangible assets</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44"/>
        </w:trPr>
        <w:tc>
          <w:tcPr>
            <w:tcW w:w="2100" w:type="dxa"/>
            <w:vAlign w:val="bottom"/>
          </w:tcPr>
          <w:p>
            <w:pPr>
              <w:ind w:left="140"/>
              <w:spacing w:after="0" w:line="144" w:lineRule="exact"/>
              <w:rPr>
                <w:sz w:val="20"/>
                <w:szCs w:val="20"/>
                <w:color w:val="auto"/>
              </w:rPr>
            </w:pPr>
            <w:r>
              <w:rPr>
                <w:rFonts w:ascii="Arial" w:cs="Arial" w:eastAsia="Arial" w:hAnsi="Arial"/>
                <w:sz w:val="13"/>
                <w:szCs w:val="13"/>
                <w:color w:val="auto"/>
                <w:w w:val="92"/>
              </w:rPr>
              <w:t>Stock-based compensation expense</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146</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146</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139</w:t>
            </w:r>
          </w:p>
        </w:tc>
        <w:tc>
          <w:tcPr>
            <w:tcW w:w="100" w:type="dxa"/>
            <w:vAlign w:val="bottom"/>
          </w:tcPr>
          <w:p>
            <w:pPr>
              <w:spacing w:after="0"/>
              <w:rPr>
                <w:sz w:val="12"/>
                <w:szCs w:val="12"/>
                <w:color w:val="auto"/>
              </w:rPr>
            </w:pPr>
          </w:p>
        </w:tc>
        <w:tc>
          <w:tcPr>
            <w:tcW w:w="600" w:type="dxa"/>
            <w:vAlign w:val="bottom"/>
            <w:gridSpan w:val="2"/>
          </w:tcPr>
          <w:p>
            <w:pPr>
              <w:jc w:val="right"/>
              <w:ind w:right="14"/>
              <w:spacing w:after="0" w:line="144" w:lineRule="exact"/>
              <w:rPr>
                <w:sz w:val="20"/>
                <w:szCs w:val="20"/>
                <w:color w:val="auto"/>
              </w:rPr>
            </w:pPr>
            <w:r>
              <w:rPr>
                <w:rFonts w:ascii="Arial" w:cs="Arial" w:eastAsia="Arial" w:hAnsi="Arial"/>
                <w:sz w:val="13"/>
                <w:szCs w:val="13"/>
                <w:color w:val="auto"/>
              </w:rPr>
              <w:t>132</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110</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111</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Non-recurring consultant fee</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6"/>
        </w:trPr>
        <w:tc>
          <w:tcPr>
            <w:tcW w:w="2100" w:type="dxa"/>
            <w:vAlign w:val="bottom"/>
            <w:vMerge w:val="restart"/>
          </w:tcPr>
          <w:p>
            <w:pPr>
              <w:spacing w:after="0"/>
              <w:rPr>
                <w:sz w:val="20"/>
                <w:szCs w:val="20"/>
                <w:color w:val="auto"/>
              </w:rPr>
            </w:pPr>
            <w:r>
              <w:rPr>
                <w:rFonts w:ascii="Arial" w:cs="Arial" w:eastAsia="Arial" w:hAnsi="Arial"/>
                <w:sz w:val="13"/>
                <w:szCs w:val="13"/>
                <w:color w:val="auto"/>
              </w:rPr>
              <w:t>Non-GAAP income (loss) from</w:t>
            </w: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100" w:type="dxa"/>
            <w:vAlign w:val="bottom"/>
          </w:tcPr>
          <w:p>
            <w:pPr>
              <w:ind w:left="140"/>
              <w:spacing w:after="0"/>
              <w:rPr>
                <w:sz w:val="20"/>
                <w:szCs w:val="20"/>
                <w:color w:val="auto"/>
              </w:rPr>
            </w:pPr>
            <w:r>
              <w:rPr>
                <w:rFonts w:ascii="Arial" w:cs="Arial" w:eastAsia="Arial" w:hAnsi="Arial"/>
                <w:sz w:val="13"/>
                <w:szCs w:val="13"/>
                <w:color w:val="auto"/>
              </w:rPr>
              <w:t>operations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(1,160)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(280)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(483)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(1,076)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(203)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278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(108)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474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(555)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(1,671)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(1,268)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(1,568)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(994)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w:t>
            </w:r>
          </w:p>
        </w:tc>
        <w:tc>
          <w:tcPr>
            <w:tcW w:w="0" w:type="dxa"/>
            <w:vAlign w:val="bottom"/>
          </w:tcPr>
          <w:p>
            <w:pPr>
              <w:spacing w:after="0"/>
              <w:rPr>
                <w:sz w:val="1"/>
                <w:szCs w:val="1"/>
                <w:color w:val="auto"/>
              </w:rPr>
            </w:pPr>
          </w:p>
        </w:tc>
      </w:tr>
      <w:tr>
        <w:trPr>
          <w:trHeight w:val="144"/>
        </w:trPr>
        <w:tc>
          <w:tcPr>
            <w:tcW w:w="2100" w:type="dxa"/>
            <w:vAlign w:val="bottom"/>
          </w:tcPr>
          <w:p>
            <w:pPr>
              <w:spacing w:after="0" w:line="144" w:lineRule="exact"/>
              <w:rPr>
                <w:sz w:val="20"/>
                <w:szCs w:val="20"/>
                <w:color w:val="auto"/>
              </w:rPr>
            </w:pPr>
            <w:r>
              <w:rPr>
                <w:rFonts w:ascii="Arial" w:cs="Arial" w:eastAsia="Arial" w:hAnsi="Arial"/>
                <w:sz w:val="13"/>
                <w:szCs w:val="13"/>
                <w:color w:val="auto"/>
              </w:rPr>
              <w:t>Non-GAAP adjustments: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Amortization of intangible assets</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44"/>
        </w:trPr>
        <w:tc>
          <w:tcPr>
            <w:tcW w:w="2100" w:type="dxa"/>
            <w:vAlign w:val="bottom"/>
          </w:tcPr>
          <w:p>
            <w:pPr>
              <w:ind w:left="140"/>
              <w:spacing w:after="0" w:line="144" w:lineRule="exact"/>
              <w:rPr>
                <w:sz w:val="20"/>
                <w:szCs w:val="20"/>
                <w:color w:val="auto"/>
              </w:rPr>
            </w:pPr>
            <w:r>
              <w:rPr>
                <w:rFonts w:ascii="Arial" w:cs="Arial" w:eastAsia="Arial" w:hAnsi="Arial"/>
                <w:sz w:val="13"/>
                <w:szCs w:val="13"/>
                <w:color w:val="auto"/>
                <w:w w:val="92"/>
              </w:rPr>
              <w:t>Stock-based compensation expense</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146</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146</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139</w:t>
            </w:r>
          </w:p>
        </w:tc>
        <w:tc>
          <w:tcPr>
            <w:tcW w:w="100" w:type="dxa"/>
            <w:vAlign w:val="bottom"/>
          </w:tcPr>
          <w:p>
            <w:pPr>
              <w:spacing w:after="0"/>
              <w:rPr>
                <w:sz w:val="12"/>
                <w:szCs w:val="12"/>
                <w:color w:val="auto"/>
              </w:rPr>
            </w:pPr>
          </w:p>
        </w:tc>
        <w:tc>
          <w:tcPr>
            <w:tcW w:w="600" w:type="dxa"/>
            <w:vAlign w:val="bottom"/>
            <w:gridSpan w:val="2"/>
          </w:tcPr>
          <w:p>
            <w:pPr>
              <w:jc w:val="right"/>
              <w:ind w:right="14"/>
              <w:spacing w:after="0" w:line="144" w:lineRule="exact"/>
              <w:rPr>
                <w:sz w:val="20"/>
                <w:szCs w:val="20"/>
                <w:color w:val="auto"/>
              </w:rPr>
            </w:pPr>
            <w:r>
              <w:rPr>
                <w:rFonts w:ascii="Arial" w:cs="Arial" w:eastAsia="Arial" w:hAnsi="Arial"/>
                <w:sz w:val="13"/>
                <w:szCs w:val="13"/>
                <w:color w:val="auto"/>
              </w:rPr>
              <w:t>132</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110</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111</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Non-recurring consultant fee</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35"/>
        </w:trPr>
        <w:tc>
          <w:tcPr>
            <w:tcW w:w="2100" w:type="dxa"/>
            <w:vAlign w:val="bottom"/>
          </w:tcPr>
          <w:p>
            <w:pPr>
              <w:ind w:left="140"/>
              <w:spacing w:after="0" w:line="136" w:lineRule="exact"/>
              <w:rPr>
                <w:sz w:val="20"/>
                <w:szCs w:val="20"/>
                <w:color w:val="auto"/>
              </w:rPr>
            </w:pPr>
            <w:r>
              <w:rPr>
                <w:rFonts w:ascii="Arial" w:cs="Arial" w:eastAsia="Arial" w:hAnsi="Arial"/>
                <w:sz w:val="13"/>
                <w:szCs w:val="13"/>
                <w:color w:val="auto"/>
              </w:rPr>
              <w:t>Loss (gain) from disposal of idle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00" w:type="dxa"/>
            <w:vAlign w:val="bottom"/>
          </w:tcPr>
          <w:p>
            <w:pPr>
              <w:ind w:left="280"/>
              <w:spacing w:after="0"/>
              <w:rPr>
                <w:sz w:val="20"/>
                <w:szCs w:val="20"/>
                <w:color w:val="auto"/>
              </w:rPr>
            </w:pPr>
            <w:r>
              <w:rPr>
                <w:rFonts w:ascii="Arial" w:cs="Arial" w:eastAsia="Arial" w:hAnsi="Arial"/>
                <w:sz w:val="13"/>
                <w:szCs w:val="13"/>
                <w:color w:val="auto"/>
              </w:rPr>
              <w:t>assets</w:t>
            </w:r>
          </w:p>
        </w:tc>
        <w:tc>
          <w:tcPr>
            <w:tcW w:w="10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3"/>
                <w:szCs w:val="13"/>
                <w:color w:val="auto"/>
              </w:rPr>
            </w:pPr>
          </w:p>
        </w:tc>
        <w:tc>
          <w:tcPr>
            <w:tcW w:w="600" w:type="dxa"/>
            <w:vAlign w:val="bottom"/>
            <w:gridSpan w:val="2"/>
          </w:tcPr>
          <w:p>
            <w:pPr>
              <w:jc w:val="right"/>
              <w:ind w:right="14"/>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Unrealized exchange loss (gain)</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(209)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(138)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83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119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68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163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6"/>
        </w:trPr>
        <w:tc>
          <w:tcPr>
            <w:tcW w:w="2100" w:type="dxa"/>
            <w:vAlign w:val="bottom"/>
            <w:vMerge w:val="restart"/>
          </w:tcPr>
          <w:p>
            <w:pPr>
              <w:spacing w:after="0"/>
              <w:rPr>
                <w:sz w:val="20"/>
                <w:szCs w:val="20"/>
                <w:color w:val="auto"/>
              </w:rPr>
            </w:pPr>
            <w:r>
              <w:rPr>
                <w:rFonts w:ascii="Arial" w:cs="Arial" w:eastAsia="Arial" w:hAnsi="Arial"/>
                <w:sz w:val="13"/>
                <w:szCs w:val="13"/>
                <w:color w:val="auto"/>
              </w:rPr>
              <w:t>Non-GAAP net income (loss)</w:t>
            </w: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100" w:type="dxa"/>
            <w:vAlign w:val="bottom"/>
            <w:vMerge w:val="continue"/>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(1,469)</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(832)</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(1,340)</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(1,385)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(443)</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262</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(686)</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(1,671)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(1,268)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(1,568)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(994)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w:t>
            </w:r>
          </w:p>
        </w:tc>
        <w:tc>
          <w:tcPr>
            <w:tcW w:w="0" w:type="dxa"/>
            <w:vAlign w:val="bottom"/>
          </w:tcPr>
          <w:p>
            <w:pPr>
              <w:spacing w:after="0"/>
              <w:rPr>
                <w:sz w:val="1"/>
                <w:szCs w:val="1"/>
                <w:color w:val="auto"/>
              </w:rPr>
            </w:pPr>
          </w:p>
        </w:tc>
      </w:tr>
      <w:tr>
        <w:trPr>
          <w:trHeight w:val="144"/>
        </w:trPr>
        <w:tc>
          <w:tcPr>
            <w:tcW w:w="2100" w:type="dxa"/>
            <w:vAlign w:val="bottom"/>
          </w:tcPr>
          <w:p>
            <w:pPr>
              <w:spacing w:after="0" w:line="144" w:lineRule="exact"/>
              <w:rPr>
                <w:sz w:val="20"/>
                <w:szCs w:val="20"/>
                <w:color w:val="auto"/>
              </w:rPr>
            </w:pPr>
            <w:r>
              <w:rPr>
                <w:rFonts w:ascii="Arial" w:cs="Arial" w:eastAsia="Arial" w:hAnsi="Arial"/>
                <w:sz w:val="13"/>
                <w:szCs w:val="13"/>
                <w:color w:val="auto"/>
              </w:rPr>
              <w:t>Non-GAAP adjustments: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Amortization of intangible assets</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44"/>
        </w:trPr>
        <w:tc>
          <w:tcPr>
            <w:tcW w:w="2100" w:type="dxa"/>
            <w:vAlign w:val="bottom"/>
          </w:tcPr>
          <w:p>
            <w:pPr>
              <w:ind w:left="140"/>
              <w:spacing w:after="0" w:line="144" w:lineRule="exact"/>
              <w:rPr>
                <w:sz w:val="20"/>
                <w:szCs w:val="20"/>
                <w:color w:val="auto"/>
              </w:rPr>
            </w:pPr>
            <w:r>
              <w:rPr>
                <w:rFonts w:ascii="Arial" w:cs="Arial" w:eastAsia="Arial" w:hAnsi="Arial"/>
                <w:sz w:val="13"/>
                <w:szCs w:val="13"/>
                <w:color w:val="auto"/>
                <w:w w:val="92"/>
              </w:rPr>
              <w:t>Stock-based compensation expense</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146</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146</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139</w:t>
            </w:r>
          </w:p>
        </w:tc>
        <w:tc>
          <w:tcPr>
            <w:tcW w:w="100" w:type="dxa"/>
            <w:vAlign w:val="bottom"/>
          </w:tcPr>
          <w:p>
            <w:pPr>
              <w:spacing w:after="0"/>
              <w:rPr>
                <w:sz w:val="12"/>
                <w:szCs w:val="12"/>
                <w:color w:val="auto"/>
              </w:rPr>
            </w:pPr>
          </w:p>
        </w:tc>
        <w:tc>
          <w:tcPr>
            <w:tcW w:w="600" w:type="dxa"/>
            <w:vAlign w:val="bottom"/>
            <w:gridSpan w:val="2"/>
          </w:tcPr>
          <w:p>
            <w:pPr>
              <w:jc w:val="right"/>
              <w:ind w:right="14"/>
              <w:spacing w:after="0" w:line="144" w:lineRule="exact"/>
              <w:rPr>
                <w:sz w:val="20"/>
                <w:szCs w:val="20"/>
                <w:color w:val="auto"/>
              </w:rPr>
            </w:pPr>
            <w:r>
              <w:rPr>
                <w:rFonts w:ascii="Arial" w:cs="Arial" w:eastAsia="Arial" w:hAnsi="Arial"/>
                <w:sz w:val="13"/>
                <w:szCs w:val="13"/>
                <w:color w:val="auto"/>
              </w:rPr>
              <w:t>132</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110</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111</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Depreciation expense</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763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768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752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783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725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724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721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712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751</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771</w:t>
            </w:r>
          </w:p>
        </w:tc>
        <w:tc>
          <w:tcPr>
            <w:tcW w:w="0" w:type="dxa"/>
            <w:vAlign w:val="bottom"/>
          </w:tcPr>
          <w:p>
            <w:pPr>
              <w:spacing w:after="0"/>
              <w:rPr>
                <w:sz w:val="1"/>
                <w:szCs w:val="1"/>
                <w:color w:val="auto"/>
              </w:rPr>
            </w:pPr>
          </w:p>
        </w:tc>
      </w:tr>
      <w:tr>
        <w:trPr>
          <w:trHeight w:val="144"/>
        </w:trPr>
        <w:tc>
          <w:tcPr>
            <w:tcW w:w="2100" w:type="dxa"/>
            <w:vAlign w:val="bottom"/>
          </w:tcPr>
          <w:p>
            <w:pPr>
              <w:ind w:left="140"/>
              <w:spacing w:after="0" w:line="144" w:lineRule="exact"/>
              <w:rPr>
                <w:sz w:val="20"/>
                <w:szCs w:val="20"/>
                <w:color w:val="auto"/>
              </w:rPr>
            </w:pPr>
            <w:r>
              <w:rPr>
                <w:rFonts w:ascii="Arial" w:cs="Arial" w:eastAsia="Arial" w:hAnsi="Arial"/>
                <w:sz w:val="13"/>
                <w:szCs w:val="13"/>
                <w:color w:val="auto"/>
              </w:rPr>
              <w:t>Non-recurring consultant fee</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75</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50</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6</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16</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17</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Loss (gain) from disposal of idle</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100" w:type="dxa"/>
            <w:vAlign w:val="bottom"/>
          </w:tcPr>
          <w:p>
            <w:pPr>
              <w:ind w:left="140"/>
              <w:spacing w:after="0" w:line="144" w:lineRule="exact"/>
              <w:rPr>
                <w:sz w:val="20"/>
                <w:szCs w:val="20"/>
                <w:color w:val="auto"/>
              </w:rPr>
            </w:pPr>
            <w:r>
              <w:rPr>
                <w:rFonts w:ascii="Arial" w:cs="Arial" w:eastAsia="Arial" w:hAnsi="Arial"/>
                <w:sz w:val="13"/>
                <w:szCs w:val="13"/>
                <w:color w:val="auto"/>
              </w:rPr>
              <w:t>Unrealized exchange loss (gain)</w:t>
            </w:r>
          </w:p>
        </w:tc>
        <w:tc>
          <w:tcPr>
            <w:tcW w:w="100" w:type="dxa"/>
            <w:vAlign w:val="bottom"/>
          </w:tcPr>
          <w:p>
            <w:pPr>
              <w:spacing w:after="0"/>
              <w:rPr>
                <w:sz w:val="12"/>
                <w:szCs w:val="12"/>
                <w:color w:val="auto"/>
              </w:rPr>
            </w:pPr>
          </w:p>
        </w:tc>
        <w:tc>
          <w:tcPr>
            <w:tcW w:w="64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(29)</w:t>
            </w: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(209)</w:t>
            </w:r>
          </w:p>
        </w:tc>
        <w:tc>
          <w:tcPr>
            <w:tcW w:w="80" w:type="dxa"/>
            <w:vAlign w:val="bottom"/>
          </w:tcPr>
          <w:p>
            <w:pPr>
              <w:spacing w:after="0"/>
              <w:rPr>
                <w:sz w:val="12"/>
                <w:szCs w:val="12"/>
                <w:color w:val="auto"/>
              </w:rPr>
            </w:pPr>
          </w:p>
        </w:tc>
        <w:tc>
          <w:tcPr>
            <w:tcW w:w="60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(138)</w:t>
            </w:r>
          </w:p>
        </w:tc>
        <w:tc>
          <w:tcPr>
            <w:tcW w:w="100" w:type="dxa"/>
            <w:vAlign w:val="bottom"/>
          </w:tcPr>
          <w:p>
            <w:pPr>
              <w:spacing w:after="0"/>
              <w:rPr>
                <w:sz w:val="12"/>
                <w:szCs w:val="12"/>
                <w:color w:val="auto"/>
              </w:rPr>
            </w:pPr>
          </w:p>
        </w:tc>
        <w:tc>
          <w:tcPr>
            <w:tcW w:w="600" w:type="dxa"/>
            <w:vAlign w:val="bottom"/>
            <w:gridSpan w:val="2"/>
          </w:tcPr>
          <w:p>
            <w:pPr>
              <w:jc w:val="right"/>
              <w:ind w:right="14"/>
              <w:spacing w:after="0" w:line="144" w:lineRule="exact"/>
              <w:rPr>
                <w:sz w:val="20"/>
                <w:szCs w:val="20"/>
                <w:color w:val="auto"/>
              </w:rPr>
            </w:pPr>
            <w:r>
              <w:rPr>
                <w:rFonts w:ascii="Arial" w:cs="Arial" w:eastAsia="Arial" w:hAnsi="Arial"/>
                <w:sz w:val="13"/>
                <w:szCs w:val="13"/>
                <w:color w:val="auto"/>
              </w:rPr>
              <w:t>24</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83</w:t>
            </w: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(53)</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119</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68</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163</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274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319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374</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356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374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336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345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301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285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26"/>
        </w:trPr>
        <w:tc>
          <w:tcPr>
            <w:tcW w:w="2100" w:type="dxa"/>
            <w:vAlign w:val="bottom"/>
            <w:vMerge w:val="restart"/>
          </w:tcPr>
          <w:p>
            <w:pPr>
              <w:spacing w:after="0"/>
              <w:rPr>
                <w:sz w:val="20"/>
                <w:szCs w:val="20"/>
                <w:color w:val="auto"/>
              </w:rPr>
            </w:pPr>
            <w:r>
              <w:rPr>
                <w:rFonts w:ascii="Arial" w:cs="Arial" w:eastAsia="Arial" w:hAnsi="Arial"/>
                <w:sz w:val="13"/>
                <w:szCs w:val="13"/>
                <w:color w:val="auto"/>
              </w:rPr>
              <w:t>Adjusted EBITDA</w:t>
            </w: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100" w:type="dxa"/>
            <w:vAlign w:val="bottom"/>
            <w:vMerge w:val="continue"/>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(432)</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(214)</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656</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953</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851</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1,275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350</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960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900"/>
          </w:cols>
          <w:pgMar w:left="240" w:top="131" w:right="75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the unaudited quarterly results as a percentage of revenue.</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320" w:type="dxa"/>
            <w:vAlign w:val="bottom"/>
          </w:tcPr>
          <w:p>
            <w:pPr>
              <w:spacing w:after="0"/>
              <w:rPr>
                <w:sz w:val="13"/>
                <w:szCs w:val="13"/>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4"/>
              </w:rPr>
              <w:t>Mar. 31,</w:t>
            </w: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Jun. 30,</w:t>
            </w: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Sep. 30,</w:t>
            </w: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Dec. 31,</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Mar. 31,</w:t>
            </w: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Jun. 30,</w:t>
            </w: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Sep. 30,</w:t>
            </w: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Dec. 31,</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Mar. 31,</w:t>
            </w: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Jun. 30,</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5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3"/>
                <w:szCs w:val="13"/>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2011</w:t>
            </w:r>
          </w:p>
        </w:tc>
        <w:tc>
          <w:tcPr>
            <w:tcW w:w="220" w:type="dxa"/>
            <w:vAlign w:val="bottom"/>
          </w:tcPr>
          <w:p>
            <w:pPr>
              <w:spacing w:after="0"/>
              <w:rPr>
                <w:sz w:val="13"/>
                <w:szCs w:val="13"/>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3"/>
                <w:szCs w:val="13"/>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2011</w:t>
            </w:r>
          </w:p>
        </w:tc>
        <w:tc>
          <w:tcPr>
            <w:tcW w:w="220" w:type="dxa"/>
            <w:vAlign w:val="bottom"/>
          </w:tcPr>
          <w:p>
            <w:pPr>
              <w:spacing w:after="0"/>
              <w:rPr>
                <w:sz w:val="13"/>
                <w:szCs w:val="13"/>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2012</w:t>
            </w:r>
          </w:p>
        </w:tc>
        <w:tc>
          <w:tcPr>
            <w:tcW w:w="200" w:type="dxa"/>
            <w:vAlign w:val="bottom"/>
          </w:tcPr>
          <w:p>
            <w:pPr>
              <w:spacing w:after="0"/>
              <w:rPr>
                <w:sz w:val="13"/>
                <w:szCs w:val="13"/>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2012</w:t>
            </w:r>
          </w:p>
        </w:tc>
        <w:tc>
          <w:tcPr>
            <w:tcW w:w="200" w:type="dxa"/>
            <w:vAlign w:val="bottom"/>
          </w:tcPr>
          <w:p>
            <w:pPr>
              <w:spacing w:after="0"/>
              <w:rPr>
                <w:sz w:val="13"/>
                <w:szCs w:val="13"/>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2012</w:t>
            </w:r>
          </w:p>
        </w:tc>
        <w:tc>
          <w:tcPr>
            <w:tcW w:w="220" w:type="dxa"/>
            <w:vAlign w:val="bottom"/>
          </w:tcPr>
          <w:p>
            <w:pPr>
              <w:spacing w:after="0"/>
              <w:rPr>
                <w:sz w:val="13"/>
                <w:szCs w:val="13"/>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2012</w:t>
            </w:r>
          </w:p>
        </w:tc>
        <w:tc>
          <w:tcPr>
            <w:tcW w:w="200" w:type="dxa"/>
            <w:vAlign w:val="bottom"/>
          </w:tcPr>
          <w:p>
            <w:pPr>
              <w:spacing w:after="0"/>
              <w:rPr>
                <w:sz w:val="13"/>
                <w:szCs w:val="13"/>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rPr>
              <w:t>Cost of goods</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7"/>
                <w:szCs w:val="17"/>
                <w:color w:val="auto"/>
              </w:rPr>
              <w:t>sold</w:t>
            </w:r>
          </w:p>
        </w:tc>
        <w:tc>
          <w:tcPr>
            <w:tcW w:w="780" w:type="dxa"/>
            <w:vAlign w:val="bottom"/>
            <w:gridSpan w:val="3"/>
          </w:tcPr>
          <w:p>
            <w:pPr>
              <w:jc w:val="right"/>
              <w:ind w:right="60"/>
              <w:spacing w:after="0"/>
              <w:rPr>
                <w:sz w:val="20"/>
                <w:szCs w:val="20"/>
                <w:color w:val="auto"/>
              </w:rPr>
            </w:pPr>
            <w:r>
              <w:rPr>
                <w:rFonts w:ascii="Arial" w:cs="Arial" w:eastAsia="Arial" w:hAnsi="Arial"/>
                <w:sz w:val="17"/>
                <w:szCs w:val="17"/>
                <w:color w:val="auto"/>
              </w:rPr>
              <w:t>72.0%</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69.2%</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68.6%</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77.1%</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67.1%</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69.9%</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71.5%</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71.1%</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68.0%</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72.2%</w:t>
            </w:r>
          </w:p>
        </w:tc>
        <w:tc>
          <w:tcPr>
            <w:tcW w:w="0" w:type="dxa"/>
            <w:vAlign w:val="bottom"/>
          </w:tcPr>
          <w:p>
            <w:pPr>
              <w:spacing w:after="0"/>
              <w:rPr>
                <w:sz w:val="1"/>
                <w:szCs w:val="1"/>
                <w:color w:val="auto"/>
              </w:rPr>
            </w:pPr>
          </w:p>
        </w:tc>
      </w:tr>
      <w:tr>
        <w:trPr>
          <w:trHeight w:val="29"/>
        </w:trPr>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28.0%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31.4%</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30.1%</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6"/>
        </w:trPr>
        <w:tc>
          <w:tcPr>
            <w:tcW w:w="1320" w:type="dxa"/>
            <w:vAlign w:val="bottom"/>
            <w:vMerge w:val="restart"/>
          </w:tcPr>
          <w:p>
            <w:pPr>
              <w:spacing w:after="0"/>
              <w:rPr>
                <w:sz w:val="20"/>
                <w:szCs w:val="20"/>
                <w:color w:val="auto"/>
              </w:rPr>
            </w:pPr>
            <w:r>
              <w:rPr>
                <w:rFonts w:ascii="Arial" w:cs="Arial" w:eastAsia="Arial" w:hAnsi="Arial"/>
                <w:sz w:val="17"/>
                <w:szCs w:val="17"/>
                <w:color w:val="auto"/>
              </w:rPr>
              <w:t>Operating</w:t>
            </w: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320" w:type="dxa"/>
            <w:vAlign w:val="bottom"/>
          </w:tcPr>
          <w:p>
            <w:pPr>
              <w:ind w:left="140"/>
              <w:spacing w:after="0"/>
              <w:rPr>
                <w:sz w:val="20"/>
                <w:szCs w:val="20"/>
                <w:color w:val="auto"/>
              </w:rPr>
            </w:pPr>
            <w:r>
              <w:rPr>
                <w:rFonts w:ascii="Arial" w:cs="Arial" w:eastAsia="Arial" w:hAnsi="Arial"/>
                <w:sz w:val="17"/>
                <w:szCs w:val="17"/>
                <w:color w:val="auto"/>
              </w:rPr>
              <w:t>expenses: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Research and</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development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16.0%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10.9%</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01"/>
        </w:trPr>
        <w:tc>
          <w:tcPr>
            <w:tcW w:w="1320" w:type="dxa"/>
            <w:vAlign w:val="bottom"/>
          </w:tcPr>
          <w:p>
            <w:pPr>
              <w:ind w:left="140"/>
              <w:spacing w:after="0"/>
              <w:rPr>
                <w:sz w:val="20"/>
                <w:szCs w:val="20"/>
                <w:color w:val="auto"/>
              </w:rPr>
            </w:pPr>
            <w:r>
              <w:rPr>
                <w:rFonts w:ascii="Arial" w:cs="Arial" w:eastAsia="Arial" w:hAnsi="Arial"/>
                <w:sz w:val="17"/>
                <w:szCs w:val="17"/>
                <w:color w:val="auto"/>
              </w:rPr>
              <w:t>Sales and</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320" w:type="dxa"/>
            <w:vAlign w:val="bottom"/>
          </w:tcPr>
          <w:p>
            <w:pPr>
              <w:ind w:left="280"/>
              <w:spacing w:after="0"/>
              <w:rPr>
                <w:sz w:val="20"/>
                <w:szCs w:val="20"/>
                <w:color w:val="auto"/>
              </w:rPr>
            </w:pPr>
            <w:r>
              <w:rPr>
                <w:rFonts w:ascii="Arial" w:cs="Arial" w:eastAsia="Arial" w:hAnsi="Arial"/>
                <w:sz w:val="17"/>
                <w:szCs w:val="17"/>
                <w:color w:val="auto"/>
              </w:rPr>
              <w:t>marketing</w:t>
            </w:r>
          </w:p>
        </w:tc>
        <w:tc>
          <w:tcPr>
            <w:tcW w:w="780" w:type="dxa"/>
            <w:vAlign w:val="bottom"/>
            <w:gridSpan w:val="3"/>
          </w:tcPr>
          <w:p>
            <w:pPr>
              <w:jc w:val="right"/>
              <w:ind w:right="60"/>
              <w:spacing w:after="0"/>
              <w:rPr>
                <w:sz w:val="20"/>
                <w:szCs w:val="20"/>
                <w:color w:val="auto"/>
              </w:rPr>
            </w:pPr>
            <w:r>
              <w:rPr>
                <w:rFonts w:ascii="Arial" w:cs="Arial" w:eastAsia="Arial" w:hAnsi="Arial"/>
                <w:sz w:val="17"/>
                <w:szCs w:val="17"/>
                <w:color w:val="auto"/>
              </w:rPr>
              <w:t>5.2%</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4.9%</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5.0%</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6.5%</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4.6%</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4.0%</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6.3%</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General and</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2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7"/>
              </w:rPr>
              <w:t>administrative</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16.9%</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12.4%</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6"/>
        </w:trPr>
        <w:tc>
          <w:tcPr>
            <w:tcW w:w="1320" w:type="dxa"/>
            <w:vAlign w:val="bottom"/>
            <w:vMerge w:val="restart"/>
          </w:tcPr>
          <w:p>
            <w:pPr>
              <w:spacing w:after="0"/>
              <w:rPr>
                <w:sz w:val="20"/>
                <w:szCs w:val="20"/>
                <w:color w:val="auto"/>
              </w:rPr>
            </w:pPr>
            <w:r>
              <w:rPr>
                <w:rFonts w:ascii="Arial" w:cs="Arial" w:eastAsia="Arial" w:hAnsi="Arial"/>
                <w:sz w:val="17"/>
                <w:szCs w:val="17"/>
                <w:color w:val="auto"/>
              </w:rPr>
              <w:t>Total operating</w:t>
            </w: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7"/>
                <w:szCs w:val="17"/>
                <w:color w:val="auto"/>
              </w:rPr>
              <w:t>expenses</w:t>
            </w:r>
          </w:p>
        </w:tc>
        <w:tc>
          <w:tcPr>
            <w:tcW w:w="780" w:type="dxa"/>
            <w:vAlign w:val="bottom"/>
            <w:gridSpan w:val="3"/>
          </w:tcPr>
          <w:p>
            <w:pPr>
              <w:jc w:val="right"/>
              <w:ind w:right="60"/>
              <w:spacing w:after="0"/>
              <w:rPr>
                <w:sz w:val="20"/>
                <w:szCs w:val="20"/>
                <w:color w:val="auto"/>
              </w:rPr>
            </w:pPr>
            <w:r>
              <w:rPr>
                <w:rFonts w:ascii="Arial" w:cs="Arial" w:eastAsia="Arial" w:hAnsi="Arial"/>
                <w:sz w:val="17"/>
                <w:szCs w:val="17"/>
                <w:color w:val="auto"/>
              </w:rPr>
              <w:t>42.7%</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35.0%</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36.6%</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31.2%</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34.8%</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28.5%</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29.4%</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27.1%</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36.9%</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29"/>
        </w:trPr>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Income (loss)</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3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8"/>
              </w:rPr>
              <w:t>from operations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w w:val="97"/>
              </w:rPr>
              <w:t>Interest and other</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40"/>
              <w:spacing w:after="0"/>
              <w:rPr>
                <w:sz w:val="20"/>
                <w:szCs w:val="20"/>
                <w:color w:val="auto"/>
              </w:rPr>
            </w:pPr>
            <w:r>
              <w:rPr>
                <w:rFonts w:ascii="Arial" w:cs="Arial" w:eastAsia="Arial" w:hAnsi="Arial"/>
                <w:sz w:val="17"/>
                <w:szCs w:val="17"/>
                <w:color w:val="auto"/>
              </w:rPr>
              <w:t>income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7"/>
                <w:szCs w:val="17"/>
                <w:color w:val="auto"/>
              </w:rPr>
              <w:t>(expense), net</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(2.9)%</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(5.2)%</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(2.3)%</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(2.3)%</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(1.4)%</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9"/>
        </w:trPr>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w w:val="98"/>
              </w:rPr>
              <w:t>Net income (loss)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6"/>
        </w:trPr>
        <w:tc>
          <w:tcPr>
            <w:tcW w:w="1320" w:type="dxa"/>
            <w:vAlign w:val="bottom"/>
            <w:vMerge w:val="restart"/>
          </w:tcPr>
          <w:p>
            <w:pPr>
              <w:spacing w:after="0"/>
              <w:rPr>
                <w:sz w:val="20"/>
                <w:szCs w:val="20"/>
                <w:color w:val="auto"/>
              </w:rPr>
            </w:pPr>
            <w:r>
              <w:rPr>
                <w:rFonts w:ascii="Arial" w:cs="Arial" w:eastAsia="Arial" w:hAnsi="Arial"/>
                <w:sz w:val="17"/>
                <w:szCs w:val="17"/>
                <w:b w:val="1"/>
                <w:bCs w:val="1"/>
                <w:color w:val="auto"/>
              </w:rPr>
              <w:t>Additional</w:t>
            </w: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2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40"/>
              <w:spacing w:after="0"/>
              <w:rPr>
                <w:sz w:val="20"/>
                <w:szCs w:val="20"/>
                <w:color w:val="auto"/>
              </w:rPr>
            </w:pPr>
            <w:r>
              <w:rPr>
                <w:rFonts w:ascii="Arial" w:cs="Arial" w:eastAsia="Arial" w:hAnsi="Arial"/>
                <w:sz w:val="17"/>
                <w:szCs w:val="17"/>
                <w:b w:val="1"/>
                <w:bCs w:val="1"/>
                <w:color w:val="auto"/>
              </w:rPr>
              <w:t>Financial</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tcPr>
          <w:p>
            <w:pPr>
              <w:ind w:left="140"/>
              <w:spacing w:after="0"/>
              <w:rPr>
                <w:sz w:val="20"/>
                <w:szCs w:val="20"/>
                <w:color w:val="auto"/>
              </w:rPr>
            </w:pPr>
            <w:r>
              <w:rPr>
                <w:rFonts w:ascii="Arial" w:cs="Arial" w:eastAsia="Arial" w:hAnsi="Arial"/>
                <w:sz w:val="17"/>
                <w:szCs w:val="17"/>
                <w:b w:val="1"/>
                <w:bCs w:val="1"/>
                <w:color w:val="auto"/>
              </w:rPr>
              <w:t>Data:</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w w:val="99"/>
              </w:rPr>
              <w:t>Non-GAAP gross</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profit (1)</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28.1%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30.1%</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rPr>
              <w:t>Non-GAAP</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40"/>
              <w:spacing w:after="0"/>
              <w:rPr>
                <w:sz w:val="20"/>
                <w:szCs w:val="20"/>
                <w:color w:val="auto"/>
              </w:rPr>
            </w:pPr>
            <w:r>
              <w:rPr>
                <w:rFonts w:ascii="Arial" w:cs="Arial" w:eastAsia="Arial" w:hAnsi="Arial"/>
                <w:sz w:val="17"/>
                <w:szCs w:val="17"/>
                <w:color w:val="auto"/>
              </w:rPr>
              <w:t>income (loss)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40"/>
              <w:spacing w:after="0"/>
              <w:rPr>
                <w:sz w:val="20"/>
                <w:szCs w:val="20"/>
                <w:color w:val="auto"/>
              </w:rPr>
            </w:pPr>
            <w:r>
              <w:rPr>
                <w:rFonts w:ascii="Arial" w:cs="Arial" w:eastAsia="Arial" w:hAnsi="Arial"/>
                <w:sz w:val="17"/>
                <w:szCs w:val="17"/>
                <w:color w:val="auto"/>
                <w:w w:val="98"/>
              </w:rPr>
              <w:t>from operations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tcPr>
          <w:p>
            <w:pPr>
              <w:ind w:left="140"/>
              <w:spacing w:after="0"/>
              <w:rPr>
                <w:sz w:val="20"/>
                <w:szCs w:val="20"/>
                <w:color w:val="auto"/>
              </w:rPr>
            </w:pPr>
            <w:r>
              <w:rPr>
                <w:rFonts w:ascii="Arial" w:cs="Arial" w:eastAsia="Arial" w:hAnsi="Arial"/>
                <w:sz w:val="17"/>
                <w:szCs w:val="17"/>
                <w:color w:val="auto"/>
              </w:rPr>
              <w:t>(1)</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(12.2)%</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(2.4)%</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(7.3)%</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(1.6)%</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1.8%</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(0.7)%</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2.5%</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(3.9)%</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Non-GAAP net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(1)</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rPr>
              <w:t>Adjusted</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7"/>
                <w:szCs w:val="17"/>
                <w:color w:val="auto"/>
              </w:rPr>
              <w:t>EBITDA (1)</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(4.5)%</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2.2%</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(1.8)%</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(1.7)%</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6.1%</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5.2%</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6.8%</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2.4%</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07"/>
        </w:trPr>
        <w:tc>
          <w:tcPr>
            <w:tcW w:w="1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hanging="533"/>
        <w:spacing w:after="0"/>
        <w:tabs>
          <w:tab w:leader="none" w:pos="1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See footnote 2 to the preceding table.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Quarterly revenue trends and seasonality</w:t>
      </w:r>
    </w:p>
    <w:p>
      <w:pPr>
        <w:spacing w:after="0" w:line="224" w:lineRule="exact"/>
        <w:rPr>
          <w:sz w:val="20"/>
          <w:szCs w:val="20"/>
          <w:color w:val="auto"/>
        </w:rPr>
      </w:pPr>
    </w:p>
    <w:p>
      <w:pPr>
        <w:ind w:right="140" w:firstLine="341"/>
        <w:spacing w:after="0" w:line="270" w:lineRule="auto"/>
        <w:rPr>
          <w:sz w:val="20"/>
          <w:szCs w:val="20"/>
          <w:color w:val="auto"/>
        </w:rPr>
      </w:pPr>
      <w:r>
        <w:rPr>
          <w:rFonts w:ascii="Arial" w:cs="Arial" w:eastAsia="Arial" w:hAnsi="Arial"/>
          <w:sz w:val="17"/>
          <w:szCs w:val="17"/>
          <w:color w:val="auto"/>
        </w:rPr>
        <w:t>Our quarterly results reflect seasonality in the sale of our products. Historically, our revenue has been highest in the fourth quarter and lowest in the first quarter. The first quarter of the year has historically been negatively affected by reduced economic activity due to the Chinese New Year holiday and the lower level of deployment of outdoor CATV equipment in cold weather environments.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Quarterly gross margin trends</w:t>
      </w:r>
    </w:p>
    <w:p>
      <w:pPr>
        <w:spacing w:after="0" w:line="22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Our gross margin varies quarter to quarter but has been within a range of 27.8% and 32.9% over the past ten quarters, except for the fourth quarter of 2011 when we incurred an additional charge to inventory of $0.7 million from the application of our inventory reserve policy. Our gross margin varies primarily due to the product mix in a particular quarter, as well as from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level of manufacturing efficiencies, production yields (particularly in the laser chip fabrication process) and overall supply costs.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Quarterly operating result trends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quarterly operating results are likely to fluctuate due to seasonality and other factors such as:</w:t>
      </w:r>
    </w:p>
    <w:p>
      <w:pPr>
        <w:spacing w:after="0" w:line="237" w:lineRule="exact"/>
        <w:rPr>
          <w:sz w:val="20"/>
          <w:szCs w:val="20"/>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general economic, industry and market conditions in our target markets;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CATV customers' willingness to outsource more of their internal design and manufacturing;</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the mix of products within a quarter or changes in the volume of products sold within a particular target market;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obtain new design wins and the timing of such design wins;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level of revenues from our design wins;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pricing policies by us or our competitors;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fulfill sales orders in a timely manner within normal lead times or as otherwise demanded by customers;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adjust our production in response to quarter-over-quarter variations in revenue;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adjust sales, general and administrative costs in response to changes in revenue;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control costs and capital expenditures.</w:t>
      </w:r>
    </w:p>
    <w:p>
      <w:pPr>
        <w:spacing w:after="0" w:line="224"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occurrence of one or more of these factors could cause our revenue and corresponding operating results to vary widely. As such, we believe that our quarterly levels of revenue and expenses may vary significantly in the future, and that period-to-period comparisons of our results may not be meaningful and should not be relied upon as an indication of future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Since inception, we have financed our operations through private sales of equity securities and cash generated from operations and from various lending arrangements. At June 30, 2013, our cash, cash equivalents and restricted cash totaled $10.9 million. Cash and cash equivalents were held for working capital purposes and were invested primarily in money market funds. We do not enter into investments for trading or speculative purposes.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sets forth selected cash flow data for the periods presented:</w:t>
      </w:r>
    </w:p>
    <w:p>
      <w:pPr>
        <w:spacing w:after="0" w:line="200" w:lineRule="exact"/>
        <w:rPr>
          <w:sz w:val="20"/>
          <w:szCs w:val="20"/>
          <w:color w:val="auto"/>
        </w:rPr>
      </w:pP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gridSpan w:val="8"/>
          </w:tcPr>
          <w:p>
            <w:pPr>
              <w:jc w:val="right"/>
              <w:ind w:right="640"/>
              <w:spacing w:after="0"/>
              <w:rPr>
                <w:sz w:val="20"/>
                <w:szCs w:val="20"/>
                <w:color w:val="auto"/>
              </w:rPr>
            </w:pPr>
            <w:r>
              <w:rPr>
                <w:rFonts w:ascii="Arial" w:cs="Arial" w:eastAsia="Arial" w:hAnsi="Arial"/>
                <w:sz w:val="13"/>
                <w:szCs w:val="13"/>
                <w:b w:val="1"/>
                <w:bCs w:val="1"/>
                <w:color w:val="auto"/>
              </w:rPr>
              <w:t>Years Ended December 31,</w:t>
            </w:r>
          </w:p>
        </w:tc>
        <w:tc>
          <w:tcPr>
            <w:tcW w:w="12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Six months ended</w:t>
            </w:r>
          </w:p>
        </w:tc>
        <w:tc>
          <w:tcPr>
            <w:tcW w:w="0" w:type="dxa"/>
            <w:vAlign w:val="bottom"/>
          </w:tcPr>
          <w:p>
            <w:pPr>
              <w:spacing w:after="0"/>
              <w:rPr>
                <w:sz w:val="1"/>
                <w:szCs w:val="1"/>
                <w:color w:val="auto"/>
              </w:rPr>
            </w:pPr>
          </w:p>
        </w:tc>
      </w:tr>
      <w:tr>
        <w:trPr>
          <w:trHeight w:val="137"/>
        </w:trPr>
        <w:tc>
          <w:tcPr>
            <w:tcW w:w="51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8"/>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center"/>
              <w:ind w:right="62"/>
              <w:spacing w:after="0" w:line="138" w:lineRule="exact"/>
              <w:rPr>
                <w:sz w:val="20"/>
                <w:szCs w:val="20"/>
                <w:color w:val="auto"/>
              </w:rPr>
            </w:pPr>
            <w:r>
              <w:rPr>
                <w:rFonts w:ascii="Arial" w:cs="Arial" w:eastAsia="Arial" w:hAnsi="Arial"/>
                <w:sz w:val="13"/>
                <w:szCs w:val="13"/>
                <w:b w:val="1"/>
                <w:bCs w:val="1"/>
                <w:color w:val="auto"/>
                <w:w w:val="89"/>
              </w:rPr>
              <w:t>June 30, 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5"/>
            <w:vMerge w:val="restart"/>
          </w:tcPr>
          <w:p>
            <w:pPr>
              <w:jc w:val="right"/>
              <w:ind w:right="28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4"/>
                <w:szCs w:val="14"/>
                <w:color w:val="auto"/>
              </w:rPr>
            </w:pPr>
          </w:p>
        </w:tc>
        <w:tc>
          <w:tcPr>
            <w:tcW w:w="1140" w:type="dxa"/>
            <w:vAlign w:val="bottom"/>
          </w:tcPr>
          <w:p>
            <w:pPr>
              <w:jc w:val="center"/>
              <w:ind w:right="42"/>
              <w:spacing w:after="0"/>
              <w:rPr>
                <w:sz w:val="20"/>
                <w:szCs w:val="20"/>
                <w:color w:val="auto"/>
              </w:rPr>
            </w:pPr>
            <w:r>
              <w:rPr>
                <w:rFonts w:ascii="Arial" w:cs="Arial" w:eastAsia="Arial" w:hAnsi="Arial"/>
                <w:sz w:val="13"/>
                <w:szCs w:val="13"/>
                <w:b w:val="1"/>
                <w:bCs w:val="1"/>
                <w:color w:val="auto"/>
                <w:w w:val="93"/>
              </w:rPr>
              <w:t>(unaudited)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(3,209)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(4,125)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1,499</w:t>
            </w: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(2,914)</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(1,571)</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(3,290)</w:t>
            </w: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(3,573)</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8,975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2,836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12,754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913</w:t>
            </w: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(621)</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136</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(2,724)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8,956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(955)</w:t>
            </w: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In the six months ended June 30, 2013, net cash provided by operating activities was $1.5 million. Cash provided by operating activities primarily related to payments from customers from the sale of our products in excess of cash paid to our suppliers. During the six months ended June 30, 2013, we recognized a net loss of $1.3 million. The net loss incorporated non-cash charges, including depreciation and amortization of $1.6 million, stock-based compensation expenses of $0.2 million and non-cash increases to our inventory reserve accounts of $0.4 million.</w:t>
      </w:r>
    </w:p>
    <w:p>
      <w:pPr>
        <w:spacing w:after="0" w:line="185" w:lineRule="exact"/>
        <w:rPr>
          <w:sz w:val="20"/>
          <w:szCs w:val="20"/>
          <w:color w:val="auto"/>
        </w:rPr>
      </w:pPr>
    </w:p>
    <w:p>
      <w:pPr>
        <w:ind w:right="200" w:firstLine="341"/>
        <w:spacing w:after="0" w:line="311" w:lineRule="auto"/>
        <w:rPr>
          <w:sz w:val="20"/>
          <w:szCs w:val="20"/>
          <w:color w:val="auto"/>
        </w:rPr>
      </w:pPr>
      <w:r>
        <w:rPr>
          <w:rFonts w:ascii="Arial" w:cs="Arial" w:eastAsia="Arial" w:hAnsi="Arial"/>
          <w:sz w:val="15"/>
          <w:szCs w:val="15"/>
          <w:color w:val="auto"/>
        </w:rPr>
        <w:t>In 2012, net cash used in operating activities was $0.4 million. Cash used in operating activities primarily related to payments to suppliers in excess of cash received from our customers from the sale of our products. During 2012, we recognized a net loss of $0.9 million. However, that net loss incorporated non-cash charges, including depreciation and amortization of $2.9 million, stock-based compensation expense of $0.1 million and non-cash increases to our inventory reserve accounts of $0.9 million. In addition, we spent $0.5 million in 2012 to increase our inventories in anticipation of expected increases in sales volumes.</w:t>
      </w:r>
    </w:p>
    <w:p>
      <w:pPr>
        <w:spacing w:after="0" w:line="155" w:lineRule="exact"/>
        <w:rPr>
          <w:sz w:val="20"/>
          <w:szCs w:val="20"/>
          <w:color w:val="auto"/>
        </w:rPr>
      </w:pPr>
    </w:p>
    <w:p>
      <w:pPr>
        <w:ind w:right="200" w:firstLine="341"/>
        <w:spacing w:after="0" w:line="311" w:lineRule="auto"/>
        <w:rPr>
          <w:sz w:val="20"/>
          <w:szCs w:val="20"/>
          <w:color w:val="auto"/>
        </w:rPr>
      </w:pPr>
      <w:r>
        <w:rPr>
          <w:rFonts w:ascii="Arial" w:cs="Arial" w:eastAsia="Arial" w:hAnsi="Arial"/>
          <w:sz w:val="15"/>
          <w:szCs w:val="15"/>
          <w:color w:val="auto"/>
        </w:rPr>
        <w:t>In 2011, net cash used in operating activities was $4.1 million. Cash used in operating activities primarily related to payments to suppliers in excess of cash received from our customers from the sale of our products. During 2011, we recognized a net loss of $5.3 million. However, that net loss incorporated non-cash charges, including depreciation and amortization of $3.1 million, stock-based compensation expense of $0.6 million and non-cash increases to our inventory reserve accounts of $1.6 million. In addition, we spent $1.6 million in 2011 to increase our inventories in anticipation of expected increases in sales volumes.</w:t>
      </w:r>
    </w:p>
    <w:p>
      <w:pPr>
        <w:spacing w:after="0" w:line="155"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In 2010, net cash used in operating activities was $3.2 million. Cash used in operating activities primarily related to payments to suppliers in excess of cash received from our customers from the sale of our products. During 2010, we recognized a net loss of $3.4 million. However, that net loss incorporated non-cash charges, including depreciation and amortization of $3.3 million, asset impairment charges of $0.5 million and stock-based compensation expense of $0.8 million and non-cash increases to our asset reserve accounts of $0.6 million.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investing activities consisted primarily of capital expenditures and purchases of intangible assets.</w:t>
      </w:r>
    </w:p>
    <w:p>
      <w:pPr>
        <w:spacing w:after="0" w:line="224"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In the six months ended June 30, 2013, we used $3.6 million of cash for investing activities for the purchase of additional machinery and equipment to support our research and development efforts and manufacturing activities.</w:t>
      </w:r>
    </w:p>
    <w:p>
      <w:pPr>
        <w:spacing w:after="0" w:line="170" w:lineRule="exact"/>
        <w:rPr>
          <w:sz w:val="20"/>
          <w:szCs w:val="20"/>
          <w:color w:val="auto"/>
        </w:rPr>
      </w:pPr>
    </w:p>
    <w:p>
      <w:pPr>
        <w:ind w:firstLine="341"/>
        <w:spacing w:after="0" w:line="315" w:lineRule="auto"/>
        <w:rPr>
          <w:sz w:val="20"/>
          <w:szCs w:val="20"/>
          <w:color w:val="auto"/>
        </w:rPr>
      </w:pPr>
      <w:r>
        <w:rPr>
          <w:rFonts w:ascii="Arial" w:cs="Arial" w:eastAsia="Arial" w:hAnsi="Arial"/>
          <w:sz w:val="16"/>
          <w:szCs w:val="16"/>
          <w:color w:val="auto"/>
        </w:rPr>
        <w:t>In 2012, we used $3.3 million of cash for investing activities. We used $3.2 million of cash for the purchase of additional machinery and equipment to support our research and development efforts and manufacturing activities, partially offset by $0.1 million of cash provided by the sale of obsolete equipment.</w:t>
      </w:r>
    </w:p>
    <w:p>
      <w:pPr>
        <w:spacing w:after="0" w:line="146" w:lineRule="exact"/>
        <w:rPr>
          <w:sz w:val="20"/>
          <w:szCs w:val="20"/>
          <w:color w:val="auto"/>
        </w:rPr>
      </w:pPr>
    </w:p>
    <w:p>
      <w:pPr>
        <w:ind w:right="580" w:firstLine="341"/>
        <w:spacing w:after="0" w:line="282" w:lineRule="auto"/>
        <w:rPr>
          <w:sz w:val="20"/>
          <w:szCs w:val="20"/>
          <w:color w:val="auto"/>
        </w:rPr>
      </w:pPr>
      <w:r>
        <w:rPr>
          <w:rFonts w:ascii="Arial" w:cs="Arial" w:eastAsia="Arial" w:hAnsi="Arial"/>
          <w:sz w:val="17"/>
          <w:szCs w:val="17"/>
          <w:color w:val="auto"/>
        </w:rPr>
        <w:t>In 2011, we used $1.6 million of cash for investing activities. We used $1.8 million of cash for the purchase of property and equipment, partially offset by $0.4 million of cash provided by the sale of obsolete equipment.</w:t>
      </w:r>
    </w:p>
    <w:p>
      <w:pPr>
        <w:spacing w:after="0" w:line="170" w:lineRule="exact"/>
        <w:rPr>
          <w:sz w:val="20"/>
          <w:szCs w:val="20"/>
          <w:color w:val="auto"/>
        </w:rPr>
      </w:pPr>
    </w:p>
    <w:p>
      <w:pPr>
        <w:ind w:right="520" w:firstLine="341"/>
        <w:spacing w:after="0" w:line="282" w:lineRule="auto"/>
        <w:rPr>
          <w:sz w:val="20"/>
          <w:szCs w:val="20"/>
          <w:color w:val="auto"/>
        </w:rPr>
      </w:pPr>
      <w:r>
        <w:rPr>
          <w:rFonts w:ascii="Arial" w:cs="Arial" w:eastAsia="Arial" w:hAnsi="Arial"/>
          <w:sz w:val="17"/>
          <w:szCs w:val="17"/>
          <w:color w:val="auto"/>
        </w:rPr>
        <w:t>In 2010, we used $2.9 million of cash for investing activities, including $3.0 million of capital expenditures associated with the purchase of machinery and equipment and the expansion of our operations in China.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financing activities consisted primarily of proceeds from the issuance of preferred stock and activity associated with our various lending arrangements.</w:t>
      </w:r>
    </w:p>
    <w:p>
      <w:pPr>
        <w:spacing w:after="0" w:line="236" w:lineRule="exact"/>
        <w:rPr>
          <w:sz w:val="20"/>
          <w:szCs w:val="20"/>
          <w:color w:val="auto"/>
        </w:rPr>
      </w:pPr>
    </w:p>
    <w:p>
      <w:pPr>
        <w:jc w:val="both"/>
        <w:ind w:right="140" w:firstLine="341"/>
        <w:spacing w:after="0" w:line="270" w:lineRule="auto"/>
        <w:rPr>
          <w:sz w:val="20"/>
          <w:szCs w:val="20"/>
          <w:color w:val="auto"/>
        </w:rPr>
      </w:pPr>
      <w:r>
        <w:rPr>
          <w:rFonts w:ascii="Arial" w:cs="Arial" w:eastAsia="Arial" w:hAnsi="Arial"/>
          <w:sz w:val="17"/>
          <w:szCs w:val="17"/>
          <w:color w:val="auto"/>
        </w:rPr>
        <w:t>In the six months ended June 30, 2013, our financing activities used $0.9 million in cash. We repaid $1.5 million in bank loans and increased our restricted cash by $0.6 million, related to the compensating balances required by our loans in China. These decreases were offset by $0.4 million received from the exercise of stock options and warrants.</w:t>
      </w:r>
    </w:p>
    <w:p>
      <w:pPr>
        <w:spacing w:after="0" w:line="179" w:lineRule="exact"/>
        <w:rPr>
          <w:sz w:val="20"/>
          <w:szCs w:val="20"/>
          <w:color w:val="auto"/>
        </w:rPr>
      </w:pPr>
    </w:p>
    <w:p>
      <w:pPr>
        <w:ind w:right="340" w:firstLine="341"/>
        <w:spacing w:after="0" w:line="270" w:lineRule="auto"/>
        <w:rPr>
          <w:sz w:val="20"/>
          <w:szCs w:val="20"/>
          <w:color w:val="auto"/>
        </w:rPr>
      </w:pPr>
      <w:r>
        <w:rPr>
          <w:rFonts w:ascii="Arial" w:cs="Arial" w:eastAsia="Arial" w:hAnsi="Arial"/>
          <w:sz w:val="17"/>
          <w:szCs w:val="17"/>
          <w:color w:val="auto"/>
        </w:rPr>
        <w:t>In 2012, our financing activities provided $12.8 million in cash. We received $10.2 million in cash from the issuance of preferred stock, $2.7 million in net borrowings associated with our bank loans and $0.8 million from the issuance of notes payable, offset in part by $0.7 million of payments of principal on our term loans and notes payable and $0.2 million to repay loans from stockholders.</w:t>
      </w:r>
    </w:p>
    <w:p>
      <w:pPr>
        <w:spacing w:after="0" w:line="179" w:lineRule="exact"/>
        <w:rPr>
          <w:sz w:val="20"/>
          <w:szCs w:val="20"/>
          <w:color w:val="auto"/>
        </w:rPr>
      </w:pPr>
    </w:p>
    <w:p>
      <w:pPr>
        <w:jc w:val="both"/>
        <w:ind w:right="60" w:firstLine="341"/>
        <w:spacing w:after="0" w:line="270" w:lineRule="auto"/>
        <w:rPr>
          <w:sz w:val="20"/>
          <w:szCs w:val="20"/>
          <w:color w:val="auto"/>
        </w:rPr>
      </w:pPr>
      <w:r>
        <w:rPr>
          <w:rFonts w:ascii="Arial" w:cs="Arial" w:eastAsia="Arial" w:hAnsi="Arial"/>
          <w:sz w:val="17"/>
          <w:szCs w:val="17"/>
          <w:color w:val="auto"/>
        </w:rPr>
        <w:t>In 2011, our financing activities provided $2.8 million in cash, primarily resulting from $2.9 million of cash from the issuance of preferred stock and $1.6 million in net borrowings associated with our bank loans, offset in part by $0.2 million of payments of principal on our term loans and notes payable and $1.2 million to repay loans from stockholders.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2010, our financing activities provided $9.0 million in cash, primarily resulting from $6.1 million of net borrowings associated with our bank loans,</w:t>
      </w:r>
    </w:p>
    <w:p>
      <w:pPr>
        <w:spacing w:after="0" w:line="20" w:lineRule="exact"/>
        <w:rPr>
          <w:sz w:val="20"/>
          <w:szCs w:val="20"/>
          <w:color w:val="auto"/>
        </w:rPr>
      </w:pPr>
    </w:p>
    <w:p>
      <w:pPr>
        <w:spacing w:after="0" w:line="343" w:lineRule="auto"/>
        <w:rPr>
          <w:sz w:val="20"/>
          <w:szCs w:val="20"/>
          <w:color w:val="auto"/>
        </w:rPr>
      </w:pPr>
      <w:r>
        <w:rPr>
          <w:rFonts w:ascii="Arial" w:cs="Arial" w:eastAsia="Arial" w:hAnsi="Arial"/>
          <w:sz w:val="15"/>
          <w:szCs w:val="15"/>
          <w:color w:val="auto"/>
        </w:rPr>
        <w:t>$0.4 million from the issuance notes payable and $3.2 million from the proceeds of loans from stockholders. Restricted cash increased during 2010 by $0.5 million due to less compensating balance required for our loan in China. Such proceeds were offset by $0.4 million of payments of principal on our term loans and notes payable.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Loans and commitments</w:t>
      </w:r>
    </w:p>
    <w:p>
      <w:pPr>
        <w:spacing w:after="0" w:line="224" w:lineRule="exact"/>
        <w:rPr>
          <w:sz w:val="20"/>
          <w:szCs w:val="20"/>
          <w:color w:val="auto"/>
        </w:rPr>
      </w:pPr>
    </w:p>
    <w:p>
      <w:pPr>
        <w:ind w:right="80" w:firstLine="338"/>
        <w:spacing w:after="0" w:line="282" w:lineRule="auto"/>
        <w:rPr>
          <w:sz w:val="20"/>
          <w:szCs w:val="20"/>
          <w:color w:val="auto"/>
        </w:rPr>
      </w:pPr>
      <w:r>
        <w:rPr>
          <w:rFonts w:ascii="Arial" w:cs="Arial" w:eastAsia="Arial" w:hAnsi="Arial"/>
          <w:sz w:val="17"/>
          <w:szCs w:val="17"/>
          <w:color w:val="auto"/>
        </w:rPr>
        <w:t>We have lending arrangements with several financial institutions, including a loan and security agreement with East West Bank in the U.S., several lines of credit arrangements for our China subsidiary and a financing agreement for our Taiwan location.</w:t>
      </w:r>
    </w:p>
    <w:p>
      <w:pPr>
        <w:spacing w:after="0" w:line="170"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As of June 30, 2013, our loan and security agreement in the U.S. included a $10.5 million revolving line of credit which matures on November 15, 2014. Also included with the same bank are two term loans with monthly payments of principal and interest that mature on May 4, 2014. As of June 30, 2013, we had $9.1 million outstanding under the revolving line of credit and $0.1 and $3.1 million outstanding on the term loans. On April 11, 2013, the Company extended the maturity dates of these loans to November 15, 2014.</w:t>
      </w:r>
    </w:p>
    <w:p>
      <w:pPr>
        <w:spacing w:after="0" w:line="185" w:lineRule="exact"/>
        <w:rPr>
          <w:sz w:val="20"/>
          <w:szCs w:val="20"/>
          <w:color w:val="auto"/>
        </w:rPr>
      </w:pPr>
    </w:p>
    <w:p>
      <w:pPr>
        <w:jc w:val="both"/>
        <w:ind w:right="80" w:firstLine="341"/>
        <w:spacing w:after="0" w:line="270" w:lineRule="auto"/>
        <w:rPr>
          <w:sz w:val="20"/>
          <w:szCs w:val="20"/>
          <w:color w:val="auto"/>
        </w:rPr>
      </w:pPr>
      <w:r>
        <w:rPr>
          <w:rFonts w:ascii="Arial" w:cs="Arial" w:eastAsia="Arial" w:hAnsi="Arial"/>
          <w:sz w:val="17"/>
          <w:szCs w:val="17"/>
          <w:color w:val="auto"/>
        </w:rPr>
        <w:t>Our loan and security agreement requires us to maintain certain financial covenants, including a liquidity ratio, and restricts our ability to incur additional debt or to engage in certain transactions and is secured by substantially all of our U.S. assets. As of June 30, 2013, we were in compliance with all covenants contained in this agreement.</w:t>
      </w:r>
    </w:p>
    <w:p>
      <w:pPr>
        <w:spacing w:after="0" w:line="179" w:lineRule="exact"/>
        <w:rPr>
          <w:sz w:val="20"/>
          <w:szCs w:val="20"/>
          <w:color w:val="auto"/>
        </w:rPr>
      </w:pPr>
    </w:p>
    <w:p>
      <w:pPr>
        <w:ind w:right="100" w:firstLine="332"/>
        <w:spacing w:after="0" w:line="283" w:lineRule="auto"/>
        <w:rPr>
          <w:sz w:val="20"/>
          <w:szCs w:val="20"/>
          <w:color w:val="auto"/>
        </w:rPr>
      </w:pPr>
      <w:r>
        <w:rPr>
          <w:rFonts w:ascii="Arial" w:cs="Arial" w:eastAsia="Arial" w:hAnsi="Arial"/>
          <w:sz w:val="16"/>
          <w:szCs w:val="16"/>
          <w:color w:val="auto"/>
        </w:rPr>
        <w:t>As of June 30, 2013, our China subsidiary had a line of credit facility and bank acceptances with China banks totaling $15.0 million. As of June 30, 2013, a total of $13.6 million was outstanding under various notes and bank acceptances, each with its own maturity date and each renewing annually from July 2013 to November 2014. The notes that matured from May 2013 until June 2013 were renewed with one-year terms. The notes that begin to mature in July 2013 are expected to be renewed on the same terms and with new one year terms. These loans have renewed each year for the past three years. While there can be no assurance of renewal as each loan matures, we expect these loans to renew this year as they have over the past periods.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June 30, 2013, our Taiwan location had fully paid and extinguished a note payable to a financing company that matured on June 20, 2013.</w:t>
      </w:r>
    </w:p>
    <w:p>
      <w:pPr>
        <w:spacing w:after="0" w:line="22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In 2010, we borrowed $3.2 million from 12 shareholders under the terms of unsecured promissory note agreements. These notes bore an interest rate of 6.0% with maturity dates that were 18 months from their original note date. All of these notes were extended until December 31, 2012. During 2011 or 2012, all of these note holders converted their respective notes into preferred stock, or the notes were paid and extinguished.</w:t>
      </w:r>
    </w:p>
    <w:p>
      <w:pPr>
        <w:spacing w:after="0" w:line="179" w:lineRule="exact"/>
        <w:rPr>
          <w:sz w:val="20"/>
          <w:szCs w:val="20"/>
          <w:color w:val="auto"/>
        </w:rPr>
      </w:pPr>
    </w:p>
    <w:p>
      <w:pPr>
        <w:ind w:right="60" w:firstLine="332"/>
        <w:spacing w:after="0" w:line="322" w:lineRule="auto"/>
        <w:rPr>
          <w:sz w:val="20"/>
          <w:szCs w:val="20"/>
          <w:color w:val="auto"/>
        </w:rPr>
      </w:pPr>
      <w:r>
        <w:rPr>
          <w:rFonts w:ascii="Arial" w:cs="Arial" w:eastAsia="Arial" w:hAnsi="Arial"/>
          <w:sz w:val="15"/>
          <w:szCs w:val="15"/>
          <w:color w:val="auto"/>
        </w:rPr>
        <w:t>A customary business practice in China is for customers to exchange accounts receivable with notes receivable issued by their bank. From time to time we accept notes receivable from certain of our customers in China. These notes receivable are non-interest bearing and are generally due within six months, and such notes receivable may be redeemed with the issuing bank prior to maturity at a discount. Historically, we have collected on the notes receivable in full at the time of maturity.</w:t>
      </w:r>
    </w:p>
    <w:p>
      <w:pPr>
        <w:spacing w:after="0" w:line="145" w:lineRule="exact"/>
        <w:rPr>
          <w:sz w:val="20"/>
          <w:szCs w:val="20"/>
          <w:color w:val="auto"/>
        </w:rPr>
      </w:pPr>
    </w:p>
    <w:p>
      <w:pPr>
        <w:ind w:right="200" w:firstLine="341"/>
        <w:spacing w:after="0" w:line="263" w:lineRule="auto"/>
        <w:rPr>
          <w:sz w:val="20"/>
          <w:szCs w:val="20"/>
          <w:color w:val="auto"/>
        </w:rPr>
      </w:pPr>
      <w:r>
        <w:rPr>
          <w:rFonts w:ascii="Arial" w:cs="Arial" w:eastAsia="Arial" w:hAnsi="Arial"/>
          <w:sz w:val="17"/>
          <w:szCs w:val="17"/>
          <w:color w:val="auto"/>
        </w:rPr>
        <w:t>Frequently, we also direct our banking partners to issue notes payable to our suppliers in China in exchange for accounts payable. Our China subsidiary's banks issue the notes to vendors and issue payment to the vendors upon redemption. We owe the payable balance to the issuing bank. The notes payable are non-interest bearing and are generally due within six months of issuance. As a condition of the notes payable lending arrangements, we are required to keep a compensating balance at the issuing banks that is a percentage of the total notes payable balance until the notes payable are paid by our China subsidiary. These balances are classified as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restricted cash on our consolidated balance sheets. As of June 30, 2013, our restricted cash totaled $1.1 million.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Future liquidity needs</w:t>
      </w:r>
    </w:p>
    <w:p>
      <w:pPr>
        <w:spacing w:after="0" w:line="224"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We believe that our existing cash and cash equivalents, and cash flows from our operating activities, will be sufficient to meet our anticipated cash needs for the next 12 to 24 months. Our future capital requirements will depend on many factors including our growth rate, the timing and extent of spending to support our development efforts, the expansion of our sales and marketing activities, the introduction of new and enhanced products, the costs to increase our manufacturing capacity and the continuing market acceptance of our products.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summarizes our contractual obligations as of December 31, 2012:</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9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8"/>
          </w:tcPr>
          <w:p>
            <w:pPr>
              <w:ind w:left="600"/>
              <w:spacing w:after="0"/>
              <w:rPr>
                <w:sz w:val="20"/>
                <w:szCs w:val="20"/>
                <w:color w:val="auto"/>
              </w:rPr>
            </w:pPr>
            <w:r>
              <w:rPr>
                <w:rFonts w:ascii="Arial" w:cs="Arial" w:eastAsia="Arial" w:hAnsi="Arial"/>
                <w:sz w:val="13"/>
                <w:szCs w:val="13"/>
                <w:b w:val="1"/>
                <w:bCs w:val="1"/>
                <w:color w:val="auto"/>
              </w:rPr>
              <w:t>Payments due by period</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9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3"/>
                <w:szCs w:val="13"/>
                <w:b w:val="1"/>
                <w:bCs w:val="1"/>
                <w:color w:val="auto"/>
              </w:rPr>
              <w:t>Less than</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43"/>
              <w:spacing w:after="0" w:line="124" w:lineRule="exact"/>
              <w:rPr>
                <w:sz w:val="20"/>
                <w:szCs w:val="20"/>
                <w:color w:val="auto"/>
              </w:rPr>
            </w:pPr>
            <w:r>
              <w:rPr>
                <w:rFonts w:ascii="Arial" w:cs="Arial" w:eastAsia="Arial" w:hAnsi="Arial"/>
                <w:sz w:val="13"/>
                <w:szCs w:val="13"/>
                <w:b w:val="1"/>
                <w:bCs w:val="1"/>
                <w:color w:val="auto"/>
                <w:w w:val="93"/>
              </w:rPr>
              <w:t>More than</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Total</w:t>
            </w:r>
          </w:p>
        </w:tc>
        <w:tc>
          <w:tcPr>
            <w:tcW w:w="16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3"/>
              <w:spacing w:after="0"/>
              <w:rPr>
                <w:sz w:val="20"/>
                <w:szCs w:val="20"/>
                <w:color w:val="auto"/>
              </w:rPr>
            </w:pPr>
            <w:r>
              <w:rPr>
                <w:rFonts w:ascii="Arial" w:cs="Arial" w:eastAsia="Arial" w:hAnsi="Arial"/>
                <w:sz w:val="13"/>
                <w:szCs w:val="13"/>
                <w:b w:val="1"/>
                <w:bCs w:val="1"/>
                <w:color w:val="auto"/>
              </w:rPr>
              <w:t>1 Year</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w w:val="89"/>
              </w:rPr>
              <w:t>1 - 3 Years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w w:val="89"/>
              </w:rPr>
              <w:t>3 - 5 Years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90"/>
              </w:rPr>
              <w:t>5 Years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Notes payable and long-term debt (1)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24,584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15,421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9,163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460" w:type="dxa"/>
            <w:vAlign w:val="bottom"/>
            <w:gridSpan w:val="2"/>
          </w:tcPr>
          <w:p>
            <w:pPr>
              <w:spacing w:after="0"/>
              <w:rPr>
                <w:sz w:val="20"/>
                <w:szCs w:val="20"/>
                <w:color w:val="auto"/>
              </w:rPr>
            </w:pPr>
            <w:r>
              <w:rPr>
                <w:rFonts w:ascii="Arial" w:cs="Arial" w:eastAsia="Arial" w:hAnsi="Arial"/>
                <w:sz w:val="17"/>
                <w:szCs w:val="17"/>
                <w:color w:val="auto"/>
              </w:rPr>
              <w:t>Operating leases (2)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635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494</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Purchase obligations (3)</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60" w:type="dxa"/>
            <w:vAlign w:val="bottom"/>
            <w:gridSpan w:val="2"/>
            <w:vMerge w:val="restart"/>
          </w:tcPr>
          <w:p>
            <w:pPr>
              <w:spacing w:after="0"/>
              <w:rPr>
                <w:sz w:val="20"/>
                <w:szCs w:val="20"/>
                <w:color w:val="auto"/>
              </w:rPr>
            </w:pPr>
            <w:r>
              <w:rPr>
                <w:rFonts w:ascii="Arial" w:cs="Arial" w:eastAsia="Arial" w:hAnsi="Arial"/>
                <w:sz w:val="17"/>
                <w:szCs w:val="17"/>
                <w:color w:val="auto"/>
              </w:rPr>
              <w:t>Total commitments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6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25,281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15,941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9,329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ind w:left="52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940" w:type="dxa"/>
            <w:vAlign w:val="bottom"/>
            <w:tcBorders>
              <w:bottom w:val="single" w:sz="8" w:color="auto"/>
            </w:tcBorders>
          </w:tcPr>
          <w:p>
            <w:pPr>
              <w:spacing w:after="0"/>
              <w:rPr>
                <w:sz w:val="7"/>
                <w:szCs w:val="7"/>
                <w:color w:val="auto"/>
              </w:rPr>
            </w:pPr>
          </w:p>
        </w:tc>
        <w:tc>
          <w:tcPr>
            <w:tcW w:w="2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right="300" w:hanging="533"/>
        <w:spacing w:after="0" w:line="256" w:lineRule="auto"/>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We have several loan and security agreements in China and the U.S. that provide various credit facilities, including lines of credit and term loans. The amount presented in the table represents the principal portion of the obligations.</w:t>
      </w:r>
    </w:p>
    <w:p>
      <w:pPr>
        <w:spacing w:after="0" w:line="100" w:lineRule="exact"/>
        <w:rPr>
          <w:rFonts w:ascii="Arial" w:cs="Arial" w:eastAsia="Arial" w:hAnsi="Arial"/>
          <w:sz w:val="13"/>
          <w:szCs w:val="13"/>
          <w:color w:val="auto"/>
        </w:rPr>
      </w:pPr>
    </w:p>
    <w:p>
      <w:pPr>
        <w:ind w:left="1680" w:hanging="533"/>
        <w:spacing w:after="0"/>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We have entered into various non-cancellable operating lease agreements for our offices in Taiwan and the U.S.</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We are obligated to make payments under various arrangements with suppliers for the procurement of goods and services.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Risks</w:t>
      </w:r>
    </w:p>
    <w:p>
      <w:pPr>
        <w:spacing w:after="0" w:line="224" w:lineRule="exact"/>
        <w:rPr>
          <w:sz w:val="20"/>
          <w:szCs w:val="20"/>
          <w:color w:val="auto"/>
        </w:rPr>
      </w:pPr>
    </w:p>
    <w:p>
      <w:pPr>
        <w:ind w:right="200" w:firstLine="341"/>
        <w:spacing w:after="0" w:line="322" w:lineRule="auto"/>
        <w:rPr>
          <w:sz w:val="20"/>
          <w:szCs w:val="20"/>
          <w:color w:val="auto"/>
        </w:rPr>
      </w:pPr>
      <w:r>
        <w:rPr>
          <w:rFonts w:ascii="Arial" w:cs="Arial" w:eastAsia="Arial" w:hAnsi="Arial"/>
          <w:sz w:val="15"/>
          <w:szCs w:val="15"/>
          <w:color w:val="auto"/>
        </w:rPr>
        <w:t>Market risk represents the risk of loss that may impact our financial statements through adverse changes in financial market prices and rates and inflation. Our market risk exposure results primarily from fluctuations in foreign exchange and interest rates. We manage our exposure to these market risks through our regular operating and financing activities. We have not historically attempted to reduce our market risks through hedging instruments; we may, however, do so in the future.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Rates</w:t>
      </w:r>
    </w:p>
    <w:p>
      <w:pPr>
        <w:spacing w:after="0" w:line="224" w:lineRule="exact"/>
        <w:rPr>
          <w:sz w:val="20"/>
          <w:szCs w:val="20"/>
          <w:color w:val="auto"/>
        </w:rPr>
      </w:pPr>
    </w:p>
    <w:p>
      <w:pPr>
        <w:ind w:right="320" w:firstLine="338"/>
        <w:spacing w:after="0" w:line="282" w:lineRule="auto"/>
        <w:rPr>
          <w:sz w:val="20"/>
          <w:szCs w:val="20"/>
          <w:color w:val="auto"/>
        </w:rPr>
      </w:pPr>
      <w:r>
        <w:rPr>
          <w:rFonts w:ascii="Arial" w:cs="Arial" w:eastAsia="Arial" w:hAnsi="Arial"/>
          <w:sz w:val="17"/>
          <w:szCs w:val="17"/>
          <w:color w:val="auto"/>
        </w:rPr>
        <w:t>We are exposed to interest rate fluctuations on our cash and cash equivalents. We had unrestricted cash and cash equivalents of $4.5 million, $1.8 million and $10.7 million at December 31, 2010, 2011 and 2012, respectively. Our cash and cash equivalents are subject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limited interest rate risk and are primarily maintained in money market funds and bank deposits.</w:t>
      </w:r>
    </w:p>
    <w:p>
      <w:pPr>
        <w:spacing w:after="0" w:line="224" w:lineRule="exact"/>
        <w:rPr>
          <w:sz w:val="20"/>
          <w:szCs w:val="20"/>
          <w:color w:val="auto"/>
        </w:rPr>
      </w:pPr>
    </w:p>
    <w:p>
      <w:pPr>
        <w:ind w:right="240" w:firstLine="338"/>
        <w:spacing w:after="0" w:line="282" w:lineRule="auto"/>
        <w:rPr>
          <w:sz w:val="20"/>
          <w:szCs w:val="20"/>
          <w:color w:val="auto"/>
        </w:rPr>
      </w:pPr>
      <w:r>
        <w:rPr>
          <w:rFonts w:ascii="Arial" w:cs="Arial" w:eastAsia="Arial" w:hAnsi="Arial"/>
          <w:sz w:val="17"/>
          <w:szCs w:val="17"/>
          <w:color w:val="auto"/>
        </w:rPr>
        <w:t>We have entered into various loan agreements with East West Bank in the U.S., China Construction Bank and Shanghai Pu-Dong Development Bank in China and Chailease Finance Co LTD in Taiwan. At December 31, 2012:</w:t>
      </w:r>
    </w:p>
    <w:p>
      <w:pPr>
        <w:spacing w:after="0" w:line="183" w:lineRule="exact"/>
        <w:rPr>
          <w:sz w:val="20"/>
          <w:szCs w:val="20"/>
          <w:color w:val="auto"/>
        </w:rPr>
      </w:pPr>
    </w:p>
    <w:p>
      <w:pPr>
        <w:ind w:left="1060" w:right="240" w:hanging="531"/>
        <w:spacing w:after="0" w:line="282"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short-term U.S.-based loans had a principal balance of $8.6 million, bearing interest at rates based on the prime rate plus a premium of 1.25% or floor rate of 4.5% whichever is higher,</w:t>
      </w:r>
    </w:p>
    <w:p>
      <w:pPr>
        <w:spacing w:after="0" w:line="196" w:lineRule="exact"/>
        <w:rPr>
          <w:rFonts w:ascii="Arial" w:cs="Arial" w:eastAsia="Arial" w:hAnsi="Arial"/>
          <w:sz w:val="17"/>
          <w:szCs w:val="17"/>
          <w:color w:val="auto"/>
        </w:rPr>
      </w:pPr>
    </w:p>
    <w:p>
      <w:pPr>
        <w:ind w:left="1060" w:right="280" w:hanging="531"/>
        <w:spacing w:after="0" w:line="282"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term loan with a U.S. bank had a principal balance of $3.32 million, with monthly payment of principal and interest at prime rate plus 1.25% or swap contract with fixed 5%, maturing May 3, 2014,</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Chinese-based loan had a principal balance of $10.5 million, bearing interest at 110%-125% of LIBOR,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Chinese bank acceptance notes issued to vendors had a balance of $1.5 million, bearing no interest rate, and</w:t>
      </w:r>
    </w:p>
    <w:p>
      <w:pPr>
        <w:spacing w:after="0" w:line="250" w:lineRule="exact"/>
        <w:rPr>
          <w:rFonts w:ascii="Arial" w:cs="Arial" w:eastAsia="Arial" w:hAnsi="Arial"/>
          <w:sz w:val="17"/>
          <w:szCs w:val="17"/>
          <w:color w:val="auto"/>
        </w:rPr>
      </w:pPr>
    </w:p>
    <w:p>
      <w:pPr>
        <w:ind w:left="1060" w:right="440" w:hanging="531"/>
        <w:spacing w:after="0" w:line="282"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Taiwanese-based loan had $0.4 million principal balance outstanding, with monthly payment of principal and interest at interest rate of 3.3%, maturing on June 20, 2013.</w:t>
      </w:r>
    </w:p>
    <w:p>
      <w:pPr>
        <w:spacing w:after="0" w:line="170"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With respect to our interest expense for the year ended December 31, 2012, an increase or decrease of 1.0% in each of our interest rates would have resulted in an increase or decrease of $0.2 million in our interest expense for such period.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Rates</w:t>
      </w:r>
    </w:p>
    <w:p>
      <w:pPr>
        <w:spacing w:after="0" w:line="224" w:lineRule="exact"/>
        <w:rPr>
          <w:sz w:val="20"/>
          <w:szCs w:val="20"/>
          <w:color w:val="auto"/>
        </w:rPr>
      </w:pPr>
    </w:p>
    <w:p>
      <w:pPr>
        <w:ind w:right="120" w:firstLine="338"/>
        <w:spacing w:after="0" w:line="287" w:lineRule="auto"/>
        <w:rPr>
          <w:sz w:val="20"/>
          <w:szCs w:val="20"/>
          <w:color w:val="auto"/>
        </w:rPr>
      </w:pPr>
      <w:r>
        <w:rPr>
          <w:rFonts w:ascii="Arial" w:cs="Arial" w:eastAsia="Arial" w:hAnsi="Arial"/>
          <w:sz w:val="16"/>
          <w:szCs w:val="16"/>
          <w:color w:val="auto"/>
        </w:rPr>
        <w:t>We operate on an international basis with a portion of our revenue and expenses being incurred in currencies other than the U.S. dollar. Fluctuations in the value of these foreign currencies in which we conduct our business relative to the U.S. dollar affects our results and will cause U.S. dollar translation of such currencies to vary from one period to another. We cannot predict the effect of exchange rate fluctuations upon our future operating results. The effect on our results of operations from currency fluctuations is reduced, however, because we have revenue and expenses in each of these foreign currencies.</w:t>
      </w:r>
    </w:p>
    <w:p>
      <w:pPr>
        <w:spacing w:after="0" w:line="169" w:lineRule="exact"/>
        <w:rPr>
          <w:sz w:val="20"/>
          <w:szCs w:val="20"/>
          <w:color w:val="auto"/>
        </w:rPr>
      </w:pPr>
    </w:p>
    <w:p>
      <w:pPr>
        <w:ind w:right="220" w:firstLine="338"/>
        <w:spacing w:after="0" w:line="322" w:lineRule="auto"/>
        <w:rPr>
          <w:sz w:val="20"/>
          <w:szCs w:val="20"/>
          <w:color w:val="auto"/>
        </w:rPr>
      </w:pPr>
      <w:r>
        <w:rPr>
          <w:rFonts w:ascii="Arial" w:cs="Arial" w:eastAsia="Arial" w:hAnsi="Arial"/>
          <w:sz w:val="15"/>
          <w:szCs w:val="15"/>
          <w:color w:val="auto"/>
        </w:rPr>
        <w:t>We maintain certain assets, including certain bank accounts, accounts receivables, land and building, in RMB and the NT dollar, which are sensitive to foreign currency exchange rate fluctuations. Additionally, certain of our current and long-term liabilities are denominated in these currencies. As of December 31, 2012, currency changes resulted in assets and liabilities denominated in these currencies being translated into $0.3 million more U.S. dollars than at December 31, 2011.</w:t>
      </w:r>
    </w:p>
    <w:p>
      <w:pPr>
        <w:spacing w:after="0" w:line="145" w:lineRule="exact"/>
        <w:rPr>
          <w:sz w:val="20"/>
          <w:szCs w:val="20"/>
          <w:color w:val="auto"/>
        </w:rPr>
      </w:pPr>
    </w:p>
    <w:p>
      <w:pPr>
        <w:ind w:right="120" w:firstLine="332"/>
        <w:spacing w:after="0" w:line="263" w:lineRule="auto"/>
        <w:rPr>
          <w:sz w:val="20"/>
          <w:szCs w:val="20"/>
          <w:color w:val="auto"/>
        </w:rPr>
      </w:pPr>
      <w:r>
        <w:rPr>
          <w:rFonts w:ascii="Arial" w:cs="Arial" w:eastAsia="Arial" w:hAnsi="Arial"/>
          <w:sz w:val="17"/>
          <w:szCs w:val="17"/>
          <w:color w:val="auto"/>
        </w:rPr>
        <w:t>Additionally, the value of the RMB against the U.S. dollar and other currencies fluctuates and is affected by, among other things, changes in political and economic conditions in China. The conversion of RMB into foreign currencies, including U.S. dollars, has been based on rates set by the People's Bank of China. On July 21, 2005, the Chinese government changed its policy of pegging the value of the RMB to the U.S. dollar and began allowing modest appreciation of the RMB against the U.S. dollar. Fluctuation of the RMB exchange rate is, however, restricted to a rise or fall of no more than 0.5% per day versus the U.S. dollar, and the People's Bank of</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80"/>
        <w:spacing w:after="0" w:line="311" w:lineRule="auto"/>
        <w:rPr>
          <w:sz w:val="20"/>
          <w:szCs w:val="20"/>
          <w:color w:val="auto"/>
        </w:rPr>
      </w:pPr>
      <w:r>
        <w:rPr>
          <w:rFonts w:ascii="Arial" w:cs="Arial" w:eastAsia="Arial" w:hAnsi="Arial"/>
          <w:sz w:val="15"/>
          <w:szCs w:val="15"/>
          <w:color w:val="auto"/>
        </w:rPr>
        <w:t>China continues to intervene in the foreign exchange market to prevent significant short-term fluctuations in the RMB exchange rate. Nevertheless, under China's current exchange rate regime, the RMB may appreciate or depreciate significantly in value against the U.S. dollar in the medium to long term. The RMB has appreciated 8.63% against the U.S. dollar from Jan. 1, 2010 to December 31, 2012. There remains international pressure on the Chinese government to adopt a substantial liberalization of its currency policy, which could result in a further and more significant appreciation in the value of the RMB against the U.S. dollar.</w:t>
      </w:r>
    </w:p>
    <w:p>
      <w:pPr>
        <w:spacing w:after="0" w:line="155" w:lineRule="exact"/>
        <w:rPr>
          <w:sz w:val="20"/>
          <w:szCs w:val="20"/>
          <w:color w:val="auto"/>
        </w:rPr>
      </w:pPr>
    </w:p>
    <w:p>
      <w:pPr>
        <w:ind w:firstLine="338"/>
        <w:spacing w:after="0" w:line="278" w:lineRule="auto"/>
        <w:rPr>
          <w:sz w:val="20"/>
          <w:szCs w:val="20"/>
          <w:color w:val="auto"/>
        </w:rPr>
      </w:pPr>
      <w:r>
        <w:rPr>
          <w:rFonts w:ascii="Arial" w:cs="Arial" w:eastAsia="Arial" w:hAnsi="Arial"/>
          <w:sz w:val="16"/>
          <w:szCs w:val="16"/>
          <w:color w:val="auto"/>
        </w:rPr>
        <w:t>We use the U.S. dollar as our functional and reporting currency for our financial statements. All transactions in currencies other than the U.S. dollar during the year are re-measured at the exchange rates prevailing on the respective relevant dates of such transactions. Monetary assets and liabilities existing at the balance sheet date denominated in currencies other than the U.S. dollar are re-measured at the exchange rates prevailing on such date. Exchange differences are recorded in our consolidated income statement. The financial records of our China subsidiary and our Taiwan location are maintained in their respective local currencies, the RMB and the NT dollar, which are the functional currencies for our China subsidiary and our Taiwan location, respectively. Assets and liabilities are translated at the exchange rates at the balance sheet date, equity accounts are translated at historical exchange rates and revenues, expenses, gains and losses are translated using the average rate for the year in 2010, 2011 and using quarterly average rate for 2012. Translation adjustments are reported as cumulative translation adjustments and are shown as a separate component of accumulated other comprehensive income in our statement of stockholders' equity (deficit) and comprehensive income. Transaction gains and losses are recognized in our statements of operations in other income (expenses).</w:t>
      </w:r>
    </w:p>
    <w:p>
      <w:pPr>
        <w:spacing w:after="0" w:line="179" w:lineRule="exact"/>
        <w:rPr>
          <w:sz w:val="20"/>
          <w:szCs w:val="20"/>
          <w:color w:val="auto"/>
        </w:rPr>
      </w:pPr>
    </w:p>
    <w:p>
      <w:pPr>
        <w:ind w:right="80" w:firstLine="338"/>
        <w:spacing w:after="0" w:line="278" w:lineRule="auto"/>
        <w:rPr>
          <w:sz w:val="20"/>
          <w:szCs w:val="20"/>
          <w:color w:val="auto"/>
        </w:rPr>
      </w:pPr>
      <w:r>
        <w:rPr>
          <w:rFonts w:ascii="Arial" w:cs="Arial" w:eastAsia="Arial" w:hAnsi="Arial"/>
          <w:sz w:val="16"/>
          <w:szCs w:val="16"/>
          <w:color w:val="auto"/>
        </w:rPr>
        <w:t>We incurred approximately 51.1% of our operating expenses in currencies other than the U.S. dollar during 2012. As of December 31, 2012, we held the U.S. dollar equivalent of approximately $1.5 million in RMB and $0.1 million in NT dollars, included in cash and cash equivalents. Fluctuations in exchange rates directly affect our cost of revenues and net income, and have a significant impact on fluctuations in our operating margins. For example, in 2012, 81.9% of our revenues were generated from sales denominated in U.S. dollars, and 25.5% of our operating costs and expenses were denominated in RMB and 25.6% of our operating costs were denominated in NT dollars. Fluctuations in exchange rates also affect our balance sheet. For example, if we need to convert U.S. dollars into RMB or NT dollars for our operations, appreciation of the RMB or the NT dollar against the U.S. dollar would have an adverse effect on the RMB or NT dollar amount that we receive from the conversion. With respect to our cash and cash equivalents as of December 31, 2012, a 1.0% change in the exchange rates between the RMB and the U.S. dollar would result in an immaterial change in our total cash and cash equivalents, and a 1.0% change in the exchange rates between the NT dollar and the U.S. dollar would result in an immaterial change our total cash and cash equivalents.</w:t>
      </w:r>
    </w:p>
    <w:p>
      <w:pPr>
        <w:spacing w:after="0" w:line="179"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Fluctuations in currency exchange rates of the above currencies we hold against the U.S. dollar would have a corresponding impact on the U.S. dollar equivalent of such currencies included in the cash and cash equivalents reported in our financial statements from period to period.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w:t>
      </w:r>
    </w:p>
    <w:p>
      <w:pPr>
        <w:spacing w:after="0" w:line="224" w:lineRule="exact"/>
        <w:rPr>
          <w:sz w:val="20"/>
          <w:szCs w:val="20"/>
          <w:color w:val="auto"/>
        </w:rPr>
      </w:pPr>
    </w:p>
    <w:p>
      <w:pPr>
        <w:ind w:right="220" w:firstLine="338"/>
        <w:spacing w:after="0" w:line="270" w:lineRule="auto"/>
        <w:rPr>
          <w:sz w:val="20"/>
          <w:szCs w:val="20"/>
          <w:color w:val="auto"/>
        </w:rPr>
      </w:pPr>
      <w:r>
        <w:rPr>
          <w:rFonts w:ascii="Arial" w:cs="Arial" w:eastAsia="Arial" w:hAnsi="Arial"/>
          <w:sz w:val="17"/>
          <w:szCs w:val="17"/>
          <w:color w:val="auto"/>
        </w:rPr>
        <w:t>We believe that the relatively low rate of inflation in the U.S. over the past few years has not had a significant impact on our sales or operating results or on the prices of raw materials. To the extent we expand our operations in China and Taiwan, such actions may result in inflation having a more significant impact on our operating results in the future.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224" w:lineRule="exact"/>
        <w:rPr>
          <w:sz w:val="20"/>
          <w:szCs w:val="20"/>
          <w:color w:val="auto"/>
        </w:rPr>
      </w:pPr>
    </w:p>
    <w:p>
      <w:pPr>
        <w:ind w:right="120" w:firstLine="341"/>
        <w:spacing w:after="0" w:line="352" w:lineRule="auto"/>
        <w:rPr>
          <w:sz w:val="20"/>
          <w:szCs w:val="20"/>
          <w:color w:val="auto"/>
        </w:rPr>
      </w:pPr>
      <w:r>
        <w:rPr>
          <w:rFonts w:ascii="Arial" w:cs="Arial" w:eastAsia="Arial" w:hAnsi="Arial"/>
          <w:sz w:val="15"/>
          <w:szCs w:val="15"/>
          <w:color w:val="auto"/>
        </w:rPr>
        <w:t>During 2010, 2011 and 2012,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and Estimates</w:t>
      </w:r>
    </w:p>
    <w:p>
      <w:pPr>
        <w:spacing w:after="0" w:line="224"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Our discussion and analysis of our financial condition and results of operations are based upon our consolidated financial statements, which have been prepared in accordance with U.S. GAAP. These principles require us to make estimates and judgments that affect the reported amounts of assets, liabilities, revenue, expenses and cash flows, and related disclosure of contingent assets and liabilities. Our estimates include those related to revenue recognition, stock-based compensation expense, impairment analysis of goodwill and long-lived assets,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62" w:lineRule="exact"/>
        <w:rPr>
          <w:sz w:val="20"/>
          <w:szCs w:val="20"/>
          <w:color w:val="auto"/>
        </w:rPr>
      </w:pPr>
    </w:p>
    <w:p>
      <w:pPr>
        <w:jc w:val="both"/>
        <w:ind w:right="620" w:firstLine="338"/>
        <w:spacing w:after="0" w:line="270" w:lineRule="auto"/>
        <w:rPr>
          <w:sz w:val="20"/>
          <w:szCs w:val="20"/>
          <w:color w:val="auto"/>
        </w:rPr>
      </w:pPr>
      <w:r>
        <w:rPr>
          <w:rFonts w:ascii="Arial" w:cs="Arial" w:eastAsia="Arial" w:hAnsi="Arial"/>
          <w:sz w:val="17"/>
          <w:szCs w:val="17"/>
          <w:color w:val="auto"/>
        </w:rPr>
        <w:t>We believe that of our significant accounting policies, which are described in Note B to our consolidated financial statements appearing elsewhere in this prospectus, the following accounting policies involve a greater degree of judgment and complexity. Accordingly, we believe these are the most critical to fully understand and evaluate our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224" w:lineRule="exact"/>
        <w:rPr>
          <w:sz w:val="20"/>
          <w:szCs w:val="20"/>
          <w:color w:val="auto"/>
        </w:rPr>
      </w:pPr>
    </w:p>
    <w:p>
      <w:pPr>
        <w:ind w:right="40" w:firstLine="338"/>
        <w:spacing w:after="0" w:line="300" w:lineRule="auto"/>
        <w:rPr>
          <w:sz w:val="20"/>
          <w:szCs w:val="20"/>
          <w:color w:val="auto"/>
        </w:rPr>
      </w:pPr>
      <w:r>
        <w:rPr>
          <w:rFonts w:ascii="Arial" w:cs="Arial" w:eastAsia="Arial" w:hAnsi="Arial"/>
          <w:sz w:val="15"/>
          <w:szCs w:val="15"/>
          <w:color w:val="auto"/>
        </w:rPr>
        <w:t>We generally employ a direct sales model in North America, and in the rest of the world we use both direct and indirect channels. Our revenue recognition policy is to recognize gross revenue whether our products are sold on a direct or indirect basis, because our reseller customers (indirect channel) take title to our products and honor the same terms and conditions as do our direct sales customers. We recognize revenue from the sale of our products provided that persuasive evidence of an arrangement exists, delivery has occurred, the price is fixed or determinable and collectability is reasonably assured. Contracts or customer purchase orders are used to determine the existence of an arrangement. Shipping documents and customer acceptance, when applicable, are used to verify delivery. We assess whether the price is fixed or determinable based on the payment terms associated with the transaction and whether the sales price is subject to refund or adjustment. We assess collectability based primarily on the creditworthiness of the customer as determined by credit checks and the customer's payment history. Customers are generally extended net 30 credit terms from the date of shipment, with some extension to net 60 credit terms for some more creditworthy customers.</w:t>
      </w:r>
    </w:p>
    <w:p>
      <w:pPr>
        <w:spacing w:after="0" w:line="163"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Whether our products are sold on a direct or indirect basis, revenue is recognized when the product is shipped and title has transferred to the customer. We bear all costs and risks of loss or damage to the goods up to that point. On most orders, our terms of sale provide that title passes to the customer upon placement by us with a common carrier (upon shipment). In some cases we may provide for title transfer to the customer upon delivery of the goods to the customer. We determine payments made to third party sales representatives are appropriately recorded to sales and marketing expense and not a reduction of revenue. Shipping and handling costs are included in cost of goods sold. We present revenue net of sales returns and allowances,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sales taxes and any similar assessments. We provided a limited warranty as part of our standard terms and conditions of sale. This warranty provides for the repair or replacement of our products, at our discretion, that we determined (i) are defective in workmanship, material, or not in compliance with the mutually agreed written applicable specification and (ii) has in fact failed under normal use on or before one year from the date of original shipment of the products. Some of our customers are provided limited warranties between three to five years, on certain limited and identified products. Warranty costs associated with returned goods that are repaired or replaced are charged to cost of goods sold.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 expense</w:t>
      </w:r>
    </w:p>
    <w:p>
      <w:pPr>
        <w:spacing w:after="0" w:line="224"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We issue stock options to employees, consultants and non-employee directors. Stock options are granted at or above fair market value on the date of the grant and generally vest over a four-year period. The fair market value of our stock has been historically determined by our board of directors.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stock options were granted in 2012:</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1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65"/>
              <w:spacing w:after="0"/>
              <w:rPr>
                <w:sz w:val="20"/>
                <w:szCs w:val="20"/>
                <w:color w:val="auto"/>
              </w:rPr>
            </w:pPr>
            <w:r>
              <w:rPr>
                <w:rFonts w:ascii="Arial" w:cs="Arial" w:eastAsia="Arial" w:hAnsi="Arial"/>
                <w:sz w:val="13"/>
                <w:szCs w:val="13"/>
                <w:b w:val="1"/>
                <w:bCs w:val="1"/>
                <w:color w:val="auto"/>
                <w:w w:val="89"/>
              </w:rPr>
              <w:t>Exercise</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85"/>
              <w:spacing w:after="0"/>
              <w:rPr>
                <w:sz w:val="20"/>
                <w:szCs w:val="20"/>
                <w:color w:val="auto"/>
              </w:rPr>
            </w:pPr>
            <w:r>
              <w:rPr>
                <w:rFonts w:ascii="Arial" w:cs="Arial" w:eastAsia="Arial" w:hAnsi="Arial"/>
                <w:sz w:val="13"/>
                <w:szCs w:val="13"/>
                <w:b w:val="1"/>
                <w:bCs w:val="1"/>
                <w:color w:val="auto"/>
                <w:w w:val="93"/>
              </w:rPr>
              <w:t>Fair value of</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Fair value of</w:t>
            </w:r>
          </w:p>
        </w:tc>
      </w:tr>
      <w:tr>
        <w:trPr>
          <w:trHeight w:val="144"/>
        </w:trPr>
        <w:tc>
          <w:tcPr>
            <w:tcW w:w="1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ind w:right="208"/>
              <w:spacing w:after="0" w:line="144" w:lineRule="exact"/>
              <w:rPr>
                <w:sz w:val="20"/>
                <w:szCs w:val="20"/>
                <w:color w:val="auto"/>
              </w:rPr>
            </w:pPr>
            <w:r>
              <w:rPr>
                <w:rFonts w:ascii="Arial" w:cs="Arial" w:eastAsia="Arial" w:hAnsi="Arial"/>
                <w:sz w:val="13"/>
                <w:szCs w:val="13"/>
                <w:b w:val="1"/>
                <w:bCs w:val="1"/>
                <w:color w:val="auto"/>
              </w:rPr>
              <w:t>Stock Option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65"/>
              <w:spacing w:after="0" w:line="144" w:lineRule="exact"/>
              <w:rPr>
                <w:sz w:val="20"/>
                <w:szCs w:val="20"/>
                <w:color w:val="auto"/>
              </w:rPr>
            </w:pPr>
            <w:r>
              <w:rPr>
                <w:rFonts w:ascii="Arial" w:cs="Arial" w:eastAsia="Arial" w:hAnsi="Arial"/>
                <w:sz w:val="13"/>
                <w:szCs w:val="13"/>
                <w:b w:val="1"/>
                <w:bCs w:val="1"/>
                <w:color w:val="auto"/>
                <w:w w:val="89"/>
              </w:rPr>
              <w:t>price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65"/>
              <w:spacing w:after="0" w:line="144" w:lineRule="exact"/>
              <w:rPr>
                <w:sz w:val="20"/>
                <w:szCs w:val="20"/>
                <w:color w:val="auto"/>
              </w:rPr>
            </w:pPr>
            <w:r>
              <w:rPr>
                <w:rFonts w:ascii="Arial" w:cs="Arial" w:eastAsia="Arial" w:hAnsi="Arial"/>
                <w:sz w:val="13"/>
                <w:szCs w:val="13"/>
                <w:b w:val="1"/>
                <w:bCs w:val="1"/>
                <w:color w:val="auto"/>
                <w:w w:val="93"/>
              </w:rPr>
              <w:t>underlying</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0"/>
              </w:rPr>
              <w:t>option</w:t>
            </w:r>
          </w:p>
        </w:tc>
      </w:tr>
      <w:tr>
        <w:trPr>
          <w:trHeight w:val="157"/>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Grant date</w:t>
            </w:r>
          </w:p>
        </w:tc>
        <w:tc>
          <w:tcPr>
            <w:tcW w:w="400" w:type="dxa"/>
            <w:vAlign w:val="bottom"/>
          </w:tcPr>
          <w:p>
            <w:pPr>
              <w:spacing w:after="0"/>
              <w:rPr>
                <w:sz w:val="13"/>
                <w:szCs w:val="13"/>
                <w:color w:val="auto"/>
              </w:rPr>
            </w:pP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Shares Granted</w:t>
            </w: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8"/>
              </w:rPr>
              <w:t>per share</w:t>
            </w: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5"/>
              <w:spacing w:after="0"/>
              <w:rPr>
                <w:sz w:val="20"/>
                <w:szCs w:val="20"/>
                <w:color w:val="auto"/>
              </w:rPr>
            </w:pPr>
            <w:r>
              <w:rPr>
                <w:rFonts w:ascii="Arial" w:cs="Arial" w:eastAsia="Arial" w:hAnsi="Arial"/>
                <w:sz w:val="13"/>
                <w:szCs w:val="13"/>
                <w:b w:val="1"/>
                <w:bCs w:val="1"/>
                <w:color w:val="auto"/>
                <w:w w:val="88"/>
              </w:rPr>
              <w:t>security</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w w:val="92"/>
              </w:rPr>
              <w:t>granted</w:t>
            </w:r>
          </w:p>
        </w:tc>
        <w:tc>
          <w:tcPr>
            <w:tcW w:w="200" w:type="dxa"/>
            <w:vAlign w:val="bottom"/>
          </w:tcPr>
          <w:p>
            <w:pPr>
              <w:spacing w:after="0"/>
              <w:rPr>
                <w:sz w:val="13"/>
                <w:szCs w:val="13"/>
                <w:color w:val="auto"/>
              </w:rPr>
            </w:pPr>
          </w:p>
        </w:tc>
      </w:tr>
      <w:tr>
        <w:trPr>
          <w:trHeight w:val="203"/>
        </w:trPr>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February 10, 2012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168,800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0.168111</w:t>
            </w:r>
          </w:p>
        </w:tc>
        <w:tc>
          <w:tcPr>
            <w:tcW w:w="200" w:type="dxa"/>
            <w:vAlign w:val="bottom"/>
            <w:shd w:val="clear" w:color="auto" w:fill="CCEEFF"/>
          </w:tcPr>
          <w:p>
            <w:pPr>
              <w:spacing w:after="0"/>
              <w:rPr>
                <w:sz w:val="17"/>
                <w:szCs w:val="17"/>
                <w:color w:val="auto"/>
              </w:rPr>
            </w:pPr>
          </w:p>
        </w:tc>
      </w:tr>
      <w:tr>
        <w:trPr>
          <w:trHeight w:val="210"/>
        </w:trPr>
        <w:tc>
          <w:tcPr>
            <w:tcW w:w="1820" w:type="dxa"/>
            <w:vAlign w:val="bottom"/>
          </w:tcPr>
          <w:p>
            <w:pPr>
              <w:jc w:val="center"/>
              <w:spacing w:after="0"/>
              <w:rPr>
                <w:sz w:val="20"/>
                <w:szCs w:val="20"/>
                <w:color w:val="auto"/>
              </w:rPr>
            </w:pPr>
            <w:r>
              <w:rPr>
                <w:rFonts w:ascii="Arial" w:cs="Arial" w:eastAsia="Arial" w:hAnsi="Arial"/>
                <w:sz w:val="17"/>
                <w:szCs w:val="17"/>
                <w:color w:val="auto"/>
                <w:w w:val="91"/>
              </w:rPr>
              <w:t>May 22, 2012</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2,049,500</w:t>
            </w: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0.20</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0.20</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0.167915</w:t>
            </w:r>
          </w:p>
        </w:tc>
        <w:tc>
          <w:tcPr>
            <w:tcW w:w="200" w:type="dxa"/>
            <w:vAlign w:val="bottom"/>
          </w:tcPr>
          <w:p>
            <w:pPr>
              <w:spacing w:after="0"/>
              <w:rPr>
                <w:sz w:val="18"/>
                <w:szCs w:val="18"/>
                <w:color w:val="auto"/>
              </w:rPr>
            </w:pPr>
          </w:p>
        </w:tc>
      </w:tr>
      <w:tr>
        <w:trPr>
          <w:trHeight w:val="210"/>
        </w:trPr>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November 13, 2012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429,000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0.167467</w:t>
            </w:r>
          </w:p>
        </w:tc>
        <w:tc>
          <w:tcPr>
            <w:tcW w:w="200" w:type="dxa"/>
            <w:vAlign w:val="bottom"/>
            <w:shd w:val="clear" w:color="auto" w:fill="CCEEFF"/>
          </w:tcPr>
          <w:p>
            <w:pPr>
              <w:spacing w:after="0"/>
              <w:rPr>
                <w:sz w:val="18"/>
                <w:szCs w:val="18"/>
                <w:color w:val="auto"/>
              </w:rPr>
            </w:pPr>
          </w:p>
        </w:tc>
      </w:tr>
      <w:tr>
        <w:trPr>
          <w:trHeight w:val="26"/>
        </w:trPr>
        <w:tc>
          <w:tcPr>
            <w:tcW w:w="18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9"/>
        </w:trPr>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2,647,300</w:t>
            </w: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granting options at $0.20 per share on February 10, 2012, the primary valuation factors considered by our board of directors were:</w:t>
      </w:r>
    </w:p>
    <w:p>
      <w:pPr>
        <w:spacing w:after="0" w:line="237" w:lineRule="exact"/>
        <w:rPr>
          <w:sz w:val="20"/>
          <w:szCs w:val="20"/>
          <w:color w:val="auto"/>
        </w:rPr>
      </w:pPr>
    </w:p>
    <w:p>
      <w:pPr>
        <w:jc w:val="both"/>
        <w:ind w:left="1060" w:right="140" w:hanging="531"/>
        <w:spacing w:after="0" w:line="322" w:lineRule="auto"/>
        <w:tabs>
          <w:tab w:leader="none" w:pos="10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price per share of $0.25 at which we had sold shares of our Series F preferred stock to third party investors during March 2009, and more recently, the price per share at which we sold our shares of Series G preferred stock during December of 2011 (at a price of $0.35 per share in 2012), given that most of the investors who had participated in our Series F private placement in 2009 also participated in our Series G private placement in late 2011;</w:t>
      </w:r>
    </w:p>
    <w:p>
      <w:pPr>
        <w:spacing w:after="0" w:line="170" w:lineRule="exact"/>
        <w:rPr>
          <w:rFonts w:ascii="Arial" w:cs="Arial" w:eastAsia="Arial" w:hAnsi="Arial"/>
          <w:sz w:val="15"/>
          <w:szCs w:val="15"/>
          <w:color w:val="auto"/>
        </w:rPr>
      </w:pPr>
    </w:p>
    <w:p>
      <w:pPr>
        <w:ind w:left="1060" w:right="340" w:hanging="531"/>
        <w:spacing w:after="0" w:line="28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losses that had been incurred in 2010 and increasing losses in 2011, and the likelihood that we would achieve our forecasted revenue during the remainder of 2012; and</w:t>
      </w:r>
    </w:p>
    <w:p>
      <w:pPr>
        <w:spacing w:after="0" w:line="182" w:lineRule="exact"/>
        <w:rPr>
          <w:rFonts w:ascii="Arial" w:cs="Arial" w:eastAsia="Arial" w:hAnsi="Arial"/>
          <w:sz w:val="17"/>
          <w:szCs w:val="17"/>
          <w:color w:val="auto"/>
        </w:rPr>
      </w:pPr>
    </w:p>
    <w:p>
      <w:pPr>
        <w:ind w:left="1060" w:right="100" w:hanging="531"/>
        <w:spacing w:after="0" w:line="265"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valuation that had been established as of March 31, 2009 providing for a valuation of $0.04 per share of common stock, using the Probability Weighted Expected Return, or PWERM method, our estimated weighted average cost of capital and a lack of marketability discount. Our board of directors considered the 2009 valuation relevant in early 2012 because it was the most recent valuation period during which there had also been a third party appraisal by a valuation expert.</w:t>
      </w:r>
    </w:p>
    <w:p>
      <w:pPr>
        <w:spacing w:after="0" w:line="185" w:lineRule="exact"/>
        <w:rPr>
          <w:sz w:val="20"/>
          <w:szCs w:val="20"/>
          <w:color w:val="auto"/>
        </w:rPr>
      </w:pPr>
    </w:p>
    <w:p>
      <w:pPr>
        <w:ind w:right="120" w:firstLine="338"/>
        <w:spacing w:after="0" w:line="322" w:lineRule="auto"/>
        <w:rPr>
          <w:sz w:val="20"/>
          <w:szCs w:val="20"/>
          <w:color w:val="auto"/>
        </w:rPr>
      </w:pPr>
      <w:r>
        <w:rPr>
          <w:rFonts w:ascii="Arial" w:cs="Arial" w:eastAsia="Arial" w:hAnsi="Arial"/>
          <w:sz w:val="15"/>
          <w:szCs w:val="15"/>
          <w:color w:val="auto"/>
        </w:rPr>
        <w:t>The PWERM method estimates the value of the common stock based upon an analysis of future values for the enterprise assuming various future outcomes. The concluded share value is based on the probability weighted present value of expected future investment returns, considering each of the possible future outcomes available to the enterprise as well as the claims of each share class on our equity value. The valuation utilized the income approach (or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discounted cash flow method) and the market approach (the guideline public company method and the similar transactions method). Both approaches capture the total value of our operations, including any goodwill or intangible value that may be present.</w:t>
      </w:r>
    </w:p>
    <w:p>
      <w:pPr>
        <w:spacing w:after="0" w:line="170"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In the February 10, 2012 valuation of our common stock, our board of directors also considered the additional rights and preferences granted to holders of series F and G preferred stock in comparison to our common stock. Our board of directors took into consideration the negative cash flow that had been sustained in 2011 and the first month of 2012, an increasing debt burden, and the lack of cash available for working capital. Based upon our analysis, and the facts and circumstances as of February 10, 2012, the fair market value of our common stock was determined to be $0.20 per share.</w:t>
      </w:r>
    </w:p>
    <w:p>
      <w:pPr>
        <w:spacing w:after="0" w:line="185" w:lineRule="exact"/>
        <w:rPr>
          <w:sz w:val="20"/>
          <w:szCs w:val="20"/>
          <w:color w:val="auto"/>
        </w:rPr>
      </w:pPr>
    </w:p>
    <w:p>
      <w:pPr>
        <w:ind w:right="100" w:firstLine="341"/>
        <w:spacing w:after="0" w:line="263" w:lineRule="auto"/>
        <w:rPr>
          <w:sz w:val="20"/>
          <w:szCs w:val="20"/>
          <w:color w:val="auto"/>
        </w:rPr>
      </w:pPr>
      <w:r>
        <w:rPr>
          <w:rFonts w:ascii="Arial" w:cs="Arial" w:eastAsia="Arial" w:hAnsi="Arial"/>
          <w:sz w:val="17"/>
          <w:szCs w:val="17"/>
          <w:color w:val="auto"/>
        </w:rPr>
        <w:t>In granting options on May 22, 2012, the primary valuation factors considered by our board of directors were: the analysis performed as of March 31, 2009, factors considered and the price that had been established for the February 10, 2012 grants; the price per share at which we had sold shares of our Series G preferred stock in early 2012; the price pressure that had been exerted by investors during our Series G preferred stock fundraising efforts; and management's expectations that we would achieve our forecasted revenue during the remainder of 2012. Based upon our analysis, and the facts and circumstances as of May 22, 2012, the fair market value of our common stock was determined to be $0.20 per share.</w:t>
      </w:r>
    </w:p>
    <w:p>
      <w:pPr>
        <w:spacing w:after="0" w:line="187" w:lineRule="exact"/>
        <w:rPr>
          <w:sz w:val="20"/>
          <w:szCs w:val="20"/>
          <w:color w:val="auto"/>
        </w:rPr>
      </w:pPr>
    </w:p>
    <w:p>
      <w:pPr>
        <w:ind w:firstLine="341"/>
        <w:spacing w:after="0" w:line="311" w:lineRule="auto"/>
        <w:rPr>
          <w:sz w:val="20"/>
          <w:szCs w:val="20"/>
          <w:color w:val="auto"/>
        </w:rPr>
      </w:pPr>
      <w:r>
        <w:rPr>
          <w:rFonts w:ascii="Arial" w:cs="Arial" w:eastAsia="Arial" w:hAnsi="Arial"/>
          <w:sz w:val="15"/>
          <w:szCs w:val="15"/>
          <w:color w:val="auto"/>
        </w:rPr>
        <w:t>In granting options at $0.20 per share on November 13, 2012, the primary valuation factors considered by our board of directors were: the analysis that was performed as of March 31, 2009; the price that had been established on February 10, 2012 and May 22, 2012; the price per share at which we had sold shares of our Series G preferred stock in September 2012, which was $0.35 per share; and the revenue, operating profit and net income (loss) derived in prior periods in 2012. Based upon our analysis, and the facts and circumstances as of November 13, 2012, the fair market value of our common stock was determined to be $0.20 per share.</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stock options were granted in the six months ended June 30, 2013:</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ind w:right="234"/>
              <w:spacing w:after="0"/>
              <w:rPr>
                <w:sz w:val="20"/>
                <w:szCs w:val="20"/>
                <w:color w:val="auto"/>
              </w:rPr>
            </w:pPr>
            <w:r>
              <w:rPr>
                <w:rFonts w:ascii="Arial" w:cs="Arial" w:eastAsia="Arial" w:hAnsi="Arial"/>
                <w:sz w:val="13"/>
                <w:szCs w:val="13"/>
                <w:b w:val="1"/>
                <w:bCs w:val="1"/>
                <w:color w:val="auto"/>
              </w:rPr>
              <w:t>Stock Option</w:t>
            </w:r>
          </w:p>
        </w:tc>
        <w:tc>
          <w:tcPr>
            <w:tcW w:w="38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Exercise price</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01"/>
              <w:spacing w:after="0"/>
              <w:rPr>
                <w:sz w:val="20"/>
                <w:szCs w:val="20"/>
                <w:color w:val="auto"/>
              </w:rPr>
            </w:pPr>
            <w:r>
              <w:rPr>
                <w:rFonts w:ascii="Arial" w:cs="Arial" w:eastAsia="Arial" w:hAnsi="Arial"/>
                <w:sz w:val="13"/>
                <w:szCs w:val="13"/>
                <w:b w:val="1"/>
                <w:bCs w:val="1"/>
                <w:color w:val="auto"/>
              </w:rPr>
              <w:t>Fair value of</w:t>
            </w:r>
          </w:p>
        </w:tc>
        <w:tc>
          <w:tcPr>
            <w:tcW w:w="40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Arial" w:cs="Arial" w:eastAsia="Arial" w:hAnsi="Arial"/>
                <w:sz w:val="13"/>
                <w:szCs w:val="13"/>
                <w:b w:val="1"/>
                <w:bCs w:val="1"/>
                <w:color w:val="auto"/>
              </w:rPr>
              <w:t>Fair value of option</w:t>
            </w:r>
          </w:p>
        </w:tc>
      </w:tr>
      <w:tr>
        <w:trPr>
          <w:trHeight w:val="157"/>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Grant date</w:t>
            </w:r>
          </w:p>
        </w:tc>
        <w:tc>
          <w:tcPr>
            <w:tcW w:w="400" w:type="dxa"/>
            <w:vAlign w:val="bottom"/>
          </w:tcPr>
          <w:p>
            <w:pPr>
              <w:spacing w:after="0"/>
              <w:rPr>
                <w:sz w:val="13"/>
                <w:szCs w:val="13"/>
                <w:color w:val="auto"/>
              </w:rPr>
            </w:pPr>
          </w:p>
        </w:tc>
        <w:tc>
          <w:tcPr>
            <w:tcW w:w="132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Shares Granted</w:t>
            </w: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2"/>
              </w:rPr>
              <w:t>per share</w:t>
            </w:r>
          </w:p>
        </w:tc>
        <w:tc>
          <w:tcPr>
            <w:tcW w:w="400" w:type="dxa"/>
            <w:vAlign w:val="bottom"/>
          </w:tcPr>
          <w:p>
            <w:pPr>
              <w:spacing w:after="0"/>
              <w:rPr>
                <w:sz w:val="13"/>
                <w:szCs w:val="13"/>
                <w:color w:val="auto"/>
              </w:rPr>
            </w:pPr>
          </w:p>
        </w:tc>
        <w:tc>
          <w:tcPr>
            <w:tcW w:w="128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3"/>
                <w:szCs w:val="13"/>
                <w:b w:val="1"/>
                <w:bCs w:val="1"/>
                <w:color w:val="auto"/>
                <w:w w:val="96"/>
              </w:rPr>
              <w:t>underlying security</w:t>
            </w:r>
          </w:p>
        </w:tc>
        <w:tc>
          <w:tcPr>
            <w:tcW w:w="4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granted</w:t>
            </w:r>
          </w:p>
        </w:tc>
        <w:tc>
          <w:tcPr>
            <w:tcW w:w="200" w:type="dxa"/>
            <w:vAlign w:val="bottom"/>
          </w:tcPr>
          <w:p>
            <w:pPr>
              <w:spacing w:after="0"/>
              <w:rPr>
                <w:sz w:val="13"/>
                <w:szCs w:val="13"/>
                <w:color w:val="auto"/>
              </w:rPr>
            </w:pPr>
          </w:p>
        </w:tc>
      </w:tr>
      <w:tr>
        <w:trPr>
          <w:trHeight w:val="203"/>
        </w:trPr>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January 18, 2013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10,037,000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6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0.157717</w:t>
            </w:r>
          </w:p>
        </w:tc>
        <w:tc>
          <w:tcPr>
            <w:tcW w:w="200" w:type="dxa"/>
            <w:vAlign w:val="bottom"/>
            <w:shd w:val="clear" w:color="auto" w:fill="CCEEFF"/>
          </w:tcPr>
          <w:p>
            <w:pPr>
              <w:spacing w:after="0"/>
              <w:rPr>
                <w:sz w:val="17"/>
                <w:szCs w:val="17"/>
                <w:color w:val="auto"/>
              </w:rPr>
            </w:pPr>
          </w:p>
        </w:tc>
      </w:tr>
      <w:tr>
        <w:trPr>
          <w:trHeight w:val="216"/>
        </w:trPr>
        <w:tc>
          <w:tcPr>
            <w:tcW w:w="1580" w:type="dxa"/>
            <w:vAlign w:val="bottom"/>
          </w:tcPr>
          <w:p>
            <w:pPr>
              <w:jc w:val="center"/>
              <w:spacing w:after="0"/>
              <w:rPr>
                <w:sz w:val="20"/>
                <w:szCs w:val="20"/>
                <w:color w:val="auto"/>
              </w:rPr>
            </w:pPr>
            <w:r>
              <w:rPr>
                <w:rFonts w:ascii="Arial" w:cs="Arial" w:eastAsia="Arial" w:hAnsi="Arial"/>
                <w:sz w:val="17"/>
                <w:szCs w:val="17"/>
                <w:color w:val="auto"/>
                <w:w w:val="95"/>
              </w:rPr>
              <w:t>April 12, 2013</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106,200</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0.30</w:t>
            </w:r>
          </w:p>
        </w:tc>
        <w:tc>
          <w:tcPr>
            <w:tcW w:w="60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0.27</w:t>
            </w:r>
          </w:p>
        </w:tc>
        <w:tc>
          <w:tcPr>
            <w:tcW w:w="6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0.184749</w:t>
            </w:r>
          </w:p>
        </w:tc>
        <w:tc>
          <w:tcPr>
            <w:tcW w:w="200" w:type="dxa"/>
            <w:vAlign w:val="bottom"/>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15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10,143,200</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6"/>
        </w:trPr>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
        </w:trPr>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80" w:firstLine="338"/>
        <w:spacing w:after="0" w:line="279" w:lineRule="auto"/>
        <w:rPr>
          <w:sz w:val="20"/>
          <w:szCs w:val="20"/>
          <w:color w:val="auto"/>
        </w:rPr>
      </w:pPr>
      <w:r>
        <w:rPr>
          <w:rFonts w:ascii="Arial" w:cs="Arial" w:eastAsia="Arial" w:hAnsi="Arial"/>
          <w:sz w:val="16"/>
          <w:szCs w:val="16"/>
          <w:color w:val="auto"/>
        </w:rPr>
        <w:t>To aid in our board of directors' determination of the fair market value of our common stock in January 2013 and April 2013, we engaged an independent appraisal firm to perform valuation studies to determine the fair market value of our common stock for financial reporting and stock option-pricing purposes. The valuations were to assist with regulations related to Internal Revenue Code 409A, Nonqualified Deferred Compensation and audit requirements related to Accounting Standards Codification, or ASC, 718, Compensation—Stock Compensation. ASC 718 is the new accounting nomenclature for the rules and guidelines previously addressed in Statement of Financial Accounting Standards No. 123R, Share-Based Payment. Detailed reports expressing their conclusions of fair market value on a non-controlling, non-marketable basis were issued with valuation dates as of December 31, 2012 and March 31, 2013. Since we contemplated an initial public offering, the appraisal firm utilized the PWERM method for equity allocation, considered more appropriate than the Option-Pricing Method or Current Value Method. Based upon our analyses, and the facts and circumstances as of the valuation date,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fair market value of our common stock was estimated to be $0.25 per share and $0.27 per share as of December 31, 2012 and March 31, 2013, respectively.</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granting options at $0.25 per share in January 2013, the primary valuation factors considered by our board of directors were:</w:t>
      </w:r>
    </w:p>
    <w:p>
      <w:pPr>
        <w:spacing w:after="0" w:line="237" w:lineRule="exact"/>
        <w:rPr>
          <w:sz w:val="20"/>
          <w:szCs w:val="20"/>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enterprise value of $80.2 million as of December 31, 2012, which was determined using the PWERM;</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discount rate of 24.0%, based on our estimated weighted average cost of capital;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lack of marketability discount of 30.0%;</w:t>
      </w:r>
    </w:p>
    <w:p>
      <w:pPr>
        <w:spacing w:after="0" w:line="237" w:lineRule="exact"/>
        <w:rPr>
          <w:rFonts w:ascii="Arial" w:cs="Arial" w:eastAsia="Arial" w:hAnsi="Arial"/>
          <w:sz w:val="17"/>
          <w:szCs w:val="17"/>
          <w:color w:val="auto"/>
        </w:rPr>
      </w:pPr>
    </w:p>
    <w:p>
      <w:pPr>
        <w:ind w:left="1060" w:right="100" w:hanging="531"/>
        <w:spacing w:after="0" w:line="294" w:lineRule="auto"/>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liquidity event scenario probabilities of 60.0% for an initial public offering, 20.0% for a sale or merger and 20.0% for continuing as a private company —these probabilities used a 40.0% probability of an initial public offering occurring by September 2013 and a 20% probability of an initial public offering occurring between September and December 2013, and were based on a sale or merger occurring within three years;</w:t>
      </w:r>
    </w:p>
    <w:p>
      <w:pPr>
        <w:spacing w:after="0" w:line="189" w:lineRule="exact"/>
        <w:rPr>
          <w:rFonts w:ascii="Arial" w:cs="Arial" w:eastAsia="Arial" w:hAnsi="Arial"/>
          <w:sz w:val="16"/>
          <w:szCs w:val="16"/>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price per share at which we had recently sold shares of our Series G preferred stock;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management's expectations that we would achieve forecasted revenue for the quarter ended March 31, 2013.</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Based upon these and other factors, our board of directors determined that the exercise price for options granted in January 2013 to be $0.25 per share.</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granting options at $0.30 per share in April 2013, the primary valuation factors considered by our board of directors were:</w:t>
      </w:r>
    </w:p>
    <w:p>
      <w:pPr>
        <w:spacing w:after="0" w:line="237" w:lineRule="exact"/>
        <w:rPr>
          <w:sz w:val="20"/>
          <w:szCs w:val="20"/>
          <w:color w:val="auto"/>
        </w:rPr>
      </w:pPr>
    </w:p>
    <w:p>
      <w:pPr>
        <w:ind w:left="1060" w:right="280" w:hanging="531"/>
        <w:spacing w:after="0" w:line="282"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valuation that had been performed by a third party appraisal firm providing for an enterprise value of $91.5 million as of March 31, 2013, which was determined using the PWERM;</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discount rate of 23.0%, based on our estimated weighted average cost of capital;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lack of marketability discount of 30.0%;</w:t>
      </w:r>
    </w:p>
    <w:p>
      <w:pPr>
        <w:spacing w:after="0" w:line="237" w:lineRule="exact"/>
        <w:rPr>
          <w:rFonts w:ascii="Arial" w:cs="Arial" w:eastAsia="Arial" w:hAnsi="Arial"/>
          <w:sz w:val="17"/>
          <w:szCs w:val="17"/>
          <w:color w:val="auto"/>
        </w:rPr>
      </w:pPr>
    </w:p>
    <w:p>
      <w:pPr>
        <w:ind w:left="1060" w:hanging="531"/>
        <w:spacing w:after="0" w:line="294" w:lineRule="auto"/>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liquidity event scenario probabilities of 75.0% for an initial public offering, 20.0% for a sale or merger and 5.0% for continuing as a private company— these probabilities used a 60.0% probability of an initial public offering occurring by September 2013 and a 40% probability of an initial public offering occurring between September and December 2013, and were based on a sale or merger occurring within three years;</w:t>
      </w:r>
    </w:p>
    <w:p>
      <w:pPr>
        <w:spacing w:after="0" w:line="189" w:lineRule="exact"/>
        <w:rPr>
          <w:rFonts w:ascii="Arial" w:cs="Arial" w:eastAsia="Arial" w:hAnsi="Arial"/>
          <w:sz w:val="16"/>
          <w:szCs w:val="16"/>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valuation and analysis performed as of December 31, 2012 and subsequent stock option grants in January 2013;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results achieved for the quarter ended March 31, 2013 and the likelihood that the Company would attain its goals for the remainder of 2013.</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Based upon these and other factors, our board of directors determined that the exercise price for options granted in April 2013 to be $0.30 per share.</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stock-based compensation expense was recorded as follows: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88"/>
              </w:rPr>
              <w:t>Six months</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4"/>
          </w:tcPr>
          <w:p>
            <w:pPr>
              <w:jc w:val="center"/>
              <w:ind w:right="20"/>
              <w:spacing w:after="0" w:line="144" w:lineRule="exact"/>
              <w:rPr>
                <w:sz w:val="20"/>
                <w:szCs w:val="20"/>
                <w:color w:val="auto"/>
              </w:rPr>
            </w:pPr>
            <w:r>
              <w:rPr>
                <w:rFonts w:ascii="Arial" w:cs="Arial" w:eastAsia="Arial" w:hAnsi="Arial"/>
                <w:sz w:val="13"/>
                <w:szCs w:val="13"/>
                <w:b w:val="1"/>
                <w:bCs w:val="1"/>
                <w:color w:val="auto"/>
                <w:w w:val="87"/>
              </w:rPr>
              <w:t>Years ended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5"/>
          </w:tcPr>
          <w:p>
            <w:pPr>
              <w:jc w:val="center"/>
              <w:ind w:right="320"/>
              <w:spacing w:after="0" w:line="144" w:lineRule="exact"/>
              <w:rPr>
                <w:sz w:val="20"/>
                <w:szCs w:val="20"/>
                <w:color w:val="auto"/>
              </w:rPr>
            </w:pPr>
            <w:r>
              <w:rPr>
                <w:rFonts w:ascii="Arial" w:cs="Arial" w:eastAsia="Arial" w:hAnsi="Arial"/>
                <w:sz w:val="13"/>
                <w:szCs w:val="13"/>
                <w:b w:val="1"/>
                <w:bCs w:val="1"/>
                <w:color w:val="auto"/>
                <w:w w:val="83"/>
              </w:rPr>
              <w:t>ended</w:t>
            </w:r>
          </w:p>
        </w:tc>
        <w:tc>
          <w:tcPr>
            <w:tcW w:w="0" w:type="dxa"/>
            <w:vAlign w:val="bottom"/>
          </w:tcPr>
          <w:p>
            <w:pPr>
              <w:spacing w:after="0"/>
              <w:rPr>
                <w:sz w:val="1"/>
                <w:szCs w:val="1"/>
                <w:color w:val="auto"/>
              </w:rPr>
            </w:pPr>
          </w:p>
        </w:tc>
      </w:tr>
      <w:tr>
        <w:trPr>
          <w:trHeight w:val="157"/>
        </w:trPr>
        <w:tc>
          <w:tcPr>
            <w:tcW w:w="4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89"/>
              </w:rPr>
              <w:t>December 31,</w:t>
            </w: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4"/>
          </w:tcPr>
          <w:p>
            <w:pPr>
              <w:jc w:val="center"/>
              <w:ind w:right="78"/>
              <w:spacing w:after="0"/>
              <w:rPr>
                <w:sz w:val="20"/>
                <w:szCs w:val="20"/>
                <w:color w:val="auto"/>
              </w:rPr>
            </w:pPr>
            <w:r>
              <w:rPr>
                <w:rFonts w:ascii="Arial" w:cs="Arial" w:eastAsia="Arial" w:hAnsi="Arial"/>
                <w:sz w:val="13"/>
                <w:szCs w:val="13"/>
                <w:b w:val="1"/>
                <w:bCs w:val="1"/>
                <w:color w:val="auto"/>
                <w:w w:val="92"/>
              </w:rPr>
              <w:t>June 30,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ind w:right="58"/>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vMerge w:val="restart"/>
          </w:tcPr>
          <w:p>
            <w:pPr>
              <w:spacing w:after="0"/>
              <w:rPr>
                <w:sz w:val="20"/>
                <w:szCs w:val="20"/>
                <w:color w:val="auto"/>
              </w:rPr>
            </w:pPr>
            <w:r>
              <w:rPr>
                <w:rFonts w:ascii="Arial" w:cs="Arial" w:eastAsia="Arial" w:hAnsi="Arial"/>
                <w:sz w:val="13"/>
                <w:szCs w:val="13"/>
                <w:b w:val="1"/>
                <w:bCs w:val="1"/>
                <w:color w:val="auto"/>
                <w:w w:val="87"/>
              </w:rPr>
              <w:t>(in</w:t>
            </w:r>
          </w:p>
        </w:tc>
        <w:tc>
          <w:tcPr>
            <w:tcW w:w="100" w:type="dxa"/>
            <w:vAlign w:val="bottom"/>
          </w:tcPr>
          <w:p>
            <w:pPr>
              <w:spacing w:after="0"/>
              <w:rPr>
                <w:sz w:val="16"/>
                <w:szCs w:val="16"/>
                <w:color w:val="auto"/>
              </w:rPr>
            </w:pPr>
          </w:p>
        </w:tc>
        <w:tc>
          <w:tcPr>
            <w:tcW w:w="400" w:type="dxa"/>
            <w:vAlign w:val="bottom"/>
          </w:tcPr>
          <w:p>
            <w:pPr>
              <w:jc w:val="center"/>
              <w:ind w:right="18"/>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38"/>
              <w:spacing w:after="0"/>
              <w:rPr>
                <w:sz w:val="20"/>
                <w:szCs w:val="20"/>
                <w:color w:val="auto"/>
              </w:rPr>
            </w:pPr>
            <w:r>
              <w:rPr>
                <w:rFonts w:ascii="Arial" w:cs="Arial" w:eastAsia="Arial" w:hAnsi="Arial"/>
                <w:sz w:val="13"/>
                <w:szCs w:val="13"/>
                <w:b w:val="1"/>
                <w:bCs w:val="1"/>
                <w:color w:val="auto"/>
                <w:w w:val="89"/>
              </w:rPr>
              <w:t>2012</w:t>
            </w:r>
          </w:p>
        </w:tc>
        <w:tc>
          <w:tcPr>
            <w:tcW w:w="600" w:type="dxa"/>
            <w:vAlign w:val="bottom"/>
            <w:gridSpan w:val="3"/>
          </w:tcPr>
          <w:p>
            <w:pPr>
              <w:jc w:val="right"/>
              <w:ind w:right="2"/>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38"/>
              <w:spacing w:after="0"/>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vMerge w:val="continue"/>
          </w:tcPr>
          <w:p>
            <w:pPr>
              <w:spacing w:after="0"/>
              <w:rPr>
                <w:sz w:val="11"/>
                <w:szCs w:val="11"/>
                <w:color w:val="auto"/>
              </w:rPr>
            </w:pPr>
          </w:p>
        </w:tc>
        <w:tc>
          <w:tcPr>
            <w:tcW w:w="500" w:type="dxa"/>
            <w:vAlign w:val="bottom"/>
            <w:tcBorders>
              <w:top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goods sold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137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20" w:firstLine="338"/>
        <w:spacing w:after="0" w:line="282" w:lineRule="auto"/>
        <w:rPr>
          <w:sz w:val="20"/>
          <w:szCs w:val="20"/>
          <w:color w:val="auto"/>
        </w:rPr>
      </w:pPr>
      <w:r>
        <w:rPr>
          <w:rFonts w:ascii="Arial" w:cs="Arial" w:eastAsia="Arial" w:hAnsi="Arial"/>
          <w:sz w:val="17"/>
          <w:szCs w:val="17"/>
          <w:color w:val="auto"/>
        </w:rPr>
        <w:t>We follow ASC 718, the authoritative accounting guidance for stock-based compensation expense, which requires companies to measure the cost of employee stock options at the date of the grant.</w:t>
      </w:r>
    </w:p>
    <w:p>
      <w:pPr>
        <w:spacing w:after="0" w:line="170"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Our determination of the fair value of stock-based payment awards on the measurement date utilizes the Black-Scholes option-pricing model, which requires the use of assumptions. For the years ended December 31, 2010, 2011 and 2012, and for the six months ended June 30, 2013, we used the following assumptions to calculate the fair value of stock options:</w:t>
      </w:r>
    </w:p>
    <w:p>
      <w:pPr>
        <w:spacing w:after="0" w:line="24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7"/>
              </w:rPr>
              <w:t>Years ended</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Six months ended</w:t>
            </w: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3"/>
          </w:tcPr>
          <w:p>
            <w:pPr>
              <w:jc w:val="center"/>
              <w:ind w:right="20"/>
              <w:spacing w:after="0" w:line="131" w:lineRule="exact"/>
              <w:rPr>
                <w:sz w:val="20"/>
                <w:szCs w:val="20"/>
                <w:color w:val="auto"/>
              </w:rPr>
            </w:pPr>
            <w:r>
              <w:rPr>
                <w:rFonts w:ascii="Arial" w:cs="Arial" w:eastAsia="Arial" w:hAnsi="Arial"/>
                <w:sz w:val="13"/>
                <w:szCs w:val="13"/>
                <w:b w:val="1"/>
                <w:bCs w:val="1"/>
                <w:color w:val="auto"/>
                <w:w w:val="89"/>
              </w:rPr>
              <w:t>December 31,</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vMerge w:val="restart"/>
          </w:tcPr>
          <w:p>
            <w:pPr>
              <w:jc w:val="center"/>
              <w:spacing w:after="0" w:line="144" w:lineRule="exact"/>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98"/>
        </w:trPr>
        <w:tc>
          <w:tcPr>
            <w:tcW w:w="4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4800" w:type="dxa"/>
            <w:vAlign w:val="bottom"/>
          </w:tcPr>
          <w:p>
            <w:pPr>
              <w:spacing w:after="0"/>
              <w:rPr>
                <w:sz w:val="13"/>
                <w:szCs w:val="13"/>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2012</w:t>
            </w:r>
          </w:p>
        </w:tc>
        <w:tc>
          <w:tcPr>
            <w:tcW w:w="200" w:type="dxa"/>
            <w:vAlign w:val="bottom"/>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2013</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7"/>
                <w:szCs w:val="17"/>
                <w:color w:val="auto"/>
              </w:rPr>
              <w:t>Risk-free interest rate</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1.72%</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2.32%</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1.01%</w:t>
            </w:r>
          </w:p>
        </w:tc>
        <w:tc>
          <w:tcPr>
            <w:tcW w:w="1280" w:type="dxa"/>
            <w:vAlign w:val="bottom"/>
          </w:tcPr>
          <w:p>
            <w:pPr>
              <w:jc w:val="right"/>
              <w:spacing w:after="0"/>
              <w:rPr>
                <w:sz w:val="20"/>
                <w:szCs w:val="20"/>
                <w:color w:val="auto"/>
              </w:rPr>
            </w:pPr>
            <w:r>
              <w:rPr>
                <w:rFonts w:ascii="Arial" w:cs="Arial" w:eastAsia="Arial" w:hAnsi="Arial"/>
                <w:sz w:val="17"/>
                <w:szCs w:val="17"/>
                <w:color w:val="auto"/>
              </w:rPr>
              <w:t>0.96% to 2.47%</w:t>
            </w: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Expected term (years)</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62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Estimated forfeitures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32"/>
        <w:spacing w:after="0" w:line="306" w:lineRule="auto"/>
        <w:rPr>
          <w:sz w:val="20"/>
          <w:szCs w:val="20"/>
          <w:color w:val="auto"/>
        </w:rPr>
      </w:pPr>
      <w:r>
        <w:rPr>
          <w:rFonts w:ascii="Arial" w:cs="Arial" w:eastAsia="Arial" w:hAnsi="Arial"/>
          <w:sz w:val="15"/>
          <w:szCs w:val="15"/>
          <w:color w:val="auto"/>
        </w:rPr>
        <w:t>As there was no trading value for our common stock prior to this offering, the expected volatility of stock options granted to date was derived from an analysis of reported data for a peer group of companies that issued stock options with similar terms. The expected volatility has been determined using an average of the expected volatility reported by these peer companies during the period. The expected term of the stock options has been determined utilizing the simplified method, which calculated a simple average based on vesting period and option life. We do not anticipate paying dividends in the near future. Estimated forfeitures are based on historical experience and future work force projections. We will revise the estimates, if necessary, in subsequent periods, if actual forfeitures differ from our estimates.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Long-lived assets</w:t>
      </w:r>
    </w:p>
    <w:p>
      <w:pPr>
        <w:spacing w:after="0" w:line="22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Depreciation and amortization of the intangible assets and other long-lived assets is provided using the straight-line method over their respective estimated useful lives, reflecting the pattern of economic benefits associated with these assets. Changes in circumstances such as technological advances, changes to our business model, or changes in our capital strategy could</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cause the actual useful lives of intangible assets or other long-lived assets to differ from initial estimates. In those cases where we determine that the useful life of an asset should be revised, we depreciate the remaining net book value over the new estimated useful life.</w:t>
      </w:r>
    </w:p>
    <w:p>
      <w:pPr>
        <w:spacing w:after="0" w:line="170"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Our long-lived assets are evaluated for impairment whenever events or changes in circumstances indicate that the carrying amount of such assets may not be recoverable. We value on an asset-by-asset basis our long-lived assets and will recognize an impairment loss when the sum of such valuation is less than the carrying amount of such assets. The values, based on reasonable and supportable assumptions and projections, require subjective judgments. Depending on the assumptions and estimates used, the values projected in the evaluation of long-lived assets can vary within a range of outcomes. We consider the likelihood of possible outcomes in determining the best estimate for the value of the assets. We did not record any asset impairment charges in 2012 or 2011. During 2010, we recorded an asset impairment charge of $0.5 million related to equipment in China that was no longer useful in the manufacturing process and therefore without value.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inventories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Inventories are stated at the lower of cost (average-cost method) or market. Work in process and finished goods includes materials, labor and allocated overhead.</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We assess the valuation of our inventory on a periodic basis and provide an allowance for the value of estimated excess and obsolete inventory based on estimates of</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future demand. During the years ended December 31, 2012, 2011 and 2010, we recorded excess and obsolete inventory charges of $0.9 million, $1.6 million, and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$0.6 million, respectively. Of the $1.6 million in inventory reserves during 2011, $1.0 million was recorded in the fourth quarter of 2011 and was associated with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application of our inventory reserve policy.</w:t>
      </w:r>
    </w:p>
    <w:p>
      <w:pPr>
        <w:spacing w:after="0" w:line="218" w:lineRule="exact"/>
        <w:rPr>
          <w:sz w:val="20"/>
          <w:szCs w:val="20"/>
          <w:color w:val="auto"/>
        </w:rPr>
      </w:pPr>
    </w:p>
    <w:p>
      <w:pPr>
        <w:jc w:val="both"/>
        <w:ind w:right="120" w:firstLine="341"/>
        <w:spacing w:after="0" w:line="265" w:lineRule="auto"/>
        <w:rPr>
          <w:sz w:val="20"/>
          <w:szCs w:val="20"/>
          <w:color w:val="auto"/>
        </w:rPr>
      </w:pPr>
      <w:r>
        <w:rPr>
          <w:rFonts w:ascii="Arial" w:cs="Arial" w:eastAsia="Arial" w:hAnsi="Arial"/>
          <w:sz w:val="17"/>
          <w:szCs w:val="17"/>
          <w:color w:val="auto"/>
        </w:rPr>
        <w:t>During 2011, we reviewed our inventory policy to determine if the existing reserve for obsolescence and loss was appropriate. The policy at the time provided reserves on a schedule that weighted inventory over a two year period, but the maximum reserve was 80% of inventory value, regardless of the age of inventory. We modified the policy to account for more distinct periods, and to fully reserve any inventory that was over two years old. The policy provides for aging of inventory as follows:</w:t>
      </w:r>
    </w:p>
    <w:p>
      <w:pPr>
        <w:spacing w:after="0" w:line="199" w:lineRule="exact"/>
        <w:rPr>
          <w:sz w:val="20"/>
          <w:szCs w:val="20"/>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Less than 360 days—10%</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Between 360 and 540 days—50%</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Between 540 and 720—80%</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Over 720 days—100%</w:t>
      </w:r>
    </w:p>
    <w:p>
      <w:pPr>
        <w:spacing w:after="0" w:line="224" w:lineRule="exact"/>
        <w:rPr>
          <w:sz w:val="20"/>
          <w:szCs w:val="20"/>
          <w:color w:val="auto"/>
        </w:rPr>
      </w:pPr>
    </w:p>
    <w:p>
      <w:pPr>
        <w:ind w:firstLine="338"/>
        <w:spacing w:after="0" w:line="287" w:lineRule="auto"/>
        <w:rPr>
          <w:sz w:val="20"/>
          <w:szCs w:val="20"/>
          <w:color w:val="auto"/>
        </w:rPr>
      </w:pPr>
      <w:r>
        <w:rPr>
          <w:rFonts w:ascii="Arial" w:cs="Arial" w:eastAsia="Arial" w:hAnsi="Arial"/>
          <w:sz w:val="16"/>
          <w:szCs w:val="16"/>
          <w:color w:val="auto"/>
        </w:rPr>
        <w:t>We considered the following factors in our determination of the appropriate reserve level: how often we buy material in bulk that lasts for more than 12 months of supply; changes in material costs over a 24 month period; the overall market value of raw material, semi-finished goods and finished goods across our varied product lines and within markets; changes in expected demand for our products; the change in valuations historically; the determined safety stock for key customers; and the likelihood of postponement in delivery schedules for materials already placed in finished goods inventory.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for income taxes</w:t>
      </w:r>
    </w:p>
    <w:p>
      <w:pPr>
        <w:spacing w:after="0" w:line="224"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We account for income taxes in accordance with the provisions of ASC 740, Income Taxes.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our tax returns.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8" w:lineRule="exact"/>
        <w:rPr>
          <w:sz w:val="20"/>
          <w:szCs w:val="20"/>
          <w:color w:val="auto"/>
        </w:rPr>
      </w:pPr>
    </w:p>
    <w:p>
      <w:pPr>
        <w:ind w:right="120" w:firstLine="338"/>
        <w:spacing w:after="0" w:line="303" w:lineRule="auto"/>
        <w:rPr>
          <w:sz w:val="20"/>
          <w:szCs w:val="20"/>
          <w:color w:val="auto"/>
        </w:rPr>
      </w:pPr>
      <w:r>
        <w:rPr>
          <w:rFonts w:ascii="Arial" w:cs="Arial" w:eastAsia="Arial" w:hAnsi="Arial"/>
          <w:sz w:val="15"/>
          <w:szCs w:val="15"/>
          <w:i w:val="1"/>
          <w:iCs w:val="1"/>
          <w:color w:val="auto"/>
        </w:rPr>
        <w:t xml:space="preserve">ASU 2011-04. </w:t>
      </w:r>
      <w:r>
        <w:rPr>
          <w:rFonts w:ascii="Arial" w:cs="Arial" w:eastAsia="Arial" w:hAnsi="Arial"/>
          <w:sz w:val="15"/>
          <w:szCs w:val="15"/>
          <w:color w:val="auto"/>
        </w:rPr>
        <w:t>In May 2011, the FASB issued ASU 2011-04,</w:t>
      </w:r>
      <w:r>
        <w:rPr>
          <w:rFonts w:ascii="Arial" w:cs="Arial" w:eastAsia="Arial" w:hAnsi="Arial"/>
          <w:sz w:val="15"/>
          <w:szCs w:val="15"/>
          <w:i w:val="1"/>
          <w:iCs w:val="1"/>
          <w:color w:val="auto"/>
        </w:rPr>
        <w:t xml:space="preserve"> Fair Value Measurement (Topic 820): Amendments to Achieve Common Fair Value Measurement and Disclosure Requirements in U.S. GAAP and IFRS</w:t>
      </w:r>
      <w:r>
        <w:rPr>
          <w:rFonts w:ascii="Arial" w:cs="Arial" w:eastAsia="Arial" w:hAnsi="Arial"/>
          <w:sz w:val="15"/>
          <w:szCs w:val="15"/>
          <w:color w:val="auto"/>
        </w:rPr>
        <w:t>. This ASU represents the converged guidance of the FASB and the IASB on measuring fair value and for</w:t>
      </w:r>
      <w:r>
        <w:rPr>
          <w:rFonts w:ascii="Arial" w:cs="Arial" w:eastAsia="Arial" w:hAnsi="Arial"/>
          <w:sz w:val="15"/>
          <w:szCs w:val="15"/>
          <w:i w:val="1"/>
          <w:iCs w:val="1"/>
          <w:color w:val="auto"/>
        </w:rPr>
        <w:t xml:space="preserve"> </w:t>
      </w:r>
      <w:r>
        <w:rPr>
          <w:rFonts w:ascii="Arial" w:cs="Arial" w:eastAsia="Arial" w:hAnsi="Arial"/>
          <w:sz w:val="15"/>
          <w:szCs w:val="15"/>
          <w:color w:val="auto"/>
        </w:rPr>
        <w:t>disclosing information about fair value measurements. The amendments in this ASU clarify our board of directors' intent about the application of existing fair value measurement and disclosure requirements and changes particular principles or requirements for measuring fair value and for disclosing information about fair value measurements. ASU 2011-04 is effective prospectively for interim and annual reporting periods beginning after December 15, 2011. We adopted the provisions of ASU 2011-04 on January 1, 2012, and the adoption of this standard did not have a material impact on our financial position, results of operations, or cash flows.</w:t>
      </w:r>
    </w:p>
    <w:p>
      <w:pPr>
        <w:spacing w:after="0" w:line="162" w:lineRule="exact"/>
        <w:rPr>
          <w:sz w:val="20"/>
          <w:szCs w:val="20"/>
          <w:color w:val="auto"/>
        </w:rPr>
      </w:pPr>
    </w:p>
    <w:p>
      <w:pPr>
        <w:ind w:right="60" w:firstLine="338"/>
        <w:spacing w:after="0" w:line="279" w:lineRule="auto"/>
        <w:rPr>
          <w:sz w:val="20"/>
          <w:szCs w:val="20"/>
          <w:color w:val="auto"/>
        </w:rPr>
      </w:pPr>
      <w:r>
        <w:rPr>
          <w:rFonts w:ascii="Arial" w:cs="Arial" w:eastAsia="Arial" w:hAnsi="Arial"/>
          <w:sz w:val="16"/>
          <w:szCs w:val="16"/>
          <w:i w:val="1"/>
          <w:iCs w:val="1"/>
          <w:color w:val="auto"/>
        </w:rPr>
        <w:t xml:space="preserve">ASU 2011-05. </w:t>
      </w:r>
      <w:r>
        <w:rPr>
          <w:rFonts w:ascii="Arial" w:cs="Arial" w:eastAsia="Arial" w:hAnsi="Arial"/>
          <w:sz w:val="16"/>
          <w:szCs w:val="16"/>
          <w:color w:val="auto"/>
        </w:rPr>
        <w:t>In June 2011, the FASB issued ASU 2011-05,</w:t>
      </w:r>
      <w:r>
        <w:rPr>
          <w:rFonts w:ascii="Arial" w:cs="Arial" w:eastAsia="Arial" w:hAnsi="Arial"/>
          <w:sz w:val="16"/>
          <w:szCs w:val="16"/>
          <w:i w:val="1"/>
          <w:iCs w:val="1"/>
          <w:color w:val="auto"/>
        </w:rPr>
        <w:t xml:space="preserve"> Comprehensive Income (Topic 220): Presentation of Comprehensive Income</w:t>
      </w:r>
      <w:r>
        <w:rPr>
          <w:rFonts w:ascii="Arial" w:cs="Arial" w:eastAsia="Arial" w:hAnsi="Arial"/>
          <w:sz w:val="16"/>
          <w:szCs w:val="16"/>
          <w:color w:val="auto"/>
        </w:rPr>
        <w:t>. The amendments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ASU allow an entity the option to present the total of comprehensive income, the components of net income, and the components of other comprehensive income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This ASU eliminates the option to present the components of other comprehensive income as part of the statement of changes in stockholders' equity. ASU 2011-05 should be applied retrospectively for interim and annual reporting periods beginning after December 15, 2011 with early adoption permitted. We early adopted the provisions of ASU 2011-05 during the fourth quarter of 2011, and the adoption of this standard did not have a material impact on our financial position, results of operations, or cash flows.</w:t>
      </w:r>
    </w:p>
    <w:p>
      <w:pPr>
        <w:spacing w:after="0" w:line="177" w:lineRule="exact"/>
        <w:rPr>
          <w:sz w:val="20"/>
          <w:szCs w:val="20"/>
          <w:color w:val="auto"/>
        </w:rPr>
      </w:pPr>
    </w:p>
    <w:p>
      <w:pPr>
        <w:ind w:firstLine="338"/>
        <w:spacing w:after="0" w:line="279" w:lineRule="auto"/>
        <w:rPr>
          <w:sz w:val="20"/>
          <w:szCs w:val="20"/>
          <w:color w:val="auto"/>
        </w:rPr>
      </w:pPr>
      <w:r>
        <w:rPr>
          <w:rFonts w:ascii="Arial" w:cs="Arial" w:eastAsia="Arial" w:hAnsi="Arial"/>
          <w:sz w:val="16"/>
          <w:szCs w:val="16"/>
          <w:i w:val="1"/>
          <w:iCs w:val="1"/>
          <w:color w:val="auto"/>
        </w:rPr>
        <w:t xml:space="preserve">ASU 2011-12. </w:t>
      </w:r>
      <w:r>
        <w:rPr>
          <w:rFonts w:ascii="Arial" w:cs="Arial" w:eastAsia="Arial" w:hAnsi="Arial"/>
          <w:sz w:val="16"/>
          <w:szCs w:val="16"/>
          <w:color w:val="auto"/>
        </w:rPr>
        <w:t>In December 2011, the FASB issued ASU 2011-12,</w:t>
      </w:r>
      <w:r>
        <w:rPr>
          <w:rFonts w:ascii="Arial" w:cs="Arial" w:eastAsia="Arial" w:hAnsi="Arial"/>
          <w:sz w:val="16"/>
          <w:szCs w:val="16"/>
          <w:i w:val="1"/>
          <w:iCs w:val="1"/>
          <w:color w:val="auto"/>
        </w:rPr>
        <w:t xml:space="preserve"> Deferral of the Effective Date for Amendment to the Presentation of Reclassifications of Items Out of Accumulated Other Comprehensive Income (Topic 220): Presentation of Comprehensive Income</w:t>
      </w:r>
      <w:r>
        <w:rPr>
          <w:rFonts w:ascii="Arial" w:cs="Arial" w:eastAsia="Arial" w:hAnsi="Arial"/>
          <w:sz w:val="16"/>
          <w:szCs w:val="16"/>
          <w:color w:val="auto"/>
        </w:rPr>
        <w:t>. This ASU defers the guidance on whether to require</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to present reclassification adjustments out of accumulated other comprehensive income by component in both the statement where net income is presented and the statement where other comprehensive income is presented for both interim and annual financial statements. ASU 2011-12 reinstated the requirements for the presentation of reclassifications that were in place prior to the issuance of ASU 2011-05 and did not change the effective date of ASU 2011-05. ASU 2011-12 should be applied consistently with ASU 2011-05; accordingly, this ASU is to be applied retrospectively for interim and annual reporting periods beginning after December 15, 2011, with early adoption permitted. We early adopted the provisions of ASU 2011-12 during the fourth quarter of 2011, and the adoption of this standard did not have a material impact on our financial position, results of operations, or cash flows.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ind w:right="40" w:firstLine="338"/>
        <w:spacing w:after="0" w:line="299" w:lineRule="auto"/>
        <w:rPr>
          <w:sz w:val="20"/>
          <w:szCs w:val="20"/>
          <w:color w:val="auto"/>
        </w:rPr>
      </w:pPr>
      <w:r>
        <w:rPr>
          <w:rFonts w:ascii="Arial" w:cs="Arial" w:eastAsia="Arial" w:hAnsi="Arial"/>
          <w:sz w:val="15"/>
          <w:szCs w:val="15"/>
          <w:color w:val="auto"/>
        </w:rPr>
        <w:t>We are a leading, vertically integrated provider of fiber-optic networking products. We target three networking end-markets: CATV, FTTH and internet data centers.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CATV, FTTH and internet data center markets which increasingly demand faster connectivity and innovation. In 2012, our products were used by the five largest CATV equipment OEMs, consisting of Arris Group Inc., Aurora Networks, Inc., Cisco Systems, Inc., Harmonic Inc. and Motorola Mobility Holdings, Inc. Our key customers in the CATV market in 2012 based on revenue included Cisco Systems, Inc. and Biogenomics Corp., a distributor. In 2012, our key customer in the FTTH market based on revenue included Genexis B.V., and our key customer in the internet data center market based on revenue included Microsoft Corporation.</w:t>
      </w:r>
    </w:p>
    <w:p>
      <w:pPr>
        <w:spacing w:after="0" w:line="164" w:lineRule="exact"/>
        <w:rPr>
          <w:sz w:val="20"/>
          <w:szCs w:val="20"/>
          <w:color w:val="auto"/>
        </w:rPr>
      </w:pPr>
    </w:p>
    <w:p>
      <w:pPr>
        <w:ind w:right="120" w:firstLine="338"/>
        <w:spacing w:after="0" w:line="293" w:lineRule="auto"/>
        <w:rPr>
          <w:sz w:val="20"/>
          <w:szCs w:val="20"/>
          <w:color w:val="auto"/>
        </w:rPr>
      </w:pPr>
      <w:r>
        <w:rPr>
          <w:rFonts w:ascii="Arial" w:cs="Arial" w:eastAsia="Arial" w:hAnsi="Arial"/>
          <w:sz w:val="15"/>
          <w:szCs w:val="15"/>
          <w:color w:val="auto"/>
        </w:rPr>
        <w:t>The three end markets we target are all driven by significant bandwidth demand fueled by the growth of network-connected devices, video traffic, cloud computing and online social networking. According to Cisco Systems' 2013 Visual Networking Index, global network traffic is expected to grow at a compound annual growth rate of 23% from 2012 to 2017. To address this increased bandwidth demand, CATV and telecommunications service providers are competing directly against each other by providing bundles of voice, video and data services to their subscribers and investing to enhance the capacity and capability of their networks. The trend of rising bandwidth consumption also impacts the internet data center market, as reflected in the shift to higher speed server connections. According to a 2013 Infonetics report, 10 gigabit ethernet enterprise port shipments in 2012 were 14.7 million and are projected to grow to 110.6 million in 2017, representing a</w:t>
      </w:r>
    </w:p>
    <w:p>
      <w:pPr>
        <w:spacing w:after="0" w:line="1"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49.7% CAGR. As a result of these trends, fiber-optic networking technology is becoming essential in all three of our target markets, as it is often the only economic way to deliver the required bandwidth.</w:t>
      </w:r>
    </w:p>
    <w:p>
      <w:pPr>
        <w:spacing w:after="0" w:line="175"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CATV market is our largest and most established market, for which we supply a broad array of products including lasers, transmitters and turn-key equipment. Sales of headend, node and distribution equipment have contributed significantly to our growth in recent years as a result of our ability to meet the needs of CATV equipment vendors who have begun to outsource both the design and manufacture of this equipment. While these equipment vendors have relied upon third parties to assemble products for some time, only recently have they started to shift the design of equipment to other parties due in part to the sophisticated engineering expertise needed to perform this work. We believe that our extensive high-speed optical, mixed-signal semiconductor and mechanical engineering capabilities position us well to benefit from it.</w:t>
      </w:r>
    </w:p>
    <w:p>
      <w:pPr>
        <w:spacing w:after="0" w:line="188" w:lineRule="exact"/>
        <w:rPr>
          <w:sz w:val="20"/>
          <w:szCs w:val="20"/>
          <w:color w:val="auto"/>
        </w:rPr>
      </w:pPr>
    </w:p>
    <w:p>
      <w:pPr>
        <w:ind w:right="20" w:firstLine="341"/>
        <w:spacing w:after="0" w:line="262" w:lineRule="auto"/>
        <w:rPr>
          <w:sz w:val="20"/>
          <w:szCs w:val="20"/>
          <w:color w:val="auto"/>
        </w:rPr>
      </w:pPr>
      <w:r>
        <w:rPr>
          <w:rFonts w:ascii="Arial" w:cs="Arial" w:eastAsia="Arial" w:hAnsi="Arial"/>
          <w:sz w:val="17"/>
          <w:szCs w:val="17"/>
          <w:color w:val="auto"/>
        </w:rPr>
        <w:t>Our vertically integrated manufacturing model provides us several advantages, including rapid product development, fast response times to customer requests and better control over product quality and manufacturing costs. We design, manufacture and integrate our own analog and digital lasers using a proprietary MBE fabrication process, which we believe is unique in our industry. We manufacture the majority of the laser chips and optical components that are used in our products. The lasers we manufacture are proven to be reliable over time and highly tolerant of changes in temperature and humidity, making them well-suited to the CATV and FTTH markets where networking equipment is often installed outdoors. We believe the superior performance of our lasers is evidenced by our leading share of lasers installed in CATV networks today.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firstLine="338"/>
        <w:spacing w:after="0" w:line="265" w:lineRule="auto"/>
        <w:rPr>
          <w:sz w:val="20"/>
          <w:szCs w:val="20"/>
          <w:color w:val="auto"/>
        </w:rPr>
      </w:pPr>
      <w:r>
        <w:rPr>
          <w:rFonts w:ascii="Arial" w:cs="Arial" w:eastAsia="Arial" w:hAnsi="Arial"/>
          <w:sz w:val="17"/>
          <w:szCs w:val="17"/>
          <w:color w:val="auto"/>
        </w:rPr>
        <w:t>We are based in Sugar Land, Texas, where we design and fabricate our lasers, and conduct most of our research and development efforts. At our facilities in Ningbo, China, and Taipei, Taiwan, we complete the assembly of our lasers and photodiodes and also design and assemble our module and equipment products, utilizing a combination of advanced automation and skilled labor. In addition to our global sales team in the U.S., we also have regional sales teams located in China and Taiwan.</w:t>
      </w:r>
    </w:p>
    <w:p>
      <w:pPr>
        <w:spacing w:after="0" w:line="185"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Our revenues in 2012 were $63.4 million and our gross margin was 29.8%. For the six-month period ended June 30, 2013, our revenue was $33.9 million and our gross margin was 29.6%. We have grown our revenue at a CAGR of 36.4% from 2009 to 2012. In the years ended December 31, 2010, 2011 and 2012 and the six months ended June 30, 2012 and 2013, we incurred net losses of $3.4 million, $5.3 million, $0.9 million, $0.6 million and $1.3 million, respectively, and our accumulated deficit at December 31, 2012 and June 30, 2013 was $81.9 million and $83.2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Background</w:t>
      </w:r>
    </w:p>
    <w:p>
      <w:pPr>
        <w:spacing w:after="0" w:line="228" w:lineRule="exact"/>
        <w:rPr>
          <w:sz w:val="20"/>
          <w:szCs w:val="20"/>
          <w:color w:val="auto"/>
        </w:rPr>
      </w:pPr>
    </w:p>
    <w:p>
      <w:pPr>
        <w:ind w:right="160" w:firstLine="341"/>
        <w:spacing w:after="0" w:line="306" w:lineRule="auto"/>
        <w:rPr>
          <w:sz w:val="20"/>
          <w:szCs w:val="20"/>
          <w:color w:val="auto"/>
        </w:rPr>
      </w:pPr>
      <w:r>
        <w:rPr>
          <w:rFonts w:ascii="Arial" w:cs="Arial" w:eastAsia="Arial" w:hAnsi="Arial"/>
          <w:sz w:val="15"/>
          <w:szCs w:val="15"/>
          <w:color w:val="auto"/>
        </w:rPr>
        <w:t>Our three target markets of CATV, FTTH and internet data centers share a common trend of a significant growth in bandwidth consumption, and the corresponding need for network infrastructure improvement to support it. Within the CATV and FTTH markets, the speed of a broadband connection determines the types and quality of services that can be offered, and competitive pressure among service providers is spurring ever faster broadband connectivity. According to the Akamai State of the Internet report for the first quarter of 2013, the number of 10 megabit or faster broadband connections in the U.S. rose 69% year-over-year. Akamai reported that, globally, the average connection speed increased 17% over the prior year, including growth in nine out of the top 10 countries.</w:t>
      </w:r>
    </w:p>
    <w:p>
      <w:pPr>
        <w:spacing w:after="0" w:line="159"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Government encouragement and sponsorship of enhanced broadband service is contributing to investment in access networks. For instance, in January 2013, the U.S. Federal Communications Commission announced the "Gigabit City Challenge," setting a goal of at least one community per state with 1 gigabit per second broadband by 2015. Similarly, according to Infonetics, China's State Agency for Radio, Film, and Television (SARFT) announced a $30 billion Next Generation Broadband (NGB) stimulus program in 2009 to support the construction of critical networking infrastructure and promote the delivery of enhanced voice, video and data services between 2009 and 2015.</w:t>
      </w:r>
    </w:p>
    <w:p>
      <w:pPr>
        <w:spacing w:after="0" w:line="187" w:lineRule="exact"/>
        <w:rPr>
          <w:sz w:val="20"/>
          <w:szCs w:val="20"/>
          <w:color w:val="auto"/>
        </w:rPr>
      </w:pPr>
    </w:p>
    <w:p>
      <w:pPr>
        <w:ind w:right="40" w:firstLine="338"/>
        <w:spacing w:after="0" w:line="281" w:lineRule="auto"/>
        <w:rPr>
          <w:sz w:val="20"/>
          <w:szCs w:val="20"/>
          <w:color w:val="auto"/>
        </w:rPr>
      </w:pPr>
      <w:r>
        <w:rPr>
          <w:rFonts w:ascii="Arial" w:cs="Arial" w:eastAsia="Arial" w:hAnsi="Arial"/>
          <w:sz w:val="16"/>
          <w:szCs w:val="16"/>
          <w:color w:val="auto"/>
        </w:rPr>
        <w:t>The commercial opportunity to provide ultra-high speed broadband services is also attracting private sector interest. For example, in 2010 Google announced plans to build a network, known as Google Fiber, to deliver up to 1 gigabit per second service to residences, approximately 100 times faster than the current average peak rate in the U.S. The network became operative late in 2012 in Kansas City, and Google has announced that additional cities are to be activated in 2013 and 2014. We are not aware of our products currently being used in the Kansas City network. To deliver this dramatically greater bandwidth, Google is utilizing very advanced optical networking technology. The Google Fiber network demonstrates the ability to deliver dramatically more bandwidth to an end user, and may prompt traditional network service providers to accelerate investment in advanced optical networking solutions.</w:t>
      </w:r>
    </w:p>
    <w:p>
      <w:pPr>
        <w:spacing w:after="0" w:line="176" w:lineRule="exact"/>
        <w:rPr>
          <w:sz w:val="20"/>
          <w:szCs w:val="20"/>
          <w:color w:val="auto"/>
        </w:rPr>
      </w:pPr>
    </w:p>
    <w:p>
      <w:pPr>
        <w:ind w:right="460" w:firstLine="341"/>
        <w:spacing w:after="0" w:line="282" w:lineRule="auto"/>
        <w:rPr>
          <w:sz w:val="20"/>
          <w:szCs w:val="20"/>
          <w:color w:val="auto"/>
        </w:rPr>
      </w:pPr>
      <w:r>
        <w:rPr>
          <w:rFonts w:ascii="Arial" w:cs="Arial" w:eastAsia="Arial" w:hAnsi="Arial"/>
          <w:sz w:val="17"/>
          <w:szCs w:val="17"/>
          <w:color w:val="auto"/>
        </w:rPr>
        <w:t>Based upon data prepared by Ovum, we estimate that our addressable segments of the CATV, FTTH and internet data center markets represented an annual revenue opportunity of $2.2 billion in 2012.</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Trends in the CATV Market</w:t>
      </w:r>
    </w:p>
    <w:p>
      <w:pPr>
        <w:spacing w:after="0" w:line="224" w:lineRule="exact"/>
        <w:rPr>
          <w:sz w:val="20"/>
          <w:szCs w:val="20"/>
          <w:color w:val="auto"/>
        </w:rPr>
      </w:pPr>
    </w:p>
    <w:p>
      <w:pPr>
        <w:ind w:right="80" w:firstLine="341"/>
        <w:spacing w:after="0" w:line="279" w:lineRule="auto"/>
        <w:rPr>
          <w:sz w:val="20"/>
          <w:szCs w:val="20"/>
          <w:color w:val="auto"/>
        </w:rPr>
      </w:pPr>
      <w:r>
        <w:rPr>
          <w:rFonts w:ascii="Arial" w:cs="Arial" w:eastAsia="Arial" w:hAnsi="Arial"/>
          <w:sz w:val="16"/>
          <w:szCs w:val="16"/>
          <w:color w:val="auto"/>
        </w:rPr>
        <w:t>CATV service providers have been upgrading their hybrid fiber coaxial networks, which use a combination of optical fiber and coaxial cable, to support high speed, two-way communications. According to a 2013 Infonetics report, CATV service providers have spent approximately $39 billion from 2008 through 2012 on upgrades and extensions to their networking infrastructure, including $24 billion spent in North America. Broadcast video services remain the primary offering for CATV service providers, who compete in part on the breadth of high definition, or HD, TV content and on-demand programming they offer. CATV network operators can leverage an upgraded network to deliver additional services such as enhanced voice and broadband connectivity. Enhanced broadcast video and data connectivity services have had a profound effect on CATV network architecture, as they require substantially greater bandwidth to a home (the "forward path"), and two-way communications (introducing a "return path" from the home). In a 2013 report, Infonetics estimated that 53 million broadband subscribers in North America, or 54% of total North American broadband subscribers, received their service through a CATV network at the end of 2012.</w:t>
      </w:r>
    </w:p>
    <w:p>
      <w:pPr>
        <w:spacing w:after="0" w:line="177"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Outside of the U.S., the opportunity for CATV growth is significant. For instance, China's installed cable infrastructure is significantly larger than that of the U.S., with over 200 million cable television subscribers. Nearly half of China's cable television subscribers are served by relatively low capacity, one-way cable networks today, and China has implemented a government stimulus program to upgrade broadband infrastructure. As a result, we believe that the Chinese CATV service providers will invest significantly in coming years.</w:t>
      </w:r>
    </w:p>
    <w:p>
      <w:pPr>
        <w:spacing w:after="0" w:line="185"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Consolidation among CATV equipment companies has continued in recent years, putting pressure on the largest companies to streamline their operations, improve profitability and focus their resources. In response, many of these CATV equipment companies have begun to outsource not only the manufacturing of equipment, but more important to us, they have begun to outsource the system design function as well. Outsourcing of system design is significantly more challenging than simply shifting the assembly of equipment to a third party manufacturer. The complex interworking of optical, radio frequency and electrical technologies, as well as the physical challenges imposed by the harsh and unregulated conditions in which the CATV equipment is installed, requires deep technical knowledge of high-speed optical, mixed-signal semiconductor and mechanical engineering. Field failure of equipment is costly and problematic for CATV network operators, so they expect equipment providers to provide extremely reliable and durable solutions. As a result, the decision by a major CATV equipment company to outsource design and manufacture to a third party is made carefully, and once an outsourced design partner is selected, CATV equipment companies are typically very reluctant to change vendors. Moreover, once the design function is outsourced to a third party, the reallocation of internal resources previously performing that function makes it difficult for the equipment company to return to internally designing equipment.</w:t>
      </w:r>
    </w:p>
    <w:p>
      <w:pPr>
        <w:spacing w:after="0" w:line="176"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Based upon data prepared by Ovum, we estimate that our addressable segment of the CATV market represented an annual revenue opportunity of $850 million in 2012.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Trends in the FTTH Market</w:t>
      </w:r>
    </w:p>
    <w:p>
      <w:pPr>
        <w:spacing w:after="0" w:line="224"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FTTH market generally refers to the Passive Optical Networks, or PONs, that telecommunications service providers are deploying. PONs take their name from the use of passive splitters to divide the optical signal provided to each residential user over a shared fiber-optic cable from a service provider's central office. The equipment in the service provider's central office is called an optical line terminal, or OLT, and the equipment at the end user is an optical network unit, or ONU. A PON supports significantly greater bandwidth than does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legacy copper wire network, although the connection speed to a user (the "downstream" speed) is higher than the connection speed from the user (the "upstream" speed). In the U.S., Verizon's FIOS service and AT&amp;T's uVerse offering are examples of PON deployments, and PONs have been widely deployed in Japan, Korea and selected cities in Europe as well. According to a 2013 Infonetics report, worldwide FTTH subscribers are expected to grow from 57 million in 2012 to 149 million in 2017, representing a CAGR of 21%, with the growth of higher speed FTTH connections among those subscribers being greater than the overall growth of FTTH connectivity.</w:t>
      </w:r>
    </w:p>
    <w:p>
      <w:pPr>
        <w:spacing w:after="0" w:line="187"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Over time, the technology used in PONs has evolved to meet the increased bandwidth demand from users. At present, the most commonly deployed PON technology is GPON, or Gigabit PON, which delivers up to 2.5 gigabits per second of data downstream, split among subscribers, and 1.5 gigabits per second upstream. Due to the splitting of the bandwidth among multiple users—often as many as 32—the actual bandwidth delivered to an individual subscriber is far less than the 2.5 gigabits per second supported by the GPON equipment. To deliver more bandwidth to a subscriber, a service provider can reduce the split ratio or change the PON technology. Reducing the number of subscribers supported by a single OLT may be less expensive for modest, incremental upgrades, but may not be the most economical solution to deliver the significant increases in bandwidth needed to support 1 gigabit per second service to the home, as encouraged by the FCC's Gigabit Challenge.</w:t>
      </w:r>
    </w:p>
    <w:p>
      <w:pPr>
        <w:spacing w:after="0" w:line="190" w:lineRule="exact"/>
        <w:rPr>
          <w:sz w:val="20"/>
          <w:szCs w:val="20"/>
          <w:color w:val="auto"/>
        </w:rPr>
      </w:pPr>
    </w:p>
    <w:p>
      <w:pPr>
        <w:ind w:right="180" w:firstLine="341"/>
        <w:spacing w:after="0" w:line="283" w:lineRule="auto"/>
        <w:rPr>
          <w:sz w:val="20"/>
          <w:szCs w:val="20"/>
          <w:color w:val="auto"/>
        </w:rPr>
      </w:pPr>
      <w:r>
        <w:rPr>
          <w:rFonts w:ascii="Arial" w:cs="Arial" w:eastAsia="Arial" w:hAnsi="Arial"/>
          <w:sz w:val="16"/>
          <w:szCs w:val="16"/>
          <w:color w:val="auto"/>
        </w:rPr>
        <w:t>One approach that does support 1 gigabit per second service to the home connection is WDM-PON, or wavelength division multiplexing PON. Well-proven in other areas of the network for decades, WDM technology enables the transmission of multiple wavelengths of data over a single fiber-optic strand, thus significantly increasing the bandwidth of the physical fiber connection. Due to this significant increase in bandwidth supported with WDM-PON, the cost per bit delivered to a subscriber is lower than that for GPON—at faster connection speeds. In addition to providing more bandwidth, WDM-PON offers a subscriber superior privacy and the service provider better scalability because each subscriber has a dedicated wavelength rather than a shared one.</w:t>
      </w:r>
    </w:p>
    <w:p>
      <w:pPr>
        <w:spacing w:after="0" w:line="174"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Based upon data prepared by Ovum, we estimate that our addressable segment of the FTTH market represented an annual revenue opportunity of $704 million in 2012.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Trends in the Internet Data Center Market</w:t>
      </w:r>
    </w:p>
    <w:p>
      <w:pPr>
        <w:spacing w:after="0" w:line="224" w:lineRule="exact"/>
        <w:rPr>
          <w:sz w:val="20"/>
          <w:szCs w:val="20"/>
          <w:color w:val="auto"/>
        </w:rPr>
      </w:pPr>
    </w:p>
    <w:p>
      <w:pPr>
        <w:ind w:right="40" w:firstLine="332"/>
        <w:spacing w:after="0" w:line="280" w:lineRule="auto"/>
        <w:rPr>
          <w:sz w:val="20"/>
          <w:szCs w:val="20"/>
          <w:color w:val="auto"/>
        </w:rPr>
      </w:pPr>
      <w:r>
        <w:rPr>
          <w:rFonts w:ascii="Arial" w:cs="Arial" w:eastAsia="Arial" w:hAnsi="Arial"/>
          <w:sz w:val="16"/>
          <w:szCs w:val="16"/>
          <w:color w:val="auto"/>
        </w:rPr>
        <w:t>An internet data center is structured in a layered format, with rows of servers within multiple racks, and each server and rack connecting through a switch. These rack switches then connect to each other, and ultimately to the service provider's network. The connections between these top-of-rack switches, and to the service provider's network, are increasingly done with higher-capacity optical networking technology. Legacy copper cables can carry signals at distances adequate to meet most needs within an enterprise or internet data center at speeds up to about 1 gigabit per second. However, at speeds of 10 gigabits per second and above, the signals sent over copper cables experience increasing attenuation and dispersion over distances common in large internet data center environments, making copper much less effective as a transmission medium. According to a 2013 Infonetics report, 10 gigabit ethernet enterprise port shipments in 2012 were 14.7 million and are projected to grow to 110.6 million in 2017, representing a 49.7% CAGR.</w:t>
      </w:r>
    </w:p>
    <w:p>
      <w:pPr>
        <w:spacing w:after="0" w:line="175"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In recent years, a number of leading internet companies such as Amazon.com Inc., Facebook, Inc., Google Inc. and Microsoft Corporation have begun to adopt more open internet data center architectures, using a mix of systems and components from a variety of vendors, and in some cases designing their own equipment. For these companies, compatibility of new networking equipment with legacy infrastructure is not as important, and as a consequence,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these companies are more willing to work with non-traditional equipment vendors. Non-traditional equipment vendors generally permit companies to source optical modules from any vendor, thus creating an open and growing opportunity for optical device vendors.</w:t>
      </w:r>
    </w:p>
    <w:p>
      <w:pPr>
        <w:spacing w:after="0" w:line="170" w:lineRule="exact"/>
        <w:rPr>
          <w:sz w:val="20"/>
          <w:szCs w:val="20"/>
          <w:color w:val="auto"/>
        </w:rPr>
      </w:pPr>
    </w:p>
    <w:p>
      <w:pPr>
        <w:ind w:right="340" w:firstLine="341"/>
        <w:spacing w:after="0" w:line="282" w:lineRule="auto"/>
        <w:rPr>
          <w:sz w:val="20"/>
          <w:szCs w:val="20"/>
          <w:color w:val="auto"/>
        </w:rPr>
      </w:pPr>
      <w:r>
        <w:rPr>
          <w:rFonts w:ascii="Arial" w:cs="Arial" w:eastAsia="Arial" w:hAnsi="Arial"/>
          <w:sz w:val="17"/>
          <w:szCs w:val="17"/>
          <w:color w:val="auto"/>
        </w:rPr>
        <w:t>Based upon data prepared by research firm Ovum, we estimate that our addressable segment of the internet data center market represented an annual revenue opportunity of $638 million in 2012.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Challenges in Our Markets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key challenges that we experience in our markets include:</w:t>
      </w:r>
    </w:p>
    <w:p>
      <w:pPr>
        <w:spacing w:after="0" w:line="237" w:lineRule="exact"/>
        <w:rPr>
          <w:sz w:val="20"/>
          <w:szCs w:val="20"/>
          <w:color w:val="auto"/>
        </w:rPr>
      </w:pPr>
    </w:p>
    <w:p>
      <w:pPr>
        <w:ind w:left="1060" w:hanging="531"/>
        <w:spacing w:after="0" w:line="303" w:lineRule="auto"/>
        <w:tabs>
          <w:tab w:leader="none" w:pos="1060" w:val="left"/>
        </w:tabs>
        <w:numPr>
          <w:ilvl w:val="0"/>
          <w:numId w:val="4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Continuous pressure for innovation. </w:t>
      </w:r>
      <w:r>
        <w:rPr>
          <w:rFonts w:ascii="Arial" w:cs="Arial" w:eastAsia="Arial" w:hAnsi="Arial"/>
          <w:sz w:val="15"/>
          <w:szCs w:val="15"/>
          <w:color w:val="auto"/>
        </w:rPr>
        <w:t>To enhance their competitiveness and improve the financial returns on their infrastructure investments, CATV</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FTTH network operators seek to regularly introduce new service offerings, increase the bandwidth provided to each user and reduce their operating costs. These operators work with their equipment and optical device suppliers to develop innovative technology that enables desired enhancements. Within the internet data center market, industry-leading technology companies such as Google, Facebook, Microsoft Corporation and Amazon are internally designing and developing internet data centers to deliver cloud-based solutions. These companies are, in many cases, working with third parties to design custom data-center equipment to improve their internet data center performance and differentiate their services from other vendors.</w:t>
      </w:r>
    </w:p>
    <w:p>
      <w:pPr>
        <w:spacing w:after="0" w:line="187" w:lineRule="exact"/>
        <w:rPr>
          <w:rFonts w:ascii="Arial" w:cs="Arial" w:eastAsia="Arial" w:hAnsi="Arial"/>
          <w:sz w:val="15"/>
          <w:szCs w:val="15"/>
          <w:color w:val="auto"/>
        </w:rPr>
      </w:pPr>
    </w:p>
    <w:p>
      <w:pPr>
        <w:ind w:left="1060" w:right="20" w:hanging="531"/>
        <w:spacing w:after="0" w:line="265"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Demand for highly integrated solutions. </w:t>
      </w:r>
      <w:r>
        <w:rPr>
          <w:rFonts w:ascii="Arial" w:cs="Arial" w:eastAsia="Arial" w:hAnsi="Arial"/>
          <w:sz w:val="17"/>
          <w:szCs w:val="17"/>
          <w:color w:val="auto"/>
        </w:rPr>
        <w:t>CATV and FTTH network operators are seeking integrated and customized solutions that meet 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 and performance requirements. Furthermore, network equipment manufacturers are seeking to simplify their supply chains and lower their costs by working with optical device vendors who can provide a broad range of products, including integrated modules and subsystems rather than simply supplying discrete optical components.</w:t>
      </w:r>
    </w:p>
    <w:p>
      <w:pPr>
        <w:spacing w:after="0" w:line="198" w:lineRule="exact"/>
        <w:rPr>
          <w:rFonts w:ascii="Arial" w:cs="Arial" w:eastAsia="Arial" w:hAnsi="Arial"/>
          <w:sz w:val="17"/>
          <w:szCs w:val="17"/>
          <w:color w:val="auto"/>
        </w:rPr>
      </w:pPr>
    </w:p>
    <w:p>
      <w:pPr>
        <w:ind w:left="1060" w:right="180" w:hanging="531"/>
        <w:spacing w:after="0" w:line="287" w:lineRule="auto"/>
        <w:tabs>
          <w:tab w:leader="none" w:pos="106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Need for reliable performance in harsh and demanding environments. </w:t>
      </w:r>
      <w:r>
        <w:rPr>
          <w:rFonts w:ascii="Arial" w:cs="Arial" w:eastAsia="Arial" w:hAnsi="Arial"/>
          <w:sz w:val="16"/>
          <w:szCs w:val="16"/>
          <w:color w:val="auto"/>
        </w:rPr>
        <w:t>Unlike optical devices deployed in the long haul and metro segments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telecom network, optical devices deployed in CATV and FTTH networks are typically installed outdoors, and occasionally in remote locations. As a result, these devices are subject to a wide range of temperatures and highly variable environmental conditions, and maintenance can be difficult. As a result of the difficulties associated with outdoor deployment, product quality and reliability are essential.</w:t>
      </w:r>
    </w:p>
    <w:p>
      <w:pPr>
        <w:spacing w:after="0" w:line="181" w:lineRule="exact"/>
        <w:rPr>
          <w:rFonts w:ascii="Arial" w:cs="Arial" w:eastAsia="Arial" w:hAnsi="Arial"/>
          <w:sz w:val="16"/>
          <w:szCs w:val="16"/>
          <w:color w:val="auto"/>
        </w:rPr>
      </w:pPr>
    </w:p>
    <w:p>
      <w:pPr>
        <w:ind w:left="1060" w:right="100" w:hanging="531"/>
        <w:spacing w:after="0" w:line="311" w:lineRule="auto"/>
        <w:tabs>
          <w:tab w:leader="none" w:pos="1060" w:val="left"/>
        </w:tabs>
        <w:numPr>
          <w:ilvl w:val="0"/>
          <w:numId w:val="4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Demand for production of high-quality devices in large volumes. </w:t>
      </w:r>
      <w:r>
        <w:rPr>
          <w:rFonts w:ascii="Arial" w:cs="Arial" w:eastAsia="Arial" w:hAnsi="Arial"/>
          <w:sz w:val="15"/>
          <w:szCs w:val="15"/>
          <w:color w:val="auto"/>
        </w:rPr>
        <w:t>Due to the high number of optical devices deployed in CATV and FTTH networks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well as in internet data centers, network equipment manufacturers seek vendors that can provide cost-effective and high-quality optical devices in large volumes. As the required bandwidth in CATV and FTTH networks increases and the shift to fiber-optic technologies continues in order to meet the bandwidth needs, the number of optical devices deployed in CATV and FTTH networks should continue to increase.</w:t>
      </w:r>
    </w:p>
    <w:p>
      <w:pPr>
        <w:spacing w:after="0" w:line="180" w:lineRule="exact"/>
        <w:rPr>
          <w:rFonts w:ascii="Arial" w:cs="Arial" w:eastAsia="Arial" w:hAnsi="Arial"/>
          <w:sz w:val="15"/>
          <w:szCs w:val="15"/>
          <w:color w:val="auto"/>
        </w:rPr>
      </w:pPr>
    </w:p>
    <w:p>
      <w:pPr>
        <w:ind w:left="1060" w:right="20" w:hanging="531"/>
        <w:spacing w:after="0" w:line="262"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Need for mixed signal communications expertise. </w:t>
      </w:r>
      <w:r>
        <w:rPr>
          <w:rFonts w:ascii="Arial" w:cs="Arial" w:eastAsia="Arial" w:hAnsi="Arial"/>
          <w:sz w:val="17"/>
          <w:szCs w:val="17"/>
          <w:color w:val="auto"/>
        </w:rPr>
        <w:t>As CATV network operators continue to shift from primarily broadcast-video content providers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data-connectivity providers, the networks they utilize to offer these services are evolving. For example, many newer networks are being designed with digital return-path capabilities. In this type of network, signals traveling from the cable office headend to the user residence, including digital video and data services, continue to be transported as analog signals, whereas signals traveling in the opposite direction, from the residence to the cable office headend, may now be carried as digital signals. This combination of analog and digital signaling creates unique challenges, which require high-performance networking equipment and optical technology.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Solutions</w:t>
      </w:r>
    </w:p>
    <w:p>
      <w:pPr>
        <w:spacing w:after="0" w:line="228" w:lineRule="exact"/>
        <w:rPr>
          <w:sz w:val="20"/>
          <w:szCs w:val="20"/>
          <w:color w:val="auto"/>
        </w:rPr>
      </w:pPr>
    </w:p>
    <w:p>
      <w:pPr>
        <w:ind w:right="340" w:firstLine="338"/>
        <w:spacing w:after="0" w:line="265" w:lineRule="auto"/>
        <w:rPr>
          <w:sz w:val="20"/>
          <w:szCs w:val="20"/>
          <w:color w:val="auto"/>
        </w:rPr>
      </w:pPr>
      <w:r>
        <w:rPr>
          <w:rFonts w:ascii="Arial" w:cs="Arial" w:eastAsia="Arial" w:hAnsi="Arial"/>
          <w:sz w:val="17"/>
          <w:szCs w:val="17"/>
          <w:color w:val="auto"/>
        </w:rPr>
        <w:t>We are a leading, vertically integrated provider of fiber-optic networking products. We are primarily focused on the higher-performance segments within the CATV, FTTH and internet data center markets which increasingly demand faster connectivity and new technologies. Our products include a broad range of optical communications-based products at varying levels of integration from components to complete turn-key systems that we design and manufacture for leading networking equipment companies. The key benefits of our products include:</w:t>
      </w:r>
    </w:p>
    <w:p>
      <w:pPr>
        <w:spacing w:after="0" w:line="199" w:lineRule="exact"/>
        <w:rPr>
          <w:sz w:val="20"/>
          <w:szCs w:val="20"/>
          <w:color w:val="auto"/>
        </w:rPr>
      </w:pPr>
    </w:p>
    <w:p>
      <w:pPr>
        <w:ind w:left="1060" w:right="40" w:hanging="531"/>
        <w:spacing w:after="0" w:line="263"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Enable customers to deliver innovative products. </w:t>
      </w:r>
      <w:r>
        <w:rPr>
          <w:rFonts w:ascii="Arial" w:cs="Arial" w:eastAsia="Arial" w:hAnsi="Arial"/>
          <w:sz w:val="17"/>
          <w:szCs w:val="17"/>
          <w:color w:val="auto"/>
        </w:rPr>
        <w:t>We leverage our deep expertise in high-speed optical, mixed-signal semiconductor and mechanical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engineering and our proprietary MBE laser fabrication process to deliver technologically advanced products to our customers. Our solutions enable our customers to offer a wide variety of innovative products that meet their desired performance needs and cost requirements. Similar to other competitors who have a vertically-integrated structure, our comprehensive manufacturing capabilities give us significant time-to-market advantages as well as the flexibility and agility to respond to changing customer needs.</w:t>
      </w:r>
    </w:p>
    <w:p>
      <w:pPr>
        <w:spacing w:after="0" w:line="213" w:lineRule="exact"/>
        <w:rPr>
          <w:rFonts w:ascii="Arial" w:cs="Arial" w:eastAsia="Arial" w:hAnsi="Arial"/>
          <w:sz w:val="17"/>
          <w:szCs w:val="17"/>
          <w:color w:val="auto"/>
        </w:rPr>
      </w:pPr>
    </w:p>
    <w:p>
      <w:pPr>
        <w:ind w:left="1060" w:right="180" w:hanging="531"/>
        <w:spacing w:after="0" w:line="263"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Enhance efficiency and cost effectiveness of our customers' supply chain. </w:t>
      </w:r>
      <w:r>
        <w:rPr>
          <w:rFonts w:ascii="Arial" w:cs="Arial" w:eastAsia="Arial" w:hAnsi="Arial"/>
          <w:sz w:val="17"/>
          <w:szCs w:val="17"/>
          <w:color w:val="auto"/>
        </w:rPr>
        <w:t>We design and sell products at the level of integration desired by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from components to turn-key equipment providing our customers a more dependable, cost-effective and simplified supply chain. By leveraging our vertical integration, proprietary expertise and our broad range of products, we can often design and manufacture new solutions rapidly and cost-effectively for our customers. For example, our integration capabilities have enabled us to benefit from the trend of outsourced design and manufacturing among CATV equipment vendors.</w:t>
      </w:r>
    </w:p>
    <w:p>
      <w:pPr>
        <w:spacing w:after="0" w:line="200" w:lineRule="exact"/>
        <w:rPr>
          <w:rFonts w:ascii="Arial" w:cs="Arial" w:eastAsia="Arial" w:hAnsi="Arial"/>
          <w:sz w:val="17"/>
          <w:szCs w:val="17"/>
          <w:color w:val="auto"/>
        </w:rPr>
      </w:pPr>
    </w:p>
    <w:p>
      <w:pPr>
        <w:ind w:left="1060" w:right="160" w:hanging="531"/>
        <w:spacing w:after="0" w:line="287" w:lineRule="auto"/>
        <w:tabs>
          <w:tab w:leader="none" w:pos="106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Deliver high quality, reliable products in high volume. </w:t>
      </w:r>
      <w:r>
        <w:rPr>
          <w:rFonts w:ascii="Arial" w:cs="Arial" w:eastAsia="Arial" w:hAnsi="Arial"/>
          <w:sz w:val="16"/>
          <w:szCs w:val="16"/>
          <w:color w:val="auto"/>
        </w:rPr>
        <w:t>As a vertically integrated supplier, we are able to monitor and maintain quality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throughout the production process, using our internally produced components where possible for our final products. By leveraging this greater degree of control throughout the entire production process, our proprietary MBE laser fabrication process and packaging technology, and our extensive facilities, we are able to deliver high-quality, highly-reliable and stable products in high volume.</w:t>
      </w:r>
    </w:p>
    <w:p>
      <w:pPr>
        <w:sectPr>
          <w:pgSz w:w="11900" w:h="16838" w:orient="portrait"/>
          <w:cols w:equalWidth="0" w:num="1">
            <w:col w:w="11420"/>
          </w:cols>
          <w:pgMar w:left="240" w:top="131" w:right="239" w:bottom="1440" w:gutter="0" w:footer="0" w:header="0"/>
        </w:sectPr>
      </w:pP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Strengths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265" w:lineRule="auto"/>
        <w:rPr>
          <w:sz w:val="20"/>
          <w:szCs w:val="20"/>
          <w:color w:val="auto"/>
        </w:rPr>
      </w:pPr>
      <w:r>
        <w:rPr>
          <w:rFonts w:ascii="Arial" w:cs="Arial" w:eastAsia="Arial" w:hAnsi="Arial"/>
          <w:sz w:val="17"/>
          <w:szCs w:val="17"/>
          <w:b w:val="1"/>
          <w:bCs w:val="1"/>
          <w:i w:val="1"/>
          <w:iCs w:val="1"/>
          <w:color w:val="auto"/>
        </w:rPr>
        <w:t xml:space="preserve">Provide sophisticated design solutions to our customers. </w:t>
      </w:r>
      <w:r>
        <w:rPr>
          <w:rFonts w:ascii="Arial" w:cs="Arial" w:eastAsia="Arial" w:hAnsi="Arial"/>
          <w:sz w:val="17"/>
          <w:szCs w:val="17"/>
          <w:color w:val="auto"/>
        </w:rPr>
        <w:t>We believe our expertise in analog and digital optical engineering, as well as radio frequency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high-speed electronics differentiates us from many competitors, as other vendors tend to focus on a limited number of these disciplines. Our mixed-signal expertise enables us to design solutions that meet many of the different network architectures and protocols used today. We offer our customers an advantage by providing them a comprehensive solution.</w:t>
      </w:r>
    </w:p>
    <w:p>
      <w:pPr>
        <w:spacing w:after="0" w:line="553" w:lineRule="exact"/>
        <w:rPr>
          <w:sz w:val="20"/>
          <w:szCs w:val="20"/>
          <w:color w:val="auto"/>
        </w:rPr>
      </w:pPr>
    </w:p>
    <w:p>
      <w:pPr>
        <w:sectPr>
          <w:pgSz w:w="11900" w:h="16838" w:orient="portrait"/>
          <w:cols w:equalWidth="0" w:num="2">
            <w:col w:w="1040" w:space="20"/>
            <w:col w:w="10360"/>
          </w:cols>
          <w:pgMar w:left="240" w:top="131" w:right="239" w:bottom="1440" w:gutter="0" w:footer="0" w:header="0"/>
          <w:type w:val="continuous"/>
        </w:sectPr>
      </w:pPr>
    </w:p>
    <w:p>
      <w:pPr>
        <w:spacing w:after="0" w:line="5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key competitive strengths include the following:</w:t>
      </w:r>
    </w:p>
    <w:p>
      <w:pPr>
        <w:spacing w:after="0" w:line="250" w:lineRule="exact"/>
        <w:rPr>
          <w:sz w:val="20"/>
          <w:szCs w:val="20"/>
          <w:color w:val="auto"/>
        </w:rPr>
      </w:pPr>
    </w:p>
    <w:p>
      <w:pPr>
        <w:ind w:left="1060" w:right="220" w:hanging="531"/>
        <w:spacing w:after="0" w:line="265"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Industry-leading position in the CATV market. </w:t>
      </w:r>
      <w:r>
        <w:rPr>
          <w:rFonts w:ascii="Arial" w:cs="Arial" w:eastAsia="Arial" w:hAnsi="Arial"/>
          <w:sz w:val="17"/>
          <w:szCs w:val="17"/>
          <w:color w:val="auto"/>
        </w:rPr>
        <w:t>We are the leading provider of optical components and the second largest provider of subsystems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CATV market, according to Ovum. In 2012, our products were used by the five largest CATV equipment OEMs consisting of Arris Group Inc., Aurora Networks, Inc., Cisco Systems, Inc., Harmonic Inc. and Motorola Mobility Holdings, Inc. These OEMs are extremely demanding on their suppliers with respect to product performance, reliability, cost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9" w:name="page90"/>
    <w:bookmarkEnd w:id="8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540"/>
        <w:spacing w:after="0" w:line="282" w:lineRule="auto"/>
        <w:rPr>
          <w:sz w:val="20"/>
          <w:szCs w:val="20"/>
          <w:color w:val="auto"/>
        </w:rPr>
      </w:pPr>
      <w:r>
        <w:rPr>
          <w:rFonts w:ascii="Arial" w:cs="Arial" w:eastAsia="Arial" w:hAnsi="Arial"/>
          <w:sz w:val="17"/>
          <w:szCs w:val="17"/>
          <w:color w:val="auto"/>
        </w:rPr>
        <w:t>vendor service level. We believe these customer relationships benefit us with other customers who view our selection by these leading OEMs as validation of our expertise and product excellence.</w:t>
      </w:r>
    </w:p>
    <w:p>
      <w:pPr>
        <w:spacing w:after="0" w:line="183" w:lineRule="exact"/>
        <w:rPr>
          <w:sz w:val="20"/>
          <w:szCs w:val="20"/>
          <w:color w:val="auto"/>
        </w:rPr>
      </w:pPr>
    </w:p>
    <w:p>
      <w:pPr>
        <w:ind w:left="1060" w:right="20" w:hanging="531"/>
        <w:spacing w:after="0" w:line="283" w:lineRule="auto"/>
        <w:tabs>
          <w:tab w:leader="none" w:pos="106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Proprietary technological expertise and track record of innovation. </w:t>
      </w:r>
      <w:r>
        <w:rPr>
          <w:rFonts w:ascii="Arial" w:cs="Arial" w:eastAsia="Arial" w:hAnsi="Arial"/>
          <w:sz w:val="16"/>
          <w:szCs w:val="16"/>
          <w:color w:val="auto"/>
        </w:rPr>
        <w:t>We continue to develop innovative products as evidenced by our 50 design wins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2010 which collectively account for a significant portion of our revenue today. We believe our proprietary laser manufacturing, or MBE process, allows us to produce more reliable and cost-effective solutions than our competitors who typically employ MOCVD processes. We own fundamental IP in MBE technology and the manufacturing process. We had 143 issued and pending patents as of June 30, 2013. In addition we have amassed substantial manufacturing, process, design and testing domain expertise that we retain as documented trade secrets.</w:t>
      </w:r>
    </w:p>
    <w:p>
      <w:pPr>
        <w:spacing w:after="0" w:line="199" w:lineRule="exact"/>
        <w:rPr>
          <w:rFonts w:ascii="Arial" w:cs="Arial" w:eastAsia="Arial" w:hAnsi="Arial"/>
          <w:sz w:val="16"/>
          <w:szCs w:val="16"/>
          <w:color w:val="auto"/>
        </w:rPr>
      </w:pPr>
    </w:p>
    <w:p>
      <w:pPr>
        <w:ind w:left="1060" w:right="120" w:hanging="531"/>
        <w:spacing w:after="0" w:line="265"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Highly customized products. </w:t>
      </w:r>
      <w:r>
        <w:rPr>
          <w:rFonts w:ascii="Arial" w:cs="Arial" w:eastAsia="Arial" w:hAnsi="Arial"/>
          <w:sz w:val="17"/>
          <w:szCs w:val="17"/>
          <w:color w:val="auto"/>
        </w:rPr>
        <w:t>Most of our products have some level of customization, and in some cases our product is the only one that can meet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specifications. These factors make it more difficult for our customers to rapidly switch to another supplier, and, we believe, contribute to longer product lifecycles and more stable product pricing relative to the pricing trends experienced in many telecommunications optical component categories.</w:t>
      </w:r>
    </w:p>
    <w:p>
      <w:pPr>
        <w:spacing w:after="0" w:line="198" w:lineRule="exact"/>
        <w:rPr>
          <w:rFonts w:ascii="Arial" w:cs="Arial" w:eastAsia="Arial" w:hAnsi="Arial"/>
          <w:sz w:val="17"/>
          <w:szCs w:val="17"/>
          <w:color w:val="auto"/>
        </w:rPr>
      </w:pPr>
    </w:p>
    <w:p>
      <w:pPr>
        <w:ind w:left="1060" w:right="60" w:hanging="531"/>
        <w:spacing w:after="0" w:line="294" w:lineRule="auto"/>
        <w:tabs>
          <w:tab w:leader="none" w:pos="106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Proven system design capabilities. </w:t>
      </w:r>
      <w:r>
        <w:rPr>
          <w:rFonts w:ascii="Arial" w:cs="Arial" w:eastAsia="Arial" w:hAnsi="Arial"/>
          <w:sz w:val="16"/>
          <w:szCs w:val="16"/>
          <w:color w:val="auto"/>
        </w:rPr>
        <w:t>Our customers rely on us to design their customized, complex and integrated equipment due to our deep expertise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high-speed optical, mixed-signal semiconductor and mechanical engineering. As a result of these capabilities, we believe that we are well positioned to take advantage of the continuing shift to outsourced design and manufacturing among CATV equipment vendors.</w:t>
      </w:r>
    </w:p>
    <w:p>
      <w:pPr>
        <w:sectPr>
          <w:pgSz w:w="11900" w:h="16838" w:orient="portrait"/>
          <w:cols w:equalWidth="0" w:num="1">
            <w:col w:w="11420"/>
          </w:cols>
          <w:pgMar w:left="240" w:top="131" w:right="239" w:bottom="1440" w:gutter="0" w:footer="0" w:header="0"/>
        </w:sectPr>
      </w:pP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Strategy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b w:val="1"/>
          <w:bCs w:val="1"/>
          <w:i w:val="1"/>
          <w:iCs w:val="1"/>
          <w:color w:val="auto"/>
        </w:rPr>
        <w:t xml:space="preserve">Vertically integrated, geographically distributed manufacturing model. </w:t>
      </w:r>
      <w:r>
        <w:rPr>
          <w:rFonts w:ascii="Arial" w:cs="Arial" w:eastAsia="Arial" w:hAnsi="Arial"/>
          <w:sz w:val="17"/>
          <w:szCs w:val="17"/>
          <w:color w:val="auto"/>
        </w:rPr>
        <w:t>Our vertically integrated design and manufacturing process encompasses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steps from laser wafer design and fabrication to complete optical system design and assembly. Furthermore, we have geographically distributed our manufacturing model by strategically locating our operations in the U.S., China and Taiwan to reduce development time and production costs and to help protect our intellectual property. Our comprehensive capabilities allow us to offer our customers a dependable supply of quality optical components, modules and equipment. Additionally, similar to other competitors who have a vertically-integrated structure, these capabilities give us significant time-to-market, time-to-volume and cost advantages as well as the ability to respond more rapidly to changing market and customer requirements. Furthermore, these capabilities allow us to provide fully integrated solutions and capture a larger portion of the bill of materials within the optical value chain.</w:t>
      </w:r>
    </w:p>
    <w:p>
      <w:pPr>
        <w:spacing w:after="0" w:line="555" w:lineRule="exact"/>
        <w:rPr>
          <w:sz w:val="20"/>
          <w:szCs w:val="20"/>
          <w:color w:val="auto"/>
        </w:rPr>
      </w:pPr>
    </w:p>
    <w:p>
      <w:pPr>
        <w:sectPr>
          <w:pgSz w:w="11900" w:h="16838" w:orient="portrait"/>
          <w:cols w:equalWidth="0" w:num="2">
            <w:col w:w="960" w:space="100"/>
            <w:col w:w="10360"/>
          </w:cols>
          <w:pgMar w:left="240" w:top="131" w:right="239" w:bottom="1440" w:gutter="0" w:footer="0" w:header="0"/>
          <w:type w:val="continuous"/>
        </w:sectPr>
      </w:pPr>
    </w:p>
    <w:p>
      <w:pPr>
        <w:spacing w:after="0" w:line="51" w:lineRule="exact"/>
        <w:rPr>
          <w:sz w:val="20"/>
          <w:szCs w:val="20"/>
          <w:color w:val="auto"/>
        </w:rPr>
      </w:pPr>
    </w:p>
    <w:p>
      <w:pPr>
        <w:jc w:val="both"/>
        <w:ind w:firstLine="338"/>
        <w:spacing w:after="0" w:line="294" w:lineRule="auto"/>
        <w:rPr>
          <w:sz w:val="20"/>
          <w:szCs w:val="20"/>
          <w:color w:val="auto"/>
        </w:rPr>
      </w:pPr>
      <w:r>
        <w:rPr>
          <w:rFonts w:ascii="Arial" w:cs="Arial" w:eastAsia="Arial" w:hAnsi="Arial"/>
          <w:sz w:val="16"/>
          <w:szCs w:val="16"/>
          <w:color w:val="auto"/>
        </w:rPr>
        <w:t>We seek to be the leading global provider of optical components, modules and equipment designed for each of our three target markets, CATV, FTTH and internet data centers. All of our target markets are growing due to the increasing demand for bandwidth, but each of our markets is also being driven by independent factors. As a result, our overall growth is not dependent upon a single market or a single trend. Our strategy includes the following key elements:</w:t>
      </w:r>
    </w:p>
    <w:p>
      <w:pPr>
        <w:spacing w:after="0" w:line="189" w:lineRule="exact"/>
        <w:rPr>
          <w:sz w:val="20"/>
          <w:szCs w:val="20"/>
          <w:color w:val="auto"/>
        </w:rPr>
      </w:pPr>
    </w:p>
    <w:p>
      <w:pPr>
        <w:ind w:left="1060" w:right="600" w:hanging="531"/>
        <w:spacing w:after="0" w:line="282"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Extend our leadership in CATV networking. </w:t>
      </w:r>
      <w:r>
        <w:rPr>
          <w:rFonts w:ascii="Arial" w:cs="Arial" w:eastAsia="Arial" w:hAnsi="Arial"/>
          <w:sz w:val="17"/>
          <w:szCs w:val="17"/>
          <w:color w:val="auto"/>
        </w:rPr>
        <w:t>We intend to maintain our position as the leading producer of optical components used in CATV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networks, and to capture an increasing share of the CATV equipment market as the major equipment vendors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0" w:name="page91"/>
    <w:bookmarkEnd w:id="9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120"/>
        <w:spacing w:after="0" w:line="352" w:lineRule="auto"/>
        <w:rPr>
          <w:sz w:val="20"/>
          <w:szCs w:val="20"/>
          <w:color w:val="auto"/>
        </w:rPr>
      </w:pPr>
      <w:r>
        <w:rPr>
          <w:rFonts w:ascii="Arial" w:cs="Arial" w:eastAsia="Arial" w:hAnsi="Arial"/>
          <w:sz w:val="15"/>
          <w:szCs w:val="15"/>
          <w:color w:val="auto"/>
        </w:rPr>
        <w:t>continue to outsource the design and manufacturing of such products. We believe that our comprehensive design expertise, proven ability to handle increased system-level responsibility and vertically integrated manufacturing model position us well to capture a meaningful share of this opportunity.</w:t>
      </w:r>
    </w:p>
    <w:p>
      <w:pPr>
        <w:spacing w:after="0" w:line="136" w:lineRule="exact"/>
        <w:rPr>
          <w:sz w:val="20"/>
          <w:szCs w:val="20"/>
          <w:color w:val="auto"/>
        </w:rPr>
      </w:pPr>
    </w:p>
    <w:p>
      <w:pPr>
        <w:ind w:left="1060" w:right="80" w:hanging="531"/>
        <w:spacing w:after="0" w:line="262"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penetrate FTTH and internet data center markets. </w:t>
      </w:r>
      <w:r>
        <w:rPr>
          <w:rFonts w:ascii="Arial" w:cs="Arial" w:eastAsia="Arial" w:hAnsi="Arial"/>
          <w:sz w:val="17"/>
          <w:szCs w:val="17"/>
          <w:color w:val="auto"/>
        </w:rPr>
        <w:t>We believe our WDM-PON technology is a cost-effective solution for delivering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substantially greater bandwidth to a residence. As the residential access market migrates to higher bandwidth connections, we expect that our solutions will become increasingly attractive. In the internet data center market, we target operators who have adopted an open system architecture—one in which the optical connectivity solutions can be provided by a different vendor than the vendor which provides their servers and switches. We believe this segment of the market will grow meaningfully in coming years, and that we are well positioned to capture this business as an independent optics vendor.</w:t>
      </w:r>
    </w:p>
    <w:p>
      <w:pPr>
        <w:spacing w:after="0" w:line="214" w:lineRule="exact"/>
        <w:rPr>
          <w:rFonts w:ascii="Arial" w:cs="Arial" w:eastAsia="Arial" w:hAnsi="Arial"/>
          <w:sz w:val="17"/>
          <w:szCs w:val="17"/>
          <w:color w:val="auto"/>
        </w:rPr>
      </w:pPr>
    </w:p>
    <w:p>
      <w:pPr>
        <w:ind w:left="1060" w:right="120" w:hanging="531"/>
        <w:spacing w:after="0" w:line="262"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invest in our capabilities and infrastructure. </w:t>
      </w:r>
      <w:r>
        <w:rPr>
          <w:rFonts w:ascii="Arial" w:cs="Arial" w:eastAsia="Arial" w:hAnsi="Arial"/>
          <w:sz w:val="17"/>
          <w:szCs w:val="17"/>
          <w:color w:val="auto"/>
        </w:rPr>
        <w:t>Product and process innovations have been important elements in our growth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 success. For instance, our leading position in the CATV market is a result of our research and development efforts to address the need for climate-tolerant, low-cost and highly reliable lasers, components and equipment. We believe our vertically integrated manufacturing model and our ability to design and manufacture the fundamental optical devices that are deployed throughout a network give us a significant competitive advantage. We intend to continue to invest in new products, new technology and our production infrastructure and facilities to maintain and strengthen our competitive position.</w:t>
      </w:r>
    </w:p>
    <w:p>
      <w:pPr>
        <w:spacing w:after="0" w:line="201" w:lineRule="exact"/>
        <w:rPr>
          <w:rFonts w:ascii="Arial" w:cs="Arial" w:eastAsia="Arial" w:hAnsi="Arial"/>
          <w:sz w:val="17"/>
          <w:szCs w:val="17"/>
          <w:color w:val="auto"/>
        </w:rPr>
      </w:pPr>
    </w:p>
    <w:p>
      <w:pPr>
        <w:ind w:left="1060" w:hanging="531"/>
        <w:spacing w:after="0" w:line="303" w:lineRule="auto"/>
        <w:tabs>
          <w:tab w:leader="none" w:pos="1060" w:val="left"/>
        </w:tabs>
        <w:numPr>
          <w:ilvl w:val="0"/>
          <w:numId w:val="4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Selectively pursue other opportunities that leverage our existing expertise. </w:t>
      </w:r>
      <w:r>
        <w:rPr>
          <w:rFonts w:ascii="Arial" w:cs="Arial" w:eastAsia="Arial" w:hAnsi="Arial"/>
          <w:sz w:val="15"/>
          <w:szCs w:val="15"/>
          <w:color w:val="auto"/>
        </w:rPr>
        <w:t>The proven performance of our lasers in harsh climate conditions and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expertise in designing and manufacturing outdoor plant equipment for the CATV industry provide us an advantage in pursuing applications that are also characterized by having varying and demanding environments. We have sold and plan to continue to sell products into the telecom networking market, such as for wireless and wireline telecom infrastructure. We have also selectively sold products into the industrial robotics, aerospace and defense, and oil and gas exploration markets. We will continue to seek ways to capitalize on our research and development investments and leverage our high-speed optical, mixed-signal semiconductor and mechanical engineering expertise in these and other markets.</w:t>
      </w:r>
    </w:p>
    <w:p>
      <w:pPr>
        <w:spacing w:after="0" w:line="174" w:lineRule="exact"/>
        <w:rPr>
          <w:rFonts w:ascii="Arial" w:cs="Arial" w:eastAsia="Arial" w:hAnsi="Arial"/>
          <w:sz w:val="15"/>
          <w:szCs w:val="15"/>
          <w:color w:val="auto"/>
        </w:rPr>
      </w:pPr>
    </w:p>
    <w:p>
      <w:pPr>
        <w:ind w:left="1060" w:right="80" w:hanging="531"/>
        <w:spacing w:after="0" w:line="270"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Pursue complementary acquisition and strategic alliance opportunities. </w:t>
      </w:r>
      <w:r>
        <w:rPr>
          <w:rFonts w:ascii="Arial" w:cs="Arial" w:eastAsia="Arial" w:hAnsi="Arial"/>
          <w:sz w:val="17"/>
          <w:szCs w:val="17"/>
          <w:color w:val="auto"/>
        </w:rPr>
        <w:t>While we prefer to use our components whenever possible, we will evaluate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selectively pursue acquisition opportunities or strategic alliances that we believe will enhance or complement our current product offerings, augment our technology roadmap, or diversify our revenue base.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w:t>
      </w:r>
    </w:p>
    <w:p>
      <w:pPr>
        <w:spacing w:after="0" w:line="228" w:lineRule="exact"/>
        <w:rPr>
          <w:sz w:val="20"/>
          <w:szCs w:val="20"/>
          <w:color w:val="auto"/>
        </w:rPr>
      </w:pPr>
    </w:p>
    <w:p>
      <w:pPr>
        <w:ind w:right="20" w:firstLine="338"/>
        <w:spacing w:after="0" w:line="282" w:lineRule="auto"/>
        <w:rPr>
          <w:sz w:val="20"/>
          <w:szCs w:val="20"/>
          <w:color w:val="auto"/>
        </w:rPr>
      </w:pPr>
      <w:r>
        <w:rPr>
          <w:rFonts w:ascii="Arial" w:cs="Arial" w:eastAsia="Arial" w:hAnsi="Arial"/>
          <w:sz w:val="17"/>
          <w:szCs w:val="17"/>
          <w:color w:val="auto"/>
        </w:rPr>
        <w:t>We believe that we have technology leadership in four key areas: semiconductor laser manufacturing, electronic technologies that enhance the performance of our lasers, optical hybrid integration and mixed-signal semiconductor design.</w:t>
      </w:r>
    </w:p>
    <w:p>
      <w:pPr>
        <w:spacing w:after="0" w:line="196" w:lineRule="exact"/>
        <w:rPr>
          <w:sz w:val="20"/>
          <w:szCs w:val="20"/>
          <w:color w:val="auto"/>
        </w:rPr>
      </w:pPr>
    </w:p>
    <w:p>
      <w:pPr>
        <w:jc w:val="both"/>
        <w:ind w:left="1060" w:right="180" w:hanging="531"/>
        <w:spacing w:after="0" w:line="270"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Differentiated semiconductor laser manufacturing. </w:t>
      </w:r>
      <w:r>
        <w:rPr>
          <w:rFonts w:ascii="Arial" w:cs="Arial" w:eastAsia="Arial" w:hAnsi="Arial"/>
          <w:sz w:val="17"/>
          <w:szCs w:val="17"/>
          <w:color w:val="auto"/>
        </w:rPr>
        <w:t>We use a MBE fabrication process to make our lasers, rather than MOCVD, the technique most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commonly used in optical chip manufacturing by traditional communications optics vendors. Among the differentiators of MBE relative to MOCVD fabrication are a lower process temperature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120"/>
        <w:spacing w:after="0" w:line="279" w:lineRule="auto"/>
        <w:rPr>
          <w:sz w:val="20"/>
          <w:szCs w:val="20"/>
          <w:color w:val="auto"/>
        </w:rPr>
      </w:pPr>
      <w:r>
        <w:rPr>
          <w:rFonts w:ascii="Arial" w:cs="Arial" w:eastAsia="Arial" w:hAnsi="Arial"/>
          <w:sz w:val="16"/>
          <w:szCs w:val="16"/>
          <w:color w:val="auto"/>
        </w:rPr>
        <w:t>and the use of solid phase materials rather than gaseous sources to grow wafers and the growth of more highly strained crystals. These factors contribute to longer operating lives of our lasers, improved laser efficiency and threshold current, among other performance attributes that make them well-suited to our target markets. While we believe that these advantages of MBE are important, MBE does have disadvantages including the inability to use certain dopant materials (for example Iron), difficulty in certain types of regrowth, and the necessity to maintain complex ultra-high vacuum equipment. As a result of some of these challenges, production yields, and the performance attributes of laser devices, are highly variable and optimizing these characteristics requires numerous enhancements and modifications to standard MBE equipment and the MBE process. To our knowledge, we are unique in using an MBE process to produce communications lasers in high volume, and believe it would be difficult, and time-consuming, for other vendors to replicate our production technology.</w:t>
      </w:r>
    </w:p>
    <w:p>
      <w:pPr>
        <w:spacing w:after="0" w:line="190" w:lineRule="exact"/>
        <w:rPr>
          <w:sz w:val="20"/>
          <w:szCs w:val="20"/>
          <w:color w:val="auto"/>
        </w:rPr>
      </w:pPr>
    </w:p>
    <w:p>
      <w:pPr>
        <w:ind w:left="1060" w:right="120" w:hanging="531"/>
        <w:spacing w:after="0" w:line="263"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Laser enhancement technology. </w:t>
      </w:r>
      <w:r>
        <w:rPr>
          <w:rFonts w:ascii="Arial" w:cs="Arial" w:eastAsia="Arial" w:hAnsi="Arial"/>
          <w:sz w:val="17"/>
          <w:szCs w:val="17"/>
          <w:color w:val="auto"/>
        </w:rPr>
        <w:t>Certain properties of the semiconductor lasers predominantly used in traditional communications devices, such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chirp and wavelength drift, negatively affect their ability to transmit signals over long fiber distances or prevent them from transmitting signals with acceptable fidelity in certain applications. We have developed laser enhancement circuitry that can correct many of these deficiencies. We believe that our technology will become more essential with wider deployment of higher capacity CATV and FTTH systems, which place more stringent demands on laser performance.</w:t>
      </w:r>
    </w:p>
    <w:p>
      <w:pPr>
        <w:spacing w:after="0" w:line="213" w:lineRule="exact"/>
        <w:rPr>
          <w:rFonts w:ascii="Arial" w:cs="Arial" w:eastAsia="Arial" w:hAnsi="Arial"/>
          <w:sz w:val="17"/>
          <w:szCs w:val="17"/>
          <w:color w:val="auto"/>
        </w:rPr>
      </w:pPr>
    </w:p>
    <w:p>
      <w:pPr>
        <w:ind w:left="1060" w:hanging="531"/>
        <w:spacing w:after="0" w:line="278" w:lineRule="auto"/>
        <w:tabs>
          <w:tab w:leader="none" w:pos="106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Optical hybrid-integration technology. </w:t>
      </w:r>
      <w:r>
        <w:rPr>
          <w:rFonts w:ascii="Arial" w:cs="Arial" w:eastAsia="Arial" w:hAnsi="Arial"/>
          <w:sz w:val="16"/>
          <w:szCs w:val="16"/>
          <w:color w:val="auto"/>
        </w:rPr>
        <w:t>Reducing the size, power consumption and complexity of optical devices is essential for achieving the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performance targets of our customers. Our ability to integrate multiple optical networking functions into a single device, and to co-package multiple devices into smaller form factors helps us meet customer requirements and we believe can also create new opportunities. For instance, installing new fiber-optic cable is expensive and difficult, and in some situations prohibitively so for a network service provider. As a consequence, network operators seek to maximize the utilization of their installed fiber plant. In long-haul and metropolitan networks, service providers deployed WDM technology as fiber utilization rose. Fiber utilization in access networks is rising, but the use of WDM technology in the access segment has been problematic due to the relatively high cost and power consumption of the requisite optical devices. We have developed proprietary miniaturized optical packaging, electronic control circuitry and testing algorithms to create a hybrid WDM-PON solution that addresses these historical impediments that we believe will make WDM-PON a cost-effective alternative for deployment.</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1060" w:right="80"/>
        <w:spacing w:after="0" w:line="261" w:lineRule="auto"/>
        <w:rPr>
          <w:rFonts w:ascii="Arial" w:cs="Arial" w:eastAsia="Arial" w:hAnsi="Arial"/>
          <w:sz w:val="16"/>
          <w:szCs w:val="16"/>
          <w:color w:val="auto"/>
        </w:rPr>
      </w:pPr>
      <w:r>
        <w:rPr>
          <w:rFonts w:ascii="Arial" w:cs="Arial" w:eastAsia="Arial" w:hAnsi="Arial"/>
          <w:sz w:val="17"/>
          <w:szCs w:val="17"/>
          <w:color w:val="auto"/>
        </w:rPr>
        <w:t>WDM-PON is a term used for a variety of multi-wavelength PON architectures. Various technologies have been utilized by several companies to deploy WDM-PON networks in the past. These existing technologies are generally believed to be too costly to deploy or suffer from operational limitations that limit their use to only certain deployment scenarios. By contrast, we believe our optical hybrid-integration technology can be deployed in a wide range of circumstances due to its lower cost per bit delivered, and as the market migrates to higher bandwidth connections we expect that our solutions will become increasingly attractive. In the internet data center market, we target operators who have adopted an open system architecture— one in which the optical connectivity solutions can be provided by a different vendor than the vendor which provides their servers and switches. We believe this segment of the market will grow meaningfully in coming years, and that we are well positioned to capture this business as an independent optics vendor.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31" w:right="239" w:bottom="1440" w:gutter="0" w:footer="0" w:header="0"/>
        </w:sect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Products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300" w:lineRule="auto"/>
        <w:rPr>
          <w:sz w:val="20"/>
          <w:szCs w:val="20"/>
          <w:color w:val="auto"/>
        </w:rPr>
      </w:pPr>
      <w:r>
        <w:rPr>
          <w:rFonts w:ascii="Arial" w:cs="Arial" w:eastAsia="Arial" w:hAnsi="Arial"/>
          <w:sz w:val="15"/>
          <w:szCs w:val="15"/>
          <w:b w:val="1"/>
          <w:bCs w:val="1"/>
          <w:i w:val="1"/>
          <w:iCs w:val="1"/>
          <w:color w:val="auto"/>
        </w:rPr>
        <w:t xml:space="preserve">Mixed-signal design. </w:t>
      </w:r>
      <w:r>
        <w:rPr>
          <w:rFonts w:ascii="Arial" w:cs="Arial" w:eastAsia="Arial" w:hAnsi="Arial"/>
          <w:sz w:val="15"/>
          <w:szCs w:val="15"/>
          <w:color w:val="auto"/>
        </w:rPr>
        <w:t>As CATV providers continue to evolve from primarily broadcast-video content providers to a mixture of HD video content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together with data-connectivity providers, the networks they utilize to offer these services must evolve as well. Older analog networks are giving way to hybrid networks that incorporate both analog and digital signals. For example, many newer networks are being designed with "digital return-path" capabilities. In this type of network, signals traveling from the headend to the residence are transported as analog signals, whereas signals traveling in the opposite direction (that is, originating at the residence and being transmitted towards the headend) are carried as digital signals. This combination of analog and digital signaling creates unique design challenges. Our engineers have many years of experience in developing equipment, modules and components that are well suited to these sorts of mixed-signal architectures. We believe that having deep experience in both digital and analog signaling allows us to offer superior solutions to our customers, compared with companies who have expertise in only one of these signal types.</w:t>
      </w:r>
    </w:p>
    <w:p>
      <w:pPr>
        <w:spacing w:after="0" w:line="531" w:lineRule="exact"/>
        <w:rPr>
          <w:sz w:val="20"/>
          <w:szCs w:val="20"/>
          <w:color w:val="auto"/>
        </w:rPr>
      </w:pPr>
    </w:p>
    <w:p>
      <w:pPr>
        <w:sectPr>
          <w:pgSz w:w="11900" w:h="16838" w:orient="portrait"/>
          <w:cols w:equalWidth="0" w:num="2">
            <w:col w:w="1000" w:space="60"/>
            <w:col w:w="10360"/>
          </w:cols>
          <w:pgMar w:left="240" w:top="131" w:right="239" w:bottom="1440" w:gutter="0" w:footer="0" w:header="0"/>
          <w:type w:val="continuous"/>
        </w:sectPr>
      </w:pPr>
    </w:p>
    <w:p>
      <w:pPr>
        <w:spacing w:after="0" w:line="51" w:lineRule="exact"/>
        <w:rPr>
          <w:sz w:val="20"/>
          <w:szCs w:val="20"/>
          <w:color w:val="auto"/>
        </w:rPr>
      </w:pPr>
    </w:p>
    <w:p>
      <w:pPr>
        <w:jc w:val="both"/>
        <w:ind w:right="140" w:firstLine="341"/>
        <w:spacing w:after="0" w:line="270" w:lineRule="auto"/>
        <w:rPr>
          <w:sz w:val="20"/>
          <w:szCs w:val="20"/>
          <w:color w:val="auto"/>
        </w:rPr>
      </w:pPr>
      <w:r>
        <w:rPr>
          <w:rFonts w:ascii="Arial" w:cs="Arial" w:eastAsia="Arial" w:hAnsi="Arial"/>
          <w:sz w:val="17"/>
          <w:szCs w:val="17"/>
          <w:color w:val="auto"/>
        </w:rPr>
        <w:t>Our products include an array of optical communications solutions at varying levels of integration. We begin from the fundamental building blocks of lasers and laser components. From these foundational products, we design and manufacture a wide range of products from optical modules to complete turn-key equipment. We design our products to target customers in our identified markets to meet their needs and specifications.</w:t>
      </w:r>
    </w:p>
    <w:p>
      <w:pPr>
        <w:spacing w:after="0" w:line="179" w:lineRule="exact"/>
        <w:rPr>
          <w:sz w:val="20"/>
          <w:szCs w:val="20"/>
          <w:color w:val="auto"/>
        </w:rPr>
      </w:pPr>
    </w:p>
    <w:p>
      <w:pPr>
        <w:ind w:right="160" w:firstLine="341"/>
        <w:spacing w:after="0" w:line="311" w:lineRule="auto"/>
        <w:rPr>
          <w:sz w:val="20"/>
          <w:szCs w:val="20"/>
          <w:color w:val="auto"/>
        </w:rPr>
      </w:pPr>
      <w:r>
        <w:rPr>
          <w:rFonts w:ascii="Arial" w:cs="Arial" w:eastAsia="Arial" w:hAnsi="Arial"/>
          <w:sz w:val="15"/>
          <w:szCs w:val="15"/>
          <w:color w:val="auto"/>
        </w:rPr>
        <w:t>Our components often incorporate one or more of our optical laser chips inside a precision housing that provides mechanical protection as well as standardized electrical contacts. More complex optical components may also include optical filters (for example, for use in WDM) or other optical elements by which optical signals are routed internally within the component. These more advanced components may also include coolers, heaters and sensors that allow the temperature of the laser chip to be measured and controlled. We manufacture the majority of the laser chips and optical components that are used in our own products.</w:t>
      </w:r>
    </w:p>
    <w:p>
      <w:pPr>
        <w:spacing w:after="0" w:line="155" w:lineRule="exact"/>
        <w:rPr>
          <w:sz w:val="20"/>
          <w:szCs w:val="20"/>
          <w:color w:val="auto"/>
        </w:rPr>
      </w:pPr>
    </w:p>
    <w:p>
      <w:pPr>
        <w:ind w:right="520" w:firstLine="332"/>
        <w:spacing w:after="0" w:line="282" w:lineRule="auto"/>
        <w:rPr>
          <w:sz w:val="20"/>
          <w:szCs w:val="20"/>
          <w:color w:val="auto"/>
        </w:rPr>
      </w:pPr>
      <w:r>
        <w:rPr>
          <w:rFonts w:ascii="Arial" w:cs="Arial" w:eastAsia="Arial" w:hAnsi="Arial"/>
          <w:sz w:val="17"/>
          <w:szCs w:val="17"/>
          <w:color w:val="auto"/>
        </w:rPr>
        <w:t>At the next level of integration, our module or sub-assembly products typically contain one or more of our optical components and some additional control circuitry. Examples of modules include our transceiver line primarily used in internet data center markets and FTTH markets.</w:t>
      </w:r>
    </w:p>
    <w:p>
      <w:pPr>
        <w:spacing w:after="0" w:line="170" w:lineRule="exact"/>
        <w:rPr>
          <w:sz w:val="20"/>
          <w:szCs w:val="20"/>
          <w:color w:val="auto"/>
        </w:rPr>
      </w:pPr>
    </w:p>
    <w:p>
      <w:pPr>
        <w:ind w:right="180" w:firstLine="332"/>
        <w:spacing w:after="0" w:line="294" w:lineRule="auto"/>
        <w:rPr>
          <w:sz w:val="20"/>
          <w:szCs w:val="20"/>
          <w:color w:val="auto"/>
        </w:rPr>
      </w:pPr>
      <w:r>
        <w:rPr>
          <w:rFonts w:ascii="Arial" w:cs="Arial" w:eastAsia="Arial" w:hAnsi="Arial"/>
          <w:sz w:val="16"/>
          <w:szCs w:val="16"/>
          <w:color w:val="auto"/>
        </w:rPr>
        <w:t>At the highest level of integration and complexity, our equipment products typically contain one or more optical components, modules and additional electronic control circuitry required to enable these subsystems to operate independently. For example, our CATV transmitter equipment requires utilization of our optical components and assembly onto a circuit board and to an external housing. Examples of equipment include our CATV transmitter and CATV nodes.</w:t>
      </w:r>
    </w:p>
    <w:p>
      <w:pPr>
        <w:spacing w:after="0" w:line="163"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Our products mainly differ from each other by their end market, intended use and level of integration. We have over 12,800 product stock-keeping units, or SKUs, including approximately 6,500 component product SKUs, approximately 3,600 module product SKUs and approximately 2,700 equipment product SKUs. The following tables provide a view of our some of our various components, modules and equipment grouped by the markets they serve.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3" w:name="page94"/>
    <w:bookmarkEnd w:id="9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CATV Products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Representative Picture</w:t>
            </w:r>
          </w:p>
        </w:tc>
        <w:tc>
          <w:tcPr>
            <w:tcW w:w="1100" w:type="dxa"/>
            <w:vAlign w:val="bottom"/>
          </w:tcPr>
          <w:p>
            <w:pPr>
              <w:spacing w:after="0"/>
              <w:rPr>
                <w:sz w:val="13"/>
                <w:szCs w:val="13"/>
                <w:color w:val="auto"/>
              </w:rPr>
            </w:pPr>
          </w:p>
        </w:tc>
        <w:tc>
          <w:tcPr>
            <w:tcW w:w="2800" w:type="dxa"/>
            <w:vAlign w:val="bottom"/>
            <w:tcBorders>
              <w:bottom w:val="single" w:sz="8" w:color="auto"/>
            </w:tcBorders>
          </w:tcPr>
          <w:p>
            <w:pPr>
              <w:ind w:left="960"/>
              <w:spacing w:after="0"/>
              <w:rPr>
                <w:sz w:val="20"/>
                <w:szCs w:val="20"/>
                <w:color w:val="auto"/>
              </w:rPr>
            </w:pPr>
            <w:r>
              <w:rPr>
                <w:rFonts w:ascii="Arial" w:cs="Arial" w:eastAsia="Arial" w:hAnsi="Arial"/>
                <w:sz w:val="13"/>
                <w:szCs w:val="13"/>
                <w:b w:val="1"/>
                <w:bCs w:val="1"/>
                <w:color w:val="auto"/>
              </w:rPr>
              <w:t>Product Family</w:t>
            </w:r>
          </w:p>
        </w:tc>
        <w:tc>
          <w:tcPr>
            <w:tcW w:w="160" w:type="dxa"/>
            <w:vAlign w:val="bottom"/>
          </w:tcPr>
          <w:p>
            <w:pPr>
              <w:spacing w:after="0"/>
              <w:rPr>
                <w:sz w:val="13"/>
                <w:szCs w:val="13"/>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7"/>
              </w:rPr>
              <w:t>Product Level</w:t>
            </w:r>
          </w:p>
        </w:tc>
        <w:tc>
          <w:tcPr>
            <w:tcW w:w="160" w:type="dxa"/>
            <w:vAlign w:val="bottom"/>
          </w:tcPr>
          <w:p>
            <w:pPr>
              <w:spacing w:after="0"/>
              <w:rPr>
                <w:sz w:val="13"/>
                <w:szCs w:val="13"/>
                <w:color w:val="auto"/>
              </w:rPr>
            </w:pPr>
          </w:p>
        </w:tc>
        <w:tc>
          <w:tcPr>
            <w:tcW w:w="2440" w:type="dxa"/>
            <w:vAlign w:val="bottom"/>
            <w:tcBorders>
              <w:bottom w:val="single" w:sz="8" w:color="auto"/>
            </w:tcBorders>
          </w:tcPr>
          <w:p>
            <w:pPr>
              <w:ind w:left="90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1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0" w:type="dxa"/>
            <w:vAlign w:val="bottom"/>
          </w:tcPr>
          <w:p>
            <w:pPr>
              <w:spacing w:after="0" w:line="194" w:lineRule="exact"/>
              <w:rPr>
                <w:sz w:val="20"/>
                <w:szCs w:val="20"/>
                <w:color w:val="auto"/>
              </w:rPr>
            </w:pPr>
            <w:r>
              <w:rPr>
                <w:rFonts w:ascii="Arial" w:cs="Arial" w:eastAsia="Arial" w:hAnsi="Arial"/>
                <w:sz w:val="17"/>
                <w:szCs w:val="17"/>
                <w:color w:val="auto"/>
              </w:rPr>
              <w:t>CATV transmitters</w:t>
            </w:r>
          </w:p>
        </w:tc>
        <w:tc>
          <w:tcPr>
            <w:tcW w:w="160" w:type="dxa"/>
            <w:vAlign w:val="bottom"/>
          </w:tcPr>
          <w:p>
            <w:pPr>
              <w:spacing w:after="0"/>
              <w:rPr>
                <w:sz w:val="16"/>
                <w:szCs w:val="16"/>
                <w:color w:val="auto"/>
              </w:rPr>
            </w:pPr>
          </w:p>
        </w:tc>
        <w:tc>
          <w:tcPr>
            <w:tcW w:w="940" w:type="dxa"/>
            <w:vAlign w:val="bottom"/>
          </w:tcPr>
          <w:p>
            <w:pPr>
              <w:spacing w:after="0" w:line="194" w:lineRule="exact"/>
              <w:rPr>
                <w:sz w:val="20"/>
                <w:szCs w:val="20"/>
                <w:color w:val="auto"/>
              </w:rPr>
            </w:pPr>
            <w:r>
              <w:rPr>
                <w:rFonts w:ascii="Arial" w:cs="Arial" w:eastAsia="Arial" w:hAnsi="Arial"/>
                <w:sz w:val="17"/>
                <w:szCs w:val="17"/>
                <w:color w:val="auto"/>
              </w:rPr>
              <w:t>Equipment</w:t>
            </w:r>
          </w:p>
        </w:tc>
        <w:tc>
          <w:tcPr>
            <w:tcW w:w="160" w:type="dxa"/>
            <w:vAlign w:val="bottom"/>
          </w:tcPr>
          <w:p>
            <w:pPr>
              <w:spacing w:after="0"/>
              <w:rPr>
                <w:sz w:val="16"/>
                <w:szCs w:val="16"/>
                <w:color w:val="auto"/>
              </w:rPr>
            </w:pPr>
          </w:p>
        </w:tc>
        <w:tc>
          <w:tcPr>
            <w:tcW w:w="2440" w:type="dxa"/>
            <w:vAlign w:val="bottom"/>
          </w:tcPr>
          <w:p>
            <w:pPr>
              <w:spacing w:after="0" w:line="194" w:lineRule="exact"/>
              <w:rPr>
                <w:sz w:val="20"/>
                <w:szCs w:val="20"/>
                <w:color w:val="auto"/>
              </w:rPr>
            </w:pPr>
            <w:r>
              <w:rPr>
                <w:rFonts w:ascii="Arial" w:cs="Arial" w:eastAsia="Arial" w:hAnsi="Arial"/>
                <w:sz w:val="17"/>
                <w:szCs w:val="17"/>
                <w:color w:val="auto"/>
              </w:rPr>
              <w:t>Equipment for transmitting data</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w w:val="91"/>
              </w:rPr>
              <w:t>and video signals from the office or</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hub site of a multiple system</w:t>
            </w:r>
          </w:p>
        </w:tc>
      </w:tr>
      <w:tr>
        <w:trPr>
          <w:trHeight w:val="216"/>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w w:val="90"/>
              </w:rPr>
              <w:t>operator, or MSO, to the consumer.</w:t>
            </w:r>
          </w:p>
        </w:tc>
      </w:tr>
      <w:tr>
        <w:trPr>
          <w:trHeight w:val="413"/>
        </w:trPr>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Compliant with the emerging</w:t>
            </w:r>
          </w:p>
        </w:tc>
      </w:tr>
      <w:tr>
        <w:trPr>
          <w:trHeight w:val="216"/>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DOCSIS 3.1 standard.</w:t>
            </w:r>
          </w:p>
        </w:tc>
      </w:tr>
      <w:tr>
        <w:trPr>
          <w:trHeight w:val="702"/>
        </w:trPr>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7"/>
                <w:szCs w:val="17"/>
                <w:color w:val="auto"/>
              </w:rPr>
              <w:t>CATV nodes</w:t>
            </w:r>
          </w:p>
        </w:tc>
        <w:tc>
          <w:tcPr>
            <w:tcW w:w="16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Equipment</w:t>
            </w:r>
          </w:p>
        </w:tc>
        <w:tc>
          <w:tcPr>
            <w:tcW w:w="16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Equipment used for receiving</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w w:val="95"/>
              </w:rPr>
              <w:t>optical signals and re-transmitting</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w w:val="91"/>
              </w:rPr>
              <w:t>them over the coaxial cable portion</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of an CATV network. May also</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include return-path functions for</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receiving signals from the</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w w:val="91"/>
              </w:rPr>
              <w:t>consumer and re-transmitting them</w:t>
            </w:r>
          </w:p>
        </w:tc>
      </w:tr>
      <w:tr>
        <w:trPr>
          <w:trHeight w:val="216"/>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as optical signals.</w:t>
            </w:r>
          </w:p>
        </w:tc>
      </w:tr>
      <w:tr>
        <w:trPr>
          <w:trHeight w:val="413"/>
        </w:trPr>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Compliant with the emerging</w:t>
            </w:r>
          </w:p>
        </w:tc>
      </w:tr>
      <w:tr>
        <w:trPr>
          <w:trHeight w:val="216"/>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DOCSIS 3.1 standard.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-2561590</wp:posOffset>
            </wp:positionV>
            <wp:extent cx="1423670" cy="948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23670" cy="948690"/>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-1313180</wp:posOffset>
            </wp:positionV>
            <wp:extent cx="1298575" cy="1948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98575" cy="194818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760"/>
        <w:spacing w:after="0"/>
        <w:rPr>
          <w:sz w:val="20"/>
          <w:szCs w:val="20"/>
          <w:color w:val="auto"/>
        </w:rPr>
      </w:pPr>
      <w:r>
        <w:rPr>
          <w:rFonts w:ascii="Arial" w:cs="Arial" w:eastAsia="Arial" w:hAnsi="Arial"/>
          <w:sz w:val="15"/>
          <w:szCs w:val="15"/>
          <w:color w:val="auto"/>
        </w:rPr>
        <w:t>CATV return-receivers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45720</wp:posOffset>
            </wp:positionV>
            <wp:extent cx="1481455" cy="9988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81455" cy="998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Equipment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Equipment used in the office or hub site of an MSO to receive signals transmitted from a node.</w:t>
      </w:r>
    </w:p>
    <w:p>
      <w:pPr>
        <w:spacing w:after="0" w:line="200" w:lineRule="exact"/>
        <w:rPr>
          <w:sz w:val="20"/>
          <w:szCs w:val="20"/>
          <w:color w:val="auto"/>
        </w:rPr>
      </w:pPr>
    </w:p>
    <w:p>
      <w:pPr>
        <w:sectPr>
          <w:pgSz w:w="11900" w:h="16838" w:orient="portrait"/>
          <w:cols w:equalWidth="0" w:num="3">
            <w:col w:w="6000" w:space="720"/>
            <w:col w:w="760" w:space="340"/>
            <w:col w:w="2460"/>
          </w:cols>
          <w:pgMar w:left="240" w:top="131"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760"/>
        <w:spacing w:after="0"/>
        <w:rPr>
          <w:sz w:val="20"/>
          <w:szCs w:val="20"/>
          <w:color w:val="auto"/>
        </w:rPr>
      </w:pPr>
      <w:r>
        <w:rPr>
          <w:rFonts w:ascii="Arial" w:cs="Arial" w:eastAsia="Arial" w:hAnsi="Arial"/>
          <w:sz w:val="15"/>
          <w:szCs w:val="15"/>
          <w:color w:val="auto"/>
        </w:rPr>
        <w:t>Ethernet over Coax Access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161925</wp:posOffset>
            </wp:positionV>
            <wp:extent cx="1456690" cy="9740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56690" cy="974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color w:val="auto"/>
        </w:rPr>
        <w:t>Equipment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Used primarily in China for deployment of fiber-to-the-home services over the CATV infrastructure.</w:t>
      </w:r>
    </w:p>
    <w:p>
      <w:pPr>
        <w:spacing w:after="0" w:line="200" w:lineRule="exact"/>
        <w:rPr>
          <w:sz w:val="20"/>
          <w:szCs w:val="20"/>
          <w:color w:val="auto"/>
        </w:rPr>
      </w:pPr>
    </w:p>
    <w:p>
      <w:pPr>
        <w:sectPr>
          <w:pgSz w:w="11900" w:h="16838" w:orient="portrait"/>
          <w:cols w:equalWidth="0" w:num="3">
            <w:col w:w="6080" w:space="640"/>
            <w:col w:w="760" w:space="340"/>
            <w:col w:w="2460"/>
          </w:cols>
          <w:pgMar w:left="240" w:top="131"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60"/>
        <w:spacing w:after="0"/>
        <w:rPr>
          <w:sz w:val="20"/>
          <w:szCs w:val="20"/>
          <w:color w:val="auto"/>
        </w:rPr>
      </w:pPr>
      <w:r>
        <w:rPr>
          <w:rFonts w:ascii="Arial" w:cs="Arial" w:eastAsia="Arial" w:hAnsi="Arial"/>
          <w:sz w:val="15"/>
          <w:szCs w:val="15"/>
          <w:color w:val="auto"/>
        </w:rPr>
        <w:t>SFP Transmitter/Receiver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45720</wp:posOffset>
            </wp:positionV>
            <wp:extent cx="1498600" cy="9988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98600" cy="998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Module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Pluggable transmitter or receiver for digital return-path CATV architecture.</w:t>
      </w:r>
    </w:p>
    <w:p>
      <w:pPr>
        <w:spacing w:after="0" w:line="179" w:lineRule="exact"/>
        <w:rPr>
          <w:sz w:val="20"/>
          <w:szCs w:val="20"/>
          <w:color w:val="auto"/>
        </w:rPr>
      </w:pPr>
    </w:p>
    <w:p>
      <w:pPr>
        <w:sectPr>
          <w:pgSz w:w="11900" w:h="16838" w:orient="portrait"/>
          <w:cols w:equalWidth="0" w:num="3">
            <w:col w:w="6000" w:space="720"/>
            <w:col w:w="540" w:space="560"/>
            <w:col w:w="2460"/>
          </w:cols>
          <w:pgMar w:left="240" w:top="131" w:right="1379" w:bottom="1440" w:gutter="0" w:footer="0" w:header="0"/>
          <w:type w:val="continuous"/>
        </w:sectPr>
      </w:pPr>
    </w:p>
    <w:p>
      <w:pPr>
        <w:ind w:left="7820"/>
        <w:spacing w:after="0"/>
        <w:rPr>
          <w:sz w:val="20"/>
          <w:szCs w:val="20"/>
          <w:color w:val="auto"/>
        </w:rPr>
      </w:pPr>
      <w:r>
        <w:rPr>
          <w:rFonts w:ascii="Arial" w:cs="Arial" w:eastAsia="Arial" w:hAnsi="Arial"/>
          <w:sz w:val="15"/>
          <w:szCs w:val="15"/>
          <w:color w:val="auto"/>
        </w:rPr>
        <w:t>Up to 90° Celsius operating</w:t>
      </w:r>
    </w:p>
    <w:p>
      <w:pPr>
        <w:spacing w:after="0" w:line="43" w:lineRule="exact"/>
        <w:rPr>
          <w:sz w:val="20"/>
          <w:szCs w:val="20"/>
          <w:color w:val="auto"/>
        </w:rPr>
      </w:pPr>
    </w:p>
    <w:p>
      <w:pPr>
        <w:ind w:left="7820"/>
        <w:spacing w:after="0"/>
        <w:rPr>
          <w:sz w:val="20"/>
          <w:szCs w:val="20"/>
          <w:color w:val="auto"/>
        </w:rPr>
      </w:pPr>
      <w:r>
        <w:rPr>
          <w:rFonts w:ascii="Arial" w:cs="Arial" w:eastAsia="Arial" w:hAnsi="Arial"/>
          <w:sz w:val="17"/>
          <w:szCs w:val="17"/>
          <w:color w:val="auto"/>
        </w:rPr>
        <w:t>temperature.</w:t>
      </w:r>
    </w:p>
    <w:p>
      <w:pPr>
        <w:sectPr>
          <w:pgSz w:w="11900" w:h="16838" w:orient="portrait"/>
          <w:cols w:equalWidth="0" w:num="1">
            <w:col w:w="10280"/>
          </w:cols>
          <w:pgMar w:left="240" w:top="131"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94" w:name="page95"/>
    <w:bookmarkEnd w:id="9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Representative Picture</w:t>
            </w:r>
          </w:p>
        </w:tc>
        <w:tc>
          <w:tcPr>
            <w:tcW w:w="1120" w:type="dxa"/>
            <w:vAlign w:val="bottom"/>
          </w:tcPr>
          <w:p>
            <w:pPr>
              <w:spacing w:after="0"/>
              <w:rPr>
                <w:sz w:val="13"/>
                <w:szCs w:val="13"/>
                <w:color w:val="auto"/>
              </w:rPr>
            </w:pPr>
          </w:p>
        </w:tc>
        <w:tc>
          <w:tcPr>
            <w:tcW w:w="248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rPr>
              <w:t>Product Family</w:t>
            </w:r>
          </w:p>
        </w:tc>
        <w:tc>
          <w:tcPr>
            <w:tcW w:w="180" w:type="dxa"/>
            <w:vAlign w:val="bottom"/>
          </w:tcPr>
          <w:p>
            <w:pPr>
              <w:spacing w:after="0"/>
              <w:rPr>
                <w:sz w:val="13"/>
                <w:szCs w:val="13"/>
                <w:color w:val="auto"/>
              </w:rPr>
            </w:pPr>
          </w:p>
        </w:tc>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Product Level</w:t>
            </w:r>
          </w:p>
        </w:tc>
        <w:tc>
          <w:tcPr>
            <w:tcW w:w="200" w:type="dxa"/>
            <w:vAlign w:val="bottom"/>
          </w:tcPr>
          <w:p>
            <w:pPr>
              <w:spacing w:after="0"/>
              <w:rPr>
                <w:sz w:val="13"/>
                <w:szCs w:val="13"/>
                <w:color w:val="auto"/>
              </w:rPr>
            </w:pPr>
          </w:p>
        </w:tc>
        <w:tc>
          <w:tcPr>
            <w:tcW w:w="2440" w:type="dxa"/>
            <w:vAlign w:val="bottom"/>
            <w:tcBorders>
              <w:bottom w:val="single" w:sz="8" w:color="auto"/>
            </w:tcBorders>
          </w:tcPr>
          <w:p>
            <w:pPr>
              <w:ind w:left="90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1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80" w:type="dxa"/>
            <w:vAlign w:val="bottom"/>
          </w:tcPr>
          <w:p>
            <w:pPr>
              <w:spacing w:after="0" w:line="194" w:lineRule="exact"/>
              <w:rPr>
                <w:sz w:val="20"/>
                <w:szCs w:val="20"/>
                <w:color w:val="auto"/>
              </w:rPr>
            </w:pPr>
            <w:r>
              <w:rPr>
                <w:rFonts w:ascii="Arial" w:cs="Arial" w:eastAsia="Arial" w:hAnsi="Arial"/>
                <w:sz w:val="17"/>
                <w:szCs w:val="17"/>
                <w:color w:val="auto"/>
              </w:rPr>
              <w:t>Cooled laser diodes</w:t>
            </w:r>
          </w:p>
        </w:tc>
        <w:tc>
          <w:tcPr>
            <w:tcW w:w="180" w:type="dxa"/>
            <w:vAlign w:val="bottom"/>
          </w:tcPr>
          <w:p>
            <w:pPr>
              <w:spacing w:after="0"/>
              <w:rPr>
                <w:sz w:val="16"/>
                <w:szCs w:val="16"/>
                <w:color w:val="auto"/>
              </w:rPr>
            </w:pPr>
          </w:p>
        </w:tc>
        <w:tc>
          <w:tcPr>
            <w:tcW w:w="1180" w:type="dxa"/>
            <w:vAlign w:val="bottom"/>
          </w:tcPr>
          <w:p>
            <w:pPr>
              <w:spacing w:after="0" w:line="194" w:lineRule="exact"/>
              <w:rPr>
                <w:sz w:val="20"/>
                <w:szCs w:val="20"/>
                <w:color w:val="auto"/>
              </w:rPr>
            </w:pPr>
            <w:r>
              <w:rPr>
                <w:rFonts w:ascii="Arial" w:cs="Arial" w:eastAsia="Arial" w:hAnsi="Arial"/>
                <w:sz w:val="17"/>
                <w:szCs w:val="17"/>
                <w:color w:val="auto"/>
              </w:rPr>
              <w:t>Component</w:t>
            </w:r>
          </w:p>
        </w:tc>
        <w:tc>
          <w:tcPr>
            <w:tcW w:w="200" w:type="dxa"/>
            <w:vAlign w:val="bottom"/>
          </w:tcPr>
          <w:p>
            <w:pPr>
              <w:spacing w:after="0"/>
              <w:rPr>
                <w:sz w:val="16"/>
                <w:szCs w:val="16"/>
                <w:color w:val="auto"/>
              </w:rPr>
            </w:pPr>
          </w:p>
        </w:tc>
        <w:tc>
          <w:tcPr>
            <w:tcW w:w="2440" w:type="dxa"/>
            <w:vAlign w:val="bottom"/>
          </w:tcPr>
          <w:p>
            <w:pPr>
              <w:spacing w:after="0" w:line="194" w:lineRule="exact"/>
              <w:rPr>
                <w:sz w:val="20"/>
                <w:szCs w:val="20"/>
                <w:color w:val="auto"/>
              </w:rPr>
            </w:pPr>
            <w:r>
              <w:rPr>
                <w:rFonts w:ascii="Arial" w:cs="Arial" w:eastAsia="Arial" w:hAnsi="Arial"/>
                <w:sz w:val="17"/>
                <w:szCs w:val="17"/>
                <w:color w:val="auto"/>
              </w:rPr>
              <w:t>Laser diodes incorporating</w:t>
            </w:r>
          </w:p>
        </w:tc>
      </w:tr>
      <w:tr>
        <w:trPr>
          <w:trHeight w:val="210"/>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integrated coolers to maintain</w:t>
            </w:r>
          </w:p>
        </w:tc>
      </w:tr>
      <w:tr>
        <w:trPr>
          <w:trHeight w:val="210"/>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w w:val="95"/>
              </w:rPr>
              <w:t>consistent performance over wide</w:t>
            </w:r>
          </w:p>
        </w:tc>
      </w:tr>
      <w:tr>
        <w:trPr>
          <w:trHeight w:val="216"/>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ambient temperature ranges.</w:t>
            </w:r>
          </w:p>
        </w:tc>
      </w:tr>
      <w:tr>
        <w:trPr>
          <w:trHeight w:val="440"/>
        </w:trPr>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Up to 90° Celsius operating</w:t>
            </w:r>
          </w:p>
        </w:tc>
      </w:tr>
      <w:tr>
        <w:trPr>
          <w:trHeight w:val="216"/>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temperature.</w:t>
            </w:r>
          </w:p>
        </w:tc>
      </w:tr>
      <w:tr>
        <w:trPr>
          <w:trHeight w:val="629"/>
        </w:trPr>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7"/>
                <w:szCs w:val="17"/>
                <w:color w:val="auto"/>
              </w:rPr>
              <w:t>Uncooled laser diodes</w:t>
            </w:r>
          </w:p>
        </w:tc>
        <w:tc>
          <w:tcPr>
            <w:tcW w:w="18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Component</w:t>
            </w:r>
          </w:p>
        </w:tc>
        <w:tc>
          <w:tcPr>
            <w:tcW w:w="20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Laser diodes without coolers.</w:t>
            </w:r>
          </w:p>
        </w:tc>
      </w:tr>
      <w:tr>
        <w:trPr>
          <w:trHeight w:val="440"/>
        </w:trPr>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Up to 90° Celsius operating</w:t>
            </w:r>
          </w:p>
        </w:tc>
      </w:tr>
      <w:tr>
        <w:trPr>
          <w:trHeight w:val="216"/>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temperature.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-1496060</wp:posOffset>
            </wp:positionV>
            <wp:extent cx="1198880" cy="798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98880" cy="798830"/>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-397510</wp:posOffset>
            </wp:positionV>
            <wp:extent cx="1273810" cy="9575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3810" cy="95758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780"/>
        <w:spacing w:after="0"/>
        <w:rPr>
          <w:sz w:val="20"/>
          <w:szCs w:val="20"/>
          <w:color w:val="auto"/>
        </w:rPr>
      </w:pPr>
      <w:r>
        <w:rPr>
          <w:rFonts w:ascii="Arial" w:cs="Arial" w:eastAsia="Arial" w:hAnsi="Arial"/>
          <w:sz w:val="15"/>
          <w:szCs w:val="15"/>
          <w:color w:val="auto"/>
        </w:rPr>
        <w:t>Photodiodes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852170</wp:posOffset>
            </wp:positionH>
            <wp:positionV relativeFrom="paragraph">
              <wp:posOffset>45720</wp:posOffset>
            </wp:positionV>
            <wp:extent cx="1306830" cy="9823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06830" cy="9823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Component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Used to receive optical signals transmitted from a laser diode or other optical transmitter.</w:t>
      </w:r>
    </w:p>
    <w:p>
      <w:pPr>
        <w:spacing w:after="0" w:line="200" w:lineRule="exact"/>
        <w:rPr>
          <w:sz w:val="20"/>
          <w:szCs w:val="20"/>
          <w:color w:val="auto"/>
        </w:rPr>
      </w:pPr>
    </w:p>
    <w:p>
      <w:pPr>
        <w:sectPr>
          <w:pgSz w:w="11900" w:h="16838" w:orient="portrait"/>
          <w:cols w:equalWidth="0" w:num="3">
            <w:col w:w="5720" w:space="720"/>
            <w:col w:w="800" w:space="580"/>
            <w:col w:w="2440"/>
          </w:cols>
          <w:pgMar w:left="240" w:top="131"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FTTH Products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Representative Picture</w:t>
            </w:r>
          </w:p>
        </w:tc>
        <w:tc>
          <w:tcPr>
            <w:tcW w:w="1160" w:type="dxa"/>
            <w:vAlign w:val="bottom"/>
          </w:tcPr>
          <w:p>
            <w:pPr>
              <w:spacing w:after="0"/>
              <w:rPr>
                <w:sz w:val="13"/>
                <w:szCs w:val="13"/>
                <w:color w:val="auto"/>
              </w:rPr>
            </w:pPr>
          </w:p>
        </w:tc>
        <w:tc>
          <w:tcPr>
            <w:tcW w:w="246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rPr>
              <w:t>Product Family</w:t>
            </w:r>
          </w:p>
        </w:tc>
        <w:tc>
          <w:tcPr>
            <w:tcW w:w="180" w:type="dxa"/>
            <w:vAlign w:val="bottom"/>
          </w:tcPr>
          <w:p>
            <w:pPr>
              <w:spacing w:after="0"/>
              <w:rPr>
                <w:sz w:val="13"/>
                <w:szCs w:val="13"/>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Product Level</w:t>
            </w:r>
          </w:p>
        </w:tc>
        <w:tc>
          <w:tcPr>
            <w:tcW w:w="200" w:type="dxa"/>
            <w:vAlign w:val="bottom"/>
          </w:tcPr>
          <w:p>
            <w:pPr>
              <w:spacing w:after="0"/>
              <w:rPr>
                <w:sz w:val="13"/>
                <w:szCs w:val="13"/>
                <w:color w:val="auto"/>
              </w:rPr>
            </w:pPr>
          </w:p>
        </w:tc>
        <w:tc>
          <w:tcPr>
            <w:tcW w:w="2440" w:type="dxa"/>
            <w:vAlign w:val="bottom"/>
            <w:tcBorders>
              <w:bottom w:val="single" w:sz="8" w:color="auto"/>
            </w:tcBorders>
          </w:tcPr>
          <w:p>
            <w:pPr>
              <w:ind w:left="90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1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60" w:type="dxa"/>
            <w:vAlign w:val="bottom"/>
          </w:tcPr>
          <w:p>
            <w:pPr>
              <w:spacing w:after="0" w:line="194" w:lineRule="exact"/>
              <w:rPr>
                <w:sz w:val="20"/>
                <w:szCs w:val="20"/>
                <w:color w:val="auto"/>
              </w:rPr>
            </w:pPr>
            <w:r>
              <w:rPr>
                <w:rFonts w:ascii="Arial" w:cs="Arial" w:eastAsia="Arial" w:hAnsi="Arial"/>
                <w:sz w:val="17"/>
                <w:szCs w:val="17"/>
                <w:color w:val="auto"/>
              </w:rPr>
              <w:t>WDM-PON OLT module</w:t>
            </w:r>
          </w:p>
        </w:tc>
        <w:tc>
          <w:tcPr>
            <w:tcW w:w="180" w:type="dxa"/>
            <w:vAlign w:val="bottom"/>
          </w:tcPr>
          <w:p>
            <w:pPr>
              <w:spacing w:after="0"/>
              <w:rPr>
                <w:sz w:val="16"/>
                <w:szCs w:val="16"/>
                <w:color w:val="auto"/>
              </w:rPr>
            </w:pPr>
          </w:p>
        </w:tc>
        <w:tc>
          <w:tcPr>
            <w:tcW w:w="1160" w:type="dxa"/>
            <w:vAlign w:val="bottom"/>
          </w:tcPr>
          <w:p>
            <w:pPr>
              <w:spacing w:after="0" w:line="194" w:lineRule="exact"/>
              <w:rPr>
                <w:sz w:val="20"/>
                <w:szCs w:val="20"/>
                <w:color w:val="auto"/>
              </w:rPr>
            </w:pPr>
            <w:r>
              <w:rPr>
                <w:rFonts w:ascii="Arial" w:cs="Arial" w:eastAsia="Arial" w:hAnsi="Arial"/>
                <w:sz w:val="17"/>
                <w:szCs w:val="17"/>
                <w:color w:val="auto"/>
              </w:rPr>
              <w:t>Module</w:t>
            </w:r>
          </w:p>
        </w:tc>
        <w:tc>
          <w:tcPr>
            <w:tcW w:w="200" w:type="dxa"/>
            <w:vAlign w:val="bottom"/>
          </w:tcPr>
          <w:p>
            <w:pPr>
              <w:spacing w:after="0"/>
              <w:rPr>
                <w:sz w:val="16"/>
                <w:szCs w:val="16"/>
                <w:color w:val="auto"/>
              </w:rPr>
            </w:pPr>
          </w:p>
        </w:tc>
        <w:tc>
          <w:tcPr>
            <w:tcW w:w="2440" w:type="dxa"/>
            <w:vAlign w:val="bottom"/>
          </w:tcPr>
          <w:p>
            <w:pPr>
              <w:spacing w:after="0" w:line="194" w:lineRule="exact"/>
              <w:rPr>
                <w:sz w:val="20"/>
                <w:szCs w:val="20"/>
                <w:color w:val="auto"/>
              </w:rPr>
            </w:pPr>
            <w:r>
              <w:rPr>
                <w:rFonts w:ascii="Arial" w:cs="Arial" w:eastAsia="Arial" w:hAnsi="Arial"/>
                <w:sz w:val="17"/>
                <w:szCs w:val="17"/>
                <w:color w:val="auto"/>
              </w:rPr>
              <w:t>Transmission, multiplexing,</w:t>
            </w:r>
          </w:p>
        </w:tc>
      </w:tr>
      <w:tr>
        <w:trPr>
          <w:trHeight w:val="210"/>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demultiplexing and reception of</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multiple WDM optical signals.</w:t>
            </w:r>
          </w:p>
        </w:tc>
      </w:tr>
      <w:tr>
        <w:trPr>
          <w:trHeight w:val="419"/>
        </w:trPr>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16 Gbps transceiver modules.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-397510</wp:posOffset>
            </wp:positionV>
            <wp:extent cx="1273810" cy="8324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3810" cy="83248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820"/>
        <w:spacing w:after="0"/>
        <w:rPr>
          <w:sz w:val="20"/>
          <w:szCs w:val="20"/>
          <w:color w:val="auto"/>
        </w:rPr>
      </w:pPr>
      <w:r>
        <w:rPr>
          <w:rFonts w:ascii="Arial" w:cs="Arial" w:eastAsia="Arial" w:hAnsi="Arial"/>
          <w:sz w:val="15"/>
          <w:szCs w:val="15"/>
          <w:color w:val="auto"/>
        </w:rPr>
        <w:t>Gigabit Ethernet SFF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45720</wp:posOffset>
            </wp:positionV>
            <wp:extent cx="1223645" cy="8077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23645" cy="807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Module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352" w:lineRule="auto"/>
        <w:rPr>
          <w:sz w:val="20"/>
          <w:szCs w:val="20"/>
          <w:color w:val="auto"/>
        </w:rPr>
      </w:pPr>
      <w:r>
        <w:rPr>
          <w:rFonts w:ascii="Arial" w:cs="Arial" w:eastAsia="Arial" w:hAnsi="Arial"/>
          <w:sz w:val="15"/>
          <w:szCs w:val="15"/>
          <w:color w:val="auto"/>
        </w:rPr>
        <w:t>Small Form Factor transmit/receive module for Gigabit Ethernet FTTH.</w:t>
      </w:r>
    </w:p>
    <w:p>
      <w:pPr>
        <w:spacing w:after="0" w:line="200" w:lineRule="exact"/>
        <w:rPr>
          <w:sz w:val="20"/>
          <w:szCs w:val="20"/>
          <w:color w:val="auto"/>
        </w:rPr>
      </w:pPr>
    </w:p>
    <w:p>
      <w:pPr>
        <w:sectPr>
          <w:pgSz w:w="11900" w:h="16838" w:orient="portrait"/>
          <w:cols w:equalWidth="0" w:num="3">
            <w:col w:w="5740" w:space="720"/>
            <w:col w:w="640" w:space="720"/>
            <w:col w:w="2440"/>
          </w:cols>
          <w:pgMar w:left="240" w:top="131"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20"/>
        <w:spacing w:after="0"/>
        <w:rPr>
          <w:sz w:val="20"/>
          <w:szCs w:val="20"/>
          <w:color w:val="auto"/>
        </w:rPr>
      </w:pPr>
      <w:r>
        <w:rPr>
          <w:rFonts w:ascii="Arial" w:cs="Arial" w:eastAsia="Arial" w:hAnsi="Arial"/>
          <w:sz w:val="15"/>
          <w:szCs w:val="15"/>
          <w:color w:val="auto"/>
        </w:rPr>
        <w:t>Video receiver modules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902335</wp:posOffset>
            </wp:positionH>
            <wp:positionV relativeFrom="paragraph">
              <wp:posOffset>45720</wp:posOffset>
            </wp:positionV>
            <wp:extent cx="1231900" cy="8077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31900" cy="807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Module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color w:val="auto"/>
        </w:rPr>
        <w:t>Reception of video signals in an FTTH network.</w:t>
      </w:r>
    </w:p>
    <w:p>
      <w:pPr>
        <w:spacing w:after="0" w:line="200" w:lineRule="exact"/>
        <w:rPr>
          <w:sz w:val="20"/>
          <w:szCs w:val="20"/>
          <w:color w:val="auto"/>
        </w:rPr>
      </w:pPr>
    </w:p>
    <w:p>
      <w:pPr>
        <w:sectPr>
          <w:pgSz w:w="11900" w:h="16838" w:orient="portrait"/>
          <w:cols w:equalWidth="0" w:num="3">
            <w:col w:w="5740" w:space="720"/>
            <w:col w:w="640" w:space="720"/>
            <w:col w:w="2440"/>
          </w:cols>
          <w:pgMar w:left="240" w:top="131"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bookmarkStart w:id="95" w:name="page96"/>
    <w:bookmarkEnd w:id="9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Representative Picture</w:t>
            </w:r>
          </w:p>
        </w:tc>
        <w:tc>
          <w:tcPr>
            <w:tcW w:w="1160" w:type="dxa"/>
            <w:vAlign w:val="bottom"/>
          </w:tcPr>
          <w:p>
            <w:pPr>
              <w:spacing w:after="0"/>
              <w:rPr>
                <w:sz w:val="13"/>
                <w:szCs w:val="13"/>
                <w:color w:val="auto"/>
              </w:rPr>
            </w:pPr>
          </w:p>
        </w:tc>
        <w:tc>
          <w:tcPr>
            <w:tcW w:w="246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rPr>
              <w:t>Product Family</w:t>
            </w:r>
          </w:p>
        </w:tc>
        <w:tc>
          <w:tcPr>
            <w:tcW w:w="180" w:type="dxa"/>
            <w:vAlign w:val="bottom"/>
          </w:tcPr>
          <w:p>
            <w:pPr>
              <w:spacing w:after="0"/>
              <w:rPr>
                <w:sz w:val="13"/>
                <w:szCs w:val="13"/>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Product Level</w:t>
            </w:r>
          </w:p>
        </w:tc>
        <w:tc>
          <w:tcPr>
            <w:tcW w:w="200" w:type="dxa"/>
            <w:vAlign w:val="bottom"/>
          </w:tcPr>
          <w:p>
            <w:pPr>
              <w:spacing w:after="0"/>
              <w:rPr>
                <w:sz w:val="13"/>
                <w:szCs w:val="13"/>
                <w:color w:val="auto"/>
              </w:rPr>
            </w:pPr>
          </w:p>
        </w:tc>
        <w:tc>
          <w:tcPr>
            <w:tcW w:w="2440" w:type="dxa"/>
            <w:vAlign w:val="bottom"/>
            <w:tcBorders>
              <w:bottom w:val="single" w:sz="8" w:color="auto"/>
            </w:tcBorders>
          </w:tcPr>
          <w:p>
            <w:pPr>
              <w:ind w:left="90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1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60" w:type="dxa"/>
            <w:vAlign w:val="bottom"/>
          </w:tcPr>
          <w:p>
            <w:pPr>
              <w:spacing w:after="0" w:line="194" w:lineRule="exact"/>
              <w:rPr>
                <w:sz w:val="20"/>
                <w:szCs w:val="20"/>
                <w:color w:val="auto"/>
              </w:rPr>
            </w:pPr>
            <w:r>
              <w:rPr>
                <w:rFonts w:ascii="Arial" w:cs="Arial" w:eastAsia="Arial" w:hAnsi="Arial"/>
                <w:sz w:val="17"/>
                <w:szCs w:val="17"/>
                <w:color w:val="auto"/>
              </w:rPr>
              <w:t>Bi-directional and tri-port optical</w:t>
            </w:r>
          </w:p>
        </w:tc>
        <w:tc>
          <w:tcPr>
            <w:tcW w:w="180" w:type="dxa"/>
            <w:vAlign w:val="bottom"/>
          </w:tcPr>
          <w:p>
            <w:pPr>
              <w:spacing w:after="0"/>
              <w:rPr>
                <w:sz w:val="16"/>
                <w:szCs w:val="16"/>
                <w:color w:val="auto"/>
              </w:rPr>
            </w:pPr>
          </w:p>
        </w:tc>
        <w:tc>
          <w:tcPr>
            <w:tcW w:w="1160" w:type="dxa"/>
            <w:vAlign w:val="bottom"/>
          </w:tcPr>
          <w:p>
            <w:pPr>
              <w:spacing w:after="0" w:line="194" w:lineRule="exact"/>
              <w:rPr>
                <w:sz w:val="20"/>
                <w:szCs w:val="20"/>
                <w:color w:val="auto"/>
              </w:rPr>
            </w:pPr>
            <w:r>
              <w:rPr>
                <w:rFonts w:ascii="Arial" w:cs="Arial" w:eastAsia="Arial" w:hAnsi="Arial"/>
                <w:sz w:val="17"/>
                <w:szCs w:val="17"/>
                <w:color w:val="auto"/>
              </w:rPr>
              <w:t>Component</w:t>
            </w:r>
          </w:p>
        </w:tc>
        <w:tc>
          <w:tcPr>
            <w:tcW w:w="200" w:type="dxa"/>
            <w:vAlign w:val="bottom"/>
          </w:tcPr>
          <w:p>
            <w:pPr>
              <w:spacing w:after="0"/>
              <w:rPr>
                <w:sz w:val="16"/>
                <w:szCs w:val="16"/>
                <w:color w:val="auto"/>
              </w:rPr>
            </w:pPr>
          </w:p>
        </w:tc>
        <w:tc>
          <w:tcPr>
            <w:tcW w:w="2440" w:type="dxa"/>
            <w:vAlign w:val="bottom"/>
          </w:tcPr>
          <w:p>
            <w:pPr>
              <w:spacing w:after="0" w:line="194" w:lineRule="exact"/>
              <w:rPr>
                <w:sz w:val="20"/>
                <w:szCs w:val="20"/>
                <w:color w:val="auto"/>
              </w:rPr>
            </w:pPr>
            <w:r>
              <w:rPr>
                <w:rFonts w:ascii="Arial" w:cs="Arial" w:eastAsia="Arial" w:hAnsi="Arial"/>
                <w:sz w:val="17"/>
                <w:szCs w:val="17"/>
                <w:color w:val="auto"/>
              </w:rPr>
              <w:t>Optical devices incorporating</w:t>
            </w:r>
          </w:p>
        </w:tc>
      </w:tr>
      <w:tr>
        <w:trPr>
          <w:trHeight w:val="210"/>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7"/>
                <w:szCs w:val="17"/>
                <w:color w:val="auto"/>
              </w:rPr>
              <w:t>blocks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wavelength division multiplexing</w:t>
            </w:r>
          </w:p>
        </w:tc>
      </w:tr>
      <w:tr>
        <w:trPr>
          <w:trHeight w:val="210"/>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functionality allowing multiple</w:t>
            </w:r>
          </w:p>
        </w:tc>
      </w:tr>
      <w:tr>
        <w:trPr>
          <w:trHeight w:val="210"/>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signal types on a single optical</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fiber.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-397510</wp:posOffset>
            </wp:positionV>
            <wp:extent cx="1173480" cy="782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73480" cy="78232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820"/>
        <w:spacing w:after="0"/>
        <w:rPr>
          <w:sz w:val="20"/>
          <w:szCs w:val="20"/>
          <w:color w:val="auto"/>
        </w:rPr>
      </w:pPr>
      <w:r>
        <w:rPr>
          <w:rFonts w:ascii="Arial" w:cs="Arial" w:eastAsia="Arial" w:hAnsi="Arial"/>
          <w:sz w:val="15"/>
          <w:szCs w:val="15"/>
          <w:color w:val="auto"/>
        </w:rPr>
        <w:t>Laser chips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918845</wp:posOffset>
            </wp:positionH>
            <wp:positionV relativeFrom="paragraph">
              <wp:posOffset>45720</wp:posOffset>
            </wp:positionV>
            <wp:extent cx="1198880" cy="798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98880" cy="798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Component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140"/>
        <w:spacing w:after="0" w:line="270" w:lineRule="auto"/>
        <w:rPr>
          <w:sz w:val="20"/>
          <w:szCs w:val="20"/>
          <w:color w:val="auto"/>
        </w:rPr>
      </w:pPr>
      <w:r>
        <w:rPr>
          <w:rFonts w:ascii="Arial" w:cs="Arial" w:eastAsia="Arial" w:hAnsi="Arial"/>
          <w:sz w:val="17"/>
          <w:szCs w:val="17"/>
          <w:color w:val="auto"/>
        </w:rPr>
        <w:t>Standard GPON optical chips used by other manufacturers in specialized applications.</w:t>
      </w:r>
    </w:p>
    <w:p>
      <w:pPr>
        <w:spacing w:after="0" w:line="200" w:lineRule="exact"/>
        <w:rPr>
          <w:sz w:val="20"/>
          <w:szCs w:val="20"/>
          <w:color w:val="auto"/>
        </w:rPr>
      </w:pPr>
    </w:p>
    <w:p>
      <w:pPr>
        <w:sectPr>
          <w:pgSz w:w="11900" w:h="16838" w:orient="portrait"/>
          <w:cols w:equalWidth="0" w:num="3">
            <w:col w:w="5740" w:space="720"/>
            <w:col w:w="800" w:space="560"/>
            <w:col w:w="3520"/>
          </w:cols>
          <w:pgMar w:left="240" w:top="13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Internet Data Center Products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Representative Picture</w:t>
            </w:r>
          </w:p>
        </w:tc>
        <w:tc>
          <w:tcPr>
            <w:tcW w:w="1440" w:type="dxa"/>
            <w:vAlign w:val="bottom"/>
          </w:tcPr>
          <w:p>
            <w:pPr>
              <w:spacing w:after="0"/>
              <w:rPr>
                <w:sz w:val="13"/>
                <w:szCs w:val="13"/>
                <w:color w:val="auto"/>
              </w:rPr>
            </w:pPr>
          </w:p>
        </w:tc>
        <w:tc>
          <w:tcPr>
            <w:tcW w:w="246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rPr>
              <w:t>Product Family</w:t>
            </w:r>
          </w:p>
        </w:tc>
        <w:tc>
          <w:tcPr>
            <w:tcW w:w="160" w:type="dxa"/>
            <w:vAlign w:val="bottom"/>
          </w:tcPr>
          <w:p>
            <w:pPr>
              <w:spacing w:after="0"/>
              <w:rPr>
                <w:sz w:val="13"/>
                <w:szCs w:val="13"/>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7"/>
              </w:rPr>
              <w:t>Product Level</w:t>
            </w:r>
          </w:p>
        </w:tc>
        <w:tc>
          <w:tcPr>
            <w:tcW w:w="160" w:type="dxa"/>
            <w:vAlign w:val="bottom"/>
          </w:tcPr>
          <w:p>
            <w:pPr>
              <w:spacing w:after="0"/>
              <w:rPr>
                <w:sz w:val="13"/>
                <w:szCs w:val="13"/>
                <w:color w:val="auto"/>
              </w:rPr>
            </w:pPr>
          </w:p>
        </w:tc>
        <w:tc>
          <w:tcPr>
            <w:tcW w:w="2440" w:type="dxa"/>
            <w:vAlign w:val="bottom"/>
            <w:tcBorders>
              <w:bottom w:val="single" w:sz="8" w:color="auto"/>
            </w:tcBorders>
          </w:tcPr>
          <w:p>
            <w:pPr>
              <w:ind w:left="90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60" w:type="dxa"/>
            <w:vAlign w:val="bottom"/>
          </w:tcPr>
          <w:p>
            <w:pPr>
              <w:ind w:left="20"/>
              <w:spacing w:after="0" w:line="194" w:lineRule="exact"/>
              <w:rPr>
                <w:sz w:val="20"/>
                <w:szCs w:val="20"/>
                <w:color w:val="auto"/>
              </w:rPr>
            </w:pPr>
            <w:r>
              <w:rPr>
                <w:rFonts w:ascii="Arial" w:cs="Arial" w:eastAsia="Arial" w:hAnsi="Arial"/>
                <w:sz w:val="17"/>
                <w:szCs w:val="17"/>
                <w:color w:val="auto"/>
              </w:rPr>
              <w:t>10 gigabit small form factor</w:t>
            </w:r>
          </w:p>
        </w:tc>
        <w:tc>
          <w:tcPr>
            <w:tcW w:w="160" w:type="dxa"/>
            <w:vAlign w:val="bottom"/>
          </w:tcPr>
          <w:p>
            <w:pPr>
              <w:spacing w:after="0"/>
              <w:rPr>
                <w:sz w:val="16"/>
                <w:szCs w:val="16"/>
                <w:color w:val="auto"/>
              </w:rPr>
            </w:pPr>
          </w:p>
        </w:tc>
        <w:tc>
          <w:tcPr>
            <w:tcW w:w="940" w:type="dxa"/>
            <w:vAlign w:val="bottom"/>
          </w:tcPr>
          <w:p>
            <w:pPr>
              <w:spacing w:after="0" w:line="194" w:lineRule="exact"/>
              <w:rPr>
                <w:sz w:val="20"/>
                <w:szCs w:val="20"/>
                <w:color w:val="auto"/>
              </w:rPr>
            </w:pPr>
            <w:r>
              <w:rPr>
                <w:rFonts w:ascii="Arial" w:cs="Arial" w:eastAsia="Arial" w:hAnsi="Arial"/>
                <w:sz w:val="17"/>
                <w:szCs w:val="17"/>
                <w:color w:val="auto"/>
              </w:rPr>
              <w:t>Module</w:t>
            </w:r>
          </w:p>
        </w:tc>
        <w:tc>
          <w:tcPr>
            <w:tcW w:w="160" w:type="dxa"/>
            <w:vAlign w:val="bottom"/>
          </w:tcPr>
          <w:p>
            <w:pPr>
              <w:spacing w:after="0"/>
              <w:rPr>
                <w:sz w:val="16"/>
                <w:szCs w:val="16"/>
                <w:color w:val="auto"/>
              </w:rPr>
            </w:pPr>
          </w:p>
        </w:tc>
        <w:tc>
          <w:tcPr>
            <w:tcW w:w="2440" w:type="dxa"/>
            <w:vAlign w:val="bottom"/>
          </w:tcPr>
          <w:p>
            <w:pPr>
              <w:spacing w:after="0" w:line="194" w:lineRule="exact"/>
              <w:rPr>
                <w:sz w:val="20"/>
                <w:szCs w:val="20"/>
                <w:color w:val="auto"/>
              </w:rPr>
            </w:pPr>
            <w:r>
              <w:rPr>
                <w:rFonts w:ascii="Arial" w:cs="Arial" w:eastAsia="Arial" w:hAnsi="Arial"/>
                <w:sz w:val="17"/>
                <w:szCs w:val="17"/>
                <w:color w:val="auto"/>
              </w:rPr>
              <w:t>Used for 10 Gigabit Ethernet</w:t>
            </w:r>
          </w:p>
        </w:tc>
      </w:tr>
      <w:tr>
        <w:trPr>
          <w:trHeight w:val="216"/>
        </w:trPr>
        <w:tc>
          <w:tcPr>
            <w:tcW w:w="1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w w:val="97"/>
              </w:rPr>
              <w:t>pluggable, or SFP+, transceivers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optical interconnections.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1270</wp:posOffset>
            </wp:positionV>
            <wp:extent cx="1331595" cy="8826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31595" cy="88265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0"/>
        <w:spacing w:after="0" w:line="282" w:lineRule="auto"/>
        <w:rPr>
          <w:sz w:val="20"/>
          <w:szCs w:val="20"/>
          <w:color w:val="auto"/>
        </w:rPr>
      </w:pPr>
      <w:r>
        <w:rPr>
          <w:rFonts w:ascii="Arial" w:cs="Arial" w:eastAsia="Arial" w:hAnsi="Arial"/>
          <w:sz w:val="17"/>
          <w:szCs w:val="17"/>
          <w:color w:val="auto"/>
        </w:rPr>
        <w:t>Small form-factor pluggable, or SFP, transceivers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-135890</wp:posOffset>
            </wp:positionV>
            <wp:extent cx="1257300" cy="9486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57300" cy="948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Module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20"/>
        <w:spacing w:after="0" w:line="270" w:lineRule="auto"/>
        <w:rPr>
          <w:sz w:val="20"/>
          <w:szCs w:val="20"/>
          <w:color w:val="auto"/>
        </w:rPr>
      </w:pPr>
      <w:r>
        <w:rPr>
          <w:rFonts w:ascii="Arial" w:cs="Arial" w:eastAsia="Arial" w:hAnsi="Arial"/>
          <w:sz w:val="17"/>
          <w:szCs w:val="17"/>
          <w:color w:val="auto"/>
        </w:rPr>
        <w:t>Used for Gb Ethernet, or GbE, SONET OC-3 to OC-48, FiberChannel.</w:t>
      </w:r>
    </w:p>
    <w:p>
      <w:pPr>
        <w:spacing w:after="0" w:line="200" w:lineRule="exact"/>
        <w:rPr>
          <w:sz w:val="20"/>
          <w:szCs w:val="20"/>
          <w:color w:val="auto"/>
        </w:rPr>
      </w:pPr>
    </w:p>
    <w:p>
      <w:pPr>
        <w:sectPr>
          <w:pgSz w:w="11900" w:h="16838" w:orient="portrait"/>
          <w:cols w:equalWidth="0" w:num="3">
            <w:col w:w="6280" w:space="440"/>
            <w:col w:w="540" w:space="560"/>
            <w:col w:w="3520"/>
          </w:cols>
          <w:pgMar w:left="240" w:top="13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120"/>
        <w:spacing w:after="0"/>
        <w:rPr>
          <w:sz w:val="20"/>
          <w:szCs w:val="20"/>
          <w:color w:val="auto"/>
        </w:rPr>
      </w:pPr>
      <w:r>
        <w:rPr>
          <w:rFonts w:ascii="Arial" w:cs="Arial" w:eastAsia="Arial" w:hAnsi="Arial"/>
          <w:sz w:val="15"/>
          <w:szCs w:val="15"/>
          <w:color w:val="auto"/>
        </w:rPr>
        <w:t>Active Optical 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45720</wp:posOffset>
            </wp:positionV>
            <wp:extent cx="1257300" cy="8324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57300" cy="832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Module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100"/>
        <w:spacing w:after="0" w:line="322" w:lineRule="auto"/>
        <w:rPr>
          <w:sz w:val="20"/>
          <w:szCs w:val="20"/>
          <w:color w:val="auto"/>
        </w:rPr>
      </w:pPr>
      <w:r>
        <w:rPr>
          <w:rFonts w:ascii="Arial" w:cs="Arial" w:eastAsia="Arial" w:hAnsi="Arial"/>
          <w:sz w:val="15"/>
          <w:szCs w:val="15"/>
          <w:color w:val="auto"/>
        </w:rPr>
        <w:t>10 and 40 Gbps fiber-optic cable incorporating laser diode drive electronics into the cable assembly.</w:t>
      </w:r>
    </w:p>
    <w:p>
      <w:pPr>
        <w:spacing w:after="0" w:line="200" w:lineRule="exact"/>
        <w:rPr>
          <w:sz w:val="20"/>
          <w:szCs w:val="20"/>
          <w:color w:val="auto"/>
        </w:rPr>
      </w:pPr>
    </w:p>
    <w:p>
      <w:pPr>
        <w:sectPr>
          <w:pgSz w:w="11900" w:h="16838" w:orient="portrait"/>
          <w:cols w:equalWidth="0" w:num="3">
            <w:col w:w="6000" w:space="720"/>
            <w:col w:w="540" w:space="560"/>
            <w:col w:w="3520"/>
          </w:cols>
          <w:pgMar w:left="240" w:top="13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28"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We rely on a combination of patent, copyright, trademark and trade secret laws, as well as confidentiality and licensing arrangements, to establish and protect our intellectual property. We employ various methods to protect these intellectual property rights, including maintaining a technological infrastructure with significant security measures, limiting disclosure and restricting access to only those individuals with an operational need for such information, and having employees, consultants and suppliers execute confidentiality agreements with us. While we expect our intellectual property to provide competitive advantages, we also find meaningful value from unpatented proprietary process knowledge, know-how and trade secrets.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96" w:name="page97"/>
    <w:bookmarkEnd w:id="9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Patents</w:t>
      </w:r>
    </w:p>
    <w:p>
      <w:pPr>
        <w:spacing w:after="0" w:line="224"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As of June 30, 2013, we owned 57 issued patents in the U.S., 20 issued patents in China and 27 issued patents in Taiwan and had 39 additional patents pending, of which 25 were pending in the U.S., three were pending in China and 11 were pending in Taiwan, in addition to various counterpart applications pending pursuant to the Patent Cooperation Treaty and in Europe. Our issued patents will expire between 2018 and 2028.</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portfolio of patents and patent applications covers several different technology families including:</w:t>
      </w:r>
    </w:p>
    <w:p>
      <w:pPr>
        <w:spacing w:after="0" w:line="237" w:lineRule="exact"/>
        <w:rPr>
          <w:sz w:val="20"/>
          <w:szCs w:val="20"/>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laser structure and design;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optical signal conditioning and laser control;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laser fabrication;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photodiode and optical receiver design and fabrication;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optical device and module designs;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optical device packaging equipment and techniques;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optical network enhancements.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Trademarks</w:t>
      </w:r>
    </w:p>
    <w:p>
      <w:pPr>
        <w:spacing w:after="0" w:line="224" w:lineRule="exact"/>
        <w:rPr>
          <w:sz w:val="20"/>
          <w:szCs w:val="20"/>
          <w:color w:val="auto"/>
        </w:rPr>
      </w:pPr>
    </w:p>
    <w:p>
      <w:pPr>
        <w:ind w:right="540" w:firstLine="338"/>
        <w:spacing w:after="0" w:line="282" w:lineRule="auto"/>
        <w:rPr>
          <w:sz w:val="20"/>
          <w:szCs w:val="20"/>
          <w:color w:val="auto"/>
        </w:rPr>
      </w:pPr>
      <w:r>
        <w:rPr>
          <w:rFonts w:ascii="Arial" w:cs="Arial" w:eastAsia="Arial" w:hAnsi="Arial"/>
          <w:sz w:val="17"/>
          <w:szCs w:val="17"/>
          <w:color w:val="auto"/>
        </w:rPr>
        <w:t>We have registered the trademarks APPLIED OPTOELECTRONICS, INC., AOI and our logo with the U.S. Patent and Trademark Office on the Principal Register. These marks are also registered in, or have applications for registration pending in, various foreign trademark offices.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28" w:lineRule="exact"/>
        <w:rPr>
          <w:sz w:val="20"/>
          <w:szCs w:val="20"/>
          <w:color w:val="auto"/>
        </w:rPr>
      </w:pPr>
    </w:p>
    <w:p>
      <w:pPr>
        <w:jc w:val="both"/>
        <w:ind w:right="60" w:firstLine="338"/>
        <w:spacing w:after="0" w:line="287" w:lineRule="auto"/>
        <w:rPr>
          <w:sz w:val="20"/>
          <w:szCs w:val="20"/>
          <w:color w:val="auto"/>
        </w:rPr>
      </w:pPr>
      <w:r>
        <w:rPr>
          <w:rFonts w:ascii="Arial" w:cs="Arial" w:eastAsia="Arial" w:hAnsi="Arial"/>
          <w:sz w:val="16"/>
          <w:szCs w:val="16"/>
          <w:color w:val="auto"/>
        </w:rPr>
        <w:t>To maintain our growth and competitiveness, we engage in an active research and development program to develop new products and enhance existing products. As a result of these efforts, we anticipate releasing various new or enhanced products over the next several years. Over the past three years, we released an average of over 1,000 product SKUs per year. Our research and development expenses were approximately $5.2 million, $6.5 million, $7.6 million, $3.3 million and $3.9 million for the years 2010, 2011 and 2012 and the six month periods ended June 30, 2012 and 2013, respectively.</w:t>
      </w:r>
    </w:p>
    <w:p>
      <w:pPr>
        <w:spacing w:after="0" w:line="169" w:lineRule="exact"/>
        <w:rPr>
          <w:sz w:val="20"/>
          <w:szCs w:val="20"/>
          <w:color w:val="auto"/>
        </w:rPr>
      </w:pPr>
    </w:p>
    <w:p>
      <w:pPr>
        <w:jc w:val="both"/>
        <w:ind w:right="20" w:firstLine="332"/>
        <w:spacing w:after="0" w:line="287" w:lineRule="auto"/>
        <w:rPr>
          <w:sz w:val="20"/>
          <w:szCs w:val="20"/>
          <w:color w:val="auto"/>
        </w:rPr>
      </w:pPr>
      <w:r>
        <w:rPr>
          <w:rFonts w:ascii="Arial" w:cs="Arial" w:eastAsia="Arial" w:hAnsi="Arial"/>
          <w:sz w:val="16"/>
          <w:szCs w:val="16"/>
          <w:color w:val="auto"/>
        </w:rPr>
        <w:t>As of June 30, 2013, we had a total of 219 engineers working in production and R&amp;D, including 20 with Ph.D. degrees. We had 111 of those engineers dedicated to R&amp;D, with 19 located in the U.S. and 92 located in Asia. We continue to recruit talented engineers to further enhance our research and development capabilities. We have research and development departments in our facilities in Texas, China and Taiwan. Our research and development teams collaborate on joint projects, and by co-locating with our manufacturing operations enable us to achieve an efficient cost structure and improve our time to market.</w:t>
      </w:r>
    </w:p>
    <w:p>
      <w:pPr>
        <w:spacing w:after="0" w:line="169" w:lineRule="exact"/>
        <w:rPr>
          <w:sz w:val="20"/>
          <w:szCs w:val="20"/>
          <w:color w:val="auto"/>
        </w:rPr>
      </w:pPr>
    </w:p>
    <w:p>
      <w:pPr>
        <w:ind w:right="40" w:firstLine="332"/>
        <w:spacing w:after="0" w:line="282" w:lineRule="auto"/>
        <w:rPr>
          <w:sz w:val="20"/>
          <w:szCs w:val="20"/>
          <w:color w:val="auto"/>
        </w:rPr>
      </w:pPr>
      <w:r>
        <w:rPr>
          <w:rFonts w:ascii="Arial" w:cs="Arial" w:eastAsia="Arial" w:hAnsi="Arial"/>
          <w:sz w:val="17"/>
          <w:szCs w:val="17"/>
          <w:color w:val="auto"/>
        </w:rPr>
        <w:t>A key factor in our research and development success is our highly collaborative process for new product development. Particularly in our equipment and module businesses, we often collaborate very closely with our customers from a very early stage in product development.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purposefully fostering this close collaboration, we believe that we can more rapidly develop leading solutions meeting the needs of our customers.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Operations</w:t>
      </w:r>
    </w:p>
    <w:p>
      <w:pPr>
        <w:spacing w:after="0" w:line="228" w:lineRule="exact"/>
        <w:rPr>
          <w:sz w:val="20"/>
          <w:szCs w:val="20"/>
          <w:color w:val="auto"/>
        </w:rPr>
      </w:pPr>
    </w:p>
    <w:p>
      <w:pPr>
        <w:ind w:firstLine="338"/>
        <w:spacing w:after="0" w:line="279" w:lineRule="auto"/>
        <w:rPr>
          <w:sz w:val="20"/>
          <w:szCs w:val="20"/>
          <w:color w:val="auto"/>
        </w:rPr>
      </w:pPr>
      <w:r>
        <w:rPr>
          <w:rFonts w:ascii="Arial" w:cs="Arial" w:eastAsia="Arial" w:hAnsi="Arial"/>
          <w:sz w:val="16"/>
          <w:szCs w:val="16"/>
          <w:color w:val="auto"/>
        </w:rPr>
        <w:t>We have three manufacturing sites: Sugar Land, Texas, Ningbo, China and Taipei, Taiwan. Our research and development functions are partnered with our manufacturing locations. In our U.S. facility, we manufacture laser chips (utilizing our MBE process), sub-assemblies and components. The sub-assemblies are used in the manufacture of components by our other manufacturing facilities or sold to third parties as modules. We manufacture our laser chips only within our U.S. facility, where our laser design team is located. In our Taiwan location, we manufacture optical components, such as our butterfly lasers, which incorporate laser chips, sub-assemblies and components manufactured within our U.S. facility. In addition, in our Taiwan location, we manufacture transceivers for the FTTH, internet data center and other markets. In our China facility we take advantage of lower labor costs and manufacture certain more labor intensive components and optical equipment systems, such as CATV transmitters (at the headend) and CATV outdoor equipment (at the node). Each facility conducts testing on the components, modules or subsystems it manufactures and each facility is certified to ISO 9001:2000.</w:t>
      </w:r>
    </w:p>
    <w:p>
      <w:pPr>
        <w:spacing w:after="0" w:line="177" w:lineRule="exact"/>
        <w:rPr>
          <w:sz w:val="20"/>
          <w:szCs w:val="20"/>
          <w:color w:val="auto"/>
        </w:rPr>
      </w:pPr>
    </w:p>
    <w:p>
      <w:pPr>
        <w:ind w:right="240" w:firstLine="341"/>
        <w:spacing w:after="0" w:line="283" w:lineRule="auto"/>
        <w:rPr>
          <w:sz w:val="20"/>
          <w:szCs w:val="20"/>
          <w:color w:val="auto"/>
        </w:rPr>
      </w:pPr>
      <w:r>
        <w:rPr>
          <w:rFonts w:ascii="Arial" w:cs="Arial" w:eastAsia="Arial" w:hAnsi="Arial"/>
          <w:sz w:val="16"/>
          <w:szCs w:val="16"/>
          <w:color w:val="auto"/>
        </w:rPr>
        <w:t>Our products are sold to our customers worldwide and also supply our internal component needs for the transceivers and equipment we manufacture. With a vertically integrated manufacturing process, we produce many of our own laser chips and other parts required to manufacture our optical components. Through this model, we are able to reduce development time and product costs as well as enhance quality control. We incorporate our own components into our transceivers, subsystems and equipment products wherever possible. In instances where we do not produce components ourselves, we source them from external suppliers and regularly evaluate these relationships in an attempt to reduce risk and lower cost.</w:t>
      </w:r>
    </w:p>
    <w:p>
      <w:pPr>
        <w:spacing w:after="0" w:line="174"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We depend on a limited number of suppliers for certain raw materials and components used in our products. We regularly review our vendor relationships in an attempt to mitigate risks and lower costs, especially where we depend on one or two vendors for critical components or raw materials. While maintaining inventories that we believe are sufficient to meet our near-term needs, we strive not to carry significant inventories of raw materials. Accordingly, we maintain ongoing communications with our vendors in order to help prevent any interruptions in supply, and have implemented a supply-chain management program to maintain quality and lower purchase prices through standardized purchasing efficiencies and design requirements. To date, we generally have been able to obtain sufficient quantities of quality supplies in a timely manner.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228" w:lineRule="exact"/>
        <w:rPr>
          <w:sz w:val="20"/>
          <w:szCs w:val="20"/>
          <w:color w:val="auto"/>
        </w:rPr>
      </w:pPr>
    </w:p>
    <w:p>
      <w:pPr>
        <w:ind w:right="120" w:firstLine="341"/>
        <w:spacing w:after="0" w:line="281" w:lineRule="auto"/>
        <w:rPr>
          <w:sz w:val="20"/>
          <w:szCs w:val="20"/>
          <w:color w:val="auto"/>
        </w:rPr>
      </w:pPr>
      <w:r>
        <w:rPr>
          <w:rFonts w:ascii="Arial" w:cs="Arial" w:eastAsia="Arial" w:hAnsi="Arial"/>
          <w:sz w:val="16"/>
          <w:szCs w:val="16"/>
          <w:color w:val="auto"/>
        </w:rPr>
        <w:t>Our customers are primarily CATV and telecommunications equipment manufacturers and internet data center operators. We generally employ a direct sales model in North America and in the rest of the world we use both direct and indirect sales channels. In 2010, 2011 and 2012, we obtained 82.9%, 84.3% and 85.4% of our revenue, respectively, through our direct sales efforts and the remainder of our revenue through our indirect sales channels. Our sales channel partners provide logistical services and day-to-day customer support. Where we sell through an indirect sales channel, we work with the end customer to establish technological specifications for our products. Our equipment customers typically offer our equipment under their brand-name and our equipment is often customized with unique design or performance criteria by each of these customers. We also from time to time offer design or manufacturing services to</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customers to assist them in more effectively using our products and realizing time-to-market advantages.</w:t>
      </w:r>
    </w:p>
    <w:p>
      <w:pPr>
        <w:spacing w:after="0" w:line="224" w:lineRule="exact"/>
        <w:rPr>
          <w:sz w:val="20"/>
          <w:szCs w:val="20"/>
          <w:color w:val="auto"/>
        </w:rPr>
      </w:pPr>
    </w:p>
    <w:p>
      <w:pPr>
        <w:jc w:val="both"/>
        <w:ind w:right="700" w:firstLine="341"/>
        <w:spacing w:after="0" w:line="270" w:lineRule="auto"/>
        <w:rPr>
          <w:sz w:val="20"/>
          <w:szCs w:val="20"/>
          <w:color w:val="auto"/>
        </w:rPr>
      </w:pPr>
      <w:r>
        <w:rPr>
          <w:rFonts w:ascii="Arial" w:cs="Arial" w:eastAsia="Arial" w:hAnsi="Arial"/>
          <w:sz w:val="17"/>
          <w:szCs w:val="17"/>
          <w:color w:val="auto"/>
        </w:rPr>
        <w:t>In 2012, our products were used by the five largest CATV equipment OEMs consisting of Arris Group Inc., Aurora Networks, Inc., Cisco Systems, Inc., Harmonic Inc. and Motorola Mobility Holdings, Inc. Our other key customers by revenue in 2012 included Genexis B.V. in the FTTH market and Microsoft Corporation in the internet data center market.</w:t>
      </w:r>
    </w:p>
    <w:p>
      <w:pPr>
        <w:spacing w:after="0" w:line="179" w:lineRule="exact"/>
        <w:rPr>
          <w:sz w:val="20"/>
          <w:szCs w:val="20"/>
          <w:color w:val="auto"/>
        </w:rPr>
      </w:pPr>
    </w:p>
    <w:p>
      <w:pPr>
        <w:ind w:right="740" w:firstLine="338"/>
        <w:spacing w:after="0" w:line="315" w:lineRule="auto"/>
        <w:rPr>
          <w:sz w:val="20"/>
          <w:szCs w:val="20"/>
          <w:color w:val="auto"/>
        </w:rPr>
      </w:pPr>
      <w:r>
        <w:rPr>
          <w:rFonts w:ascii="Arial" w:cs="Arial" w:eastAsia="Arial" w:hAnsi="Arial"/>
          <w:sz w:val="16"/>
          <w:szCs w:val="16"/>
          <w:color w:val="auto"/>
        </w:rPr>
        <w:t>We support our sales efforts by attendance at industry trade shows, technical conferences, advertising in various trade journals and magazines and other promotional efforts. These efforts are aimed at attracting new customers and enhancing our existing customer relationships.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228" w:lineRule="exact"/>
        <w:rPr>
          <w:sz w:val="20"/>
          <w:szCs w:val="20"/>
          <w:color w:val="auto"/>
        </w:rPr>
      </w:pPr>
    </w:p>
    <w:p>
      <w:pPr>
        <w:ind w:right="300" w:firstLine="338"/>
        <w:spacing w:after="0" w:line="270" w:lineRule="auto"/>
        <w:rPr>
          <w:sz w:val="20"/>
          <w:szCs w:val="20"/>
          <w:color w:val="auto"/>
        </w:rPr>
      </w:pPr>
      <w:r>
        <w:rPr>
          <w:rFonts w:ascii="Arial" w:cs="Arial" w:eastAsia="Arial" w:hAnsi="Arial"/>
          <w:sz w:val="17"/>
          <w:szCs w:val="17"/>
          <w:color w:val="auto"/>
        </w:rPr>
        <w:t>We generally make sales pursuant to short-term purchase orders without deposits and subject to rescheduling, revision or cancellation on short notice. We accordingly believe that purchase orders are not an accurate indicator of our future sales and any backlog of purchase orders is not a reliable indicator of our future revenue.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8" w:lineRule="exact"/>
        <w:rPr>
          <w:sz w:val="20"/>
          <w:szCs w:val="20"/>
          <w:color w:val="auto"/>
        </w:rPr>
      </w:pPr>
    </w:p>
    <w:p>
      <w:pPr>
        <w:ind w:right="360" w:firstLine="338"/>
        <w:spacing w:after="0" w:line="287" w:lineRule="auto"/>
        <w:rPr>
          <w:sz w:val="20"/>
          <w:szCs w:val="20"/>
          <w:color w:val="auto"/>
        </w:rPr>
      </w:pPr>
      <w:r>
        <w:rPr>
          <w:rFonts w:ascii="Arial" w:cs="Arial" w:eastAsia="Arial" w:hAnsi="Arial"/>
          <w:sz w:val="16"/>
          <w:szCs w:val="16"/>
          <w:color w:val="auto"/>
        </w:rPr>
        <w:t>The optical networking market is intensely competitive. Because of the broad nature of our product offerings, we do not believe that we face a single major competitor across all of our markets. We do, however, experience intense competition in each product area from a number of manufacturers and we anticipate that competition will increase. Our major competitors in one or more of our markets include Avago, Inc., EMCORE Corporation, Finisar Corporation, JDS Uniphase Corporation, Mitsubishi, NeoPhotonics Corporation, Oclaro, Inc. and Sumitomo Electric Industries, Ltd.</w:t>
      </w:r>
    </w:p>
    <w:p>
      <w:pPr>
        <w:spacing w:after="0" w:line="169"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Many of our competitors are larger than we are and have significantly greater financial, marketing and other resources. In addition, several of our competitors have large market capitalizations or cash reserves and are much better positioned to acquire other companies to gain new technologies or products that may displace our products. Network equipment providers, who are our customers, and network service providers, who are supplied by our customers, may decide to manufacture the optical subsystems incorporated into their network systems in-house. We also encounter potential customers that, because of existing relationships, are committed to the products offered by these competitors.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the principal competitive factors in our target markets include the following:</w:t>
      </w:r>
    </w:p>
    <w:p>
      <w:pPr>
        <w:spacing w:after="0" w:line="237" w:lineRule="exact"/>
        <w:rPr>
          <w:sz w:val="20"/>
          <w:szCs w:val="20"/>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use of internally manufactured components;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product breadth and functionality;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timing and pace of new product development;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breadth of customer base;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technological expertise;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reliability of products;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product pricing;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manufacturing efficiency.</w:t>
      </w:r>
    </w:p>
    <w:p>
      <w:pPr>
        <w:spacing w:after="0" w:line="224" w:lineRule="exact"/>
        <w:rPr>
          <w:sz w:val="20"/>
          <w:szCs w:val="20"/>
          <w:color w:val="auto"/>
        </w:rPr>
      </w:pPr>
    </w:p>
    <w:p>
      <w:pPr>
        <w:ind w:right="520" w:firstLine="338"/>
        <w:spacing w:after="0" w:line="282" w:lineRule="auto"/>
        <w:rPr>
          <w:sz w:val="20"/>
          <w:szCs w:val="20"/>
          <w:color w:val="auto"/>
        </w:rPr>
      </w:pPr>
      <w:r>
        <w:rPr>
          <w:rFonts w:ascii="Arial" w:cs="Arial" w:eastAsia="Arial" w:hAnsi="Arial"/>
          <w:sz w:val="17"/>
          <w:szCs w:val="17"/>
          <w:color w:val="auto"/>
        </w:rPr>
        <w:t>We believe that we compete favorably with respect to the above factors based on our MBE processes, our vertically integrated model, the performance and reliability of our product offerings and the compelling value we offer to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8" w:lineRule="exact"/>
        <w:rPr>
          <w:sz w:val="20"/>
          <w:szCs w:val="20"/>
          <w:color w:val="auto"/>
        </w:rPr>
      </w:pPr>
    </w:p>
    <w:p>
      <w:pPr>
        <w:ind w:right="120" w:firstLine="332"/>
        <w:spacing w:after="0" w:line="322" w:lineRule="auto"/>
        <w:rPr>
          <w:sz w:val="20"/>
          <w:szCs w:val="20"/>
          <w:color w:val="auto"/>
        </w:rPr>
      </w:pPr>
      <w:r>
        <w:rPr>
          <w:rFonts w:ascii="Arial" w:cs="Arial" w:eastAsia="Arial" w:hAnsi="Arial"/>
          <w:sz w:val="15"/>
          <w:szCs w:val="15"/>
          <w:color w:val="auto"/>
        </w:rPr>
        <w:t>As of June 30, 2013, we employed 927 full-time employees, of which 24 held Ph.D. degrees in a science or engineering field. Of our employees, 194 are located in the U.S., 518 are in China, and 218 are in Taiwan. None of our employees are represented by any collective bargaining agreement, but certain employees of our China subsidiary are members of a trade union. We have never suffered any work stoppage and believe that we have satisfactory relations with our employees.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228" w:lineRule="exact"/>
        <w:rPr>
          <w:sz w:val="20"/>
          <w:szCs w:val="20"/>
          <w:color w:val="auto"/>
        </w:rPr>
      </w:pPr>
    </w:p>
    <w:p>
      <w:pPr>
        <w:ind w:right="180" w:firstLine="338"/>
        <w:spacing w:after="0" w:line="282" w:lineRule="auto"/>
        <w:rPr>
          <w:sz w:val="20"/>
          <w:szCs w:val="20"/>
          <w:color w:val="auto"/>
        </w:rPr>
      </w:pPr>
      <w:r>
        <w:rPr>
          <w:rFonts w:ascii="Arial" w:cs="Arial" w:eastAsia="Arial" w:hAnsi="Arial"/>
          <w:sz w:val="17"/>
          <w:szCs w:val="17"/>
          <w:color w:val="auto"/>
        </w:rPr>
        <w:t>We maintain manufacturing, research and development, sales and administrative offices in the U.S., China and Taiwan. Our corporate headquarters is located at our facility in Sugar Land, Texas. The table below provides information regarding our facilities.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jc w:val="center"/>
              <w:ind w:right="41"/>
              <w:spacing w:after="0"/>
              <w:rPr>
                <w:sz w:val="20"/>
                <w:szCs w:val="20"/>
                <w:color w:val="auto"/>
              </w:rPr>
            </w:pPr>
            <w:r>
              <w:rPr>
                <w:rFonts w:ascii="Arial" w:cs="Arial" w:eastAsia="Arial" w:hAnsi="Arial"/>
                <w:sz w:val="13"/>
                <w:szCs w:val="13"/>
                <w:b w:val="1"/>
                <w:bCs w:val="1"/>
                <w:color w:val="auto"/>
                <w:w w:val="91"/>
              </w:rPr>
              <w:t>Owned or Lease</w:t>
            </w:r>
          </w:p>
        </w:tc>
        <w:tc>
          <w:tcPr>
            <w:tcW w:w="16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Arial" w:cs="Arial" w:eastAsia="Arial" w:hAnsi="Arial"/>
                <w:sz w:val="13"/>
                <w:szCs w:val="13"/>
                <w:b w:val="1"/>
                <w:bCs w:val="1"/>
                <w:color w:val="auto"/>
              </w:rPr>
              <w:t>Approximate</w:t>
            </w:r>
          </w:p>
        </w:tc>
        <w:tc>
          <w:tcPr>
            <w:tcW w:w="3760" w:type="dxa"/>
            <w:vAlign w:val="bottom"/>
          </w:tcPr>
          <w:p>
            <w:pPr>
              <w:spacing w:after="0"/>
              <w:rPr>
                <w:sz w:val="13"/>
                <w:szCs w:val="13"/>
                <w:color w:val="auto"/>
              </w:rPr>
            </w:pPr>
          </w:p>
        </w:tc>
      </w:tr>
      <w:tr>
        <w:trPr>
          <w:trHeight w:val="157"/>
        </w:trPr>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Location</w:t>
            </w:r>
          </w:p>
        </w:tc>
        <w:tc>
          <w:tcPr>
            <w:tcW w:w="1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4"/>
              </w:rPr>
              <w:t>Expiration Date</w:t>
            </w:r>
          </w:p>
        </w:tc>
        <w:tc>
          <w:tcPr>
            <w:tcW w:w="160" w:type="dxa"/>
            <w:vAlign w:val="bottom"/>
          </w:tcPr>
          <w:p>
            <w:pPr>
              <w:spacing w:after="0"/>
              <w:rPr>
                <w:sz w:val="13"/>
                <w:szCs w:val="13"/>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w w:val="97"/>
              </w:rPr>
              <w:t>Square Footage</w:t>
            </w:r>
          </w:p>
        </w:tc>
        <w:tc>
          <w:tcPr>
            <w:tcW w:w="160" w:type="dxa"/>
            <w:vAlign w:val="bottom"/>
          </w:tcPr>
          <w:p>
            <w:pPr>
              <w:spacing w:after="0"/>
              <w:rPr>
                <w:sz w:val="13"/>
                <w:szCs w:val="13"/>
                <w:color w:val="auto"/>
              </w:rPr>
            </w:pPr>
          </w:p>
        </w:tc>
        <w:tc>
          <w:tcPr>
            <w:tcW w:w="3760" w:type="dxa"/>
            <w:vAlign w:val="bottom"/>
            <w:tcBorders>
              <w:bottom w:val="single" w:sz="8" w:color="auto"/>
            </w:tcBorders>
          </w:tcPr>
          <w:p>
            <w:pPr>
              <w:ind w:left="1780"/>
              <w:spacing w:after="0"/>
              <w:rPr>
                <w:sz w:val="20"/>
                <w:szCs w:val="20"/>
                <w:color w:val="auto"/>
              </w:rPr>
            </w:pPr>
            <w:r>
              <w:rPr>
                <w:rFonts w:ascii="Arial" w:cs="Arial" w:eastAsia="Arial" w:hAnsi="Arial"/>
                <w:sz w:val="13"/>
                <w:szCs w:val="13"/>
                <w:b w:val="1"/>
                <w:bCs w:val="1"/>
                <w:color w:val="auto"/>
              </w:rPr>
              <w:t>Use</w:t>
            </w:r>
          </w:p>
        </w:tc>
      </w:tr>
      <w:tr>
        <w:trPr>
          <w:trHeight w:val="194"/>
        </w:trPr>
        <w:tc>
          <w:tcPr>
            <w:tcW w:w="18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Sugar Land, Texas (1)</w:t>
            </w: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jc w:val="center"/>
              <w:ind w:right="41"/>
              <w:spacing w:after="0" w:line="194" w:lineRule="exact"/>
              <w:rPr>
                <w:sz w:val="20"/>
                <w:szCs w:val="20"/>
                <w:color w:val="auto"/>
              </w:rPr>
            </w:pPr>
            <w:r>
              <w:rPr>
                <w:rFonts w:ascii="Arial" w:cs="Arial" w:eastAsia="Arial" w:hAnsi="Arial"/>
                <w:sz w:val="17"/>
                <w:szCs w:val="17"/>
                <w:color w:val="auto"/>
                <w:w w:val="89"/>
              </w:rPr>
              <w:t>Owned</w:t>
            </w:r>
          </w:p>
        </w:tc>
        <w:tc>
          <w:tcPr>
            <w:tcW w:w="1420" w:type="dxa"/>
            <w:vAlign w:val="bottom"/>
            <w:gridSpan w:val="3"/>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23,850</w:t>
            </w:r>
          </w:p>
        </w:tc>
        <w:tc>
          <w:tcPr>
            <w:tcW w:w="37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7"/>
              </w:rPr>
              <w:t>Administration, sales, manufacturing, research and</w:t>
            </w:r>
          </w:p>
        </w:tc>
      </w:tr>
      <w:tr>
        <w:trPr>
          <w:trHeight w:val="218"/>
        </w:trPr>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development</w:t>
            </w:r>
          </w:p>
        </w:tc>
      </w:tr>
      <w:tr>
        <w:trPr>
          <w:trHeight w:val="210"/>
        </w:trPr>
        <w:tc>
          <w:tcPr>
            <w:tcW w:w="1820" w:type="dxa"/>
            <w:vAlign w:val="bottom"/>
            <w:gridSpan w:val="2"/>
          </w:tcPr>
          <w:p>
            <w:pPr>
              <w:spacing w:after="0"/>
              <w:rPr>
                <w:sz w:val="20"/>
                <w:szCs w:val="20"/>
                <w:color w:val="auto"/>
              </w:rPr>
            </w:pPr>
            <w:r>
              <w:rPr>
                <w:rFonts w:ascii="Arial" w:cs="Arial" w:eastAsia="Arial" w:hAnsi="Arial"/>
                <w:sz w:val="17"/>
                <w:szCs w:val="17"/>
                <w:color w:val="auto"/>
              </w:rPr>
              <w:t>Sugar Land, Texas</w:t>
            </w:r>
          </w:p>
        </w:tc>
        <w:tc>
          <w:tcPr>
            <w:tcW w:w="120" w:type="dxa"/>
            <w:vAlign w:val="bottom"/>
          </w:tcPr>
          <w:p>
            <w:pPr>
              <w:spacing w:after="0"/>
              <w:rPr>
                <w:sz w:val="18"/>
                <w:szCs w:val="18"/>
                <w:color w:val="auto"/>
              </w:rPr>
            </w:pPr>
          </w:p>
        </w:tc>
        <w:tc>
          <w:tcPr>
            <w:tcW w:w="2040" w:type="dxa"/>
            <w:vAlign w:val="bottom"/>
          </w:tcPr>
          <w:p>
            <w:pPr>
              <w:jc w:val="center"/>
              <w:ind w:right="41"/>
              <w:spacing w:after="0"/>
              <w:rPr>
                <w:sz w:val="20"/>
                <w:szCs w:val="20"/>
                <w:color w:val="auto"/>
              </w:rPr>
            </w:pPr>
            <w:r>
              <w:rPr>
                <w:rFonts w:ascii="Arial" w:cs="Arial" w:eastAsia="Arial" w:hAnsi="Arial"/>
                <w:sz w:val="17"/>
                <w:szCs w:val="17"/>
                <w:color w:val="auto"/>
                <w:w w:val="93"/>
              </w:rPr>
              <w:t>May 31, 2014</w:t>
            </w:r>
          </w:p>
        </w:tc>
        <w:tc>
          <w:tcPr>
            <w:tcW w:w="1420" w:type="dxa"/>
            <w:vAlign w:val="bottom"/>
            <w:gridSpan w:val="3"/>
          </w:tcPr>
          <w:p>
            <w:pPr>
              <w:jc w:val="right"/>
              <w:ind w:right="160"/>
              <w:spacing w:after="0"/>
              <w:rPr>
                <w:sz w:val="20"/>
                <w:szCs w:val="20"/>
                <w:color w:val="auto"/>
              </w:rPr>
            </w:pPr>
            <w:r>
              <w:rPr>
                <w:rFonts w:ascii="Arial" w:cs="Arial" w:eastAsia="Arial" w:hAnsi="Arial"/>
                <w:sz w:val="17"/>
                <w:szCs w:val="17"/>
                <w:color w:val="auto"/>
              </w:rPr>
              <w:t>6,062</w:t>
            </w:r>
          </w:p>
        </w:tc>
        <w:tc>
          <w:tcPr>
            <w:tcW w:w="3760" w:type="dxa"/>
            <w:vAlign w:val="bottom"/>
          </w:tcPr>
          <w:p>
            <w:pPr>
              <w:spacing w:after="0"/>
              <w:rPr>
                <w:sz w:val="20"/>
                <w:szCs w:val="20"/>
                <w:color w:val="auto"/>
              </w:rPr>
            </w:pPr>
            <w:r>
              <w:rPr>
                <w:rFonts w:ascii="Arial" w:cs="Arial" w:eastAsia="Arial" w:hAnsi="Arial"/>
                <w:sz w:val="17"/>
                <w:szCs w:val="17"/>
                <w:color w:val="auto"/>
              </w:rPr>
              <w:t>Research and development</w:t>
            </w:r>
          </w:p>
        </w:tc>
      </w:tr>
      <w:tr>
        <w:trPr>
          <w:trHeight w:val="201"/>
        </w:trPr>
        <w:tc>
          <w:tcPr>
            <w:tcW w:w="1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Ningbo, China</w:t>
            </w: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jc w:val="center"/>
              <w:ind w:right="41"/>
              <w:spacing w:after="0"/>
              <w:rPr>
                <w:sz w:val="20"/>
                <w:szCs w:val="20"/>
                <w:color w:val="auto"/>
              </w:rPr>
            </w:pPr>
            <w:r>
              <w:rPr>
                <w:rFonts w:ascii="Arial" w:cs="Arial" w:eastAsia="Arial" w:hAnsi="Arial"/>
                <w:sz w:val="17"/>
                <w:szCs w:val="17"/>
                <w:color w:val="auto"/>
                <w:w w:val="90"/>
              </w:rPr>
              <w:t>Owned (2)</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458,849</w:t>
            </w: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w w:val="97"/>
              </w:rPr>
              <w:t>Administration, sales, manufacturing, research and</w:t>
            </w:r>
          </w:p>
        </w:tc>
      </w:tr>
      <w:tr>
        <w:trPr>
          <w:trHeight w:val="218"/>
        </w:trPr>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development</w:t>
            </w:r>
          </w:p>
        </w:tc>
      </w:tr>
      <w:tr>
        <w:trPr>
          <w:trHeight w:val="201"/>
        </w:trPr>
        <w:tc>
          <w:tcPr>
            <w:tcW w:w="1820" w:type="dxa"/>
            <w:vAlign w:val="bottom"/>
            <w:gridSpan w:val="2"/>
          </w:tcPr>
          <w:p>
            <w:pPr>
              <w:spacing w:after="0"/>
              <w:rPr>
                <w:sz w:val="20"/>
                <w:szCs w:val="20"/>
                <w:color w:val="auto"/>
              </w:rPr>
            </w:pPr>
            <w:r>
              <w:rPr>
                <w:rFonts w:ascii="Arial" w:cs="Arial" w:eastAsia="Arial" w:hAnsi="Arial"/>
                <w:sz w:val="17"/>
                <w:szCs w:val="17"/>
                <w:color w:val="auto"/>
              </w:rPr>
              <w:t>Taipei, Taiwan</w:t>
            </w:r>
          </w:p>
        </w:tc>
        <w:tc>
          <w:tcPr>
            <w:tcW w:w="120" w:type="dxa"/>
            <w:vAlign w:val="bottom"/>
          </w:tcPr>
          <w:p>
            <w:pPr>
              <w:spacing w:after="0"/>
              <w:rPr>
                <w:sz w:val="17"/>
                <w:szCs w:val="17"/>
                <w:color w:val="auto"/>
              </w:rPr>
            </w:pPr>
          </w:p>
        </w:tc>
        <w:tc>
          <w:tcPr>
            <w:tcW w:w="2040" w:type="dxa"/>
            <w:vAlign w:val="bottom"/>
          </w:tcPr>
          <w:p>
            <w:pPr>
              <w:jc w:val="center"/>
              <w:ind w:right="61"/>
              <w:spacing w:after="0"/>
              <w:rPr>
                <w:sz w:val="20"/>
                <w:szCs w:val="20"/>
                <w:color w:val="auto"/>
              </w:rPr>
            </w:pPr>
            <w:r>
              <w:rPr>
                <w:rFonts w:ascii="Arial" w:cs="Arial" w:eastAsia="Arial" w:hAnsi="Arial"/>
                <w:sz w:val="17"/>
                <w:szCs w:val="17"/>
                <w:color w:val="auto"/>
                <w:w w:val="94"/>
              </w:rPr>
              <w:t>March 31, 2014 (3) April 9,</w:t>
            </w:r>
          </w:p>
        </w:tc>
        <w:tc>
          <w:tcPr>
            <w:tcW w:w="1420" w:type="dxa"/>
            <w:vAlign w:val="bottom"/>
            <w:gridSpan w:val="3"/>
          </w:tcPr>
          <w:p>
            <w:pPr>
              <w:jc w:val="right"/>
              <w:ind w:right="160"/>
              <w:spacing w:after="0"/>
              <w:rPr>
                <w:sz w:val="20"/>
                <w:szCs w:val="20"/>
                <w:color w:val="auto"/>
              </w:rPr>
            </w:pPr>
            <w:r>
              <w:rPr>
                <w:rFonts w:ascii="Arial" w:cs="Arial" w:eastAsia="Arial" w:hAnsi="Arial"/>
                <w:sz w:val="17"/>
                <w:szCs w:val="17"/>
                <w:color w:val="auto"/>
              </w:rPr>
              <w:t>42,903</w:t>
            </w:r>
          </w:p>
        </w:tc>
        <w:tc>
          <w:tcPr>
            <w:tcW w:w="3760" w:type="dxa"/>
            <w:vAlign w:val="bottom"/>
          </w:tcPr>
          <w:p>
            <w:pPr>
              <w:spacing w:after="0"/>
              <w:rPr>
                <w:sz w:val="20"/>
                <w:szCs w:val="20"/>
                <w:color w:val="auto"/>
              </w:rPr>
            </w:pPr>
            <w:r>
              <w:rPr>
                <w:rFonts w:ascii="Arial" w:cs="Arial" w:eastAsia="Arial" w:hAnsi="Arial"/>
                <w:sz w:val="17"/>
                <w:szCs w:val="17"/>
                <w:color w:val="auto"/>
                <w:w w:val="97"/>
              </w:rPr>
              <w:t>Administration, sales, manufacturing, research and</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Arial" w:cs="Arial" w:eastAsia="Arial" w:hAnsi="Arial"/>
                <w:sz w:val="17"/>
                <w:szCs w:val="17"/>
                <w:color w:val="auto"/>
                <w:w w:val="91"/>
              </w:rPr>
              <w:t>2014 (3)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development</w:t>
            </w:r>
          </w:p>
        </w:tc>
      </w:tr>
      <w:tr>
        <w:trPr>
          <w:trHeight w:val="107"/>
        </w:trPr>
        <w:tc>
          <w:tcPr>
            <w:tcW w:w="5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760" w:type="dxa"/>
            <w:vAlign w:val="bottom"/>
          </w:tcPr>
          <w:p>
            <w:pPr>
              <w:spacing w:after="0"/>
              <w:rPr>
                <w:sz w:val="9"/>
                <w:szCs w:val="9"/>
                <w:color w:val="auto"/>
              </w:rPr>
            </w:pPr>
          </w:p>
        </w:tc>
      </w:tr>
    </w:tbl>
    <w:p>
      <w:pPr>
        <w:spacing w:after="0" w:line="188" w:lineRule="exact"/>
        <w:rPr>
          <w:sz w:val="20"/>
          <w:szCs w:val="20"/>
          <w:color w:val="auto"/>
        </w:rPr>
      </w:pPr>
    </w:p>
    <w:p>
      <w:pPr>
        <w:ind w:left="1680" w:hanging="533"/>
        <w:spacing w:after="0"/>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property is subject to a mortgage in favor of East West Bank, securing our long-term debt obligations.</w:t>
      </w:r>
    </w:p>
    <w:p>
      <w:pPr>
        <w:spacing w:after="0" w:line="125" w:lineRule="exact"/>
        <w:rPr>
          <w:rFonts w:ascii="Arial" w:cs="Arial" w:eastAsia="Arial" w:hAnsi="Arial"/>
          <w:sz w:val="13"/>
          <w:szCs w:val="13"/>
          <w:color w:val="auto"/>
        </w:rPr>
      </w:pPr>
    </w:p>
    <w:p>
      <w:pPr>
        <w:ind w:left="1680" w:right="180" w:hanging="533"/>
        <w:spacing w:after="0" w:line="256" w:lineRule="auto"/>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Our China subsidiary acquired the land use rights to the real property on which our new facility is located from the Chinese government. The land use rights expire on March 8, 2054. Our China subsidiary owns the facility located on the property.</w:t>
      </w:r>
    </w:p>
    <w:p>
      <w:pPr>
        <w:spacing w:after="0" w:line="100" w:lineRule="exact"/>
        <w:rPr>
          <w:rFonts w:ascii="Arial" w:cs="Arial" w:eastAsia="Arial" w:hAnsi="Arial"/>
          <w:sz w:val="13"/>
          <w:szCs w:val="13"/>
          <w:color w:val="auto"/>
        </w:rPr>
      </w:pPr>
    </w:p>
    <w:p>
      <w:pPr>
        <w:ind w:left="1680" w:hanging="533"/>
        <w:spacing w:after="0"/>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Leases covering two floors expire on March 31, 2014 and the lease covering the other floor expires on April 9, 2014.</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that our existing facilities are adequate to meet our current needs and that we will be able to obtain additional commercial space as needed.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228"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Our research and development and manufacturing operations and our products are subject to a variety of federal, state, local and foreign environmental, health and safety laws and regulations, including those governing discharges of pollutants to air and water, the use, storage, handling and disposal of hazardous materials, employee health and safety, and the hazardous material content in our products. Our environmental management systems in our facilities in Ningbo and Taipei are both certified to meet the requirements of ISO14001:2004. However, there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can be no assurance that violations of applicable laws at any of our facilities will not occur in the future as a result of human error, accident, equipment failure or other causes. We use, store and dispose of hazardous materials in our manufacturing operations and hazardous materials are present in our products. We incur costs to comply with environmental, health and safety requirements, and any failure to comply, or the identification of contamination for which we are found liable, could cause us to incur substantial costs, including cleanup costs, monetary fines, or civil or criminal penalties, and subject us to property damage and personal injury claims, and result in the suspension of production, alteration of our manufacturing processes, redesign of our products, or curtailment of sales and adverse publicity.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w:t>
      </w:r>
    </w:p>
    <w:p>
      <w:pPr>
        <w:spacing w:after="0" w:line="176" w:lineRule="exact"/>
        <w:rPr>
          <w:sz w:val="20"/>
          <w:szCs w:val="20"/>
          <w:color w:val="auto"/>
        </w:rPr>
      </w:pPr>
    </w:p>
    <w:p>
      <w:pPr>
        <w:ind w:right="20" w:firstLine="338"/>
        <w:spacing w:after="0" w:line="262" w:lineRule="auto"/>
        <w:rPr>
          <w:sz w:val="20"/>
          <w:szCs w:val="20"/>
          <w:color w:val="auto"/>
        </w:rPr>
      </w:pPr>
      <w:r>
        <w:rPr>
          <w:rFonts w:ascii="Arial" w:cs="Arial" w:eastAsia="Arial" w:hAnsi="Arial"/>
          <w:sz w:val="17"/>
          <w:szCs w:val="17"/>
          <w:color w:val="auto"/>
        </w:rPr>
        <w:t>We expect that our operations and products will be affected by new environmental requirements on an ongoing basis. Environmental, health and safety requirements have become more stringent over time, and changes to existing requirements could restrict our ability to expand our facilities, require us to acquire costly pollution control equipment, or cause us to incur other significant expenses or to modify our manufacturing processes or the hazardous material content of our products.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w:t>
      </w:r>
    </w:p>
    <w:p>
      <w:pPr>
        <w:spacing w:after="0" w:line="188"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We face increasing complexity in our product design and procurement operations as we adjust to new and upcoming requirements relating to the materials composition of our products. Some jurisdictions in which our products are sold have enacted requirements regarding the hazardous material content of certain products. For example, member states of the European Union and China are among a growing number of jurisdictions that have placed restrictions on the use of lead, among other chemicals, in electronic products, which affect the composition and packaging of our products. The passage of such requirements in additional jurisdictions, or the tightening of standards or elimination of certain exemptions in jurisdictions where our products are already subject to such requirements, could cause us to incur significant expenditures to make our products compliant with new requirements, or could limit the markets into which we may sell our products. Other governmental regulations may require us to reengineer our products to use components that are more environmentally compatible, resulting in additional costs to us.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Export Regulations</w:t>
      </w:r>
    </w:p>
    <w:p>
      <w:pPr>
        <w:spacing w:after="0" w:line="228" w:lineRule="exact"/>
        <w:rPr>
          <w:sz w:val="20"/>
          <w:szCs w:val="20"/>
          <w:color w:val="auto"/>
        </w:rPr>
      </w:pPr>
    </w:p>
    <w:p>
      <w:pPr>
        <w:ind w:right="260" w:firstLine="338"/>
        <w:spacing w:after="0" w:line="263" w:lineRule="auto"/>
        <w:rPr>
          <w:sz w:val="20"/>
          <w:szCs w:val="20"/>
          <w:color w:val="auto"/>
        </w:rPr>
      </w:pPr>
      <w:r>
        <w:rPr>
          <w:rFonts w:ascii="Arial" w:cs="Arial" w:eastAsia="Arial" w:hAnsi="Arial"/>
          <w:sz w:val="17"/>
          <w:szCs w:val="17"/>
          <w:color w:val="auto"/>
        </w:rPr>
        <w:t>The Bureau of Industry and Security (BIS)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ECCN change, then the export of our products to certain countries would be restricted. However, we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currently do not export our products to any countries on the restricted list, and therefore a change in the ECCN would not materially impact our business.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8"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We anticipate that we will from time to time be subject to various claims and legal actions during the ordinary course of our business. We are not aware of any material claims or legal actions to which we, our properties or our officers or directors are subject.</w:t>
      </w:r>
    </w:p>
    <w:p>
      <w:pPr>
        <w:spacing w:after="0" w:line="17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certain information regarding our executive officers and directors as of July 31, 2013.</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2420" w:type="dxa"/>
            <w:vAlign w:val="bottom"/>
            <w:gridSpan w:val="2"/>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Age</w:t>
            </w:r>
          </w:p>
        </w:tc>
        <w:tc>
          <w:tcPr>
            <w:tcW w:w="140" w:type="dxa"/>
            <w:vAlign w:val="bottom"/>
          </w:tcPr>
          <w:p>
            <w:pPr>
              <w:spacing w:after="0"/>
              <w:rPr>
                <w:sz w:val="13"/>
                <w:szCs w:val="13"/>
                <w:color w:val="auto"/>
              </w:rPr>
            </w:pPr>
          </w:p>
        </w:tc>
        <w:tc>
          <w:tcPr>
            <w:tcW w:w="5780" w:type="dxa"/>
            <w:vAlign w:val="bottom"/>
            <w:tcBorders>
              <w:bottom w:val="single" w:sz="8" w:color="auto"/>
            </w:tcBorders>
          </w:tcPr>
          <w:p>
            <w:pPr>
              <w:ind w:left="2620"/>
              <w:spacing w:after="0"/>
              <w:rPr>
                <w:sz w:val="20"/>
                <w:szCs w:val="20"/>
                <w:color w:val="auto"/>
              </w:rPr>
            </w:pPr>
            <w:r>
              <w:rPr>
                <w:rFonts w:ascii="Arial" w:cs="Arial" w:eastAsia="Arial" w:hAnsi="Arial"/>
                <w:sz w:val="13"/>
                <w:szCs w:val="13"/>
                <w:b w:val="1"/>
                <w:bCs w:val="1"/>
                <w:color w:val="auto"/>
              </w:rPr>
              <w:t>Position(s)</w:t>
            </w:r>
          </w:p>
        </w:tc>
      </w:tr>
      <w:tr>
        <w:trPr>
          <w:trHeight w:val="203"/>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Chih-Hsiang (Thompson) Lin</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w:t>
            </w:r>
          </w:p>
        </w:tc>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President, Chief Executive Officer and Director</w:t>
            </w:r>
          </w:p>
        </w:tc>
      </w:tr>
      <w:tr>
        <w:trPr>
          <w:trHeight w:val="210"/>
        </w:trPr>
        <w:tc>
          <w:tcPr>
            <w:tcW w:w="2820" w:type="dxa"/>
            <w:vAlign w:val="bottom"/>
            <w:gridSpan w:val="3"/>
          </w:tcPr>
          <w:p>
            <w:pPr>
              <w:ind w:left="20"/>
              <w:spacing w:after="0"/>
              <w:rPr>
                <w:sz w:val="20"/>
                <w:szCs w:val="20"/>
                <w:color w:val="auto"/>
              </w:rPr>
            </w:pPr>
            <w:r>
              <w:rPr>
                <w:rFonts w:ascii="Arial" w:cs="Arial" w:eastAsia="Arial" w:hAnsi="Arial"/>
                <w:sz w:val="17"/>
                <w:szCs w:val="17"/>
                <w:color w:val="auto"/>
              </w:rPr>
              <w:t>James L. Dunn, Jr.</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51</w:t>
            </w:r>
          </w:p>
        </w:tc>
        <w:tc>
          <w:tcPr>
            <w:tcW w:w="578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10"/>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Stefan J. Murry</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w:t>
            </w:r>
          </w:p>
        </w:tc>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Strategy Officer</w:t>
            </w:r>
          </w:p>
        </w:tc>
      </w:tr>
      <w:tr>
        <w:trPr>
          <w:trHeight w:val="210"/>
        </w:trPr>
        <w:tc>
          <w:tcPr>
            <w:tcW w:w="2820" w:type="dxa"/>
            <w:vAlign w:val="bottom"/>
            <w:gridSpan w:val="3"/>
          </w:tcPr>
          <w:p>
            <w:pPr>
              <w:ind w:left="20"/>
              <w:spacing w:after="0"/>
              <w:rPr>
                <w:sz w:val="20"/>
                <w:szCs w:val="20"/>
                <w:color w:val="auto"/>
              </w:rPr>
            </w:pPr>
            <w:r>
              <w:rPr>
                <w:rFonts w:ascii="Arial" w:cs="Arial" w:eastAsia="Arial" w:hAnsi="Arial"/>
                <w:sz w:val="17"/>
                <w:szCs w:val="17"/>
                <w:color w:val="auto"/>
              </w:rPr>
              <w:t>Hung-Lun (Fred) Chang</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49</w:t>
            </w:r>
          </w:p>
        </w:tc>
        <w:tc>
          <w:tcPr>
            <w:tcW w:w="5780" w:type="dxa"/>
            <w:vAlign w:val="bottom"/>
          </w:tcPr>
          <w:p>
            <w:pPr>
              <w:ind w:left="20"/>
              <w:spacing w:after="0"/>
              <w:rPr>
                <w:sz w:val="20"/>
                <w:szCs w:val="20"/>
                <w:color w:val="auto"/>
              </w:rPr>
            </w:pPr>
            <w:r>
              <w:rPr>
                <w:rFonts w:ascii="Arial" w:cs="Arial" w:eastAsia="Arial" w:hAnsi="Arial"/>
                <w:sz w:val="17"/>
                <w:szCs w:val="17"/>
                <w:color w:val="auto"/>
              </w:rPr>
              <w:t>Senior Vice President of Optical Component Business Unit</w:t>
            </w:r>
          </w:p>
        </w:tc>
      </w:tr>
      <w:tr>
        <w:trPr>
          <w:trHeight w:val="210"/>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Klaus Alexander Anselm</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w:t>
            </w:r>
          </w:p>
        </w:tc>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Vice President of Semiconductor Products</w:t>
            </w:r>
          </w:p>
        </w:tc>
      </w:tr>
      <w:tr>
        <w:trPr>
          <w:trHeight w:val="210"/>
        </w:trPr>
        <w:tc>
          <w:tcPr>
            <w:tcW w:w="2820" w:type="dxa"/>
            <w:vAlign w:val="bottom"/>
            <w:gridSpan w:val="3"/>
          </w:tcPr>
          <w:p>
            <w:pPr>
              <w:ind w:left="20"/>
              <w:spacing w:after="0"/>
              <w:rPr>
                <w:sz w:val="20"/>
                <w:szCs w:val="20"/>
                <w:color w:val="auto"/>
              </w:rPr>
            </w:pPr>
            <w:r>
              <w:rPr>
                <w:rFonts w:ascii="Arial" w:cs="Arial" w:eastAsia="Arial" w:hAnsi="Arial"/>
                <w:sz w:val="17"/>
                <w:szCs w:val="17"/>
                <w:color w:val="auto"/>
              </w:rPr>
              <w:t>Shu-Hua (Joshua) Yeh</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47</w:t>
            </w:r>
          </w:p>
        </w:tc>
        <w:tc>
          <w:tcPr>
            <w:tcW w:w="5780" w:type="dxa"/>
            <w:vAlign w:val="bottom"/>
          </w:tcPr>
          <w:p>
            <w:pPr>
              <w:ind w:left="20"/>
              <w:spacing w:after="0"/>
              <w:rPr>
                <w:sz w:val="20"/>
                <w:szCs w:val="20"/>
                <w:color w:val="auto"/>
              </w:rPr>
            </w:pPr>
            <w:r>
              <w:rPr>
                <w:rFonts w:ascii="Arial" w:cs="Arial" w:eastAsia="Arial" w:hAnsi="Arial"/>
                <w:sz w:val="17"/>
                <w:szCs w:val="17"/>
                <w:color w:val="auto"/>
              </w:rPr>
              <w:t>Senior Vice President of Network Equipment Module Business Unit</w:t>
            </w:r>
          </w:p>
        </w:tc>
      </w:tr>
      <w:tr>
        <w:trPr>
          <w:trHeight w:val="210"/>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Chung-Yao (Ford) Li</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w:t>
            </w:r>
          </w:p>
        </w:tc>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Vice President, Asia General Manager</w:t>
            </w:r>
          </w:p>
        </w:tc>
      </w:tr>
      <w:tr>
        <w:trPr>
          <w:trHeight w:val="210"/>
        </w:trPr>
        <w:tc>
          <w:tcPr>
            <w:tcW w:w="2820" w:type="dxa"/>
            <w:vAlign w:val="bottom"/>
            <w:gridSpan w:val="3"/>
          </w:tcPr>
          <w:p>
            <w:pPr>
              <w:ind w:left="20"/>
              <w:spacing w:after="0"/>
              <w:rPr>
                <w:sz w:val="20"/>
                <w:szCs w:val="20"/>
                <w:color w:val="auto"/>
              </w:rPr>
            </w:pPr>
            <w:r>
              <w:rPr>
                <w:rFonts w:ascii="Arial" w:cs="Arial" w:eastAsia="Arial" w:hAnsi="Arial"/>
                <w:sz w:val="17"/>
                <w:szCs w:val="17"/>
                <w:color w:val="auto"/>
              </w:rPr>
              <w:t>Juen-Sheng (Andrew) Kang</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62</w:t>
            </w:r>
          </w:p>
        </w:tc>
        <w:tc>
          <w:tcPr>
            <w:tcW w:w="5780" w:type="dxa"/>
            <w:vAlign w:val="bottom"/>
          </w:tcPr>
          <w:p>
            <w:pPr>
              <w:ind w:left="20"/>
              <w:spacing w:after="0"/>
              <w:rPr>
                <w:sz w:val="20"/>
                <w:szCs w:val="20"/>
                <w:color w:val="auto"/>
              </w:rPr>
            </w:pPr>
            <w:r>
              <w:rPr>
                <w:rFonts w:ascii="Arial" w:cs="Arial" w:eastAsia="Arial" w:hAnsi="Arial"/>
                <w:sz w:val="17"/>
                <w:szCs w:val="17"/>
                <w:color w:val="auto"/>
              </w:rPr>
              <w:t>Director, Chairman of the Board of Directors</w:t>
            </w:r>
          </w:p>
        </w:tc>
      </w:tr>
      <w:tr>
        <w:trPr>
          <w:trHeight w:val="210"/>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William H. Yeh (1)(3)</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w:t>
            </w:r>
          </w:p>
        </w:tc>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 Compensation Committee Chairman</w:t>
            </w:r>
          </w:p>
        </w:tc>
      </w:tr>
      <w:tr>
        <w:trPr>
          <w:trHeight w:val="210"/>
        </w:trPr>
        <w:tc>
          <w:tcPr>
            <w:tcW w:w="2820" w:type="dxa"/>
            <w:vAlign w:val="bottom"/>
            <w:gridSpan w:val="3"/>
          </w:tcPr>
          <w:p>
            <w:pPr>
              <w:ind w:left="20"/>
              <w:spacing w:after="0"/>
              <w:rPr>
                <w:sz w:val="20"/>
                <w:szCs w:val="20"/>
                <w:color w:val="auto"/>
              </w:rPr>
            </w:pPr>
            <w:r>
              <w:rPr>
                <w:rFonts w:ascii="Arial" w:cs="Arial" w:eastAsia="Arial" w:hAnsi="Arial"/>
                <w:sz w:val="17"/>
                <w:szCs w:val="17"/>
                <w:color w:val="auto"/>
              </w:rPr>
              <w:t>Richard B. Black (1)(2)</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80</w:t>
            </w:r>
          </w:p>
        </w:tc>
        <w:tc>
          <w:tcPr>
            <w:tcW w:w="5780" w:type="dxa"/>
            <w:vAlign w:val="bottom"/>
          </w:tcPr>
          <w:p>
            <w:pPr>
              <w:ind w:left="20"/>
              <w:spacing w:after="0"/>
              <w:rPr>
                <w:sz w:val="20"/>
                <w:szCs w:val="20"/>
                <w:color w:val="auto"/>
              </w:rPr>
            </w:pPr>
            <w:r>
              <w:rPr>
                <w:rFonts w:ascii="Arial" w:cs="Arial" w:eastAsia="Arial" w:hAnsi="Arial"/>
                <w:sz w:val="17"/>
                <w:szCs w:val="17"/>
                <w:color w:val="auto"/>
              </w:rPr>
              <w:t>Director, Audit Committee Chairman</w:t>
            </w:r>
          </w:p>
        </w:tc>
      </w:tr>
      <w:tr>
        <w:trPr>
          <w:trHeight w:val="210"/>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Alan Moore (2)</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w:t>
            </w:r>
          </w:p>
        </w:tc>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10"/>
        </w:trPr>
        <w:tc>
          <w:tcPr>
            <w:tcW w:w="2820" w:type="dxa"/>
            <w:vAlign w:val="bottom"/>
            <w:gridSpan w:val="3"/>
          </w:tcPr>
          <w:p>
            <w:pPr>
              <w:ind w:left="20"/>
              <w:spacing w:after="0"/>
              <w:rPr>
                <w:sz w:val="20"/>
                <w:szCs w:val="20"/>
                <w:color w:val="auto"/>
              </w:rPr>
            </w:pPr>
            <w:r>
              <w:rPr>
                <w:rFonts w:ascii="Arial" w:cs="Arial" w:eastAsia="Arial" w:hAnsi="Arial"/>
                <w:sz w:val="17"/>
                <w:szCs w:val="17"/>
                <w:color w:val="auto"/>
              </w:rPr>
              <w:t>Min-Chu (Mike) Chen (1)(3)</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64</w:t>
            </w:r>
          </w:p>
        </w:tc>
        <w:tc>
          <w:tcPr>
            <w:tcW w:w="578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10"/>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Alex Ignatiev (2)(3)</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w:t>
            </w:r>
          </w:p>
        </w:tc>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 Nominating and Corporate Governance Committee Chairman</w:t>
            </w:r>
          </w:p>
        </w:tc>
      </w:tr>
      <w:tr>
        <w:trPr>
          <w:trHeight w:val="105"/>
        </w:trPr>
        <w:tc>
          <w:tcPr>
            <w:tcW w:w="40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780" w:type="dxa"/>
            <w:vAlign w:val="bottom"/>
          </w:tcPr>
          <w:p>
            <w:pPr>
              <w:spacing w:after="0"/>
              <w:rPr>
                <w:sz w:val="9"/>
                <w:szCs w:val="9"/>
                <w:color w:val="auto"/>
              </w:rPr>
            </w:pPr>
          </w:p>
        </w:tc>
      </w:tr>
    </w:tbl>
    <w:p>
      <w:pPr>
        <w:spacing w:after="0" w:line="188" w:lineRule="exact"/>
        <w:rPr>
          <w:sz w:val="20"/>
          <w:szCs w:val="20"/>
          <w:color w:val="auto"/>
        </w:rPr>
      </w:pPr>
    </w:p>
    <w:p>
      <w:pPr>
        <w:ind w:left="1680" w:hanging="533"/>
        <w:spacing w:after="0"/>
        <w:tabs>
          <w:tab w:leader="none" w:pos="16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Member of the compensation committee.</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Member of the audit committee.</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Member of the nominating and corporate governance committee.</w:t>
      </w:r>
    </w:p>
    <w:p>
      <w:pPr>
        <w:spacing w:after="0" w:line="205"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b w:val="1"/>
          <w:bCs w:val="1"/>
          <w:i w:val="1"/>
          <w:iCs w:val="1"/>
          <w:color w:val="auto"/>
        </w:rPr>
        <w:t>Chih-Hsiang (Thompson) Lin, Ph.D.</w:t>
      </w:r>
      <w:r>
        <w:rPr>
          <w:rFonts w:ascii="Arial" w:cs="Arial" w:eastAsia="Arial" w:hAnsi="Arial"/>
          <w:sz w:val="17"/>
          <w:szCs w:val="17"/>
          <w:color w:val="auto"/>
        </w:rPr>
        <w:t>, founded Applied Optoelectronics, Inc. in February 1997 and has been President and Chief Executive Officer since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inception. He currently serves as a director on our board of directors, and he served as Chairman of our board of directors from May 2000 through September 2002, and again from June 2008 through October 2009. Dr. Lin has also served as a research associate professor and senior research scientist at the University of Houston. Dr. Lin holds a BS degree in Nuclear Engineering from National Tsing Hua University in Taiwan and an MS degree and a Ph.D. in Electrical and Computer Engineering from University of Missouri-Columbia.</w:t>
      </w:r>
    </w:p>
    <w:p>
      <w:pPr>
        <w:spacing w:after="0" w:line="187"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board of directors believes that Dr. Lin is qualified to serve as a director based on his extensive background in business management, his role as founder, President and Chief Executive Officer and his years of service on our board.</w:t>
      </w:r>
    </w:p>
    <w:p>
      <w:pPr>
        <w:spacing w:after="0" w:line="170" w:lineRule="exact"/>
        <w:rPr>
          <w:sz w:val="20"/>
          <w:szCs w:val="20"/>
          <w:color w:val="auto"/>
        </w:rPr>
      </w:pPr>
    </w:p>
    <w:p>
      <w:pPr>
        <w:ind w:right="60" w:firstLine="341"/>
        <w:spacing w:after="0" w:line="322" w:lineRule="auto"/>
        <w:rPr>
          <w:sz w:val="20"/>
          <w:szCs w:val="20"/>
          <w:color w:val="auto"/>
        </w:rPr>
      </w:pPr>
      <w:r>
        <w:rPr>
          <w:rFonts w:ascii="Arial" w:cs="Arial" w:eastAsia="Arial" w:hAnsi="Arial"/>
          <w:sz w:val="15"/>
          <w:szCs w:val="15"/>
          <w:b w:val="1"/>
          <w:bCs w:val="1"/>
          <w:i w:val="1"/>
          <w:iCs w:val="1"/>
          <w:color w:val="auto"/>
        </w:rPr>
        <w:t>James L. Dunn, Jr.</w:t>
      </w:r>
      <w:r>
        <w:rPr>
          <w:rFonts w:ascii="Arial" w:cs="Arial" w:eastAsia="Arial" w:hAnsi="Arial"/>
          <w:sz w:val="15"/>
          <w:szCs w:val="15"/>
          <w:color w:val="auto"/>
        </w:rPr>
        <w:t>, has served as our Chief Financial Officer since December 2012. Prior to joining us, Mr. Dunn served as the Chief Financial Officer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GET Enterprises, LLC, a private equity backed distributor of restaurant tableware, from March to December 2012. Mr. Dunn also served as Chief Financial Officer and in-house counsel of Polymics, Ltd., a global manufacturer of high temperature plastics, from 2009 to 2012. Mr. Dunn served as the Chief Financial Officer</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80"/>
        <w:spacing w:after="0" w:line="282" w:lineRule="auto"/>
        <w:rPr>
          <w:sz w:val="20"/>
          <w:szCs w:val="20"/>
          <w:color w:val="auto"/>
        </w:rPr>
      </w:pPr>
      <w:r>
        <w:rPr>
          <w:rFonts w:ascii="Arial" w:cs="Arial" w:eastAsia="Arial" w:hAnsi="Arial"/>
          <w:sz w:val="17"/>
          <w:szCs w:val="17"/>
          <w:color w:val="auto"/>
        </w:rPr>
        <w:t>and General Counsel of iLinc Communications, Inc. (Amex:ILC), a provider of web conferencing software, from 1998 to 2009. Mr. Dunn received a BBA in Accounting from Texas A&amp;M University and a JD from Southern Methodist University School of Law.</w:t>
      </w:r>
    </w:p>
    <w:p>
      <w:pPr>
        <w:spacing w:after="0" w:line="170" w:lineRule="exact"/>
        <w:rPr>
          <w:sz w:val="20"/>
          <w:szCs w:val="20"/>
          <w:color w:val="auto"/>
        </w:rPr>
      </w:pPr>
    </w:p>
    <w:p>
      <w:pPr>
        <w:ind w:right="120" w:firstLine="341"/>
        <w:spacing w:after="0" w:line="283" w:lineRule="auto"/>
        <w:rPr>
          <w:sz w:val="20"/>
          <w:szCs w:val="20"/>
          <w:color w:val="auto"/>
        </w:rPr>
      </w:pPr>
      <w:r>
        <w:rPr>
          <w:rFonts w:ascii="Arial" w:cs="Arial" w:eastAsia="Arial" w:hAnsi="Arial"/>
          <w:sz w:val="16"/>
          <w:szCs w:val="16"/>
          <w:b w:val="1"/>
          <w:bCs w:val="1"/>
          <w:i w:val="1"/>
          <w:iCs w:val="1"/>
          <w:color w:val="auto"/>
        </w:rPr>
        <w:t>Stefan J. Murry, Ph.D.</w:t>
      </w:r>
      <w:r>
        <w:rPr>
          <w:rFonts w:ascii="Arial" w:cs="Arial" w:eastAsia="Arial" w:hAnsi="Arial"/>
          <w:sz w:val="16"/>
          <w:szCs w:val="16"/>
          <w:color w:val="auto"/>
        </w:rPr>
        <w:t>, has served as our Chief Strategy Officer since December 2012. Previously, Dr. Murry served as our Vice President of Sales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from June 2004 until December 2012, our Director of Sales and Marketing from January 2000 to June 2004 and as a Senior Engineer of Device Packaging from February 1997 to January 2000. He also previously served as Research Associate and Mission Control Specialist with the Space Vacuum Epitaxy Center in Houston, TX. Dr. Murry has been issued multiple patents in the optoelectronics industry, as well as in various related and complimentary industries. Dr. Murry received BS and MS degrees in Physics and a Ph.D. in Electrical Engineering from the University of Houston.</w:t>
      </w:r>
    </w:p>
    <w:p>
      <w:pPr>
        <w:spacing w:after="0" w:line="174"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b w:val="1"/>
          <w:bCs w:val="1"/>
          <w:i w:val="1"/>
          <w:iCs w:val="1"/>
          <w:color w:val="auto"/>
        </w:rPr>
        <w:t>Hung-Lun (Fred) Chang, Ph.D.</w:t>
      </w:r>
      <w:r>
        <w:rPr>
          <w:rFonts w:ascii="Arial" w:cs="Arial" w:eastAsia="Arial" w:hAnsi="Arial"/>
          <w:sz w:val="16"/>
          <w:szCs w:val="16"/>
          <w:color w:val="auto"/>
        </w:rPr>
        <w:t>, has served as Senior Vice President of our Optical Component Business Unit since October 2012. Previously, Dr. Chang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Vice President of our Optical Module Division from March 2005 until October 2012, our Director of Manufacturing from June 2002 to March 2004, and as our Deputy Packaging Manager from April 2001 to May 2002. Dr. Chang has held numerous positions in the optoelectronics industry throughout his career. His most recent position prior to joining us was Deputy Manager of the Optical Active Component Group at Hon-Hai Precision Industry Co., Ltd., which is based in Taiwan. He was also a researcher and project manager of the Optoelectronic Module Technology group at Chunghwa Telecom Co., Ltd. from 1996 to 2000. Dr. Chang received a BS degree in Electrophysics and a Ph.D. in Electro-Optical Engineering from National Chiao Tung University in Taiwan.</w:t>
      </w:r>
    </w:p>
    <w:p>
      <w:pPr>
        <w:spacing w:after="0" w:line="176" w:lineRule="exact"/>
        <w:rPr>
          <w:sz w:val="20"/>
          <w:szCs w:val="20"/>
          <w:color w:val="auto"/>
        </w:rPr>
      </w:pPr>
    </w:p>
    <w:p>
      <w:pPr>
        <w:ind w:right="160" w:firstLine="341"/>
        <w:spacing w:after="0" w:line="265" w:lineRule="auto"/>
        <w:rPr>
          <w:sz w:val="20"/>
          <w:szCs w:val="20"/>
          <w:color w:val="auto"/>
        </w:rPr>
      </w:pPr>
      <w:r>
        <w:rPr>
          <w:rFonts w:ascii="Arial" w:cs="Arial" w:eastAsia="Arial" w:hAnsi="Arial"/>
          <w:sz w:val="17"/>
          <w:szCs w:val="17"/>
          <w:b w:val="1"/>
          <w:bCs w:val="1"/>
          <w:i w:val="1"/>
          <w:iCs w:val="1"/>
          <w:color w:val="auto"/>
        </w:rPr>
        <w:t>Klaus Alexander Anselm, Ph.D.</w:t>
      </w:r>
      <w:r>
        <w:rPr>
          <w:rFonts w:ascii="Arial" w:cs="Arial" w:eastAsia="Arial" w:hAnsi="Arial"/>
          <w:sz w:val="17"/>
          <w:szCs w:val="17"/>
          <w:color w:val="auto"/>
        </w:rPr>
        <w:t>, has served as our Vice President of Semiconductor Products since 2009. Previously, Dr. Anselm served as our Senior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Semiconductor Products from October 2007 to 2009, as our Director of Semiconductor Products from 2004 until September 2007, and as our Processing Department Manager from 1999 to 2004. Dr. Anselm received a BS degree in Electrical Engineering from Rice University, and an MS degree and Ph.D. in Electrical Engineering from the University of Texas at Austin.</w:t>
      </w:r>
    </w:p>
    <w:p>
      <w:pPr>
        <w:spacing w:after="0" w:line="185"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b w:val="1"/>
          <w:bCs w:val="1"/>
          <w:i w:val="1"/>
          <w:iCs w:val="1"/>
          <w:color w:val="auto"/>
        </w:rPr>
        <w:t xml:space="preserve">Shu-Hua (Joshua) Yeh </w:t>
      </w:r>
      <w:r>
        <w:rPr>
          <w:rFonts w:ascii="Arial" w:cs="Arial" w:eastAsia="Arial" w:hAnsi="Arial"/>
          <w:sz w:val="17"/>
          <w:szCs w:val="17"/>
          <w:color w:val="auto"/>
        </w:rPr>
        <w:t>has served as Senior Vice President of our Network Equipment Module Business Unit since November 2012. Previously, Mr. Yeh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our General Manager of our Video Equipment Division of Global Technology Inc., our China subsidiary, since its acquisition by us in March 2006 and had served as its President and Chief Executive Officer from April 2002 until the acquisition. From May 1995 to April 2002, Mr. Yeh served as a Vice President of Sales and Marketing of Twoway CATV Technology Inc. Mr. Yeh received a BS degree in Mechanical Engineering and an MS in Automatic Control Science from National Chung Shing University in Taiwan.</w:t>
      </w:r>
    </w:p>
    <w:p>
      <w:pPr>
        <w:spacing w:after="0" w:line="187" w:lineRule="exact"/>
        <w:rPr>
          <w:sz w:val="20"/>
          <w:szCs w:val="20"/>
          <w:color w:val="auto"/>
        </w:rPr>
      </w:pPr>
    </w:p>
    <w:p>
      <w:pPr>
        <w:ind w:firstLine="341"/>
        <w:spacing w:after="0" w:line="311" w:lineRule="auto"/>
        <w:rPr>
          <w:sz w:val="20"/>
          <w:szCs w:val="20"/>
          <w:color w:val="auto"/>
        </w:rPr>
      </w:pPr>
      <w:r>
        <w:rPr>
          <w:rFonts w:ascii="Arial" w:cs="Arial" w:eastAsia="Arial" w:hAnsi="Arial"/>
          <w:sz w:val="15"/>
          <w:szCs w:val="15"/>
          <w:b w:val="1"/>
          <w:bCs w:val="1"/>
          <w:i w:val="1"/>
          <w:iCs w:val="1"/>
          <w:color w:val="auto"/>
        </w:rPr>
        <w:t xml:space="preserve">Chung-Yao (Ford) Li </w:t>
      </w:r>
      <w:r>
        <w:rPr>
          <w:rFonts w:ascii="Arial" w:cs="Arial" w:eastAsia="Arial" w:hAnsi="Arial"/>
          <w:sz w:val="15"/>
          <w:szCs w:val="15"/>
          <w:color w:val="auto"/>
        </w:rPr>
        <w:t>has served as our Senior Vice President since November 2011 and as our Asia General Manager since July 2011. From 2007 to 2011,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Li served as a general manager in Shanghai, China for Pegatron Corporation, an electronics and computing design and manufacturing company. Mr. Li served in various operational management capacities of Wistron Infocomm Corporation from 2005 until 2007. From 2002 to 2005, Mr. Li also served as an Assistant Vice President of Quanta Computer Inc., in Shanghai, China. Mr. Li received an MS degree in Engineering Manufacturing Management from University of South Australia.</w:t>
      </w:r>
    </w:p>
    <w:p>
      <w:pPr>
        <w:spacing w:after="0" w:line="181" w:lineRule="exact"/>
        <w:rPr>
          <w:sz w:val="20"/>
          <w:szCs w:val="20"/>
          <w:color w:val="auto"/>
        </w:rPr>
      </w:pPr>
    </w:p>
    <w:p>
      <w:pPr>
        <w:ind w:right="100" w:firstLine="420"/>
        <w:spacing w:after="0" w:line="282" w:lineRule="auto"/>
        <w:rPr>
          <w:sz w:val="20"/>
          <w:szCs w:val="20"/>
          <w:color w:val="auto"/>
        </w:rPr>
      </w:pPr>
      <w:r>
        <w:rPr>
          <w:rFonts w:ascii="Arial" w:cs="Arial" w:eastAsia="Arial" w:hAnsi="Arial"/>
          <w:sz w:val="17"/>
          <w:szCs w:val="17"/>
          <w:b w:val="1"/>
          <w:bCs w:val="1"/>
          <w:i w:val="1"/>
          <w:iCs w:val="1"/>
          <w:color w:val="auto"/>
        </w:rPr>
        <w:t xml:space="preserve">Juen Sheng (Andrew) Kang </w:t>
      </w:r>
      <w:r>
        <w:rPr>
          <w:rFonts w:ascii="Arial" w:cs="Arial" w:eastAsia="Arial" w:hAnsi="Arial"/>
          <w:sz w:val="17"/>
          <w:szCs w:val="17"/>
          <w:color w:val="auto"/>
        </w:rPr>
        <w:t>has served as a director on our board of directors since May 2000 and currently serves as the Chairman of our board of directors,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position he has held since October 2009. Mr. Kang also served as our Chairman of our board of directors from October 2002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through May 2008. He is a director, the Managing Director and a co-founder of Technology Associates Management Co. Ltd., a strategic investment company, a position he has held since 1997. Before founding Technology Associates Management Company Ltd. in 1997, Mr. Kang was the founder and President of a venture capital company, Technology Associates Corporation, in Taiwan from 1990 to 1997. Mr. Kang currently serves as a director of Asia Star, a position he has held since September 2012, and as a director Techgains Pan Pacific Corporation and Techgains Global Corporation, positions he has held 2000. Mr. Kang also currently serves as a director and Chairman of Intelligent Expitaxy Technology, Inc., a publicly-held company in Taiwan, and as a director and Chief Executive Officer of Natural Polymer International Corporation, positions he has held since 1997. Mr. Kang has also served as a director of HelixMicro Inc. from 2007 to March 2013, Techgains International Corporation from 1999 to March 2013, and GobiTech, Inc. from 1998 to 2011. Mr. Kang received an MS in Management from Arthur D. Little School of Management, and BA and MA degrees in Economics from Soochow University in Taiwan.</w:t>
      </w:r>
    </w:p>
    <w:p>
      <w:pPr>
        <w:spacing w:after="0" w:line="177"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The board of directors believes that Mr. Kang is qualified to serve as a director based on his business management and leadership experience, his service on other private company and publicly-held boards of directors and his years of service as the Chairman of our board of directors.</w:t>
      </w:r>
    </w:p>
    <w:p>
      <w:pPr>
        <w:spacing w:after="0" w:line="170" w:lineRule="exact"/>
        <w:rPr>
          <w:sz w:val="20"/>
          <w:szCs w:val="20"/>
          <w:color w:val="auto"/>
        </w:rPr>
      </w:pPr>
    </w:p>
    <w:p>
      <w:pPr>
        <w:ind w:right="60" w:firstLine="341"/>
        <w:spacing w:after="0" w:line="283" w:lineRule="auto"/>
        <w:rPr>
          <w:sz w:val="20"/>
          <w:szCs w:val="20"/>
          <w:color w:val="auto"/>
        </w:rPr>
      </w:pPr>
      <w:r>
        <w:rPr>
          <w:rFonts w:ascii="Arial" w:cs="Arial" w:eastAsia="Arial" w:hAnsi="Arial"/>
          <w:sz w:val="16"/>
          <w:szCs w:val="16"/>
          <w:b w:val="1"/>
          <w:bCs w:val="1"/>
          <w:i w:val="1"/>
          <w:iCs w:val="1"/>
          <w:color w:val="auto"/>
        </w:rPr>
        <w:t xml:space="preserve">William H. Yeh </w:t>
      </w:r>
      <w:r>
        <w:rPr>
          <w:rFonts w:ascii="Arial" w:cs="Arial" w:eastAsia="Arial" w:hAnsi="Arial"/>
          <w:sz w:val="16"/>
          <w:szCs w:val="16"/>
          <w:color w:val="auto"/>
        </w:rPr>
        <w:t>has served as a director on our board of directors since May 2000. He is the current Chief Executive Officer and President of Hungyeh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Ltd., a hospitality real estate investment and management company, a position he has held since 2000. Mr. Yeh has also served as president of Gold Star Investment since 1997. He was a Senior Vice President of United Central Bank overseeing the Houston region and Vice Chairman of Central Bancorp, Inc. from 1997 to 2012. He is also currently a director of Central Bancorp, Inc., the holding company of United Central Bank, a position which he has held since 1997. Mr. Yeh received a BS degree from National Cheng Kung University in Taiwan an MS degree from University of Houston–Clear Lake.</w:t>
      </w:r>
    </w:p>
    <w:p>
      <w:pPr>
        <w:spacing w:after="0" w:line="174" w:lineRule="exact"/>
        <w:rPr>
          <w:sz w:val="20"/>
          <w:szCs w:val="20"/>
          <w:color w:val="auto"/>
        </w:rPr>
      </w:pPr>
    </w:p>
    <w:p>
      <w:pPr>
        <w:ind w:right="100" w:firstLine="338"/>
        <w:spacing w:after="0" w:line="282" w:lineRule="auto"/>
        <w:rPr>
          <w:sz w:val="20"/>
          <w:szCs w:val="20"/>
          <w:color w:val="auto"/>
        </w:rPr>
      </w:pPr>
      <w:r>
        <w:rPr>
          <w:rFonts w:ascii="Arial" w:cs="Arial" w:eastAsia="Arial" w:hAnsi="Arial"/>
          <w:sz w:val="17"/>
          <w:szCs w:val="17"/>
          <w:color w:val="auto"/>
        </w:rPr>
        <w:t>The board of directors believes that Mr. Yeh is qualified to serve as a director based on his business and financial management and leadership experience and his years of service on our board.</w:t>
      </w:r>
    </w:p>
    <w:p>
      <w:pPr>
        <w:spacing w:after="0" w:line="196" w:lineRule="exact"/>
        <w:rPr>
          <w:sz w:val="20"/>
          <w:szCs w:val="20"/>
          <w:color w:val="auto"/>
        </w:rPr>
      </w:pPr>
    </w:p>
    <w:p>
      <w:pPr>
        <w:ind w:right="20" w:firstLine="420"/>
        <w:spacing w:after="0" w:line="297" w:lineRule="auto"/>
        <w:rPr>
          <w:sz w:val="20"/>
          <w:szCs w:val="20"/>
          <w:color w:val="auto"/>
        </w:rPr>
      </w:pPr>
      <w:r>
        <w:rPr>
          <w:rFonts w:ascii="Arial" w:cs="Arial" w:eastAsia="Arial" w:hAnsi="Arial"/>
          <w:sz w:val="15"/>
          <w:szCs w:val="15"/>
          <w:b w:val="1"/>
          <w:bCs w:val="1"/>
          <w:i w:val="1"/>
          <w:iCs w:val="1"/>
          <w:color w:val="auto"/>
        </w:rPr>
        <w:t xml:space="preserve">Richard B. Black </w:t>
      </w:r>
      <w:r>
        <w:rPr>
          <w:rFonts w:ascii="Arial" w:cs="Arial" w:eastAsia="Arial" w:hAnsi="Arial"/>
          <w:sz w:val="15"/>
          <w:szCs w:val="15"/>
          <w:color w:val="auto"/>
        </w:rPr>
        <w:t>has served as a director on our board of directors since August 2001. He is the President and Chief Executive Officer of ECRM, Incorporated,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worldwide supplier of laser based imaging equipment, a position he has held since 2002, and has been the chairman of the board of directors of ECRM, Incorporated since 1983. Beginning in 1989, Mr. Black was a director of Oak Technology, Inc., a manufacturer of semi-conductors for optical storage, and then became President in 1998 and vice chairman of the board of directors in 1999 until its merger with Zoran, Inc. in 2003. Mr. Black has served as President and CEO of AM International from 1980 to 1982. He served as a Division President of Maremont Corporation, a manufacturer of auto parts and textile machinery, from 1967, then as Maremont's President and CEO from 1974 to 1979. When Maremont was acquired by Alusuisse in 1979, he served as President and CEO of Alusuisse of America until 1981. He served as a director and chairman of the audit committee of GSI Group, a manufacturer of lasers, laser systems, semi-conductor equipment, from 1998 to 2012, and was its chairman of its board of directors from 2006 to 2012. He currently serves as a director and chairman of the audit committee of Alliance Fiber Optics Products, Inc. (Nasdaq: AFOP), a position he has held since 2002, and TREX Enterprises, Inc., a position he has held since 2000. Mr. Black has served as trustee of the Institute for Advanced Study at Princeton since 1990, and became its vice chairman in 2006. He has served as a trustee of the American Indian College Fund, Beloit College, Bard College, and serves on the Visiting Committee for the Physical Sciences Division of the University of Chicago. Mr. Black received a BS degree in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Engineering from Texas A&amp;M University, an MBA from Harvard University and an honorary Ph.D. from Beloit College.</w:t>
      </w:r>
    </w:p>
    <w:p>
      <w:pPr>
        <w:spacing w:after="0" w:line="224" w:lineRule="exact"/>
        <w:rPr>
          <w:sz w:val="20"/>
          <w:szCs w:val="20"/>
          <w:color w:val="auto"/>
        </w:rPr>
      </w:pPr>
    </w:p>
    <w:p>
      <w:pPr>
        <w:ind w:right="600" w:firstLine="338"/>
        <w:spacing w:after="0" w:line="282" w:lineRule="auto"/>
        <w:rPr>
          <w:sz w:val="20"/>
          <w:szCs w:val="20"/>
          <w:color w:val="auto"/>
        </w:rPr>
      </w:pPr>
      <w:r>
        <w:rPr>
          <w:rFonts w:ascii="Arial" w:cs="Arial" w:eastAsia="Arial" w:hAnsi="Arial"/>
          <w:sz w:val="17"/>
          <w:szCs w:val="17"/>
          <w:color w:val="auto"/>
        </w:rPr>
        <w:t>The board of directors believes that Mr. Black is qualified to serve as a director based on his extensive business and financial management and leadership experience, and his service on other private company and publicly-held boards of directors.</w:t>
      </w:r>
    </w:p>
    <w:p>
      <w:pPr>
        <w:spacing w:after="0" w:line="196" w:lineRule="exact"/>
        <w:rPr>
          <w:sz w:val="20"/>
          <w:szCs w:val="20"/>
          <w:color w:val="auto"/>
        </w:rPr>
      </w:pPr>
    </w:p>
    <w:p>
      <w:pPr>
        <w:ind w:firstLine="420"/>
        <w:spacing w:after="0" w:line="281" w:lineRule="auto"/>
        <w:rPr>
          <w:sz w:val="20"/>
          <w:szCs w:val="20"/>
          <w:color w:val="auto"/>
        </w:rPr>
      </w:pPr>
      <w:r>
        <w:rPr>
          <w:rFonts w:ascii="Arial" w:cs="Arial" w:eastAsia="Arial" w:hAnsi="Arial"/>
          <w:sz w:val="16"/>
          <w:szCs w:val="16"/>
          <w:b w:val="1"/>
          <w:bCs w:val="1"/>
          <w:i w:val="1"/>
          <w:iCs w:val="1"/>
          <w:color w:val="auto"/>
        </w:rPr>
        <w:t xml:space="preserve">Alan Moore </w:t>
      </w:r>
      <w:r>
        <w:rPr>
          <w:rFonts w:ascii="Arial" w:cs="Arial" w:eastAsia="Arial" w:hAnsi="Arial"/>
          <w:sz w:val="16"/>
          <w:szCs w:val="16"/>
          <w:color w:val="auto"/>
        </w:rPr>
        <w:t>has served as a director on our board of directors since March 2013. Since 2007, Mr. Moore has served as a Manager of Silver Tree Fund II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LLC, a real estate investment fund, since 1999, he has served as the Treasurer of Silver Tree Partners, Inc., a real estate development company, and since 1995, he has served as the President of Red Oak Capital, a private equity company. From May 2004 until December 2011, Mr. Moore served as a Manager of Silver Tree Fund Management, LLC, also a real estate investment fund, and from March 1998 to October 1999, Mr. Moore served as the Chief Financial Officer of Window on WallStreet (sold to Trade Station Group, Inc. in 1999). Previously, Mr. Moore was a co-founder of Fossil, Inc. (Nasdaq: FOSL). Mr. Moore received an MS degree in Accounting and a BA degree in Business Control Systems from the University of North Texas.</w:t>
      </w:r>
    </w:p>
    <w:p>
      <w:pPr>
        <w:spacing w:after="0" w:line="176" w:lineRule="exact"/>
        <w:rPr>
          <w:sz w:val="20"/>
          <w:szCs w:val="20"/>
          <w:color w:val="auto"/>
        </w:rPr>
      </w:pPr>
    </w:p>
    <w:p>
      <w:pPr>
        <w:ind w:right="20" w:firstLine="338"/>
        <w:spacing w:after="0" w:line="282" w:lineRule="auto"/>
        <w:rPr>
          <w:sz w:val="20"/>
          <w:szCs w:val="20"/>
          <w:color w:val="auto"/>
        </w:rPr>
      </w:pPr>
      <w:r>
        <w:rPr>
          <w:rFonts w:ascii="Arial" w:cs="Arial" w:eastAsia="Arial" w:hAnsi="Arial"/>
          <w:sz w:val="17"/>
          <w:szCs w:val="17"/>
          <w:color w:val="auto"/>
        </w:rPr>
        <w:t>The board of directors believes that Mr. Moore is qualified to serve as a director based on his extensive background in business and financial management and his role as co-founder of a publicly-held company.</w:t>
      </w:r>
    </w:p>
    <w:p>
      <w:pPr>
        <w:spacing w:after="0" w:line="170" w:lineRule="exact"/>
        <w:rPr>
          <w:sz w:val="20"/>
          <w:szCs w:val="20"/>
          <w:color w:val="auto"/>
        </w:rPr>
      </w:pPr>
    </w:p>
    <w:p>
      <w:pPr>
        <w:ind w:right="60" w:firstLine="341"/>
        <w:spacing w:after="0" w:line="280" w:lineRule="auto"/>
        <w:rPr>
          <w:sz w:val="20"/>
          <w:szCs w:val="20"/>
          <w:color w:val="auto"/>
        </w:rPr>
      </w:pPr>
      <w:r>
        <w:rPr>
          <w:rFonts w:ascii="Arial" w:cs="Arial" w:eastAsia="Arial" w:hAnsi="Arial"/>
          <w:sz w:val="16"/>
          <w:szCs w:val="16"/>
          <w:b w:val="1"/>
          <w:bCs w:val="1"/>
          <w:i w:val="1"/>
          <w:iCs w:val="1"/>
          <w:color w:val="auto"/>
        </w:rPr>
        <w:t xml:space="preserve">Min-Chu (Mike) Chen, Ph.D. </w:t>
      </w:r>
      <w:r>
        <w:rPr>
          <w:rFonts w:ascii="Arial" w:cs="Arial" w:eastAsia="Arial" w:hAnsi="Arial"/>
          <w:sz w:val="16"/>
          <w:szCs w:val="16"/>
          <w:color w:val="auto"/>
        </w:rPr>
        <w:t>has served as a director on our board of directors since February 27, 2013. Since January 2013, Dr. Chen has served as a member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board of directors of Nanning Baota Biowin Technologies Co. Ltd., a real estate management company, since January 2012, he has served as an executive director of FGel Nanotek, Inc., a food and beverage additive company, since November 2011, he has served as the Asia Pacific Director for U.S. Flow Control Group Pte. Ltd., a petroleum equipment manufacturer and services company, since 2010, he has served as a director of Iecont Technology Inc., and since 2001, he has been a partner and member of the board of directors of EverRich Capital Inc., a consulting company. From September 2008 to April 2010, Dr. Chen served as the Chief Executive Officer of SilverPAC, Inc., a consumer electronics business, and from March 1994 to June 2002, Dr. Chen served as a board member of PCTEL, Inc. (Nasdaq: PCTI). Dr. Chen received a Ph.D. in Ocean Engineering from Oregon State University.</w:t>
      </w:r>
    </w:p>
    <w:p>
      <w:pPr>
        <w:spacing w:after="0" w:line="175" w:lineRule="exact"/>
        <w:rPr>
          <w:sz w:val="20"/>
          <w:szCs w:val="20"/>
          <w:color w:val="auto"/>
        </w:rPr>
      </w:pPr>
    </w:p>
    <w:p>
      <w:pPr>
        <w:ind w:right="600" w:firstLine="338"/>
        <w:spacing w:after="0" w:line="282" w:lineRule="auto"/>
        <w:rPr>
          <w:sz w:val="20"/>
          <w:szCs w:val="20"/>
          <w:color w:val="auto"/>
        </w:rPr>
      </w:pPr>
      <w:r>
        <w:rPr>
          <w:rFonts w:ascii="Arial" w:cs="Arial" w:eastAsia="Arial" w:hAnsi="Arial"/>
          <w:sz w:val="17"/>
          <w:szCs w:val="17"/>
          <w:color w:val="auto"/>
        </w:rPr>
        <w:t>The board of directors believes that Dr. Chen is qualified to serve as a director based on his business management experience, his service on other private company boards of directors and his prior service on the board of a publicly-held company.</w:t>
      </w:r>
    </w:p>
    <w:p>
      <w:pPr>
        <w:spacing w:after="0" w:line="170" w:lineRule="exact"/>
        <w:rPr>
          <w:sz w:val="20"/>
          <w:szCs w:val="20"/>
          <w:color w:val="auto"/>
        </w:rPr>
      </w:pPr>
    </w:p>
    <w:p>
      <w:pPr>
        <w:ind w:right="20" w:firstLine="341"/>
        <w:spacing w:after="0" w:line="279" w:lineRule="auto"/>
        <w:rPr>
          <w:sz w:val="20"/>
          <w:szCs w:val="20"/>
          <w:color w:val="auto"/>
        </w:rPr>
      </w:pPr>
      <w:r>
        <w:rPr>
          <w:rFonts w:ascii="Arial" w:cs="Arial" w:eastAsia="Arial" w:hAnsi="Arial"/>
          <w:sz w:val="16"/>
          <w:szCs w:val="16"/>
          <w:b w:val="1"/>
          <w:bCs w:val="1"/>
          <w:i w:val="1"/>
          <w:iCs w:val="1"/>
          <w:color w:val="auto"/>
        </w:rPr>
        <w:t xml:space="preserve">Alex Ignatiev, Ph.D. </w:t>
      </w:r>
      <w:r>
        <w:rPr>
          <w:rFonts w:ascii="Arial" w:cs="Arial" w:eastAsia="Arial" w:hAnsi="Arial"/>
          <w:sz w:val="16"/>
          <w:szCs w:val="16"/>
          <w:color w:val="auto"/>
        </w:rPr>
        <w:t>has served as a director on our board of directors since February 2013, and previously served as a director on our board of directors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2008 to October 2009 and from May 2001 to August 2002. Since March 2013, Dr. Ignatiev has served as the Chief Science Officer of Smart Grid Intelligent Management, Inc., which develops operating systems and alternative energy source integration, since February 2009, he has served as the Chief Technology Officer of Quarius Technologies, LP, a renewable energy company, since February 2006, he has served as a vice president and Chief Technology Officer at Nano EnerTex, Inc., a nanomaterials company, since January 2005, he has served as a Vice President of Virtual Vision LLP, which develops artificial retinas, and since May 2002, he has served as the Chief Technology Officer of Metal Oxide Technologies, Inc., which develops, manufactures and sells superconducting wire. Dr. Ignatiev was a director of the Space Vacuum Epitaxy Center at the University of Houston from 1987 until 2002 after which he became director of the Texas Center for Superconductivity and Advanced Materials until 2005. From 2005 until the present he has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served as a director of the Center for Advanced Materials at the University of Houston. Dr. Ignatiev has also served a task leader for the Texas Center for Superconductivity from 1987 to 2008. Dr. Ignatiev has served since 2010 as the Hugh Roy and Lillie Cranz Cullen professor of physics, chemistry and electrical and computer engineering at the University of Houston, and has been elected to the International Academy of Astronautics and to the Kazakhstan National Academy of Sciences. Dr. Ignatiev received a Ph.D. in Materials Science from Cornell University.</w:t>
      </w:r>
    </w:p>
    <w:p>
      <w:pPr>
        <w:spacing w:after="0" w:line="185" w:lineRule="exact"/>
        <w:rPr>
          <w:sz w:val="20"/>
          <w:szCs w:val="20"/>
          <w:color w:val="auto"/>
        </w:rPr>
      </w:pPr>
    </w:p>
    <w:p>
      <w:pPr>
        <w:ind w:right="460" w:firstLine="338"/>
        <w:spacing w:after="0" w:line="282" w:lineRule="auto"/>
        <w:rPr>
          <w:sz w:val="20"/>
          <w:szCs w:val="20"/>
          <w:color w:val="auto"/>
        </w:rPr>
      </w:pPr>
      <w:r>
        <w:rPr>
          <w:rFonts w:ascii="Arial" w:cs="Arial" w:eastAsia="Arial" w:hAnsi="Arial"/>
          <w:sz w:val="17"/>
          <w:szCs w:val="17"/>
          <w:color w:val="auto"/>
        </w:rPr>
        <w:t>The board of directors believes that Dr. Ignatiev is qualified to serve as a director based on his business management experience, broad technology industry experience and his past service on our board.</w:t>
      </w:r>
    </w:p>
    <w:p>
      <w:pPr>
        <w:spacing w:after="0" w:line="170" w:lineRule="exact"/>
        <w:rPr>
          <w:sz w:val="20"/>
          <w:szCs w:val="20"/>
          <w:color w:val="auto"/>
        </w:rPr>
      </w:pPr>
    </w:p>
    <w:p>
      <w:pPr>
        <w:ind w:right="520" w:firstLine="341"/>
        <w:spacing w:after="0" w:line="282" w:lineRule="auto"/>
        <w:rPr>
          <w:sz w:val="20"/>
          <w:szCs w:val="20"/>
          <w:color w:val="auto"/>
        </w:rPr>
      </w:pPr>
      <w:r>
        <w:rPr>
          <w:rFonts w:ascii="Arial" w:cs="Arial" w:eastAsia="Arial" w:hAnsi="Arial"/>
          <w:sz w:val="17"/>
          <w:szCs w:val="17"/>
          <w:color w:val="auto"/>
        </w:rPr>
        <w:t>Our executive officers are elected by, and serve at the discretion of, our board of directors. There are no family relationships among any of our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w:t>
      </w:r>
    </w:p>
    <w:p>
      <w:pPr>
        <w:spacing w:after="0" w:line="228" w:lineRule="exact"/>
        <w:rPr>
          <w:sz w:val="20"/>
          <w:szCs w:val="20"/>
          <w:color w:val="auto"/>
        </w:rPr>
      </w:pPr>
    </w:p>
    <w:p>
      <w:pPr>
        <w:ind w:right="80" w:firstLine="341"/>
        <w:spacing w:after="0" w:line="293" w:lineRule="auto"/>
        <w:rPr>
          <w:sz w:val="20"/>
          <w:szCs w:val="20"/>
          <w:color w:val="auto"/>
        </w:rPr>
      </w:pPr>
      <w:r>
        <w:rPr>
          <w:rFonts w:ascii="Arial" w:cs="Arial" w:eastAsia="Arial" w:hAnsi="Arial"/>
          <w:sz w:val="15"/>
          <w:szCs w:val="15"/>
          <w:color w:val="auto"/>
        </w:rPr>
        <w:t>Our amended and restated certificate of incorporation to be in effect immediately prior to the closing of this offering will provide that the number of authorized directors will be determined from time to time by resolution of the board of directors and any vacancies in our board of directors and newly created directorships may be filled only by our board of directors. Any additional directorships resulting from an increase in the number of directors will be distributed among the three classes, so that, as nearly as possible, each class will consist of one-third of the total number of directors. Our amended and restated certificate of incorporation will further</w:t>
      </w:r>
    </w:p>
    <w:p>
      <w:pPr>
        <w:spacing w:after="0" w:line="3" w:lineRule="exact"/>
        <w:rPr>
          <w:sz w:val="20"/>
          <w:szCs w:val="20"/>
          <w:color w:val="auto"/>
        </w:rPr>
      </w:pPr>
    </w:p>
    <w:p>
      <w:pPr>
        <w:ind w:right="20"/>
        <w:spacing w:after="0" w:line="212" w:lineRule="auto"/>
        <w:rPr>
          <w:sz w:val="20"/>
          <w:szCs w:val="20"/>
          <w:color w:val="auto"/>
        </w:rPr>
      </w:pPr>
      <w:r>
        <w:rPr>
          <w:rFonts w:ascii="Arial" w:cs="Arial" w:eastAsia="Arial" w:hAnsi="Arial"/>
          <w:sz w:val="17"/>
          <w:szCs w:val="17"/>
          <w:color w:val="auto"/>
        </w:rPr>
        <w:t>provide for the removal of a director only for cause and by the affirmative vote of the holders of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or more of the shares then entitled to vote at an election of our directors. We currently have seven directors.</w:t>
      </w:r>
    </w:p>
    <w:p>
      <w:pPr>
        <w:spacing w:after="0" w:line="205"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Following the closing of this offering, our board of directors will be divided into three classes with members of each class of directors serving for staggered three-year terms as follows:</w:t>
      </w:r>
    </w:p>
    <w:p>
      <w:pPr>
        <w:spacing w:after="0" w:line="183" w:lineRule="exact"/>
        <w:rPr>
          <w:sz w:val="20"/>
          <w:szCs w:val="20"/>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Class I directors, Alan Moore and Juen-Sheng (Andrew) Kang, whose initial terms will expire at the annual meetings held in 2014;</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Class II directors, William H. Yeh and Alex Ignatiev, whose initial terms will expire at the annual meetings held in 2015; and</w:t>
      </w:r>
    </w:p>
    <w:p>
      <w:pPr>
        <w:spacing w:after="0" w:line="237" w:lineRule="exact"/>
        <w:rPr>
          <w:rFonts w:ascii="Arial" w:cs="Arial" w:eastAsia="Arial" w:hAnsi="Arial"/>
          <w:sz w:val="17"/>
          <w:szCs w:val="17"/>
          <w:color w:val="auto"/>
        </w:rPr>
      </w:pPr>
    </w:p>
    <w:p>
      <w:pPr>
        <w:ind w:left="1060" w:right="420" w:hanging="531"/>
        <w:spacing w:after="0" w:line="282"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three Class III directors, Chih-Hsiang (Thompson) Lin, Richard B. Black and Min-Chu (Mike) Chen, whose initial terms will expire at the annual meetings held in 2016.</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Our classified board could have the effect of making it more difficult for a third party to acquire us. We have determined that each of William H. Yeh, Richard B.</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Black, Alex Ignatiev, Alan Moore and Min-Chu (Mike) Chen qualify as independent directors under the NASDAQ rules.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28" w:lineRule="exact"/>
        <w:rPr>
          <w:sz w:val="20"/>
          <w:szCs w:val="20"/>
          <w:color w:val="auto"/>
        </w:rPr>
      </w:pPr>
    </w:p>
    <w:p>
      <w:pPr>
        <w:jc w:val="both"/>
        <w:ind w:right="120" w:firstLine="341"/>
        <w:spacing w:after="0" w:line="294" w:lineRule="auto"/>
        <w:rPr>
          <w:sz w:val="20"/>
          <w:szCs w:val="20"/>
          <w:color w:val="auto"/>
        </w:rPr>
      </w:pPr>
      <w:r>
        <w:rPr>
          <w:rFonts w:ascii="Arial" w:cs="Arial" w:eastAsia="Arial" w:hAnsi="Arial"/>
          <w:sz w:val="16"/>
          <w:szCs w:val="16"/>
          <w:color w:val="auto"/>
        </w:rPr>
        <w:t>In 2012 non-employee directors were eligible to receive $1,500 for each board meeting attended in person. In addition, a $300 meeting fee was payable for each board or committee meeting attended by telephone. If a committee meeting occurred at the same site as a scheduled board meeting, no additional compensation was paid. Employee directors did not receive any compensation other than their employee compensation for their service as directors. Directors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were reimbursed for out-of-pocket expenses incurred in the course of their service on the board of directors or its committees.</w:t>
      </w:r>
    </w:p>
    <w:p>
      <w:pPr>
        <w:spacing w:after="0" w:line="224"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Non-employee directors continuing in office following each annual meeting of stockholders were eligible to receive an option to acquire 40,000 shares. The Chairman of the board of directors was eligible to receive an option for an additional 10,000 shares and each chair of a committee was eligible to receive an option for an additional 5,000 shares. All options granted to directors vest in equal monthly amounts over the first twelve months following the date of grant and expire, subject to early termination in accordance with their terms, on the tenth anniversary of the date of grant.</w:t>
      </w:r>
    </w:p>
    <w:p>
      <w:pPr>
        <w:spacing w:after="0" w:line="185"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table below sets forth, for each person who served as a non-employee director during 2012, information regarding compensation for service on our board of directors during 2012.</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59"/>
              <w:spacing w:after="0"/>
              <w:rPr>
                <w:sz w:val="20"/>
                <w:szCs w:val="20"/>
                <w:color w:val="auto"/>
              </w:rPr>
            </w:pPr>
            <w:r>
              <w:rPr>
                <w:rFonts w:ascii="Arial" w:cs="Arial" w:eastAsia="Arial" w:hAnsi="Arial"/>
                <w:sz w:val="13"/>
                <w:szCs w:val="13"/>
                <w:b w:val="1"/>
                <w:bCs w:val="1"/>
                <w:color w:val="auto"/>
                <w:w w:val="93"/>
              </w:rPr>
              <w:t>Fees Earned or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39"/>
              <w:spacing w:after="0"/>
              <w:rPr>
                <w:sz w:val="20"/>
                <w:szCs w:val="20"/>
                <w:color w:val="auto"/>
              </w:rPr>
            </w:pPr>
            <w:r>
              <w:rPr>
                <w:rFonts w:ascii="Arial" w:cs="Arial" w:eastAsia="Arial" w:hAnsi="Arial"/>
                <w:sz w:val="13"/>
                <w:szCs w:val="13"/>
                <w:b w:val="1"/>
                <w:bCs w:val="1"/>
                <w:color w:val="auto"/>
              </w:rPr>
              <w:t>Option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8"/>
              </w:rPr>
              <w:t>All Other</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00" w:type="dxa"/>
            <w:vAlign w:val="bottom"/>
            <w:gridSpan w:val="4"/>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3"/>
                <w:szCs w:val="13"/>
                <w:color w:val="auto"/>
              </w:rPr>
            </w:pPr>
          </w:p>
        </w:tc>
        <w:tc>
          <w:tcPr>
            <w:tcW w:w="1040" w:type="dxa"/>
            <w:vAlign w:val="bottom"/>
          </w:tcPr>
          <w:p>
            <w:pPr>
              <w:jc w:val="right"/>
              <w:ind w:right="39"/>
              <w:spacing w:after="0"/>
              <w:rPr>
                <w:sz w:val="20"/>
                <w:szCs w:val="20"/>
                <w:color w:val="auto"/>
              </w:rPr>
            </w:pPr>
            <w:r>
              <w:rPr>
                <w:rFonts w:ascii="Arial" w:cs="Arial" w:eastAsia="Arial" w:hAnsi="Arial"/>
                <w:sz w:val="13"/>
                <w:szCs w:val="13"/>
                <w:b w:val="1"/>
                <w:bCs w:val="1"/>
                <w:color w:val="auto"/>
                <w:w w:val="92"/>
              </w:rPr>
              <w:t>Paid in Cash (1)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9"/>
              <w:spacing w:after="0"/>
              <w:rPr>
                <w:sz w:val="20"/>
                <w:szCs w:val="20"/>
                <w:color w:val="auto"/>
              </w:rPr>
            </w:pPr>
            <w:r>
              <w:rPr>
                <w:rFonts w:ascii="Arial" w:cs="Arial" w:eastAsia="Arial" w:hAnsi="Arial"/>
                <w:sz w:val="13"/>
                <w:szCs w:val="13"/>
                <w:b w:val="1"/>
                <w:bCs w:val="1"/>
                <w:color w:val="auto"/>
                <w:w w:val="90"/>
              </w:rPr>
              <w:t>Awards (2)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0"/>
              </w:rPr>
              <w:t>Compensation</w:t>
            </w: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Juen-Sheng (Andrew) Kang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ind w:left="760"/>
              <w:spacing w:after="0"/>
              <w:rPr>
                <w:sz w:val="20"/>
                <w:szCs w:val="20"/>
                <w:color w:val="auto"/>
              </w:rPr>
            </w:pPr>
            <w:r>
              <w:rPr>
                <w:rFonts w:ascii="Arial" w:cs="Arial" w:eastAsia="Arial" w:hAnsi="Arial"/>
                <w:sz w:val="17"/>
                <w:szCs w:val="17"/>
                <w:color w:val="auto"/>
              </w:rPr>
              <w:t>—  $</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11,548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7"/>
                <w:szCs w:val="17"/>
                <w:color w:val="auto"/>
              </w:rPr>
              <w:t>William H. Yeh</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8,792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10,292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B. Black</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7"/>
                <w:szCs w:val="17"/>
                <w:color w:val="auto"/>
              </w:rPr>
              <w:t>Nancy T. Chang (3)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5,861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32,361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Benjamin C M Jen (4)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7"/>
                <w:szCs w:val="17"/>
                <w:color w:val="auto"/>
              </w:rPr>
              <w:t>Chih-Kai (C.K.) Cheng (5)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6,524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Hsiang-Teh (Steven) Ho (5)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240" w:right="100" w:hanging="523"/>
        <w:spacing w:after="0" w:line="256" w:lineRule="auto"/>
        <w:tabs>
          <w:tab w:leader="none" w:pos="22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Reflects the aggregate dollar amount of fees earned or paid in cash for services as a non-employee director, including committee service fees, fees for serving as a committee chairperson, and board and committee meeting fees.</w:t>
      </w:r>
    </w:p>
    <w:p>
      <w:pPr>
        <w:spacing w:after="0" w:line="100" w:lineRule="exact"/>
        <w:rPr>
          <w:rFonts w:ascii="Arial" w:cs="Arial" w:eastAsia="Arial" w:hAnsi="Arial"/>
          <w:sz w:val="13"/>
          <w:szCs w:val="13"/>
          <w:color w:val="auto"/>
        </w:rPr>
      </w:pPr>
    </w:p>
    <w:p>
      <w:pPr>
        <w:ind w:left="2240" w:hanging="523"/>
        <w:spacing w:after="0" w:line="274" w:lineRule="auto"/>
        <w:tabs>
          <w:tab w:leader="none" w:pos="22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Represents the aggregate grant date fair value computed in accordance with FASB ASC Topic 718. The assumptions used in calculating the grant date fair value of the stock options reported in Note M to the consolidated financial statements included in this prospectus. The amounts reported in this column reflect the accounting cost for these stock options and do not correspond to the actual economic value that may be received by the named executive officers for the stock options.</w:t>
      </w:r>
    </w:p>
    <w:p>
      <w:pPr>
        <w:spacing w:after="0" w:line="91" w:lineRule="exact"/>
        <w:rPr>
          <w:rFonts w:ascii="Arial" w:cs="Arial" w:eastAsia="Arial" w:hAnsi="Arial"/>
          <w:sz w:val="12"/>
          <w:szCs w:val="12"/>
          <w:color w:val="auto"/>
        </w:rPr>
      </w:pPr>
    </w:p>
    <w:p>
      <w:pPr>
        <w:ind w:left="2240" w:right="40" w:hanging="523"/>
        <w:spacing w:after="0" w:line="243" w:lineRule="auto"/>
        <w:tabs>
          <w:tab w:leader="none" w:pos="22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Resigned as a member of our board of directors on March 22, 2013. Reflects payment of $25,000 to Chang Office, LLC under our consulting agreement with Chang Office, LLC. Under the consulting agreement, Chang Office, LLC agreed to provide certain consulting services for the benefit of our audit committee, including the evaluation of our internal controls. Ms. Chang is the President and sole member of Chang Office, LLC.</w:t>
      </w:r>
    </w:p>
    <w:p>
      <w:pPr>
        <w:spacing w:after="0" w:line="109" w:lineRule="exact"/>
        <w:rPr>
          <w:rFonts w:ascii="Arial" w:cs="Arial" w:eastAsia="Arial" w:hAnsi="Arial"/>
          <w:sz w:val="13"/>
          <w:szCs w:val="13"/>
          <w:color w:val="auto"/>
        </w:rPr>
      </w:pPr>
    </w:p>
    <w:p>
      <w:pPr>
        <w:ind w:left="2240" w:hanging="523"/>
        <w:spacing w:after="0"/>
        <w:tabs>
          <w:tab w:leader="none" w:pos="22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Resigned as a member of our board of directors on February 27, 2013.</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Resigned as a member of our board of directors on February 20, 2013.</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28" w:lineRule="exact"/>
        <w:rPr>
          <w:sz w:val="20"/>
          <w:szCs w:val="20"/>
          <w:color w:val="auto"/>
        </w:rPr>
      </w:pPr>
    </w:p>
    <w:p>
      <w:pPr>
        <w:ind w:right="100" w:firstLine="341"/>
        <w:spacing w:after="0" w:line="322" w:lineRule="auto"/>
        <w:rPr>
          <w:sz w:val="20"/>
          <w:szCs w:val="20"/>
          <w:color w:val="auto"/>
        </w:rPr>
      </w:pPr>
      <w:r>
        <w:rPr>
          <w:rFonts w:ascii="Arial" w:cs="Arial" w:eastAsia="Arial" w:hAnsi="Arial"/>
          <w:sz w:val="15"/>
          <w:szCs w:val="15"/>
          <w:color w:val="auto"/>
        </w:rPr>
        <w:t>Our board of directors directs the management of our business and affairs, as provided by Delaware law, and conducts its business through meetings of the board of directors. Upon completion of this offering our board of directors will have three standing committees: an audit committee, a compensation committee and a nominating and corporate governance committee. Our board of directors may establish other committees to facilitate the management of our business.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228"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Our audit committee currently consists of Richard B. Black, Alan Moore and Alex Ignatiev. Our board of directors has determined that Messrs. Black, Moore and Ignatiev each satisfy the independence and financial literacy requirements under the applicable rules and regulations of the SEC and NASDAQ. Mr. Black serves as the chairman of this committee, and our board of directors has determined that he qualifies as an "audit committee financial expert" as that term is defined in the rules and regulations established by the SEC and has the requisite financial sophistication as defined under the applicable NASDAQ rules. The functions of this committee include, but are not limited to:</w:t>
      </w:r>
    </w:p>
    <w:p>
      <w:pPr>
        <w:spacing w:after="0" w:line="201" w:lineRule="exact"/>
        <w:rPr>
          <w:sz w:val="20"/>
          <w:szCs w:val="20"/>
          <w:color w:val="auto"/>
        </w:rPr>
      </w:pPr>
    </w:p>
    <w:p>
      <w:pPr>
        <w:ind w:left="1060" w:hanging="531"/>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meeting with our management periodically to consider the adequacy of our internal controls and the objectivity of our financial reporting;</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meeting with our independent auditors and with internal financial personnel regarding these matters;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appointing, compensating, retaining and overseeing the work of our independent auditors;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pre-approving audit and non-audit services of our independent auditors;</w:t>
      </w:r>
    </w:p>
    <w:p>
      <w:pPr>
        <w:spacing w:after="0" w:line="250" w:lineRule="exact"/>
        <w:rPr>
          <w:rFonts w:ascii="Arial" w:cs="Arial" w:eastAsia="Arial" w:hAnsi="Arial"/>
          <w:sz w:val="17"/>
          <w:szCs w:val="17"/>
          <w:color w:val="auto"/>
        </w:rPr>
      </w:pPr>
    </w:p>
    <w:p>
      <w:pPr>
        <w:ind w:left="1060" w:right="460" w:hanging="531"/>
        <w:spacing w:after="0" w:line="315" w:lineRule="auto"/>
        <w:tabs>
          <w:tab w:leader="none" w:pos="10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reviewing our audited financial statements and reports and discussing the statements and reports with our management, including any significant adjustments, management judgments and estimates, new accounting policies and disagreements with management;</w:t>
      </w:r>
    </w:p>
    <w:p>
      <w:pPr>
        <w:spacing w:after="0" w:line="159" w:lineRule="exact"/>
        <w:rPr>
          <w:rFonts w:ascii="Arial" w:cs="Arial" w:eastAsia="Arial" w:hAnsi="Arial"/>
          <w:sz w:val="16"/>
          <w:szCs w:val="16"/>
          <w:color w:val="auto"/>
        </w:rPr>
      </w:pPr>
    </w:p>
    <w:p>
      <w:pPr>
        <w:ind w:left="1060" w:right="20" w:hanging="531"/>
        <w:spacing w:after="0" w:line="352" w:lineRule="auto"/>
        <w:tabs>
          <w:tab w:leader="none" w:pos="10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Establishing procedures for the receipt, retention and treatment of complaints we receive regarding accounting, internal accounting controls or auditing matters, as well as for the confidential, anonymous submission by our employees of concerns regarding questionable accounting or auditing matters;</w:t>
      </w:r>
    </w:p>
    <w:p>
      <w:pPr>
        <w:spacing w:after="0" w:line="136" w:lineRule="exact"/>
        <w:rPr>
          <w:rFonts w:ascii="Arial" w:cs="Arial" w:eastAsia="Arial" w:hAnsi="Arial"/>
          <w:sz w:val="15"/>
          <w:szCs w:val="15"/>
          <w:color w:val="auto"/>
        </w:rPr>
      </w:pPr>
    </w:p>
    <w:p>
      <w:pPr>
        <w:ind w:left="1060" w:right="560" w:hanging="531"/>
        <w:spacing w:after="0" w:line="282"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reviewing the independence and quality control procedures of the independent auditor and the experience and qualifications of the independent auditor's senior personnel that are providing us audit services;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reviewing all related-party transactions for approval; and</w:t>
      </w:r>
    </w:p>
    <w:p>
      <w:pPr>
        <w:spacing w:after="0" w:line="237" w:lineRule="exact"/>
        <w:rPr>
          <w:rFonts w:ascii="Arial" w:cs="Arial" w:eastAsia="Arial" w:hAnsi="Arial"/>
          <w:sz w:val="17"/>
          <w:szCs w:val="17"/>
          <w:color w:val="auto"/>
        </w:rPr>
      </w:pPr>
    </w:p>
    <w:p>
      <w:pPr>
        <w:ind w:left="340" w:right="80" w:firstLine="189"/>
        <w:spacing w:after="0" w:line="580" w:lineRule="auto"/>
        <w:tabs>
          <w:tab w:leader="none" w:pos="1048" w:val="left"/>
        </w:tabs>
        <w:numPr>
          <w:ilvl w:val="0"/>
          <w:numId w:val="59"/>
        </w:numPr>
        <w:rPr>
          <w:rFonts w:ascii="Arial" w:cs="Arial" w:eastAsia="Arial" w:hAnsi="Arial"/>
          <w:sz w:val="15"/>
          <w:szCs w:val="15"/>
          <w:color w:val="auto"/>
        </w:rPr>
      </w:pPr>
      <w:r>
        <w:rPr>
          <w:rFonts w:ascii="Arial" w:cs="Arial" w:eastAsia="Arial" w:hAnsi="Arial"/>
          <w:sz w:val="15"/>
          <w:szCs w:val="15"/>
          <w:color w:val="auto"/>
        </w:rPr>
        <w:t>reviewing and reassessing the adequacy of the audit committee's charter at least annually and recommending any changes to our board of directors. Both our independent auditors and internal financial personnel regularly meet privately with our audit committee and have unrestricted access to this committee.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w:t>
      </w:r>
    </w:p>
    <w:p>
      <w:pPr>
        <w:spacing w:after="0" w:line="228" w:lineRule="exact"/>
        <w:rPr>
          <w:sz w:val="20"/>
          <w:szCs w:val="20"/>
          <w:color w:val="auto"/>
        </w:rPr>
      </w:pPr>
    </w:p>
    <w:p>
      <w:pPr>
        <w:ind w:firstLine="341"/>
        <w:spacing w:after="0" w:line="311" w:lineRule="auto"/>
        <w:rPr>
          <w:sz w:val="20"/>
          <w:szCs w:val="20"/>
          <w:color w:val="auto"/>
        </w:rPr>
      </w:pPr>
      <w:r>
        <w:rPr>
          <w:rFonts w:ascii="Arial" w:cs="Arial" w:eastAsia="Arial" w:hAnsi="Arial"/>
          <w:sz w:val="15"/>
          <w:szCs w:val="15"/>
          <w:color w:val="auto"/>
        </w:rPr>
        <w:t>Our compensation committee currently consists of William H. Yeh, Richard B. Black and Min-Chu (Mike) Chen, each of whom is not an employee and is otherwise "independent" as that term is defined in the current applicable NASDAQ rules. Mr. Yeh serves as the chairman of this committee. Pursuant to its charter, our compensation committee has responsibility for overseeing our compensation policies and programs, including developing compensation policies and providing oversight in the implementation of all applicable policies and benefit plans. Specifically, the compensation committee recommends the compensation payable to our</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non-employee directors, evaluates and sets compensation for the Chairman of our board of directors and our executive officers and monitors all general compensation programs. In accordance with its charter, the compensation committee's responsibilities include, but are not limited to:</w:t>
      </w:r>
    </w:p>
    <w:p>
      <w:pPr>
        <w:spacing w:after="0" w:line="183" w:lineRule="exact"/>
        <w:rPr>
          <w:sz w:val="20"/>
          <w:szCs w:val="20"/>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reviewing and approving all compensation for the Chief Executive Officer, including incentive-based and equity-based compensation;</w:t>
      </w:r>
    </w:p>
    <w:p>
      <w:pPr>
        <w:spacing w:after="0" w:line="250" w:lineRule="exact"/>
        <w:rPr>
          <w:rFonts w:ascii="Arial" w:cs="Arial" w:eastAsia="Arial" w:hAnsi="Arial"/>
          <w:sz w:val="17"/>
          <w:szCs w:val="17"/>
          <w:color w:val="auto"/>
        </w:rPr>
      </w:pPr>
    </w:p>
    <w:p>
      <w:pPr>
        <w:ind w:left="1060" w:right="580" w:hanging="531"/>
        <w:spacing w:after="0" w:line="282" w:lineRule="auto"/>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reviewing and approving annual performance objectives and goals relevant to compensation for the Chief Executive Officer and evaluating the performance of the Chief Executive Officer;</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reviewing and approving incentive-based or equity-based compensation plans in which our executive officers participate;</w:t>
      </w:r>
    </w:p>
    <w:p>
      <w:pPr>
        <w:spacing w:after="0" w:line="237" w:lineRule="exact"/>
        <w:rPr>
          <w:rFonts w:ascii="Arial" w:cs="Arial" w:eastAsia="Arial" w:hAnsi="Arial"/>
          <w:sz w:val="17"/>
          <w:szCs w:val="17"/>
          <w:color w:val="auto"/>
        </w:rPr>
      </w:pPr>
    </w:p>
    <w:p>
      <w:pPr>
        <w:ind w:left="1060" w:right="520" w:hanging="531"/>
        <w:spacing w:after="0" w:line="282" w:lineRule="auto"/>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reviewing and approving all compensation for executive officers, including incentive-based and equity-based compensation, and overseeing the evaluation of management;</w:t>
      </w:r>
    </w:p>
    <w:p>
      <w:pPr>
        <w:spacing w:after="0" w:line="196" w:lineRule="exact"/>
        <w:rPr>
          <w:rFonts w:ascii="Arial" w:cs="Arial" w:eastAsia="Arial" w:hAnsi="Arial"/>
          <w:sz w:val="17"/>
          <w:szCs w:val="17"/>
          <w:color w:val="auto"/>
        </w:rPr>
      </w:pPr>
    </w:p>
    <w:p>
      <w:pPr>
        <w:ind w:left="1060" w:right="100" w:hanging="531"/>
        <w:spacing w:after="0" w:line="282" w:lineRule="auto"/>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approving all employment, severance, or change-in-control agreements, special or supplemental benefits, or provisions including the same, applicable to executive officers;</w:t>
      </w:r>
    </w:p>
    <w:p>
      <w:pPr>
        <w:spacing w:after="0" w:line="182" w:lineRule="exact"/>
        <w:rPr>
          <w:rFonts w:ascii="Arial" w:cs="Arial" w:eastAsia="Arial" w:hAnsi="Arial"/>
          <w:sz w:val="17"/>
          <w:szCs w:val="17"/>
          <w:color w:val="auto"/>
        </w:rPr>
      </w:pPr>
    </w:p>
    <w:p>
      <w:pPr>
        <w:ind w:left="1060" w:right="200" w:hanging="531"/>
        <w:spacing w:after="0" w:line="352" w:lineRule="auto"/>
        <w:tabs>
          <w:tab w:leader="none" w:pos="10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periodically reviewing and advising our board of directors concerning both regional and industry-wide compensation practices and trends in order to assess the adequacy and competitiveness of our compensation programs for executive officers relative to comparable companies in our industry;</w:t>
      </w:r>
    </w:p>
    <w:p>
      <w:pPr>
        <w:spacing w:after="0" w:line="136" w:lineRule="exact"/>
        <w:rPr>
          <w:rFonts w:ascii="Arial" w:cs="Arial" w:eastAsia="Arial" w:hAnsi="Arial"/>
          <w:sz w:val="15"/>
          <w:szCs w:val="15"/>
          <w:color w:val="auto"/>
        </w:rPr>
      </w:pPr>
    </w:p>
    <w:p>
      <w:pPr>
        <w:ind w:left="1060" w:right="60" w:hanging="531"/>
        <w:spacing w:after="0" w:line="282" w:lineRule="auto"/>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reviewing and reassessing the adequacy of the compensation committee charter and recommending any changes to our board of directors on an annual basis; and</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reviewing and evaluating the compensation committee's own performance periodically.</w:t>
      </w:r>
    </w:p>
    <w:p>
      <w:pPr>
        <w:spacing w:after="0" w:line="224"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compensation committee may delegate its authority to a subcommittee to make grants of stock, stock options and other equity securities to executive officers and other employees, provided that these grants are made within established guidelines. In addition, the compensation committee may obtain advice or assistance from compensation consultants, legal counsel or other advisors to perform its duties, provided that the compensation committee shall periodically assess the independence of any such compensation consultant as required by NASDAQ rules and applicable law.</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Nominating and Corporate Governance Committee</w:t>
      </w:r>
    </w:p>
    <w:p>
      <w:pPr>
        <w:spacing w:after="0" w:line="228" w:lineRule="exact"/>
        <w:rPr>
          <w:sz w:val="20"/>
          <w:szCs w:val="20"/>
          <w:color w:val="auto"/>
        </w:rPr>
      </w:pPr>
    </w:p>
    <w:p>
      <w:pPr>
        <w:ind w:right="120" w:firstLine="341"/>
        <w:spacing w:after="0" w:line="263" w:lineRule="auto"/>
        <w:rPr>
          <w:sz w:val="20"/>
          <w:szCs w:val="20"/>
          <w:color w:val="auto"/>
        </w:rPr>
      </w:pPr>
      <w:r>
        <w:rPr>
          <w:rFonts w:ascii="Arial" w:cs="Arial" w:eastAsia="Arial" w:hAnsi="Arial"/>
          <w:sz w:val="17"/>
          <w:szCs w:val="17"/>
          <w:color w:val="auto"/>
        </w:rPr>
        <w:t>Our nominating and corporate governance committee currently consists of William H. Yeh, Alex Ignatiev and Min-Chu (Mike) Chen. Mr. Ignatiev serves as the chairman of this committee. Our nominating and corporate governance committee oversees and advises the board of directors with respect to corporate governance matters, assists the board of directors in identifying and recommending qualified candidates for nomination to the board of directors, makes recommendations to the board of directors with respect to assignments to committees of the board of directors and oversees the evaluation of the board of directors. The functions of this committee include, but are not limited to:</w:t>
      </w:r>
    </w:p>
    <w:p>
      <w:pPr>
        <w:spacing w:after="0" w:line="201" w:lineRule="exact"/>
        <w:rPr>
          <w:sz w:val="20"/>
          <w:szCs w:val="20"/>
          <w:color w:val="auto"/>
        </w:rPr>
      </w:pPr>
    </w:p>
    <w:p>
      <w:pPr>
        <w:ind w:left="1060" w:right="400" w:hanging="531"/>
        <w:spacing w:after="0" w:line="282"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making recommendations to the board of directors regarding all nominees for board membership, whether for the slate of director nominees to be proposed by the board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directors to the stockholders or any director nominees to be elected by the board of directors to fill interim director vacancies;</w:t>
      </w:r>
    </w:p>
    <w:p>
      <w:pPr>
        <w:spacing w:after="0" w:line="237" w:lineRule="exact"/>
        <w:rPr>
          <w:sz w:val="20"/>
          <w:szCs w:val="20"/>
          <w:color w:val="auto"/>
        </w:rPr>
      </w:pPr>
    </w:p>
    <w:p>
      <w:pPr>
        <w:ind w:left="1060" w:right="780" w:hanging="531"/>
        <w:spacing w:after="0" w:line="282"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considering director candidates submitted by stockholders and determining the procedure to be followed by stockholders in submitting such recommendations;</w:t>
      </w:r>
    </w:p>
    <w:p>
      <w:pPr>
        <w:spacing w:after="0" w:line="196"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recommending board of director committee structure and responsibilities to be included in the charter of each committee of the board of directors to be submitted to full board of directors for consideration;</w:t>
      </w:r>
    </w:p>
    <w:p>
      <w:pPr>
        <w:spacing w:after="0" w:line="182" w:lineRule="exact"/>
        <w:rPr>
          <w:rFonts w:ascii="Arial" w:cs="Arial" w:eastAsia="Arial" w:hAnsi="Arial"/>
          <w:sz w:val="17"/>
          <w:szCs w:val="17"/>
          <w:color w:val="auto"/>
        </w:rPr>
      </w:pPr>
    </w:p>
    <w:p>
      <w:pPr>
        <w:ind w:left="1060" w:right="240" w:hanging="531"/>
        <w:spacing w:after="0" w:line="282"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recommending directors to serve on each board committee and suggesting rotations for chairpersons of the board committees as the nominating and corporate governance committee deems appropriate;</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recommending corporate governance standards to the board of directors;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evaluating and recommending any revisions to board of directors and board committee meeting policies;</w:t>
      </w:r>
    </w:p>
    <w:p>
      <w:pPr>
        <w:spacing w:after="0" w:line="237" w:lineRule="exact"/>
        <w:rPr>
          <w:rFonts w:ascii="Arial" w:cs="Arial" w:eastAsia="Arial" w:hAnsi="Arial"/>
          <w:sz w:val="17"/>
          <w:szCs w:val="17"/>
          <w:color w:val="auto"/>
        </w:rPr>
      </w:pPr>
    </w:p>
    <w:p>
      <w:pPr>
        <w:ind w:left="1060" w:right="640" w:hanging="531"/>
        <w:spacing w:after="0" w:line="282"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reviewing the effectiveness of the operation of the board of directors and board committees, including the corporate governance and operating practices;</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reviewing and reassessing the adequacy of the nominating and corporate governance committee charter and recommending any changes to the board of directors; and</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periodically reviewing the compensation paid to non-employee directors and make recommendations to our board of directors for any adjustments.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 in Compensation Decisions</w:t>
      </w:r>
    </w:p>
    <w:p>
      <w:pPr>
        <w:spacing w:after="0" w:line="228" w:lineRule="exact"/>
        <w:rPr>
          <w:sz w:val="20"/>
          <w:szCs w:val="20"/>
          <w:color w:val="auto"/>
        </w:rPr>
      </w:pPr>
    </w:p>
    <w:p>
      <w:pPr>
        <w:ind w:right="220" w:firstLine="341"/>
        <w:spacing w:after="0" w:line="352" w:lineRule="auto"/>
        <w:rPr>
          <w:sz w:val="20"/>
          <w:szCs w:val="20"/>
          <w:color w:val="auto"/>
        </w:rPr>
      </w:pPr>
      <w:r>
        <w:rPr>
          <w:rFonts w:ascii="Arial" w:cs="Arial" w:eastAsia="Arial" w:hAnsi="Arial"/>
          <w:sz w:val="15"/>
          <w:szCs w:val="15"/>
          <w:color w:val="auto"/>
        </w:rPr>
        <w:t>None of our executive officers serves as a member of our compensation committee or as a member of the board of directors or any other committee serving an equivalent function of any other entity that has one or more of its executive officers serving as a member of our board of directors or compensation committee.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w:t>
      </w:r>
    </w:p>
    <w:p>
      <w:pPr>
        <w:spacing w:after="0" w:line="228" w:lineRule="exact"/>
        <w:rPr>
          <w:sz w:val="20"/>
          <w:szCs w:val="20"/>
          <w:color w:val="auto"/>
        </w:rPr>
      </w:pPr>
    </w:p>
    <w:p>
      <w:pPr>
        <w:ind w:right="300" w:firstLine="341"/>
        <w:spacing w:after="0" w:line="265" w:lineRule="auto"/>
        <w:rPr>
          <w:sz w:val="20"/>
          <w:szCs w:val="20"/>
          <w:color w:val="auto"/>
        </w:rPr>
      </w:pPr>
      <w:r>
        <w:rPr>
          <w:rFonts w:ascii="Arial" w:cs="Arial" w:eastAsia="Arial" w:hAnsi="Arial"/>
          <w:sz w:val="17"/>
          <w:szCs w:val="17"/>
          <w:color w:val="auto"/>
        </w:rPr>
        <w:t>Our board of directors has adopted a code of business conduct. The code of business conduct applies to all of our employees, officers and directors. Upon the effectiveness of the registration statement of which this prospectus is a part, the full text of our code of business conduct will be posted on our website at www.ao-inc.com under the Investor Relations section. We intend to disclose future amendments to certain provisions of our code of business conduct, or waivers of such provisions, at the same location on our website identified above and also in public filings.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Assessment of Compensation Programs</w:t>
      </w:r>
    </w:p>
    <w:p>
      <w:pPr>
        <w:spacing w:after="0" w:line="228" w:lineRule="exact"/>
        <w:rPr>
          <w:sz w:val="20"/>
          <w:szCs w:val="20"/>
          <w:color w:val="auto"/>
        </w:rPr>
      </w:pPr>
    </w:p>
    <w:p>
      <w:pPr>
        <w:ind w:right="200" w:firstLine="338"/>
        <w:spacing w:after="0" w:line="270" w:lineRule="auto"/>
        <w:rPr>
          <w:sz w:val="20"/>
          <w:szCs w:val="20"/>
          <w:color w:val="auto"/>
        </w:rPr>
      </w:pPr>
      <w:r>
        <w:rPr>
          <w:rFonts w:ascii="Arial" w:cs="Arial" w:eastAsia="Arial" w:hAnsi="Arial"/>
          <w:sz w:val="17"/>
          <w:szCs w:val="17"/>
          <w:color w:val="auto"/>
        </w:rPr>
        <w:t>We do not believe that our compensation programs create risks that are reasonably likely to have a material adverse effect on our company. We believe that the combination of different types of compensation as well as the overall amount of compensation, together with our internal controls and oversight by the board of directors, mitigates potential risks.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and Accounting Considerations</w:t>
      </w:r>
    </w:p>
    <w:p>
      <w:pPr>
        <w:spacing w:after="0" w:line="228"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Section 162(m) of the Internal Revenue Code generally disallows public companies a tax deduction for compensation in excess of $1,000,000 paid to their Chief Executive Officer and certain other executive officers unless certain performance and other requirements are met. As one of the factors in its consideration of compensation matters, the compensation committee also considers the anticipated tax treatment to our company and to the executive officers of various payments and benefits, including the effect of Section 162(m). The compensation committee retains discretion, however, to implement executive compensation programs that may not be deductible under Section 162(m) if the compensation committee believes the programs are nevertheless appropriate to help achieve our primary objective of ensuring that compensation paid to our executive officers is reasonable, performance-based and consistent with the goals of our company and its stockholders. We do not believe that Code Section 162(m) will limit our tax deductions for our last completed fiscal year.</w:t>
      </w:r>
    </w:p>
    <w:p>
      <w:pPr>
        <w:spacing w:after="0" w:line="17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28"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following table presents summary information regarding the total compensation awarded to, earned by, and paid to our principal executive officer, principal financial officer and other two most highly compensated executive officers who were serving as executive officers at the end of the fiscal year ended December 31, 2012. These officers are referred to as our named executive officers. The information included in this table reflects compensation for the years ended December 31, 2011 and 2012.</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Nonqualified</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4"/>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Non-Equity</w:t>
            </w:r>
          </w:p>
        </w:tc>
        <w:tc>
          <w:tcPr>
            <w:tcW w:w="10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deferred</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4"/>
              </w:rPr>
              <w:t>Stock</w:t>
            </w:r>
          </w:p>
        </w:tc>
        <w:tc>
          <w:tcPr>
            <w:tcW w:w="9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Option</w:t>
            </w:r>
          </w:p>
        </w:tc>
        <w:tc>
          <w:tcPr>
            <w:tcW w:w="11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10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6"/>
              </w:rPr>
              <w:t>compensation</w:t>
            </w:r>
          </w:p>
        </w:tc>
        <w:tc>
          <w:tcPr>
            <w:tcW w:w="13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8"/>
              </w:rPr>
              <w:t>All Other</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3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Name and Principal</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5"/>
              </w:rPr>
              <w:t>Salary (1)</w:t>
            </w:r>
          </w:p>
        </w:tc>
        <w:tc>
          <w:tcPr>
            <w:tcW w:w="62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Bonus</w:t>
            </w:r>
          </w:p>
        </w:tc>
        <w:tc>
          <w:tcPr>
            <w:tcW w:w="7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Awards</w:t>
            </w:r>
          </w:p>
        </w:tc>
        <w:tc>
          <w:tcPr>
            <w:tcW w:w="9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Awards (2)</w:t>
            </w:r>
          </w:p>
        </w:tc>
        <w:tc>
          <w:tcPr>
            <w:tcW w:w="11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Compensation</w:t>
            </w:r>
          </w:p>
        </w:tc>
        <w:tc>
          <w:tcPr>
            <w:tcW w:w="10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earnings</w:t>
            </w:r>
          </w:p>
        </w:tc>
        <w:tc>
          <w:tcPr>
            <w:tcW w:w="13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Compensation (3)</w:t>
            </w:r>
          </w:p>
        </w:tc>
        <w:tc>
          <w:tcPr>
            <w:tcW w:w="74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Total</w:t>
            </w:r>
          </w:p>
        </w:tc>
      </w:tr>
      <w:tr>
        <w:trPr>
          <w:trHeight w:val="157"/>
        </w:trPr>
        <w:tc>
          <w:tcPr>
            <w:tcW w:w="138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6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Arial" w:cs="Arial" w:eastAsia="Arial" w:hAnsi="Arial"/>
                <w:sz w:val="13"/>
                <w:szCs w:val="13"/>
                <w:b w:val="1"/>
                <w:bCs w:val="1"/>
                <w:color w:val="auto"/>
              </w:rPr>
              <w:t>Year</w:t>
            </w:r>
          </w:p>
        </w:tc>
        <w:tc>
          <w:tcPr>
            <w:tcW w:w="680" w:type="dxa"/>
            <w:vAlign w:val="bottom"/>
          </w:tcPr>
          <w:p>
            <w:pPr>
              <w:jc w:val="right"/>
              <w:ind w:right="234"/>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480" w:type="dxa"/>
            <w:vAlign w:val="bottom"/>
          </w:tcPr>
          <w:p>
            <w:pPr>
              <w:ind w:left="20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1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160" w:type="dxa"/>
            <w:vAlign w:val="bottom"/>
          </w:tcPr>
          <w:p>
            <w:pPr>
              <w:spacing w:after="0"/>
              <w:rPr>
                <w:sz w:val="13"/>
                <w:szCs w:val="13"/>
                <w:color w:val="auto"/>
              </w:rPr>
            </w:pPr>
          </w:p>
        </w:tc>
        <w:tc>
          <w:tcPr>
            <w:tcW w:w="600" w:type="dxa"/>
            <w:vAlign w:val="bottom"/>
          </w:tcPr>
          <w:p>
            <w:pPr>
              <w:jc w:val="right"/>
              <w:ind w:right="214"/>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r>
      <w:tr>
        <w:trPr>
          <w:trHeight w:val="124"/>
        </w:trPr>
        <w:tc>
          <w:tcPr>
            <w:tcW w:w="126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3"/>
                <w:szCs w:val="13"/>
                <w:b w:val="1"/>
                <w:bCs w:val="1"/>
                <w:color w:val="auto"/>
              </w:rPr>
              <w:t>Chih-Hsiang</w:t>
            </w:r>
          </w:p>
        </w:tc>
        <w:tc>
          <w:tcPr>
            <w:tcW w:w="1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57"/>
        </w:trPr>
        <w:tc>
          <w:tcPr>
            <w:tcW w:w="12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(Thompson) Lin</w:t>
            </w:r>
          </w:p>
        </w:tc>
        <w:tc>
          <w:tcPr>
            <w:tcW w:w="12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2012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318,689</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53,733</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4,632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377,054</w:t>
            </w:r>
          </w:p>
        </w:tc>
      </w:tr>
      <w:tr>
        <w:trPr>
          <w:trHeight w:val="135"/>
        </w:trPr>
        <w:tc>
          <w:tcPr>
            <w:tcW w:w="126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w w:val="98"/>
              </w:rPr>
              <w:t>President and Chief</w:t>
            </w:r>
          </w:p>
        </w:tc>
        <w:tc>
          <w:tcPr>
            <w:tcW w:w="120" w:type="dxa"/>
            <w:vAlign w:val="bottom"/>
            <w:shd w:val="clear" w:color="auto" w:fill="CCEEFF"/>
          </w:tcPr>
          <w:p>
            <w:pPr>
              <w:spacing w:after="0"/>
              <w:rPr>
                <w:sz w:val="11"/>
                <w:szCs w:val="11"/>
                <w:color w:val="auto"/>
              </w:rPr>
            </w:pPr>
          </w:p>
        </w:tc>
        <w:tc>
          <w:tcPr>
            <w:tcW w:w="540" w:type="dxa"/>
            <w:vAlign w:val="bottom"/>
            <w:gridSpan w:val="3"/>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2011</w:t>
            </w:r>
          </w:p>
        </w:tc>
        <w:tc>
          <w:tcPr>
            <w:tcW w:w="8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306,886</w:t>
            </w:r>
          </w:p>
        </w:tc>
        <w:tc>
          <w:tcPr>
            <w:tcW w:w="620" w:type="dxa"/>
            <w:vAlign w:val="bottom"/>
            <w:gridSpan w:val="2"/>
            <w:shd w:val="clear" w:color="auto" w:fill="CCEEFF"/>
          </w:tcPr>
          <w:p>
            <w:pPr>
              <w:ind w:left="340"/>
              <w:spacing w:after="0" w:line="13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40"/>
              <w:spacing w:after="0" w:line="136"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6,879</w:t>
            </w:r>
          </w:p>
        </w:tc>
        <w:tc>
          <w:tcPr>
            <w:tcW w:w="1120" w:type="dxa"/>
            <w:vAlign w:val="bottom"/>
            <w:gridSpan w:val="2"/>
            <w:shd w:val="clear" w:color="auto" w:fill="CCEEFF"/>
          </w:tcPr>
          <w:p>
            <w:pPr>
              <w:ind w:left="820"/>
              <w:spacing w:after="0" w:line="136"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00"/>
              <w:spacing w:after="0" w:line="136"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4,347</w:t>
            </w:r>
          </w:p>
        </w:tc>
        <w:tc>
          <w:tcPr>
            <w:tcW w:w="7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318,112</w:t>
            </w:r>
          </w:p>
        </w:tc>
      </w:tr>
      <w:tr>
        <w:trPr>
          <w:trHeight w:val="153"/>
        </w:trPr>
        <w:tc>
          <w:tcPr>
            <w:tcW w:w="1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Executive</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44"/>
        </w:trPr>
        <w:tc>
          <w:tcPr>
            <w:tcW w:w="126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Officer</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35"/>
        </w:trPr>
        <w:tc>
          <w:tcPr>
            <w:tcW w:w="1260" w:type="dxa"/>
            <w:vAlign w:val="bottom"/>
          </w:tcPr>
          <w:p>
            <w:pPr>
              <w:spacing w:after="0" w:line="136" w:lineRule="exact"/>
              <w:rPr>
                <w:sz w:val="20"/>
                <w:szCs w:val="20"/>
                <w:color w:val="auto"/>
              </w:rPr>
            </w:pPr>
            <w:r>
              <w:rPr>
                <w:rFonts w:ascii="Arial" w:cs="Arial" w:eastAsia="Arial" w:hAnsi="Arial"/>
                <w:sz w:val="13"/>
                <w:szCs w:val="13"/>
                <w:b w:val="1"/>
                <w:bCs w:val="1"/>
                <w:color w:val="auto"/>
                <w:w w:val="91"/>
              </w:rPr>
              <w:t>James L. Dunn, Jr. (4)</w:t>
            </w:r>
          </w:p>
        </w:tc>
        <w:tc>
          <w:tcPr>
            <w:tcW w:w="120" w:type="dxa"/>
            <w:vAlign w:val="bottom"/>
          </w:tcPr>
          <w:p>
            <w:pPr>
              <w:spacing w:after="0"/>
              <w:rPr>
                <w:sz w:val="11"/>
                <w:szCs w:val="11"/>
                <w:color w:val="auto"/>
              </w:rPr>
            </w:pPr>
          </w:p>
        </w:tc>
        <w:tc>
          <w:tcPr>
            <w:tcW w:w="540" w:type="dxa"/>
            <w:vAlign w:val="bottom"/>
            <w:gridSpan w:val="3"/>
          </w:tcPr>
          <w:p>
            <w:pPr>
              <w:jc w:val="right"/>
              <w:ind w:right="140"/>
              <w:spacing w:after="0" w:line="136" w:lineRule="exact"/>
              <w:rPr>
                <w:sz w:val="20"/>
                <w:szCs w:val="20"/>
                <w:color w:val="auto"/>
              </w:rPr>
            </w:pPr>
            <w:r>
              <w:rPr>
                <w:rFonts w:ascii="Arial" w:cs="Arial" w:eastAsia="Arial" w:hAnsi="Arial"/>
                <w:sz w:val="13"/>
                <w:szCs w:val="13"/>
                <w:color w:val="auto"/>
              </w:rPr>
              <w:t>2012</w:t>
            </w:r>
          </w:p>
        </w:tc>
        <w:tc>
          <w:tcPr>
            <w:tcW w:w="820" w:type="dxa"/>
            <w:vAlign w:val="bottom"/>
            <w:gridSpan w:val="2"/>
          </w:tcPr>
          <w:p>
            <w:pPr>
              <w:jc w:val="right"/>
              <w:ind w:right="140"/>
              <w:spacing w:after="0" w:line="136" w:lineRule="exact"/>
              <w:rPr>
                <w:sz w:val="20"/>
                <w:szCs w:val="20"/>
                <w:color w:val="auto"/>
              </w:rPr>
            </w:pPr>
            <w:r>
              <w:rPr>
                <w:rFonts w:ascii="Arial" w:cs="Arial" w:eastAsia="Arial" w:hAnsi="Arial"/>
                <w:sz w:val="13"/>
                <w:szCs w:val="13"/>
                <w:color w:val="auto"/>
              </w:rPr>
              <w:t>3,654</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440"/>
              <w:spacing w:after="0" w:line="136"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820"/>
              <w:spacing w:after="0" w:line="136"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line="136"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113</w:t>
            </w:r>
          </w:p>
        </w:tc>
        <w:tc>
          <w:tcPr>
            <w:tcW w:w="740" w:type="dxa"/>
            <w:vAlign w:val="bottom"/>
            <w:gridSpan w:val="2"/>
          </w:tcPr>
          <w:p>
            <w:pPr>
              <w:jc w:val="right"/>
              <w:ind w:right="140"/>
              <w:spacing w:after="0" w:line="136" w:lineRule="exact"/>
              <w:rPr>
                <w:sz w:val="20"/>
                <w:szCs w:val="20"/>
                <w:color w:val="auto"/>
              </w:rPr>
            </w:pPr>
            <w:r>
              <w:rPr>
                <w:rFonts w:ascii="Arial" w:cs="Arial" w:eastAsia="Arial" w:hAnsi="Arial"/>
                <w:sz w:val="13"/>
                <w:szCs w:val="13"/>
                <w:color w:val="auto"/>
              </w:rPr>
              <w:t>3,767</w:t>
            </w:r>
          </w:p>
        </w:tc>
      </w:tr>
      <w:tr>
        <w:trPr>
          <w:trHeight w:val="144"/>
        </w:trPr>
        <w:tc>
          <w:tcPr>
            <w:tcW w:w="138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Chief Financial</w:t>
            </w:r>
          </w:p>
        </w:tc>
        <w:tc>
          <w:tcPr>
            <w:tcW w:w="540" w:type="dxa"/>
            <w:vAlign w:val="bottom"/>
            <w:gridSpan w:val="3"/>
          </w:tcPr>
          <w:p>
            <w:pPr>
              <w:jc w:val="right"/>
              <w:ind w:right="140"/>
              <w:spacing w:after="0" w:line="144" w:lineRule="exact"/>
              <w:rPr>
                <w:sz w:val="20"/>
                <w:szCs w:val="20"/>
                <w:color w:val="auto"/>
              </w:rPr>
            </w:pPr>
            <w:r>
              <w:rPr>
                <w:rFonts w:ascii="Arial" w:cs="Arial" w:eastAsia="Arial" w:hAnsi="Arial"/>
                <w:sz w:val="13"/>
                <w:szCs w:val="13"/>
                <w:color w:val="auto"/>
              </w:rPr>
              <w:t>2011</w:t>
            </w:r>
          </w:p>
        </w:tc>
        <w:tc>
          <w:tcPr>
            <w:tcW w:w="8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620" w:type="dxa"/>
            <w:vAlign w:val="bottom"/>
            <w:gridSpan w:val="2"/>
          </w:tcPr>
          <w:p>
            <w:pPr>
              <w:ind w:left="34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ind w:left="440"/>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820"/>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line="144"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r>
      <w:tr>
        <w:trPr>
          <w:trHeight w:val="153"/>
        </w:trPr>
        <w:tc>
          <w:tcPr>
            <w:tcW w:w="1380" w:type="dxa"/>
            <w:vAlign w:val="bottom"/>
            <w:gridSpan w:val="2"/>
          </w:tcPr>
          <w:p>
            <w:pPr>
              <w:ind w:left="120"/>
              <w:spacing w:after="0"/>
              <w:rPr>
                <w:sz w:val="20"/>
                <w:szCs w:val="20"/>
                <w:color w:val="auto"/>
              </w:rPr>
            </w:pPr>
            <w:r>
              <w:rPr>
                <w:rFonts w:ascii="Arial" w:cs="Arial" w:eastAsia="Arial" w:hAnsi="Arial"/>
                <w:sz w:val="13"/>
                <w:szCs w:val="13"/>
                <w:color w:val="auto"/>
              </w:rPr>
              <w:t>Officer</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4"/>
        </w:trPr>
        <w:tc>
          <w:tcPr>
            <w:tcW w:w="126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Stefan J. Murry</w:t>
            </w:r>
          </w:p>
        </w:tc>
        <w:tc>
          <w:tcPr>
            <w:tcW w:w="12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2012</w:t>
            </w: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201,872</w:t>
            </w:r>
          </w:p>
        </w:tc>
        <w:tc>
          <w:tcPr>
            <w:tcW w:w="620" w:type="dxa"/>
            <w:vAlign w:val="bottom"/>
            <w:gridSpan w:val="2"/>
            <w:shd w:val="clear" w:color="auto" w:fill="CCEEFF"/>
          </w:tcPr>
          <w:p>
            <w:pPr>
              <w:ind w:left="34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40"/>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21,829</w:t>
            </w:r>
          </w:p>
        </w:tc>
        <w:tc>
          <w:tcPr>
            <w:tcW w:w="1120" w:type="dxa"/>
            <w:vAlign w:val="bottom"/>
            <w:gridSpan w:val="2"/>
            <w:shd w:val="clear" w:color="auto" w:fill="CCEEFF"/>
          </w:tcPr>
          <w:p>
            <w:pPr>
              <w:ind w:left="820"/>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00"/>
              <w:spacing w:after="0" w:line="144"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1,540</w:t>
            </w:r>
          </w:p>
        </w:tc>
        <w:tc>
          <w:tcPr>
            <w:tcW w:w="7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225,241</w:t>
            </w:r>
          </w:p>
        </w:tc>
      </w:tr>
      <w:tr>
        <w:trPr>
          <w:trHeight w:val="135"/>
        </w:trPr>
        <w:tc>
          <w:tcPr>
            <w:tcW w:w="126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Chief Strategy</w:t>
            </w:r>
          </w:p>
        </w:tc>
        <w:tc>
          <w:tcPr>
            <w:tcW w:w="120" w:type="dxa"/>
            <w:vAlign w:val="bottom"/>
            <w:shd w:val="clear" w:color="auto" w:fill="CCEEFF"/>
          </w:tcPr>
          <w:p>
            <w:pPr>
              <w:spacing w:after="0"/>
              <w:rPr>
                <w:sz w:val="11"/>
                <w:szCs w:val="11"/>
                <w:color w:val="auto"/>
              </w:rPr>
            </w:pPr>
          </w:p>
        </w:tc>
        <w:tc>
          <w:tcPr>
            <w:tcW w:w="540" w:type="dxa"/>
            <w:vAlign w:val="bottom"/>
            <w:gridSpan w:val="3"/>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2011</w:t>
            </w:r>
          </w:p>
        </w:tc>
        <w:tc>
          <w:tcPr>
            <w:tcW w:w="8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190,256</w:t>
            </w:r>
          </w:p>
        </w:tc>
        <w:tc>
          <w:tcPr>
            <w:tcW w:w="620" w:type="dxa"/>
            <w:vAlign w:val="bottom"/>
            <w:gridSpan w:val="2"/>
            <w:shd w:val="clear" w:color="auto" w:fill="CCEEFF"/>
          </w:tcPr>
          <w:p>
            <w:pPr>
              <w:ind w:left="340"/>
              <w:spacing w:after="0" w:line="13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40"/>
              <w:spacing w:after="0" w:line="136"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2,635</w:t>
            </w:r>
          </w:p>
        </w:tc>
        <w:tc>
          <w:tcPr>
            <w:tcW w:w="1120" w:type="dxa"/>
            <w:vAlign w:val="bottom"/>
            <w:gridSpan w:val="2"/>
            <w:shd w:val="clear" w:color="auto" w:fill="CCEEFF"/>
          </w:tcPr>
          <w:p>
            <w:pPr>
              <w:ind w:left="820"/>
              <w:spacing w:after="0" w:line="136"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00"/>
              <w:spacing w:after="0" w:line="136"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1,255</w:t>
            </w:r>
          </w:p>
        </w:tc>
        <w:tc>
          <w:tcPr>
            <w:tcW w:w="7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194,146</w:t>
            </w:r>
          </w:p>
        </w:tc>
      </w:tr>
      <w:tr>
        <w:trPr>
          <w:trHeight w:val="153"/>
        </w:trPr>
        <w:tc>
          <w:tcPr>
            <w:tcW w:w="1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Officer</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31"/>
        </w:trPr>
        <w:tc>
          <w:tcPr>
            <w:tcW w:w="1260" w:type="dxa"/>
            <w:vAlign w:val="bottom"/>
          </w:tcPr>
          <w:p>
            <w:pPr>
              <w:spacing w:after="0" w:line="131" w:lineRule="exact"/>
              <w:rPr>
                <w:sz w:val="20"/>
                <w:szCs w:val="20"/>
                <w:color w:val="auto"/>
              </w:rPr>
            </w:pPr>
            <w:r>
              <w:rPr>
                <w:rFonts w:ascii="Arial" w:cs="Arial" w:eastAsia="Arial" w:hAnsi="Arial"/>
                <w:sz w:val="13"/>
                <w:szCs w:val="13"/>
                <w:b w:val="1"/>
                <w:bCs w:val="1"/>
                <w:color w:val="auto"/>
              </w:rPr>
              <w:t>Hung-Lun (Fred)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8"/>
        </w:trPr>
        <w:tc>
          <w:tcPr>
            <w:tcW w:w="1380" w:type="dxa"/>
            <w:vAlign w:val="bottom"/>
            <w:gridSpan w:val="2"/>
          </w:tcPr>
          <w:p>
            <w:pPr>
              <w:ind w:left="120"/>
              <w:spacing w:after="0" w:line="148" w:lineRule="exact"/>
              <w:rPr>
                <w:sz w:val="20"/>
                <w:szCs w:val="20"/>
                <w:color w:val="auto"/>
              </w:rPr>
            </w:pPr>
            <w:r>
              <w:rPr>
                <w:rFonts w:ascii="Arial" w:cs="Arial" w:eastAsia="Arial" w:hAnsi="Arial"/>
                <w:sz w:val="13"/>
                <w:szCs w:val="13"/>
                <w:b w:val="1"/>
                <w:bCs w:val="1"/>
                <w:color w:val="auto"/>
              </w:rPr>
              <w:t>Chang</w:t>
            </w:r>
          </w:p>
        </w:tc>
        <w:tc>
          <w:tcPr>
            <w:tcW w:w="540" w:type="dxa"/>
            <w:vAlign w:val="bottom"/>
            <w:gridSpan w:val="3"/>
          </w:tcPr>
          <w:p>
            <w:pPr>
              <w:jc w:val="right"/>
              <w:ind w:right="140"/>
              <w:spacing w:after="0" w:line="148" w:lineRule="exact"/>
              <w:rPr>
                <w:sz w:val="20"/>
                <w:szCs w:val="20"/>
                <w:color w:val="auto"/>
              </w:rPr>
            </w:pPr>
            <w:r>
              <w:rPr>
                <w:rFonts w:ascii="Arial" w:cs="Arial" w:eastAsia="Arial" w:hAnsi="Arial"/>
                <w:sz w:val="13"/>
                <w:szCs w:val="13"/>
                <w:color w:val="auto"/>
              </w:rPr>
              <w:t>2012</w:t>
            </w:r>
          </w:p>
        </w:tc>
        <w:tc>
          <w:tcPr>
            <w:tcW w:w="8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177,285</w:t>
            </w:r>
          </w:p>
        </w:tc>
        <w:tc>
          <w:tcPr>
            <w:tcW w:w="620" w:type="dxa"/>
            <w:vAlign w:val="bottom"/>
            <w:gridSpan w:val="2"/>
          </w:tcPr>
          <w:p>
            <w:pPr>
              <w:ind w:left="340"/>
              <w:spacing w:after="0" w:line="148" w:lineRule="exact"/>
              <w:rPr>
                <w:sz w:val="20"/>
                <w:szCs w:val="20"/>
                <w:color w:val="auto"/>
              </w:rPr>
            </w:pPr>
            <w:r>
              <w:rPr>
                <w:rFonts w:ascii="Arial" w:cs="Arial" w:eastAsia="Arial" w:hAnsi="Arial"/>
                <w:sz w:val="13"/>
                <w:szCs w:val="13"/>
                <w:color w:val="auto"/>
              </w:rPr>
              <w:t>—</w:t>
            </w:r>
          </w:p>
        </w:tc>
        <w:tc>
          <w:tcPr>
            <w:tcW w:w="740" w:type="dxa"/>
            <w:vAlign w:val="bottom"/>
            <w:gridSpan w:val="2"/>
          </w:tcPr>
          <w:p>
            <w:pPr>
              <w:ind w:left="44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15,112</w:t>
            </w:r>
          </w:p>
        </w:tc>
        <w:tc>
          <w:tcPr>
            <w:tcW w:w="1120" w:type="dxa"/>
            <w:vAlign w:val="bottom"/>
            <w:gridSpan w:val="2"/>
          </w:tcPr>
          <w:p>
            <w:pPr>
              <w:ind w:left="820"/>
              <w:spacing w:after="0" w:line="148"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line="148"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1,540</w:t>
            </w:r>
          </w:p>
        </w:tc>
        <w:tc>
          <w:tcPr>
            <w:tcW w:w="74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193,937</w:t>
            </w:r>
          </w:p>
        </w:tc>
      </w:tr>
      <w:tr>
        <w:trPr>
          <w:trHeight w:val="144"/>
        </w:trPr>
        <w:tc>
          <w:tcPr>
            <w:tcW w:w="1380" w:type="dxa"/>
            <w:vAlign w:val="bottom"/>
            <w:gridSpan w:val="2"/>
          </w:tcPr>
          <w:p>
            <w:pPr>
              <w:ind w:left="120"/>
              <w:spacing w:after="0" w:line="144" w:lineRule="exact"/>
              <w:rPr>
                <w:sz w:val="20"/>
                <w:szCs w:val="20"/>
                <w:color w:val="auto"/>
              </w:rPr>
            </w:pPr>
            <w:r>
              <w:rPr>
                <w:rFonts w:ascii="Arial" w:cs="Arial" w:eastAsia="Arial" w:hAnsi="Arial"/>
                <w:sz w:val="13"/>
                <w:szCs w:val="13"/>
                <w:color w:val="auto"/>
                <w:w w:val="99"/>
              </w:rPr>
              <w:t>Senior Vice President</w:t>
            </w:r>
          </w:p>
        </w:tc>
        <w:tc>
          <w:tcPr>
            <w:tcW w:w="540" w:type="dxa"/>
            <w:vAlign w:val="bottom"/>
            <w:gridSpan w:val="3"/>
          </w:tcPr>
          <w:p>
            <w:pPr>
              <w:jc w:val="right"/>
              <w:ind w:right="140"/>
              <w:spacing w:after="0" w:line="144" w:lineRule="exact"/>
              <w:rPr>
                <w:sz w:val="20"/>
                <w:szCs w:val="20"/>
                <w:color w:val="auto"/>
              </w:rPr>
            </w:pPr>
            <w:r>
              <w:rPr>
                <w:rFonts w:ascii="Arial" w:cs="Arial" w:eastAsia="Arial" w:hAnsi="Arial"/>
                <w:sz w:val="13"/>
                <w:szCs w:val="13"/>
                <w:color w:val="auto"/>
              </w:rPr>
              <w:t>2011</w:t>
            </w:r>
          </w:p>
        </w:tc>
        <w:tc>
          <w:tcPr>
            <w:tcW w:w="8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172,033</w:t>
            </w:r>
          </w:p>
        </w:tc>
        <w:tc>
          <w:tcPr>
            <w:tcW w:w="620" w:type="dxa"/>
            <w:vAlign w:val="bottom"/>
            <w:gridSpan w:val="2"/>
          </w:tcPr>
          <w:p>
            <w:pPr>
              <w:ind w:left="34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ind w:left="440"/>
              <w:spacing w:after="0" w:line="144"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1,844</w:t>
            </w:r>
          </w:p>
        </w:tc>
        <w:tc>
          <w:tcPr>
            <w:tcW w:w="1120" w:type="dxa"/>
            <w:vAlign w:val="bottom"/>
            <w:gridSpan w:val="2"/>
          </w:tcPr>
          <w:p>
            <w:pPr>
              <w:ind w:left="820"/>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line="144"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1,255</w:t>
            </w:r>
          </w:p>
        </w:tc>
        <w:tc>
          <w:tcPr>
            <w:tcW w:w="7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175,132</w:t>
            </w:r>
          </w:p>
        </w:tc>
      </w:tr>
      <w:tr>
        <w:trPr>
          <w:trHeight w:val="144"/>
        </w:trPr>
        <w:tc>
          <w:tcPr>
            <w:tcW w:w="138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of</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38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Optical Module</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5"/>
        </w:trPr>
        <w:tc>
          <w:tcPr>
            <w:tcW w:w="1380" w:type="dxa"/>
            <w:vAlign w:val="bottom"/>
            <w:gridSpan w:val="2"/>
          </w:tcPr>
          <w:p>
            <w:pPr>
              <w:ind w:left="120"/>
              <w:spacing w:after="0"/>
              <w:rPr>
                <w:sz w:val="20"/>
                <w:szCs w:val="20"/>
                <w:color w:val="auto"/>
              </w:rPr>
            </w:pPr>
            <w:r>
              <w:rPr>
                <w:rFonts w:ascii="Arial" w:cs="Arial" w:eastAsia="Arial" w:hAnsi="Arial"/>
                <w:sz w:val="13"/>
                <w:szCs w:val="13"/>
                <w:color w:val="auto"/>
              </w:rPr>
              <w:t>Division</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93"/>
        </w:trPr>
        <w:tc>
          <w:tcPr>
            <w:tcW w:w="1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88" w:lineRule="exact"/>
        <w:rPr>
          <w:sz w:val="20"/>
          <w:szCs w:val="20"/>
          <w:color w:val="auto"/>
        </w:rPr>
      </w:pPr>
    </w:p>
    <w:p>
      <w:pPr>
        <w:ind w:left="1680" w:hanging="533"/>
        <w:spacing w:after="0"/>
        <w:tabs>
          <w:tab w:leader="none" w:pos="16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Includes amounts earned but deferred at the election of the named executive officers, such as salary deferrals under our 401(k) Plan established under Section 401(k) of the Code.</w:t>
      </w:r>
    </w:p>
    <w:p>
      <w:pPr>
        <w:spacing w:after="0" w:line="137" w:lineRule="exact"/>
        <w:rPr>
          <w:rFonts w:ascii="Arial" w:cs="Arial" w:eastAsia="Arial" w:hAnsi="Arial"/>
          <w:sz w:val="12"/>
          <w:szCs w:val="12"/>
          <w:color w:val="auto"/>
        </w:rPr>
      </w:pPr>
    </w:p>
    <w:p>
      <w:pPr>
        <w:ind w:left="1680" w:right="120" w:hanging="533"/>
        <w:spacing w:after="0" w:line="274" w:lineRule="auto"/>
        <w:tabs>
          <w:tab w:leader="none" w:pos="16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Represents the aggregate grant date fair value computed in accordance with FASB ASC Topic 718. The assumptions used in calculating the grant date fair value of the stock options reported in the Option Awards column are set forth in Note M to the consolidated financial statements included in this prospectus. The amounts reported in this column reflect the accounting cost for these stock options and do not correspond to the actual economic value that may be received by the named executive officers for the stock options.</w:t>
      </w:r>
    </w:p>
    <w:p>
      <w:pPr>
        <w:spacing w:after="0" w:line="91" w:lineRule="exact"/>
        <w:rPr>
          <w:rFonts w:ascii="Arial" w:cs="Arial" w:eastAsia="Arial" w:hAnsi="Arial"/>
          <w:sz w:val="12"/>
          <w:szCs w:val="12"/>
          <w:color w:val="auto"/>
        </w:rPr>
      </w:pPr>
    </w:p>
    <w:p>
      <w:pPr>
        <w:ind w:left="1680" w:hanging="533"/>
        <w:spacing w:after="0"/>
        <w:tabs>
          <w:tab w:leader="none" w:pos="16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Includes life insurance premiums paid by us for the benefit of the named executive officers.</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Mr. Dunn joined us on December 12, 2012 as Chief Financial Officer. His base annualized salary for 2012 was $192,000.</w:t>
      </w: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28" w:lineRule="exact"/>
        <w:rPr>
          <w:sz w:val="20"/>
          <w:szCs w:val="20"/>
          <w:color w:val="auto"/>
        </w:rPr>
      </w:pPr>
    </w:p>
    <w:p>
      <w:pPr>
        <w:ind w:right="340" w:firstLine="338"/>
        <w:spacing w:after="0" w:line="282" w:lineRule="auto"/>
        <w:rPr>
          <w:sz w:val="20"/>
          <w:szCs w:val="20"/>
          <w:color w:val="auto"/>
        </w:rPr>
      </w:pPr>
      <w:r>
        <w:rPr>
          <w:rFonts w:ascii="Arial" w:cs="Arial" w:eastAsia="Arial" w:hAnsi="Arial"/>
          <w:sz w:val="17"/>
          <w:szCs w:val="17"/>
          <w:color w:val="auto"/>
        </w:rPr>
        <w:t>The following table sets forth certain information regarding outstanding equity awards at fiscal year-end for our named executive officers for the year ended December 31, 2012.</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jc w:val="center"/>
              <w:ind w:left="417"/>
              <w:spacing w:after="0"/>
              <w:rPr>
                <w:sz w:val="20"/>
                <w:szCs w:val="20"/>
                <w:color w:val="auto"/>
              </w:rPr>
            </w:pPr>
            <w:r>
              <w:rPr>
                <w:rFonts w:ascii="Arial" w:cs="Arial" w:eastAsia="Arial" w:hAnsi="Arial"/>
                <w:sz w:val="13"/>
                <w:szCs w:val="13"/>
                <w:b w:val="1"/>
                <w:bCs w:val="1"/>
                <w:color w:val="auto"/>
                <w:w w:val="91"/>
              </w:rPr>
              <w:t>Number of Shares</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Option</w:t>
            </w: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3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gridSpan w:val="2"/>
            <w:vMerge w:val="restart"/>
          </w:tcPr>
          <w:p>
            <w:pPr>
              <w:jc w:val="center"/>
              <w:ind w:right="214"/>
              <w:spacing w:after="0" w:line="144" w:lineRule="exact"/>
              <w:rPr>
                <w:sz w:val="20"/>
                <w:szCs w:val="20"/>
                <w:color w:val="auto"/>
              </w:rPr>
            </w:pPr>
            <w:r>
              <w:rPr>
                <w:rFonts w:ascii="Arial" w:cs="Arial" w:eastAsia="Arial" w:hAnsi="Arial"/>
                <w:sz w:val="13"/>
                <w:szCs w:val="13"/>
                <w:b w:val="1"/>
                <w:bCs w:val="1"/>
                <w:color w:val="auto"/>
                <w:w w:val="91"/>
              </w:rPr>
              <w:t>Underlying</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3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restart"/>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Exercise</w:t>
            </w:r>
          </w:p>
        </w:tc>
        <w:tc>
          <w:tcPr>
            <w:tcW w:w="1760" w:type="dxa"/>
            <w:vAlign w:val="bottom"/>
            <w:gridSpan w:val="2"/>
            <w:vMerge w:val="restart"/>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92"/>
        </w:trPr>
        <w:tc>
          <w:tcPr>
            <w:tcW w:w="3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60" w:type="dxa"/>
            <w:vAlign w:val="bottom"/>
            <w:gridSpan w:val="4"/>
            <w:vMerge w:val="restart"/>
          </w:tcPr>
          <w:p>
            <w:pPr>
              <w:jc w:val="center"/>
              <w:ind w:left="437"/>
              <w:spacing w:after="0"/>
              <w:rPr>
                <w:sz w:val="20"/>
                <w:szCs w:val="20"/>
                <w:color w:val="auto"/>
              </w:rPr>
            </w:pPr>
            <w:r>
              <w:rPr>
                <w:rFonts w:ascii="Arial" w:cs="Arial" w:eastAsia="Arial" w:hAnsi="Arial"/>
                <w:sz w:val="13"/>
                <w:szCs w:val="13"/>
                <w:b w:val="1"/>
                <w:bCs w:val="1"/>
                <w:color w:val="auto"/>
                <w:w w:val="89"/>
              </w:rPr>
              <w:t>Unexercised Options</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3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gridSpan w:val="4"/>
            <w:vMerge w:val="continue"/>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restart"/>
          </w:tcPr>
          <w:p>
            <w:pPr>
              <w:jc w:val="center"/>
              <w:ind w:right="260"/>
              <w:spacing w:after="0" w:line="144" w:lineRule="exact"/>
              <w:rPr>
                <w:sz w:val="20"/>
                <w:szCs w:val="20"/>
                <w:color w:val="auto"/>
              </w:rPr>
            </w:pPr>
            <w:r>
              <w:rPr>
                <w:rFonts w:ascii="Arial" w:cs="Arial" w:eastAsia="Arial" w:hAnsi="Arial"/>
                <w:sz w:val="13"/>
                <w:szCs w:val="13"/>
                <w:b w:val="1"/>
                <w:bCs w:val="1"/>
                <w:color w:val="auto"/>
                <w:w w:val="87"/>
              </w:rPr>
              <w:t>Price</w:t>
            </w:r>
          </w:p>
        </w:tc>
        <w:tc>
          <w:tcPr>
            <w:tcW w:w="1760" w:type="dxa"/>
            <w:vAlign w:val="bottom"/>
            <w:gridSpan w:val="2"/>
            <w:vMerge w:val="restart"/>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Expiration</w:t>
            </w:r>
          </w:p>
        </w:tc>
        <w:tc>
          <w:tcPr>
            <w:tcW w:w="0" w:type="dxa"/>
            <w:vAlign w:val="bottom"/>
          </w:tcPr>
          <w:p>
            <w:pPr>
              <w:spacing w:after="0"/>
              <w:rPr>
                <w:sz w:val="1"/>
                <w:szCs w:val="1"/>
                <w:color w:val="auto"/>
              </w:rPr>
            </w:pPr>
          </w:p>
        </w:tc>
      </w:tr>
      <w:tr>
        <w:trPr>
          <w:trHeight w:val="59"/>
        </w:trPr>
        <w:tc>
          <w:tcPr>
            <w:tcW w:w="3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30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8"/>
              </w:rPr>
              <w:t>Exercisable</w:t>
            </w: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3"/>
                <w:szCs w:val="13"/>
                <w:b w:val="1"/>
                <w:bCs w:val="1"/>
                <w:color w:val="auto"/>
              </w:rPr>
              <w:t>Unexercisable</w:t>
            </w: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Chih-Hsiang (Thompson) Lin</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62,500</w:t>
            </w: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w:t>
            </w:r>
          </w:p>
        </w:tc>
        <w:tc>
          <w:tcPr>
            <w:tcW w:w="4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0.165</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July 31, 2014</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103,125</w:t>
            </w: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0.25</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June 9, 2015</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131,250</w:t>
            </w: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(3)</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October 19, 2019</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(4)</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October 19, 2019</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350,000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(5)</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June 5, 2017</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28,333</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(6)</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August 3, 2017</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(7)</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February 12, 2018</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(8)</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May 29, 2019</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422,500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(9)</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422,500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August 23, 2020</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228,462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293,738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March 4, 2021</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320,000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May 22, 2022</w:t>
            </w:r>
          </w:p>
        </w:tc>
        <w:tc>
          <w:tcPr>
            <w:tcW w:w="0" w:type="dxa"/>
            <w:vAlign w:val="bottom"/>
          </w:tcPr>
          <w:p>
            <w:pPr>
              <w:spacing w:after="0"/>
              <w:rPr>
                <w:sz w:val="1"/>
                <w:szCs w:val="1"/>
                <w:color w:val="auto"/>
              </w:rPr>
            </w:pPr>
          </w:p>
        </w:tc>
      </w:tr>
      <w:tr>
        <w:trPr>
          <w:trHeight w:val="210"/>
        </w:trPr>
        <w:tc>
          <w:tcPr>
            <w:tcW w:w="3420" w:type="dxa"/>
            <w:vAlign w:val="bottom"/>
            <w:gridSpan w:val="3"/>
          </w:tcPr>
          <w:p>
            <w:pPr>
              <w:spacing w:after="0"/>
              <w:rPr>
                <w:sz w:val="20"/>
                <w:szCs w:val="20"/>
                <w:color w:val="auto"/>
              </w:rPr>
            </w:pPr>
            <w:r>
              <w:rPr>
                <w:rFonts w:ascii="Arial" w:cs="Arial" w:eastAsia="Arial" w:hAnsi="Arial"/>
                <w:sz w:val="17"/>
                <w:szCs w:val="17"/>
                <w:color w:val="auto"/>
              </w:rPr>
              <w:t>James L. Dunn, Jr.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Stefan J. Murry</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27,000</w:t>
            </w: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(12)</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0.10</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December 31, 2014</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85,000</w:t>
            </w: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0.15</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July 31, 2014</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41,100</w:t>
            </w: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(13)</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0.15</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December 31, 2014</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(3)</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October 19, 2019</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(5)</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October 19, 2019</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(7)</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February 12, 2018</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115,000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(9)</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115,000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August 23, 2020</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87,499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112,501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March 4, 2021</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130,000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May 22, 2022</w:t>
            </w:r>
          </w:p>
        </w:tc>
        <w:tc>
          <w:tcPr>
            <w:tcW w:w="0" w:type="dxa"/>
            <w:vAlign w:val="bottom"/>
          </w:tcPr>
          <w:p>
            <w:pPr>
              <w:spacing w:after="0"/>
              <w:rPr>
                <w:sz w:val="1"/>
                <w:szCs w:val="1"/>
                <w:color w:val="auto"/>
              </w:rPr>
            </w:pPr>
          </w:p>
        </w:tc>
      </w:tr>
      <w:tr>
        <w:trPr>
          <w:trHeight w:val="201"/>
        </w:trPr>
        <w:tc>
          <w:tcPr>
            <w:tcW w:w="3420" w:type="dxa"/>
            <w:vAlign w:val="bottom"/>
            <w:gridSpan w:val="3"/>
          </w:tcPr>
          <w:p>
            <w:pPr>
              <w:spacing w:after="0"/>
              <w:rPr>
                <w:sz w:val="20"/>
                <w:szCs w:val="20"/>
                <w:color w:val="auto"/>
              </w:rPr>
            </w:pPr>
            <w:r>
              <w:rPr>
                <w:rFonts w:ascii="Arial" w:cs="Arial" w:eastAsia="Arial" w:hAnsi="Arial"/>
                <w:sz w:val="17"/>
                <w:szCs w:val="17"/>
                <w:color w:val="auto"/>
              </w:rPr>
              <w:t>Hung-Lun (Fred) Chang</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22,518</w:t>
            </w:r>
          </w:p>
        </w:tc>
        <w:tc>
          <w:tcPr>
            <w:tcW w:w="20" w:type="dxa"/>
            <w:vAlign w:val="bottom"/>
          </w:tcPr>
          <w:p>
            <w:pPr>
              <w:spacing w:after="0"/>
              <w:rPr>
                <w:sz w:val="17"/>
                <w:szCs w:val="17"/>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auto"/>
              </w:rPr>
              <w:t>(14)</w:t>
            </w:r>
          </w:p>
        </w:tc>
        <w:tc>
          <w:tcPr>
            <w:tcW w:w="4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0.10</w:t>
            </w:r>
          </w:p>
        </w:tc>
        <w:tc>
          <w:tcPr>
            <w:tcW w:w="1760" w:type="dxa"/>
            <w:vAlign w:val="bottom"/>
            <w:gridSpan w:val="2"/>
          </w:tcPr>
          <w:p>
            <w:pPr>
              <w:jc w:val="right"/>
              <w:ind w:right="160"/>
              <w:spacing w:after="0"/>
              <w:rPr>
                <w:sz w:val="20"/>
                <w:szCs w:val="20"/>
                <w:color w:val="auto"/>
              </w:rPr>
            </w:pPr>
            <w:r>
              <w:rPr>
                <w:rFonts w:ascii="Arial" w:cs="Arial" w:eastAsia="Arial" w:hAnsi="Arial"/>
                <w:sz w:val="17"/>
                <w:szCs w:val="17"/>
                <w:color w:val="auto"/>
              </w:rPr>
              <w:t>December 31, 2014</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7"/>
                <w:szCs w:val="17"/>
                <w:color w:val="auto"/>
              </w:rPr>
              <w:t>85,000</w:t>
            </w:r>
          </w:p>
        </w:tc>
        <w:tc>
          <w:tcPr>
            <w:tcW w:w="520" w:type="dxa"/>
            <w:vAlign w:val="bottom"/>
          </w:tcPr>
          <w:p>
            <w:pPr>
              <w:ind w:left="20"/>
              <w:spacing w:after="0"/>
              <w:rPr>
                <w:sz w:val="20"/>
                <w:szCs w:val="20"/>
                <w:color w:val="auto"/>
              </w:rPr>
            </w:pPr>
            <w:r>
              <w:rPr>
                <w:rFonts w:ascii="Arial" w:cs="Arial" w:eastAsia="Arial" w:hAnsi="Arial"/>
                <w:sz w:val="17"/>
                <w:szCs w:val="17"/>
                <w:color w:val="auto"/>
              </w:rPr>
              <w:t>(1)</w:t>
            </w:r>
          </w:p>
        </w:tc>
        <w:tc>
          <w:tcPr>
            <w:tcW w:w="4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0.15</w:t>
            </w:r>
          </w:p>
        </w:tc>
        <w:tc>
          <w:tcPr>
            <w:tcW w:w="1760" w:type="dxa"/>
            <w:vAlign w:val="bottom"/>
            <w:gridSpan w:val="2"/>
          </w:tcPr>
          <w:p>
            <w:pPr>
              <w:jc w:val="right"/>
              <w:ind w:right="160"/>
              <w:spacing w:after="0"/>
              <w:rPr>
                <w:sz w:val="20"/>
                <w:szCs w:val="20"/>
                <w:color w:val="auto"/>
              </w:rPr>
            </w:pPr>
            <w:r>
              <w:rPr>
                <w:rFonts w:ascii="Arial" w:cs="Arial" w:eastAsia="Arial" w:hAnsi="Arial"/>
                <w:sz w:val="17"/>
                <w:szCs w:val="17"/>
                <w:color w:val="auto"/>
              </w:rPr>
              <w:t>July 31, 2014</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7"/>
                <w:szCs w:val="17"/>
                <w:color w:val="auto"/>
              </w:rPr>
              <w:t>12,000</w:t>
            </w:r>
          </w:p>
        </w:tc>
        <w:tc>
          <w:tcPr>
            <w:tcW w:w="520" w:type="dxa"/>
            <w:vAlign w:val="bottom"/>
          </w:tcPr>
          <w:p>
            <w:pPr>
              <w:ind w:left="20"/>
              <w:spacing w:after="0"/>
              <w:rPr>
                <w:sz w:val="20"/>
                <w:szCs w:val="20"/>
                <w:color w:val="auto"/>
              </w:rPr>
            </w:pPr>
            <w:r>
              <w:rPr>
                <w:rFonts w:ascii="Arial" w:cs="Arial" w:eastAsia="Arial" w:hAnsi="Arial"/>
                <w:sz w:val="17"/>
                <w:szCs w:val="17"/>
                <w:color w:val="auto"/>
              </w:rPr>
              <w:t>(15)</w:t>
            </w:r>
          </w:p>
        </w:tc>
        <w:tc>
          <w:tcPr>
            <w:tcW w:w="4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0.25</w:t>
            </w:r>
          </w:p>
        </w:tc>
        <w:tc>
          <w:tcPr>
            <w:tcW w:w="1760" w:type="dxa"/>
            <w:vAlign w:val="bottom"/>
            <w:gridSpan w:val="2"/>
          </w:tcPr>
          <w:p>
            <w:pPr>
              <w:jc w:val="right"/>
              <w:ind w:right="160"/>
              <w:spacing w:after="0"/>
              <w:rPr>
                <w:sz w:val="20"/>
                <w:szCs w:val="20"/>
                <w:color w:val="auto"/>
              </w:rPr>
            </w:pPr>
            <w:r>
              <w:rPr>
                <w:rFonts w:ascii="Arial" w:cs="Arial" w:eastAsia="Arial" w:hAnsi="Arial"/>
                <w:sz w:val="17"/>
                <w:szCs w:val="17"/>
                <w:color w:val="auto"/>
              </w:rPr>
              <w:t>June 9, 2015</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7"/>
                <w:szCs w:val="17"/>
                <w:color w:val="auto"/>
              </w:rPr>
              <w:t>41,000</w:t>
            </w:r>
          </w:p>
        </w:tc>
        <w:tc>
          <w:tcPr>
            <w:tcW w:w="520" w:type="dxa"/>
            <w:vAlign w:val="bottom"/>
          </w:tcPr>
          <w:p>
            <w:pPr>
              <w:ind w:left="20"/>
              <w:spacing w:after="0"/>
              <w:rPr>
                <w:sz w:val="20"/>
                <w:szCs w:val="20"/>
                <w:color w:val="auto"/>
              </w:rPr>
            </w:pPr>
            <w:r>
              <w:rPr>
                <w:rFonts w:ascii="Arial" w:cs="Arial" w:eastAsia="Arial" w:hAnsi="Arial"/>
                <w:sz w:val="17"/>
                <w:szCs w:val="17"/>
                <w:color w:val="auto"/>
              </w:rPr>
              <w:t>(3)</w:t>
            </w:r>
          </w:p>
        </w:tc>
        <w:tc>
          <w:tcPr>
            <w:tcW w:w="4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0.20</w:t>
            </w:r>
          </w:p>
        </w:tc>
        <w:tc>
          <w:tcPr>
            <w:tcW w:w="1760" w:type="dxa"/>
            <w:vAlign w:val="bottom"/>
            <w:gridSpan w:val="2"/>
          </w:tcPr>
          <w:p>
            <w:pPr>
              <w:jc w:val="right"/>
              <w:ind w:right="160"/>
              <w:spacing w:after="0"/>
              <w:rPr>
                <w:sz w:val="20"/>
                <w:szCs w:val="20"/>
                <w:color w:val="auto"/>
              </w:rPr>
            </w:pPr>
            <w:r>
              <w:rPr>
                <w:rFonts w:ascii="Arial" w:cs="Arial" w:eastAsia="Arial" w:hAnsi="Arial"/>
                <w:sz w:val="17"/>
                <w:szCs w:val="17"/>
                <w:color w:val="auto"/>
              </w:rPr>
              <w:t>October 19, 2019</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7"/>
                <w:szCs w:val="17"/>
                <w:color w:val="auto"/>
              </w:rPr>
              <w:t>65,000</w:t>
            </w:r>
          </w:p>
        </w:tc>
        <w:tc>
          <w:tcPr>
            <w:tcW w:w="520" w:type="dxa"/>
            <w:vAlign w:val="bottom"/>
          </w:tcPr>
          <w:p>
            <w:pPr>
              <w:ind w:left="20"/>
              <w:spacing w:after="0"/>
              <w:rPr>
                <w:sz w:val="20"/>
                <w:szCs w:val="20"/>
                <w:color w:val="auto"/>
              </w:rPr>
            </w:pPr>
            <w:r>
              <w:rPr>
                <w:rFonts w:ascii="Arial" w:cs="Arial" w:eastAsia="Arial" w:hAnsi="Arial"/>
                <w:sz w:val="17"/>
                <w:szCs w:val="17"/>
                <w:color w:val="auto"/>
              </w:rPr>
              <w:t>(7)</w:t>
            </w:r>
          </w:p>
        </w:tc>
        <w:tc>
          <w:tcPr>
            <w:tcW w:w="4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0.20</w:t>
            </w:r>
          </w:p>
        </w:tc>
        <w:tc>
          <w:tcPr>
            <w:tcW w:w="1760" w:type="dxa"/>
            <w:vAlign w:val="bottom"/>
            <w:gridSpan w:val="2"/>
          </w:tcPr>
          <w:p>
            <w:pPr>
              <w:jc w:val="right"/>
              <w:ind w:right="160"/>
              <w:spacing w:after="0"/>
              <w:rPr>
                <w:sz w:val="20"/>
                <w:szCs w:val="20"/>
                <w:color w:val="auto"/>
              </w:rPr>
            </w:pPr>
            <w:r>
              <w:rPr>
                <w:rFonts w:ascii="Arial" w:cs="Arial" w:eastAsia="Arial" w:hAnsi="Arial"/>
                <w:sz w:val="17"/>
                <w:szCs w:val="17"/>
                <w:color w:val="auto"/>
              </w:rPr>
              <w:t>October 19, 2019</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7"/>
                <w:szCs w:val="17"/>
                <w:color w:val="auto"/>
              </w:rPr>
              <w:t>60,000</w:t>
            </w:r>
          </w:p>
        </w:tc>
        <w:tc>
          <w:tcPr>
            <w:tcW w:w="520" w:type="dxa"/>
            <w:vAlign w:val="bottom"/>
          </w:tcPr>
          <w:p>
            <w:pPr>
              <w:ind w:left="20"/>
              <w:spacing w:after="0"/>
              <w:rPr>
                <w:sz w:val="20"/>
                <w:szCs w:val="20"/>
                <w:color w:val="auto"/>
              </w:rPr>
            </w:pPr>
            <w:r>
              <w:rPr>
                <w:rFonts w:ascii="Arial" w:cs="Arial" w:eastAsia="Arial" w:hAnsi="Arial"/>
                <w:sz w:val="17"/>
                <w:szCs w:val="17"/>
                <w:color w:val="auto"/>
              </w:rPr>
              <w:t>(5)</w:t>
            </w:r>
          </w:p>
        </w:tc>
        <w:tc>
          <w:tcPr>
            <w:tcW w:w="4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0.20</w:t>
            </w:r>
          </w:p>
        </w:tc>
        <w:tc>
          <w:tcPr>
            <w:tcW w:w="1760" w:type="dxa"/>
            <w:vAlign w:val="bottom"/>
            <w:gridSpan w:val="2"/>
          </w:tcPr>
          <w:p>
            <w:pPr>
              <w:jc w:val="right"/>
              <w:ind w:right="160"/>
              <w:spacing w:after="0"/>
              <w:rPr>
                <w:sz w:val="20"/>
                <w:szCs w:val="20"/>
                <w:color w:val="auto"/>
              </w:rPr>
            </w:pPr>
            <w:r>
              <w:rPr>
                <w:rFonts w:ascii="Arial" w:cs="Arial" w:eastAsia="Arial" w:hAnsi="Arial"/>
                <w:sz w:val="17"/>
                <w:szCs w:val="17"/>
                <w:color w:val="auto"/>
              </w:rPr>
              <w:t>October 19, 2019</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7"/>
                <w:szCs w:val="17"/>
                <w:color w:val="auto"/>
              </w:rPr>
              <w:t>90,000</w:t>
            </w:r>
          </w:p>
        </w:tc>
        <w:tc>
          <w:tcPr>
            <w:tcW w:w="520" w:type="dxa"/>
            <w:vAlign w:val="bottom"/>
          </w:tcPr>
          <w:p>
            <w:pPr>
              <w:ind w:left="20"/>
              <w:spacing w:after="0"/>
              <w:rPr>
                <w:sz w:val="20"/>
                <w:szCs w:val="20"/>
                <w:color w:val="auto"/>
              </w:rPr>
            </w:pPr>
            <w:r>
              <w:rPr>
                <w:rFonts w:ascii="Arial" w:cs="Arial" w:eastAsia="Arial" w:hAnsi="Arial"/>
                <w:sz w:val="17"/>
                <w:szCs w:val="17"/>
                <w:color w:val="auto"/>
              </w:rPr>
              <w:t>(9)</w:t>
            </w:r>
          </w:p>
        </w:tc>
        <w:tc>
          <w:tcPr>
            <w:tcW w:w="4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90,000</w:t>
            </w:r>
          </w:p>
        </w:tc>
        <w:tc>
          <w:tcPr>
            <w:tcW w:w="520" w:type="dxa"/>
            <w:vAlign w:val="bottom"/>
          </w:tcPr>
          <w:p>
            <w:pPr>
              <w:ind w:left="20"/>
              <w:spacing w:after="0"/>
              <w:rPr>
                <w:sz w:val="20"/>
                <w:szCs w:val="20"/>
                <w:color w:val="auto"/>
              </w:rPr>
            </w:pPr>
            <w:r>
              <w:rPr>
                <w:rFonts w:ascii="Arial" w:cs="Arial" w:eastAsia="Arial" w:hAnsi="Arial"/>
                <w:sz w:val="17"/>
                <w:szCs w:val="17"/>
                <w:color w:val="auto"/>
              </w:rPr>
              <w:t>(9)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0.20</w:t>
            </w:r>
          </w:p>
        </w:tc>
        <w:tc>
          <w:tcPr>
            <w:tcW w:w="1760" w:type="dxa"/>
            <w:vAlign w:val="bottom"/>
            <w:gridSpan w:val="2"/>
          </w:tcPr>
          <w:p>
            <w:pPr>
              <w:jc w:val="right"/>
              <w:ind w:right="160"/>
              <w:spacing w:after="0"/>
              <w:rPr>
                <w:sz w:val="20"/>
                <w:szCs w:val="20"/>
                <w:color w:val="auto"/>
              </w:rPr>
            </w:pPr>
            <w:r>
              <w:rPr>
                <w:rFonts w:ascii="Arial" w:cs="Arial" w:eastAsia="Arial" w:hAnsi="Arial"/>
                <w:sz w:val="17"/>
                <w:szCs w:val="17"/>
                <w:color w:val="auto"/>
              </w:rPr>
              <w:t>August 23, 2020</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7"/>
                <w:szCs w:val="17"/>
                <w:color w:val="auto"/>
              </w:rPr>
              <w:t>61,249</w:t>
            </w:r>
          </w:p>
        </w:tc>
        <w:tc>
          <w:tcPr>
            <w:tcW w:w="520" w:type="dxa"/>
            <w:vAlign w:val="bottom"/>
          </w:tcPr>
          <w:p>
            <w:pPr>
              <w:ind w:left="20"/>
              <w:spacing w:after="0"/>
              <w:rPr>
                <w:sz w:val="20"/>
                <w:szCs w:val="20"/>
                <w:color w:val="auto"/>
              </w:rPr>
            </w:pPr>
            <w:r>
              <w:rPr>
                <w:rFonts w:ascii="Arial" w:cs="Arial" w:eastAsia="Arial" w:hAnsi="Arial"/>
                <w:sz w:val="17"/>
                <w:szCs w:val="17"/>
                <w:color w:val="auto"/>
              </w:rPr>
              <w:t>(10)</w:t>
            </w:r>
          </w:p>
        </w:tc>
        <w:tc>
          <w:tcPr>
            <w:tcW w:w="4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78,751</w:t>
            </w:r>
          </w:p>
        </w:tc>
        <w:tc>
          <w:tcPr>
            <w:tcW w:w="520" w:type="dxa"/>
            <w:vAlign w:val="bottom"/>
          </w:tcPr>
          <w:p>
            <w:pPr>
              <w:ind w:left="20"/>
              <w:spacing w:after="0"/>
              <w:rPr>
                <w:sz w:val="20"/>
                <w:szCs w:val="20"/>
                <w:color w:val="auto"/>
              </w:rPr>
            </w:pPr>
            <w:r>
              <w:rPr>
                <w:rFonts w:ascii="Arial" w:cs="Arial" w:eastAsia="Arial" w:hAnsi="Arial"/>
                <w:sz w:val="17"/>
                <w:szCs w:val="17"/>
                <w:color w:val="auto"/>
              </w:rPr>
              <w:t>(10)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0.20</w:t>
            </w:r>
          </w:p>
        </w:tc>
        <w:tc>
          <w:tcPr>
            <w:tcW w:w="1760" w:type="dxa"/>
            <w:vAlign w:val="bottom"/>
            <w:gridSpan w:val="2"/>
          </w:tcPr>
          <w:p>
            <w:pPr>
              <w:jc w:val="right"/>
              <w:ind w:right="160"/>
              <w:spacing w:after="0"/>
              <w:rPr>
                <w:sz w:val="20"/>
                <w:szCs w:val="20"/>
                <w:color w:val="auto"/>
              </w:rPr>
            </w:pPr>
            <w:r>
              <w:rPr>
                <w:rFonts w:ascii="Arial" w:cs="Arial" w:eastAsia="Arial" w:hAnsi="Arial"/>
                <w:sz w:val="17"/>
                <w:szCs w:val="17"/>
                <w:color w:val="auto"/>
              </w:rPr>
              <w:t>March 4, 2021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90,000</w:t>
            </w:r>
          </w:p>
        </w:tc>
        <w:tc>
          <w:tcPr>
            <w:tcW w:w="520" w:type="dxa"/>
            <w:vAlign w:val="bottom"/>
          </w:tcPr>
          <w:p>
            <w:pPr>
              <w:ind w:left="20"/>
              <w:spacing w:after="0"/>
              <w:rPr>
                <w:sz w:val="20"/>
                <w:szCs w:val="20"/>
                <w:color w:val="auto"/>
              </w:rPr>
            </w:pPr>
            <w:r>
              <w:rPr>
                <w:rFonts w:ascii="Arial" w:cs="Arial" w:eastAsia="Arial" w:hAnsi="Arial"/>
                <w:sz w:val="17"/>
                <w:szCs w:val="17"/>
                <w:color w:val="auto"/>
              </w:rPr>
              <w:t>(11)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0.20</w:t>
            </w:r>
          </w:p>
        </w:tc>
        <w:tc>
          <w:tcPr>
            <w:tcW w:w="1760" w:type="dxa"/>
            <w:vAlign w:val="bottom"/>
            <w:gridSpan w:val="2"/>
          </w:tcPr>
          <w:p>
            <w:pPr>
              <w:jc w:val="right"/>
              <w:ind w:right="160"/>
              <w:spacing w:after="0"/>
              <w:rPr>
                <w:sz w:val="20"/>
                <w:szCs w:val="20"/>
                <w:color w:val="auto"/>
              </w:rPr>
            </w:pPr>
            <w:r>
              <w:rPr>
                <w:rFonts w:ascii="Arial" w:cs="Arial" w:eastAsia="Arial" w:hAnsi="Arial"/>
                <w:sz w:val="17"/>
                <w:szCs w:val="17"/>
                <w:color w:val="auto"/>
              </w:rPr>
              <w:t>May 22, 2022</w:t>
            </w:r>
          </w:p>
        </w:tc>
        <w:tc>
          <w:tcPr>
            <w:tcW w:w="0" w:type="dxa"/>
            <w:vAlign w:val="bottom"/>
          </w:tcPr>
          <w:p>
            <w:pPr>
              <w:spacing w:after="0"/>
              <w:rPr>
                <w:sz w:val="1"/>
                <w:szCs w:val="1"/>
                <w:color w:val="auto"/>
              </w:rPr>
            </w:pPr>
          </w:p>
        </w:tc>
      </w:tr>
      <w:tr>
        <w:trPr>
          <w:trHeight w:val="107"/>
        </w:trPr>
        <w:tc>
          <w:tcPr>
            <w:tcW w:w="3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right="80" w:hanging="533"/>
        <w:spacing w:after="0" w:line="243" w:lineRule="auto"/>
        <w:tabs>
          <w:tab w:leader="none" w:pos="16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2004 under our 2000 Incentive Share Plan. The stock options vest over a four-year period with respect to one-forty-eighth (1/48) of the shares as of the first day of the calendar month following the vesting start date, subject to continued service through each applicable vesting date.</w:t>
      </w:r>
    </w:p>
    <w:p>
      <w:pPr>
        <w:spacing w:after="0" w:line="109" w:lineRule="exact"/>
        <w:rPr>
          <w:rFonts w:ascii="Arial" w:cs="Arial" w:eastAsia="Arial" w:hAnsi="Arial"/>
          <w:sz w:val="13"/>
          <w:szCs w:val="13"/>
          <w:color w:val="auto"/>
        </w:rPr>
      </w:pPr>
    </w:p>
    <w:p>
      <w:pPr>
        <w:ind w:left="1680" w:hanging="533"/>
        <w:spacing w:after="0" w:line="243" w:lineRule="auto"/>
        <w:tabs>
          <w:tab w:leader="none" w:pos="16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2005 under our 2004 Incentive Share Plan. The stock options vest over a four-year period with respect to one-sixteenth (1/16) of the shares as of each three-month period following the vesting start date, subject to continued service through each applicable vesting date.</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680" w:right="80" w:hanging="533"/>
        <w:spacing w:after="0" w:line="243" w:lineRule="auto"/>
        <w:tabs>
          <w:tab w:leader="none" w:pos="16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2006 under our 2006 Incentive Share Plan. The stock options vest over a four-year period with respect to one-sixteenth (1/16) of the shares as of each three-month period following the vesting start date, subject to continued service through each applicable vesting date.</w:t>
      </w:r>
    </w:p>
    <w:p>
      <w:pPr>
        <w:spacing w:after="0" w:line="109" w:lineRule="exact"/>
        <w:rPr>
          <w:rFonts w:ascii="Arial" w:cs="Arial" w:eastAsia="Arial" w:hAnsi="Arial"/>
          <w:sz w:val="13"/>
          <w:szCs w:val="13"/>
          <w:color w:val="auto"/>
        </w:rPr>
      </w:pPr>
    </w:p>
    <w:p>
      <w:pPr>
        <w:ind w:left="1680" w:right="240" w:hanging="533"/>
        <w:spacing w:after="0" w:line="243" w:lineRule="auto"/>
        <w:tabs>
          <w:tab w:leader="none" w:pos="16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2006 under our 2006 Incentive Share Plan. The stock options vest over a one year period with respect to one-twelfth (1/12) of the shares as of the first day of the calendar month beginning after the vesting start date, subject to continued service through each applicable vesting date.</w:t>
      </w:r>
    </w:p>
    <w:p>
      <w:pPr>
        <w:spacing w:after="0" w:line="109" w:lineRule="exact"/>
        <w:rPr>
          <w:rFonts w:ascii="Arial" w:cs="Arial" w:eastAsia="Arial" w:hAnsi="Arial"/>
          <w:sz w:val="13"/>
          <w:szCs w:val="13"/>
          <w:color w:val="auto"/>
        </w:rPr>
      </w:pPr>
    </w:p>
    <w:p>
      <w:pPr>
        <w:ind w:left="1680" w:hanging="533"/>
        <w:spacing w:after="0" w:line="243" w:lineRule="auto"/>
        <w:tabs>
          <w:tab w:leader="none" w:pos="16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2007 under our 2006 Incentive Share Plan. The stock options vest over a four-year period as follows: 25% of the shares underlying the stock option vest on the first anniversary of the vesting start date with the remainder vesting 25% each twelve month period over the remaining three years, subject to continued service through each applicable vesting date.</w:t>
      </w:r>
    </w:p>
    <w:p>
      <w:pPr>
        <w:spacing w:after="0" w:line="109" w:lineRule="exact"/>
        <w:rPr>
          <w:rFonts w:ascii="Arial" w:cs="Arial" w:eastAsia="Arial" w:hAnsi="Arial"/>
          <w:sz w:val="13"/>
          <w:szCs w:val="13"/>
          <w:color w:val="auto"/>
        </w:rPr>
      </w:pPr>
    </w:p>
    <w:p>
      <w:pPr>
        <w:ind w:left="1680" w:right="160" w:hanging="533"/>
        <w:spacing w:after="0" w:line="243" w:lineRule="auto"/>
        <w:tabs>
          <w:tab w:leader="none" w:pos="16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2007 under our 2006 Incentive Share Plan. The stock options vest over a seventeen month period with respect to one-seventeenth (1/17) of the shares as of the first day of the calendar month beginning after the vesting start date, subject to continued service through each applicable vesting date.</w:t>
      </w:r>
    </w:p>
    <w:p>
      <w:pPr>
        <w:spacing w:after="0" w:line="109" w:lineRule="exact"/>
        <w:rPr>
          <w:rFonts w:ascii="Arial" w:cs="Arial" w:eastAsia="Arial" w:hAnsi="Arial"/>
          <w:sz w:val="13"/>
          <w:szCs w:val="13"/>
          <w:color w:val="auto"/>
        </w:rPr>
      </w:pPr>
    </w:p>
    <w:p>
      <w:pPr>
        <w:ind w:left="1680" w:right="20" w:hanging="533"/>
        <w:spacing w:after="0" w:line="239" w:lineRule="auto"/>
        <w:tabs>
          <w:tab w:leader="none" w:pos="16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2008 under our 2006 Incentive Share Plan. The stock options vest over a four-year period as follows: 25% of the shares underlying the stock option vest on the first anniversary of the vesting start date and the remaining shares shall become exercisable with respect to one-thirty-sixth (1/36) of the remaining shares as of the first day of the calendar month following the first anniversary of the vesting start date, subject to continued service through each applicable vesting date.</w:t>
      </w:r>
    </w:p>
    <w:p>
      <w:pPr>
        <w:spacing w:after="0" w:line="112" w:lineRule="exact"/>
        <w:rPr>
          <w:rFonts w:ascii="Arial" w:cs="Arial" w:eastAsia="Arial" w:hAnsi="Arial"/>
          <w:sz w:val="13"/>
          <w:szCs w:val="13"/>
          <w:color w:val="auto"/>
        </w:rPr>
      </w:pPr>
    </w:p>
    <w:p>
      <w:pPr>
        <w:ind w:left="1680" w:right="240" w:hanging="533"/>
        <w:spacing w:after="0" w:line="243" w:lineRule="auto"/>
        <w:tabs>
          <w:tab w:leader="none" w:pos="16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2009 under our 2006 Incentive Share Plan. The stock options vest over a one year period with respect to one-twelfth (1/12) of the shares as of the first day of the calendar month beginning after the vesting start date, subject to continued service through each applicable vesting date.</w:t>
      </w:r>
    </w:p>
    <w:p>
      <w:pPr>
        <w:spacing w:after="0" w:line="109" w:lineRule="exact"/>
        <w:rPr>
          <w:rFonts w:ascii="Arial" w:cs="Arial" w:eastAsia="Arial" w:hAnsi="Arial"/>
          <w:sz w:val="13"/>
          <w:szCs w:val="13"/>
          <w:color w:val="auto"/>
        </w:rPr>
      </w:pPr>
    </w:p>
    <w:p>
      <w:pPr>
        <w:ind w:left="1680" w:right="60" w:hanging="533"/>
        <w:spacing w:after="0" w:line="243" w:lineRule="auto"/>
        <w:tabs>
          <w:tab w:leader="none" w:pos="16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2010 under our 2006 Incentive Share Plan. The stock options vest over a four-year period as follows: 25% of the shares underlying the stock option vest on the first anniversary of the vesting start date with the remaining shares vesting 12.5% each six months over the remaining three years, subject to continued service through each applicable vesting date.</w:t>
      </w:r>
    </w:p>
    <w:p>
      <w:pPr>
        <w:spacing w:after="0" w:line="109" w:lineRule="exact"/>
        <w:rPr>
          <w:rFonts w:ascii="Arial" w:cs="Arial" w:eastAsia="Arial" w:hAnsi="Arial"/>
          <w:sz w:val="13"/>
          <w:szCs w:val="13"/>
          <w:color w:val="auto"/>
        </w:rPr>
      </w:pPr>
    </w:p>
    <w:p>
      <w:pPr>
        <w:ind w:left="1680" w:right="20" w:hanging="533"/>
        <w:spacing w:after="0" w:line="239" w:lineRule="auto"/>
        <w:tabs>
          <w:tab w:leader="none" w:pos="16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2011 under our 2006 Incentive Share Plan. The stock options vest over a four-year period as follows: 25% of the shares underlying the stock option vest on the first anniversary of the vesting start date and the remaining shares shall become exercisable with respect to one-thirty-sixth (1/36) of the remaining shares as of the first day of the calendar month following the first anniversary of the vesting start date, subject to continued service through each applicable vesting date.</w:t>
      </w:r>
    </w:p>
    <w:p>
      <w:pPr>
        <w:spacing w:after="0" w:line="112" w:lineRule="exact"/>
        <w:rPr>
          <w:rFonts w:ascii="Arial" w:cs="Arial" w:eastAsia="Arial" w:hAnsi="Arial"/>
          <w:sz w:val="13"/>
          <w:szCs w:val="13"/>
          <w:color w:val="auto"/>
        </w:rPr>
      </w:pPr>
    </w:p>
    <w:p>
      <w:pPr>
        <w:ind w:left="1680" w:right="60" w:hanging="533"/>
        <w:spacing w:after="0" w:line="243" w:lineRule="auto"/>
        <w:tabs>
          <w:tab w:leader="none" w:pos="16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2012 under our 2006 Incentive Share Plan. The stock options vest over a four-year period as follows: 25% of the shares underlying the stock option vest on the first anniversary of the vesting start date with the remaining shares vesting 12.5% each six months over the remaining three years, subject to continued service through each applicable vesting date.</w:t>
      </w:r>
    </w:p>
    <w:p>
      <w:pPr>
        <w:spacing w:after="0" w:line="109" w:lineRule="exact"/>
        <w:rPr>
          <w:rFonts w:ascii="Arial" w:cs="Arial" w:eastAsia="Arial" w:hAnsi="Arial"/>
          <w:sz w:val="13"/>
          <w:szCs w:val="13"/>
          <w:color w:val="auto"/>
        </w:rPr>
      </w:pPr>
    </w:p>
    <w:p>
      <w:pPr>
        <w:ind w:left="1680" w:right="80" w:hanging="533"/>
        <w:spacing w:after="0" w:line="243" w:lineRule="auto"/>
        <w:tabs>
          <w:tab w:leader="none" w:pos="16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2001 under our 2000 Incentive Share Plan. The stock options vest over a five-year period with respect to one-twentieth (1/20) of the shares as of the first day of the calendar quarter (three-month period) following the vesting start date, subject to continued service through each applicable vesting date.</w:t>
      </w:r>
    </w:p>
    <w:p>
      <w:pPr>
        <w:spacing w:after="0" w:line="109" w:lineRule="exact"/>
        <w:rPr>
          <w:rFonts w:ascii="Arial" w:cs="Arial" w:eastAsia="Arial" w:hAnsi="Arial"/>
          <w:sz w:val="13"/>
          <w:szCs w:val="13"/>
          <w:color w:val="auto"/>
        </w:rPr>
      </w:pPr>
    </w:p>
    <w:p>
      <w:pPr>
        <w:jc w:val="both"/>
        <w:ind w:left="1680" w:right="160" w:hanging="533"/>
        <w:spacing w:after="0" w:line="309" w:lineRule="auto"/>
        <w:tabs>
          <w:tab w:leader="none" w:pos="1680" w:val="left"/>
        </w:tabs>
        <w:numPr>
          <w:ilvl w:val="0"/>
          <w:numId w:val="65"/>
        </w:numPr>
        <w:rPr>
          <w:rFonts w:ascii="Arial" w:cs="Arial" w:eastAsia="Arial" w:hAnsi="Arial"/>
          <w:sz w:val="11"/>
          <w:szCs w:val="11"/>
          <w:color w:val="auto"/>
        </w:rPr>
      </w:pPr>
      <w:r>
        <w:rPr>
          <w:rFonts w:ascii="Arial" w:cs="Arial" w:eastAsia="Arial" w:hAnsi="Arial"/>
          <w:sz w:val="11"/>
          <w:szCs w:val="11"/>
          <w:color w:val="auto"/>
        </w:rPr>
        <w:t>The amounts reported reflect shares of common stock underlying stock options granted in calendar year 2000 under our 1998 Incentive Share Plan. The stock options vest over a four-year period as follows: 25% of the shares underlying the stock option vest immediately and the remaining shares shall become exercisable with respect to one-thirty-sixth (1/36) of the remaining shares as of the first day of the calendar month following the first anniversary of the vesting start date, subject to continued service through each applicable vesting date.</w:t>
      </w:r>
    </w:p>
    <w:p>
      <w:pPr>
        <w:spacing w:after="0" w:line="75" w:lineRule="exact"/>
        <w:rPr>
          <w:rFonts w:ascii="Arial" w:cs="Arial" w:eastAsia="Arial" w:hAnsi="Arial"/>
          <w:sz w:val="11"/>
          <w:szCs w:val="11"/>
          <w:color w:val="auto"/>
        </w:rPr>
      </w:pPr>
    </w:p>
    <w:p>
      <w:pPr>
        <w:ind w:left="1680" w:right="120" w:hanging="533"/>
        <w:spacing w:after="0" w:line="274" w:lineRule="auto"/>
        <w:tabs>
          <w:tab w:leader="none" w:pos="16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The amounts reported reflect shares of common stock underlying stock options granted in calendar year 2002 under our 2000 Incentive Share Plan. The stock options vest over a four-year period as follows: 25% of the shares underlying the stock option vest on the first anniversary of the vesting start date with the remainder vesting one-sixteenth (1/16) as of the first day of the calendar quarter (three-month period) following the vesting start date, subject to continued service through each applicable vesting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680" w:hanging="533"/>
        <w:spacing w:after="0" w:line="243" w:lineRule="auto"/>
        <w:tabs>
          <w:tab w:leader="none" w:pos="16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2005 under our 2000 Incentive Share Plan. The stock options vest over a four-year period with respect to one-sixteenth (1/16) of the shares as of each three-month period following the vesting start date, subject to continued service through each applicable vesting date.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Agreements with Executive Officers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Change of Control or Separation of Service Agreements with Chief Executive Officer and Other Executive Officers</w:t>
      </w:r>
    </w:p>
    <w:p>
      <w:pPr>
        <w:spacing w:after="0" w:line="224" w:lineRule="exact"/>
        <w:rPr>
          <w:sz w:val="20"/>
          <w:szCs w:val="20"/>
          <w:color w:val="auto"/>
        </w:rPr>
      </w:pPr>
    </w:p>
    <w:p>
      <w:pPr>
        <w:ind w:right="20" w:firstLine="341"/>
        <w:spacing w:after="0" w:line="299" w:lineRule="auto"/>
        <w:rPr>
          <w:sz w:val="20"/>
          <w:szCs w:val="20"/>
          <w:color w:val="auto"/>
        </w:rPr>
      </w:pPr>
      <w:r>
        <w:rPr>
          <w:rFonts w:ascii="Arial" w:cs="Arial" w:eastAsia="Arial" w:hAnsi="Arial"/>
          <w:sz w:val="15"/>
          <w:szCs w:val="15"/>
          <w:color w:val="auto"/>
        </w:rPr>
        <w:t>Each of Mr. Lin, Mr. Murry and Mr. J. Yeh has an agreement regarding change of control or separation of service with our company, which provides that, if our board of directors terminates his employment for any reason other than Cause or if he resigns for Good Reason before the occurrence of a Change in Control, as defined below, he will be entitled to receive (i) a payment equal to one year's base salary plus $15,000, (which may be used for benefit continuation under COBRA or for any other purpose), (ii) a payment equal to his target bonus and (iii) in the case of Mr. Murry, a lump sum equal to Mr. Murry's four most recent commission payments. The severance benefits that may arise as a result of a termination prior to a Change of Control will be paid periodically in installments over the 12 months following his separation from service, subject to certain limitations including his execution of a release agreement. The release agreement would include a reasonable agreement to cooperate for a period of six months following the employment termination date and a mutual non-disparagement clause. In consideration of these benefits, he has agreed to be subject to a non-compete provision for a period of 12 months following his separation from service and would agree to maintain the confidentiality of company information. Mr. Dunn's and Mr. Chang's employment agreement do not provide for the above benefits.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employment agreement generally defines "Cause" as, following written notice to the executive and the executive's failure to cure such occurrence(s):</w:t>
      </w:r>
    </w:p>
    <w:p>
      <w:pPr>
        <w:spacing w:after="0" w:line="32" w:lineRule="exact"/>
        <w:rPr>
          <w:sz w:val="20"/>
          <w:szCs w:val="20"/>
          <w:color w:val="auto"/>
        </w:rPr>
      </w:pPr>
    </w:p>
    <w:p>
      <w:pPr>
        <w:ind w:right="40" w:firstLine="5"/>
        <w:spacing w:after="0" w:line="291" w:lineRule="auto"/>
        <w:tabs>
          <w:tab w:leader="none" w:pos="204" w:val="left"/>
        </w:tabs>
        <w:numPr>
          <w:ilvl w:val="0"/>
          <w:numId w:val="67"/>
        </w:numPr>
        <w:rPr>
          <w:rFonts w:ascii="Arial" w:cs="Arial" w:eastAsia="Arial" w:hAnsi="Arial"/>
          <w:sz w:val="15"/>
          <w:szCs w:val="15"/>
          <w:color w:val="auto"/>
        </w:rPr>
      </w:pPr>
      <w:r>
        <w:rPr>
          <w:rFonts w:ascii="Arial" w:cs="Arial" w:eastAsia="Arial" w:hAnsi="Arial"/>
          <w:sz w:val="15"/>
          <w:szCs w:val="15"/>
          <w:color w:val="auto"/>
        </w:rPr>
        <w:t>conviction or plea of nolo contendre to any felony offense or to a crime of moral turpitude; (ii) commission of willful misconduct or violation of law in connection with the performance of his duties, including (a) misappropriation of funds or property, (b) attempting to secure personally any profit in connection with any transaction entered into on behalf of our company, or (c) making any material misrepresentation to our board of directors, our company or its affiliates; (iii) material violation or failure to comply with our company policy; (iv) material breach of the employment agreement; or (v) the willful and continued failure or neglect to substantially perform his duties with our company. "Good Reason" is defined to include: (i) the executive's assignment to duties inconsistent with his position or title;</w:t>
      </w:r>
    </w:p>
    <w:p>
      <w:pPr>
        <w:spacing w:after="0" w:line="3" w:lineRule="exact"/>
        <w:rPr>
          <w:rFonts w:ascii="Arial" w:cs="Arial" w:eastAsia="Arial" w:hAnsi="Arial"/>
          <w:sz w:val="15"/>
          <w:szCs w:val="15"/>
          <w:color w:val="auto"/>
        </w:rPr>
      </w:pPr>
    </w:p>
    <w:p>
      <w:pPr>
        <w:jc w:val="both"/>
        <w:ind w:right="300" w:firstLine="5"/>
        <w:spacing w:after="0" w:line="291" w:lineRule="auto"/>
        <w:tabs>
          <w:tab w:leader="none" w:pos="251" w:val="left"/>
        </w:tabs>
        <w:numPr>
          <w:ilvl w:val="0"/>
          <w:numId w:val="67"/>
        </w:numPr>
        <w:rPr>
          <w:rFonts w:ascii="Arial" w:cs="Arial" w:eastAsia="Arial" w:hAnsi="Arial"/>
          <w:sz w:val="15"/>
          <w:szCs w:val="15"/>
          <w:color w:val="auto"/>
        </w:rPr>
      </w:pPr>
      <w:r>
        <w:rPr>
          <w:rFonts w:ascii="Arial" w:cs="Arial" w:eastAsia="Arial" w:hAnsi="Arial"/>
          <w:sz w:val="15"/>
          <w:szCs w:val="15"/>
          <w:color w:val="auto"/>
        </w:rPr>
        <w:t>reduction in his base compensation, except as part of an overall cost reduction program that affects all senior executives and does not disproportionately affect executive; (iii) any purported termination of the executive by our company other than for disability or Cause or a voluntary resignation initiated by the executive, except for a voluntary termination for Good Reason; (iv) failure of any successor entity to our company to expressly assume the employment agreement; and</w:t>
      </w:r>
    </w:p>
    <w:p>
      <w:pPr>
        <w:spacing w:after="0" w:line="1" w:lineRule="exact"/>
        <w:rPr>
          <w:rFonts w:ascii="Arial" w:cs="Arial" w:eastAsia="Arial" w:hAnsi="Arial"/>
          <w:sz w:val="15"/>
          <w:szCs w:val="15"/>
          <w:color w:val="auto"/>
        </w:rPr>
      </w:pPr>
    </w:p>
    <w:p>
      <w:pPr>
        <w:ind w:left="240" w:hanging="235"/>
        <w:spacing w:after="0"/>
        <w:tabs>
          <w:tab w:leader="none" w:pos="2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material breach by our company of the agreement.</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97" w:lineRule="auto"/>
        <w:rPr>
          <w:sz w:val="20"/>
          <w:szCs w:val="20"/>
          <w:color w:val="auto"/>
        </w:rPr>
      </w:pPr>
      <w:r>
        <w:rPr>
          <w:rFonts w:ascii="Arial" w:cs="Arial" w:eastAsia="Arial" w:hAnsi="Arial"/>
          <w:sz w:val="15"/>
          <w:szCs w:val="15"/>
          <w:color w:val="auto"/>
        </w:rPr>
        <w:t>Each of Mr. Lin, Mr. Murry, Mr. J. Yeh, Mr. Dunn and Mr. Chang have provisions in their employment agreements that provide if, within one year after a Change of Control or within six months prior to a Change of Control, the executive's employment is terminated by the executive for Good Reason or by our company other than for Cause, the executive will instead be entitled to receive severance benefits consisting of: (i) a lump sum payment equal to one year's base salary plus $10,000 ($15,000 for Mr. Dunn and Mr. Chang) which may be used for benefit continuation under COBRA or for any other purpose; (ii) a lump sum payment equal to his target bonus; and (iii) accelerated vesting of the executive's stock options, with all vested options becoming exercisable for an extended period following termination of employment. The severance benefits that may arise as a result of termination within one year following a Change of Control will be paid on the later of the 60th day after the effective date of the executive's separation from service or six months and one day after executive's separation from service if the executive is, at the time of termination, a "specified employee" as defined under Section 409A of the Internal Revenue Code, as amended. Additionally, Mr. Lin's employment agreement provides him with a tax gross-up payment to make him whole for any excise taxes that he would owe resulting from the application of the 20% excise tax provisions under Section 280G of the Internal Revenue Code of 1986, as amended, that apply when certain "parachute payments" are paid to Mr. Lin as the result of a Change of Control. None of the other employment agreements with our executive officers provide them with any right to a tax gross-up.</w:t>
      </w:r>
    </w:p>
    <w:p>
      <w:pPr>
        <w:spacing w:after="0" w:line="169" w:lineRule="exact"/>
        <w:rPr>
          <w:sz w:val="20"/>
          <w:szCs w:val="20"/>
          <w:color w:val="auto"/>
        </w:rPr>
      </w:pPr>
    </w:p>
    <w:p>
      <w:pPr>
        <w:ind w:right="40" w:firstLine="332"/>
        <w:spacing w:after="0" w:line="293" w:lineRule="auto"/>
        <w:rPr>
          <w:sz w:val="20"/>
          <w:szCs w:val="20"/>
          <w:color w:val="auto"/>
        </w:rPr>
      </w:pPr>
      <w:r>
        <w:rPr>
          <w:rFonts w:ascii="Arial" w:cs="Arial" w:eastAsia="Arial" w:hAnsi="Arial"/>
          <w:sz w:val="15"/>
          <w:szCs w:val="15"/>
          <w:color w:val="auto"/>
        </w:rPr>
        <w:t>A "Change in Control" is deemed to occur if: (i) individuals who constitute the board of directors of our company on the date of the employment agreement (Incumbent Directors) cease to constitute at least a majority of our board of directors; provided, that any individual whose election or nomination for election by the stockholders was approved by a majority of the then Incumbent Directors shall be considered an Incumbent Director, with certain exceptions; or (ii) the stockholders of our company approve (1) any merger, consolidation or recapitalization of our company or any sale of substantially all of its assets where (a) the stockholders of our company prior to the transaction do not, immediately thereafter, own at least 51% of both the equity and voting power of the surviving entity or (b) the Incumbent Directors at the time of the approval of the transaction would not immediately thereafter constitute a majority of the board of directors of the surviving entity, 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 any plan of liquidation or dissolution of our company.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2013 Long-Term Incentive Plan</w:t>
      </w:r>
    </w:p>
    <w:p>
      <w:pPr>
        <w:spacing w:after="0" w:line="224" w:lineRule="exact"/>
        <w:rPr>
          <w:sz w:val="20"/>
          <w:szCs w:val="20"/>
          <w:color w:val="auto"/>
        </w:rPr>
      </w:pPr>
    </w:p>
    <w:p>
      <w:pPr>
        <w:ind w:right="700" w:firstLine="341"/>
        <w:spacing w:after="0" w:line="282" w:lineRule="auto"/>
        <w:rPr>
          <w:sz w:val="20"/>
          <w:szCs w:val="20"/>
          <w:color w:val="auto"/>
        </w:rPr>
      </w:pPr>
      <w:r>
        <w:rPr>
          <w:rFonts w:ascii="Arial" w:cs="Arial" w:eastAsia="Arial" w:hAnsi="Arial"/>
          <w:sz w:val="17"/>
          <w:szCs w:val="17"/>
          <w:color w:val="auto"/>
        </w:rPr>
        <w:t>Our board of directors and stockholders have adopted and approved our 2013 Long-Term Incentive Plan, or the 2013 Plan, which will become effective immediately prior to the closing of this offering. The following is a brief summary of the material terms of our 2013 Plan.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Purpose</w:t>
      </w:r>
    </w:p>
    <w:p>
      <w:pPr>
        <w:spacing w:after="0" w:line="224" w:lineRule="exact"/>
        <w:rPr>
          <w:sz w:val="20"/>
          <w:szCs w:val="20"/>
          <w:color w:val="auto"/>
        </w:rPr>
      </w:pPr>
    </w:p>
    <w:p>
      <w:pPr>
        <w:ind w:right="460" w:firstLine="338"/>
        <w:spacing w:after="0" w:line="282" w:lineRule="auto"/>
        <w:rPr>
          <w:sz w:val="20"/>
          <w:szCs w:val="20"/>
          <w:color w:val="auto"/>
        </w:rPr>
      </w:pPr>
      <w:r>
        <w:rPr>
          <w:rFonts w:ascii="Arial" w:cs="Arial" w:eastAsia="Arial" w:hAnsi="Arial"/>
          <w:sz w:val="17"/>
          <w:szCs w:val="17"/>
          <w:color w:val="auto"/>
        </w:rPr>
        <w:t>The purpose of our 2013 Plan is to attract and retain employees, directors and consultants by providing them with additional incentives, and to promote the success of our company's business.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Administration</w:t>
      </w:r>
    </w:p>
    <w:p>
      <w:pPr>
        <w:spacing w:after="0" w:line="224" w:lineRule="exact"/>
        <w:rPr>
          <w:sz w:val="20"/>
          <w:szCs w:val="20"/>
          <w:color w:val="auto"/>
        </w:rPr>
      </w:pPr>
    </w:p>
    <w:p>
      <w:pPr>
        <w:ind w:right="40" w:firstLine="341"/>
        <w:spacing w:after="0" w:line="278" w:lineRule="auto"/>
        <w:rPr>
          <w:sz w:val="20"/>
          <w:szCs w:val="20"/>
          <w:color w:val="auto"/>
        </w:rPr>
      </w:pPr>
      <w:r>
        <w:rPr>
          <w:rFonts w:ascii="Arial" w:cs="Arial" w:eastAsia="Arial" w:hAnsi="Arial"/>
          <w:sz w:val="16"/>
          <w:szCs w:val="16"/>
          <w:color w:val="auto"/>
        </w:rPr>
        <w:t>Our board of directors or one or more committees appointed by our board of directors will administer the 2013 Plan. For this purpose our board of directors has delegated general administrative authority for the 2013 Plan to the compensation committee. A committee may delegate some or all of its authority with respect to the 2013 Plan to another committee of directors and may delegate certain limited award grant authority to one or more officers of our company. (The appropriate acting body, be it our board of directors, a committee within its delegated authority, or an officer within his or her delegated authority, is referred to in this summary as the "Administrator.") The Administrator determines the number of shares that are subject to awards and the terms and conditions of such awards, including the price (if any) to be paid for the shares or the award. Along with other authority granted to the Administrator under the 2013 Plan, the Administrator may (i) determine fair market value, (ii) select recipients of awards, (iii) determine the number of shares subject to awards, (iv) approve form award agreements, (v) determine the terms and conditions of awards, (vi) reduce the exercise price of outstanding awards without participant consent, (vii) amend outstanding awards, and (viii) allow participants to satisfy withholding tax obligations through a reduction of shares.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Eligibility</w:t>
      </w:r>
    </w:p>
    <w:p>
      <w:pPr>
        <w:spacing w:after="0" w:line="224" w:lineRule="exact"/>
        <w:rPr>
          <w:sz w:val="20"/>
          <w:szCs w:val="20"/>
          <w:color w:val="auto"/>
        </w:rPr>
      </w:pPr>
    </w:p>
    <w:p>
      <w:pPr>
        <w:ind w:right="320" w:firstLine="341"/>
        <w:spacing w:after="0" w:line="282" w:lineRule="auto"/>
        <w:rPr>
          <w:sz w:val="20"/>
          <w:szCs w:val="20"/>
          <w:color w:val="auto"/>
        </w:rPr>
      </w:pPr>
      <w:r>
        <w:rPr>
          <w:rFonts w:ascii="Arial" w:cs="Arial" w:eastAsia="Arial" w:hAnsi="Arial"/>
          <w:sz w:val="17"/>
          <w:szCs w:val="17"/>
          <w:color w:val="auto"/>
        </w:rPr>
        <w:t>Persons eligible to receive awards under the 2013 Plan include our officers, employees, consultants and member of our board of directors. The Administrator determines from time to time the participants to whom awards will be granted.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Authorized shares; limits on awards</w:t>
      </w:r>
    </w:p>
    <w:p>
      <w:pPr>
        <w:spacing w:after="0" w:line="224" w:lineRule="exact"/>
        <w:rPr>
          <w:sz w:val="20"/>
          <w:szCs w:val="20"/>
          <w:color w:val="auto"/>
        </w:rPr>
      </w:pPr>
    </w:p>
    <w:p>
      <w:pPr>
        <w:ind w:right="100" w:firstLine="338"/>
        <w:spacing w:after="0" w:line="261" w:lineRule="auto"/>
        <w:rPr>
          <w:sz w:val="20"/>
          <w:szCs w:val="20"/>
          <w:color w:val="auto"/>
        </w:rPr>
      </w:pPr>
      <w:r>
        <w:rPr>
          <w:rFonts w:ascii="Arial" w:cs="Arial" w:eastAsia="Arial" w:hAnsi="Arial"/>
          <w:sz w:val="17"/>
          <w:szCs w:val="17"/>
          <w:color w:val="auto"/>
        </w:rPr>
        <w:t>The maximum number of common shares that may be issued or transferred pursuant to awards under the 2013 Plan equals 24,000,000, which number includes shares remaining available under our prior plans as described below and shares subject to outstanding awards forfeited back to our prior plans, all of which may be subject to incentive stock option treatment. The maximum aggregate number of common shares that may be issued pursuant to all awards under the 2013 Plan shall increase annually on the first day of each fiscal year following the adoption of the 2013 Plan by the number of common shares equal to the lesser of (i) 10,000,000 shares, (ii) 2% of the total issued and outstanding common shares on the first day of such fiscal year, or (iii) such lesser amount determined by our board of directors. Additionally, the maximum number of shares subject to those options and stock appreciation rights that are granted during any calendar year to any individual under the 2013 Plan is 18,000,000 shares.</w:t>
      </w:r>
    </w:p>
    <w:p>
      <w:pPr>
        <w:spacing w:after="0" w:line="190" w:lineRule="exact"/>
        <w:rPr>
          <w:sz w:val="20"/>
          <w:szCs w:val="20"/>
          <w:color w:val="auto"/>
        </w:rPr>
      </w:pPr>
    </w:p>
    <w:p>
      <w:pPr>
        <w:ind w:firstLine="338"/>
        <w:spacing w:after="0" w:line="279" w:lineRule="auto"/>
        <w:rPr>
          <w:sz w:val="20"/>
          <w:szCs w:val="20"/>
          <w:color w:val="auto"/>
        </w:rPr>
      </w:pPr>
      <w:r>
        <w:rPr>
          <w:rFonts w:ascii="Arial" w:cs="Arial" w:eastAsia="Arial" w:hAnsi="Arial"/>
          <w:sz w:val="16"/>
          <w:szCs w:val="16"/>
          <w:color w:val="auto"/>
        </w:rPr>
        <w:t>To the extent that an award is settled in cash or a form other than shares, the shares that would have been delivered had there been no such cash or other settlement will not be counted against the shares available for issuance under the 2013 Plan. To the extent that shares are delivered pursuant to the exercise of a stock appreciation right or stock option, or to satisfy the tax withholding obligations under an award, then only the shares actually issued shall be counted against the applicable share limits. Shares that are subject to or underlie awards that expire or for any reason are cancelled or terminated, are forfeited, fail to vest, or for any other reason are not paid or delivered under the 2013 Plan will again be available for subsequent awards under the 2013 Plan. Additionally, shares that are exchanged by a participant or withheld by our company as full or partial payment in connection with any award under the 2013 Plan, as well as any shares exchanged by a participant or withheld by our company to satisfy the tax withholding obligations related to any award under the 2013 Plan, will be available for subsequent awards under the 2013 Plan and are not counted against the applicable share limits.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60" w:firstLine="332"/>
        <w:spacing w:after="0" w:line="265" w:lineRule="auto"/>
        <w:rPr>
          <w:sz w:val="20"/>
          <w:szCs w:val="20"/>
          <w:color w:val="auto"/>
        </w:rPr>
      </w:pPr>
      <w:r>
        <w:rPr>
          <w:rFonts w:ascii="Arial" w:cs="Arial" w:eastAsia="Arial" w:hAnsi="Arial"/>
          <w:sz w:val="17"/>
          <w:szCs w:val="17"/>
          <w:color w:val="auto"/>
        </w:rPr>
        <w:t>As is customary in incentive plans of this nature, the number and kind of shares available under the 2013 Plan and the then outstanding stock-based awards, as well as exercise or purchase prices, performance targets under certain performance-based awards and share limits, are subject to adjustment in the event of certain reorganizations, mergers, combinations, consolidations, recapitalizations, dividends, stock splits, a split-up or a spin-off, repurchases or exchange, or other similar events, or extraordinary dividends or distributions of property to the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Incentive awards</w:t>
      </w:r>
    </w:p>
    <w:p>
      <w:pPr>
        <w:spacing w:after="0" w:line="224"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The 2013 Plan authorizes stock options, stock appreciation rights, or SARs, restricted stock, restricted stock units, performance shares and performance units, as well as other awards (described in the 2013 Plan) that are responsive to changing developments in management compensation. The 2013 Plan retains the flexibility to offer competitive incentives and to tailor benefits to specific needs and circumstances. Any award may be paid or settled in cash. An option or SAR will expire, or other award will vest in accordance with the schedule set forth in the applicable award agreement.</w:t>
      </w:r>
    </w:p>
    <w:p>
      <w:pPr>
        <w:spacing w:after="0" w:line="199" w:lineRule="exact"/>
        <w:rPr>
          <w:sz w:val="20"/>
          <w:szCs w:val="20"/>
          <w:color w:val="auto"/>
        </w:rPr>
      </w:pPr>
    </w:p>
    <w:p>
      <w:pPr>
        <w:ind w:left="1060" w:right="120" w:hanging="531"/>
        <w:spacing w:after="0" w:line="283" w:lineRule="auto"/>
        <w:tabs>
          <w:tab w:leader="none" w:pos="1060"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Stock option. </w:t>
      </w:r>
      <w:r>
        <w:rPr>
          <w:rFonts w:ascii="Arial" w:cs="Arial" w:eastAsia="Arial" w:hAnsi="Arial"/>
          <w:sz w:val="16"/>
          <w:szCs w:val="16"/>
          <w:color w:val="auto"/>
        </w:rPr>
        <w:t>A stock option is the right to purchase common shares at a future date at a specified price per share generally equal to, but no less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fair market value of a share on the date of grant. An option may either be an Incentive Stock Option, or ISO, or a nonstatutory stock option, or NSO. ISO benefits are taxed differently from NSOs, as described under "Federal Income Tax Treatment of Awards under the 2013 Plan," below. ISOs also are subject to more restrictive terms and are limited in amount by the Code and the 2013 Plan. Full payment for shares purchased on the exercise of any option must be made at the time of such exercise in a manner approved by the Administrator.</w:t>
      </w:r>
    </w:p>
    <w:p>
      <w:pPr>
        <w:spacing w:after="0" w:line="199" w:lineRule="exact"/>
        <w:rPr>
          <w:rFonts w:ascii="Arial" w:cs="Arial" w:eastAsia="Arial" w:hAnsi="Arial"/>
          <w:sz w:val="16"/>
          <w:szCs w:val="16"/>
          <w:color w:val="auto"/>
        </w:rPr>
      </w:pPr>
    </w:p>
    <w:p>
      <w:pPr>
        <w:ind w:left="1060" w:right="40" w:hanging="531"/>
        <w:spacing w:after="0" w:line="294" w:lineRule="auto"/>
        <w:tabs>
          <w:tab w:leader="none" w:pos="1060"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SAR. </w:t>
      </w:r>
      <w:r>
        <w:rPr>
          <w:rFonts w:ascii="Arial" w:cs="Arial" w:eastAsia="Arial" w:hAnsi="Arial"/>
          <w:sz w:val="16"/>
          <w:szCs w:val="16"/>
          <w:color w:val="auto"/>
        </w:rPr>
        <w:t>A SAR is the right to receive payment of an amount equal to the excess of the fair market value of a common share on the date of exercise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SAR over the base price of the SAR. The base price will be established by the Administrator at the time of grant of the SAR but will not be less than the fair market value of a share on the date of grant. SARs may be granted in connection with other awards or independently.</w:t>
      </w:r>
    </w:p>
    <w:p>
      <w:pPr>
        <w:spacing w:after="0" w:line="175" w:lineRule="exact"/>
        <w:rPr>
          <w:rFonts w:ascii="Arial" w:cs="Arial" w:eastAsia="Arial" w:hAnsi="Arial"/>
          <w:sz w:val="16"/>
          <w:szCs w:val="16"/>
          <w:color w:val="auto"/>
        </w:rPr>
      </w:pPr>
    </w:p>
    <w:p>
      <w:pPr>
        <w:ind w:left="1060" w:hanging="531"/>
        <w:spacing w:after="0" w:line="26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Restricted stock award. </w:t>
      </w:r>
      <w:r>
        <w:rPr>
          <w:rFonts w:ascii="Arial" w:cs="Arial" w:eastAsia="Arial" w:hAnsi="Arial"/>
          <w:sz w:val="17"/>
          <w:szCs w:val="17"/>
          <w:color w:val="auto"/>
        </w:rPr>
        <w:t>A restricted stock award is typically for a fixed number of common shares subject to restrictions. The Administrator specifies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price, if any, the participant must pay for such shares and the restrictions (which may include, for example, continued service and/or performance standards) imposed on such shares. A stock bonus may be granted by the Administrator to any eligible person to reward exceptional or special services, contributions or achievements in the manner and on such terms and conditions (including any restrictions on such shares) as determined from time to time by the Administrator. The number of shares so awarded shall be determined by the Administrator and may be granted independently or in lieu of a cash bonus.</w:t>
      </w:r>
    </w:p>
    <w:p>
      <w:pPr>
        <w:spacing w:after="0" w:line="201" w:lineRule="exact"/>
        <w:rPr>
          <w:rFonts w:ascii="Arial" w:cs="Arial" w:eastAsia="Arial" w:hAnsi="Arial"/>
          <w:sz w:val="17"/>
          <w:szCs w:val="17"/>
          <w:color w:val="auto"/>
        </w:rPr>
      </w:pPr>
    </w:p>
    <w:p>
      <w:pPr>
        <w:ind w:left="1060" w:right="100" w:hanging="531"/>
        <w:spacing w:after="0" w:line="28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Restricted stock unit. </w:t>
      </w:r>
      <w:r>
        <w:rPr>
          <w:rFonts w:ascii="Arial" w:cs="Arial" w:eastAsia="Arial" w:hAnsi="Arial"/>
          <w:sz w:val="17"/>
          <w:szCs w:val="17"/>
          <w:color w:val="auto"/>
        </w:rPr>
        <w:t>A restricted stock unit is similar to a SAR except that it entitles the recipient to receive an amount equal to the fair market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 common share.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line="278" w:lineRule="auto"/>
        <w:tabs>
          <w:tab w:leader="none" w:pos="106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Performance-based award. </w:t>
      </w:r>
      <w:r>
        <w:rPr>
          <w:rFonts w:ascii="Arial" w:cs="Arial" w:eastAsia="Arial" w:hAnsi="Arial"/>
          <w:sz w:val="16"/>
          <w:szCs w:val="16"/>
          <w:color w:val="auto"/>
        </w:rPr>
        <w:t>A performance-based award is designed to satisfy the requirements for deductibility under Section 162(m) of the Code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 to other awards expressly authorized under the 2013 Plan which may also qualify as performance-based) and may be based on the performance of our company and/or one or more of our subsidiaries, divisions, segments, or units. The business criteria from which performance goals will be established are listed in the 2013 Plan under the term "Performance Goals." Performance goals may be adjusted to reflect certain changes, including reorganizations, liquidations and capitalization and accounting changes, to the extent permitted by Section 162(m). Performance-based awards may be stock-based (payable in stock only or in cash or stock) or may be cash-only awards (in either case, subject to the limits described under the heading "Authorized Shares; Limits on Awards" above). Before any performance-based award is paid, the Administrator must certify that the performance goals have been satisfied. The Administrator has discretion to determine the performance goals and restrictions or other limitations of the individual awards and reserves discretion to reduce payments below maximum award limits.</w:t>
      </w:r>
    </w:p>
    <w:p>
      <w:pPr>
        <w:spacing w:after="0" w:line="179" w:lineRule="exact"/>
        <w:rPr>
          <w:sz w:val="20"/>
          <w:szCs w:val="20"/>
          <w:color w:val="auto"/>
        </w:rPr>
      </w:pPr>
    </w:p>
    <w:p>
      <w:pPr>
        <w:ind w:right="260" w:firstLine="338"/>
        <w:spacing w:after="0" w:line="282" w:lineRule="auto"/>
        <w:rPr>
          <w:sz w:val="20"/>
          <w:szCs w:val="20"/>
          <w:color w:val="auto"/>
        </w:rPr>
      </w:pPr>
      <w:r>
        <w:rPr>
          <w:rFonts w:ascii="Arial" w:cs="Arial" w:eastAsia="Arial" w:hAnsi="Arial"/>
          <w:sz w:val="17"/>
          <w:szCs w:val="17"/>
          <w:color w:val="auto"/>
        </w:rPr>
        <w:t>The Administrator may grant stock unit awards and permit deferred payment of awards, and may determine the form and timing of payment, vesting and other terms applicable to stock units or deferrals.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Acceleration of awards; possible early termination of awards</w:t>
      </w:r>
    </w:p>
    <w:p>
      <w:pPr>
        <w:spacing w:after="0" w:line="224" w:lineRule="exact"/>
        <w:rPr>
          <w:sz w:val="20"/>
          <w:szCs w:val="20"/>
          <w:color w:val="auto"/>
        </w:rPr>
      </w:pPr>
    </w:p>
    <w:p>
      <w:pPr>
        <w:jc w:val="both"/>
        <w:ind w:right="200" w:firstLine="341"/>
        <w:spacing w:after="0" w:line="287" w:lineRule="auto"/>
        <w:rPr>
          <w:sz w:val="20"/>
          <w:szCs w:val="20"/>
          <w:color w:val="auto"/>
        </w:rPr>
      </w:pPr>
      <w:r>
        <w:rPr>
          <w:rFonts w:ascii="Arial" w:cs="Arial" w:eastAsia="Arial" w:hAnsi="Arial"/>
          <w:sz w:val="16"/>
          <w:szCs w:val="16"/>
          <w:color w:val="auto"/>
        </w:rPr>
        <w:t>Upon a change in control of our company, outstanding awards under the 2013 Plan will be assumed or substituted on the same terms. However, if the successor corporation does not assume or substitute the outstanding awards, then vesting of these awards will fully accelerate, and in the case of options or stock appreciation rights, will become immediately exercisable. For this purpose a change in control is defined to include certain changes in the majority of our board of directors, the sale of all or substantially all of our company's assets and the consummation of certain mergers or consolidations.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Transfer restrictions</w:t>
      </w:r>
    </w:p>
    <w:p>
      <w:pPr>
        <w:spacing w:after="0" w:line="224"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Subject to certain exceptions, awards under the 2013 Plan are not transferable by the recipient other than by will or the laws of descent and distribution and are generally exercisable, during the recipient's lifetime, only by him or her.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Termination of or changes to the 2013 Plan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Our board of directors may amend or terminate the 2013 Plan at any time and in any manner. Unless required by applicable law or listing agency rule, stockholder</w:t>
      </w:r>
    </w:p>
    <w:p>
      <w:pPr>
        <w:spacing w:after="0" w:line="43" w:lineRule="exact"/>
        <w:rPr>
          <w:sz w:val="20"/>
          <w:szCs w:val="20"/>
          <w:color w:val="auto"/>
        </w:rPr>
      </w:pPr>
    </w:p>
    <w:p>
      <w:pPr>
        <w:ind w:right="280"/>
        <w:spacing w:after="0" w:line="307" w:lineRule="auto"/>
        <w:rPr>
          <w:sz w:val="20"/>
          <w:szCs w:val="20"/>
          <w:color w:val="auto"/>
        </w:rPr>
      </w:pPr>
      <w:r>
        <w:rPr>
          <w:rFonts w:ascii="Arial" w:cs="Arial" w:eastAsia="Arial" w:hAnsi="Arial"/>
          <w:sz w:val="16"/>
          <w:szCs w:val="16"/>
          <w:color w:val="auto"/>
        </w:rPr>
        <w:t>approval for any amendment will not be required. Unless previously terminated by our board of directors, the 2013 Plan will terminate on , 2023. Generally speaking, outstanding awards may be amended, subject, however, to the consent of the holder if the amendment materially and adversely affects the holder.</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Federal income tax treatment of awards under the 2013 Plan</w:t>
      </w:r>
    </w:p>
    <w:p>
      <w:pPr>
        <w:spacing w:after="0" w:line="224" w:lineRule="exact"/>
        <w:rPr>
          <w:sz w:val="20"/>
          <w:szCs w:val="20"/>
          <w:color w:val="auto"/>
        </w:rPr>
      </w:pPr>
    </w:p>
    <w:p>
      <w:pPr>
        <w:ind w:right="280" w:firstLine="341"/>
        <w:spacing w:after="0" w:line="322" w:lineRule="auto"/>
        <w:rPr>
          <w:sz w:val="20"/>
          <w:szCs w:val="20"/>
          <w:color w:val="auto"/>
        </w:rPr>
      </w:pPr>
      <w:r>
        <w:rPr>
          <w:rFonts w:ascii="Arial" w:cs="Arial" w:eastAsia="Arial" w:hAnsi="Arial"/>
          <w:sz w:val="15"/>
          <w:szCs w:val="15"/>
          <w:color w:val="auto"/>
        </w:rPr>
        <w:t>Federal income tax consequences (subject to change) relating to awards under the 2013 Plan are summarized in the following discussion. This summary is not intended to be exhaustive and, among other considerations, does not describe the deferred compensation provisions of Section 409A of the U.S. Internal Revenue Code to the extent an award is subject to and does not satisfy those rules, nor does it describe state, local, or international tax consequences.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60" w:lineRule="auto"/>
        <w:rPr>
          <w:sz w:val="20"/>
          <w:szCs w:val="20"/>
          <w:color w:val="auto"/>
        </w:rPr>
      </w:pPr>
      <w:r>
        <w:rPr>
          <w:rFonts w:ascii="Arial" w:cs="Arial" w:eastAsia="Arial" w:hAnsi="Arial"/>
          <w:sz w:val="17"/>
          <w:szCs w:val="17"/>
          <w:color w:val="auto"/>
        </w:rPr>
        <w:t>For "NSOs," our company is generally entitled to deduct (and the optionee recognizes taxable income in) an amount equal to the difference between the option exercise price and the fair market value of the shares at the time of exercise. For ISOs, our company is generally not entitled to a deduction nor does the participant recognize income at the time of exercise. The current federal income tax consequences of other awards authorized under the 2013 Plan generally follow certain basic patterns: SARs are taxed and deductible in substantially the same manner as NSOs;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bonuses and performance share awards are generally subject to tax at the time of payment; cash-based awards are generally subject to tax at the time of payment; and compensation otherwise effectively deferred is taxed when paid. Our company will generally have a corresponding deduction at the time the participant recognizes income. However, as for those awards subject to ISO treatment, our company would generally have no corresponding compensation deduction.</w:t>
      </w:r>
    </w:p>
    <w:p>
      <w:pPr>
        <w:spacing w:after="0" w:line="192" w:lineRule="exact"/>
        <w:rPr>
          <w:sz w:val="20"/>
          <w:szCs w:val="20"/>
          <w:color w:val="auto"/>
        </w:rPr>
      </w:pPr>
    </w:p>
    <w:p>
      <w:pPr>
        <w:ind w:right="60" w:firstLine="341"/>
        <w:spacing w:after="0" w:line="263" w:lineRule="auto"/>
        <w:rPr>
          <w:sz w:val="20"/>
          <w:szCs w:val="20"/>
          <w:color w:val="auto"/>
        </w:rPr>
      </w:pPr>
      <w:r>
        <w:rPr>
          <w:rFonts w:ascii="Arial" w:cs="Arial" w:eastAsia="Arial" w:hAnsi="Arial"/>
          <w:sz w:val="17"/>
          <w:szCs w:val="17"/>
          <w:color w:val="auto"/>
        </w:rPr>
        <w:t>If an award is accelerated under the 2013 Plan in connection with a change in control (as this term is used under the Code), our company may not be permitted to deduct the portion of the compensation attributable to the acceleration ("parachute payments") if it exceeds certain threshold limits under the Code (and certain related excise taxes may be triggered). Furthermore, the aggregate compensation in excess of $1,000,000 attributable to awards which are not "performance-based" within the meaning of Section 162(m) of the Code, or do not fall within any other applicable exception, may not be permitted to be deducted by our company in certain circumstances.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Various Incentive Share Plans</w:t>
      </w:r>
    </w:p>
    <w:p>
      <w:pPr>
        <w:spacing w:after="0" w:line="224"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Our board of directors previously adopted, and our stockholders previously approved, the 1998 Share Incentive Plan, the 2000 Share Incentive Plan, the 2004 Share Incentive Plan and the 2006 Share Incentive Plan, which are referred to collectively as our Prior Plans. As of July 31, 2013, we had 22,083,499 shares of common stock subject to outstanding stock options under our Prior Plans with a weighted average exercise price of $0.25436. Following this offering and in connection with the effectiveness of our 2013 Plan, no further awards will be granted under the Prior Plans. However, all outstanding awards under the Prior Plans will continue to exist and will continue to be governed by their existing terms. Upon a change in control of our company, as described in each of the Prior Plans, the vesting of stock options and other outstanding awards under the Prior Plans will be accelerated and all unexercised awards will terminate upon the change in control to the extent the acquirer does not assume the outstanding stock options.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Section 401(k) Plan</w:t>
      </w:r>
    </w:p>
    <w:p>
      <w:pPr>
        <w:spacing w:after="0" w:line="224" w:lineRule="exact"/>
        <w:rPr>
          <w:sz w:val="20"/>
          <w:szCs w:val="20"/>
          <w:color w:val="auto"/>
        </w:rPr>
      </w:pPr>
    </w:p>
    <w:p>
      <w:pPr>
        <w:ind w:right="140" w:firstLine="338"/>
        <w:spacing w:after="0" w:line="265" w:lineRule="auto"/>
        <w:rPr>
          <w:sz w:val="20"/>
          <w:szCs w:val="20"/>
          <w:color w:val="auto"/>
        </w:rPr>
      </w:pPr>
      <w:r>
        <w:rPr>
          <w:rFonts w:ascii="Arial" w:cs="Arial" w:eastAsia="Arial" w:hAnsi="Arial"/>
          <w:sz w:val="17"/>
          <w:szCs w:val="17"/>
          <w:color w:val="auto"/>
        </w:rPr>
        <w:t>We maintain a tax-qualified retirement plan that provides eligible employees with an opportunity to save for retirement on a tax-advantaged basis. All participants' interests in their contributions are 100% vested when contributed. Historically, we have not made any matching contributions to the Section 401(k) plan. Pre-tax contributions are allocated to each participant's individual account and are then invested in selected investment alternatives according to the participants' directions. The retirement plan is intended to qualify under Sections 401(a) and 501(a) of the Code.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of Directors and Officers and Limitation of Liability</w:t>
      </w:r>
    </w:p>
    <w:p>
      <w:pPr>
        <w:spacing w:after="0" w:line="228" w:lineRule="exact"/>
        <w:rPr>
          <w:sz w:val="20"/>
          <w:szCs w:val="20"/>
          <w:color w:val="auto"/>
        </w:rPr>
      </w:pPr>
    </w:p>
    <w:p>
      <w:pPr>
        <w:ind w:right="100" w:firstLine="332"/>
        <w:spacing w:after="0" w:line="294" w:lineRule="auto"/>
        <w:rPr>
          <w:sz w:val="20"/>
          <w:szCs w:val="20"/>
          <w:color w:val="auto"/>
        </w:rPr>
      </w:pPr>
      <w:r>
        <w:rPr>
          <w:rFonts w:ascii="Arial" w:cs="Arial" w:eastAsia="Arial" w:hAnsi="Arial"/>
          <w:sz w:val="16"/>
          <w:szCs w:val="16"/>
          <w:color w:val="auto"/>
        </w:rPr>
        <w:t>As permitted by Delaware General Corporation Law, we have adopted provisions in our amended and restated certificate of incorporation and amended and restated bylaws to be in effect immediately prior to the closing of this offering that limit or eliminate the personal liability of our directors. Consequently, a director will not be personally liable to us or our stockholders for monetary damages for breach of fiduciary duty as a director, except for liability for:</w:t>
      </w:r>
    </w:p>
    <w:p>
      <w:pPr>
        <w:spacing w:after="0" w:line="176" w:lineRule="exact"/>
        <w:rPr>
          <w:sz w:val="20"/>
          <w:szCs w:val="20"/>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unlawful payments related to dividends or unlawful stock repurchases, redemptions or other distributions;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24" w:lineRule="exact"/>
        <w:rPr>
          <w:sz w:val="20"/>
          <w:szCs w:val="20"/>
          <w:color w:val="auto"/>
        </w:rPr>
      </w:pPr>
    </w:p>
    <w:p>
      <w:pPr>
        <w:ind w:right="260" w:firstLine="338"/>
        <w:spacing w:after="0" w:line="315" w:lineRule="auto"/>
        <w:rPr>
          <w:sz w:val="20"/>
          <w:szCs w:val="20"/>
          <w:color w:val="auto"/>
        </w:rPr>
      </w:pPr>
      <w:r>
        <w:rPr>
          <w:rFonts w:ascii="Arial" w:cs="Arial" w:eastAsia="Arial" w:hAnsi="Arial"/>
          <w:sz w:val="16"/>
          <w:szCs w:val="16"/>
          <w:color w:val="auto"/>
        </w:rPr>
        <w:t>These limitations of liability do not alter director liability under the federal securities laws and do not affect the availability of equitable remedies such as an injunction or rescission. In addition, our amended and restated bylaws to be in effect immediately prior to the closing of this offering provide that:</w:t>
      </w:r>
    </w:p>
    <w:p>
      <w:pPr>
        <w:spacing w:after="0" w:line="173" w:lineRule="exact"/>
        <w:rPr>
          <w:sz w:val="20"/>
          <w:szCs w:val="20"/>
          <w:color w:val="auto"/>
        </w:rPr>
      </w:pPr>
    </w:p>
    <w:p>
      <w:pPr>
        <w:jc w:val="both"/>
        <w:ind w:left="1060" w:right="180" w:hanging="531"/>
        <w:spacing w:after="0" w:line="270"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w:t>
      </w:r>
    </w:p>
    <w:p>
      <w:pPr>
        <w:spacing w:after="0" w:line="192" w:lineRule="exact"/>
        <w:rPr>
          <w:rFonts w:ascii="Arial" w:cs="Arial" w:eastAsia="Arial" w:hAnsi="Arial"/>
          <w:sz w:val="17"/>
          <w:szCs w:val="17"/>
          <w:color w:val="auto"/>
        </w:rPr>
      </w:pPr>
    </w:p>
    <w:p>
      <w:pPr>
        <w:ind w:left="1060" w:hanging="531"/>
        <w:spacing w:after="0" w:line="270"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and</w:t>
      </w:r>
    </w:p>
    <w:p>
      <w:pPr>
        <w:spacing w:after="0" w:line="192" w:lineRule="exact"/>
        <w:rPr>
          <w:rFonts w:ascii="Arial" w:cs="Arial" w:eastAsia="Arial" w:hAnsi="Arial"/>
          <w:sz w:val="17"/>
          <w:szCs w:val="17"/>
          <w:color w:val="auto"/>
        </w:rPr>
      </w:pPr>
    </w:p>
    <w:p>
      <w:pPr>
        <w:ind w:left="1060" w:right="100" w:hanging="531"/>
        <w:spacing w:after="0" w:line="282"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we must advance expenses incurred by or on behalf of a director or officer in advance of the final disposition of any action or proceeding, subject to very limited exceptions.</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228" w:lineRule="exact"/>
        <w:rPr>
          <w:sz w:val="20"/>
          <w:szCs w:val="20"/>
          <w:color w:val="auto"/>
        </w:rPr>
      </w:pPr>
    </w:p>
    <w:p>
      <w:pPr>
        <w:ind w:right="20" w:firstLine="338"/>
        <w:spacing w:after="0" w:line="262" w:lineRule="auto"/>
        <w:rPr>
          <w:sz w:val="20"/>
          <w:szCs w:val="20"/>
          <w:color w:val="auto"/>
        </w:rPr>
      </w:pPr>
      <w:r>
        <w:rPr>
          <w:rFonts w:ascii="Arial" w:cs="Arial" w:eastAsia="Arial" w:hAnsi="Arial"/>
          <w:sz w:val="17"/>
          <w:szCs w:val="17"/>
          <w:color w:val="auto"/>
        </w:rPr>
        <w:t>We have entered into agreements that indemnify each of our directors and certain of our executive officers, in addition to the indemnification provided for in our amended and restated certificate of incorporation and amended and restated bylaws that will be in effect immediately prior to the closing of this offering. These agreements, among other things, provide for indemnification for judgments, fines, settlement amounts and expenses, including attorneys' fees incurred by the director or executive officer in any action or proceeding, including any action by or in our right, arising out of the person's services as a director or executive officer, or any other company or enterprise to which the person provides services at our request. We believe that these provisions and agreements are necessary to attract and retain qualified persons as directors and executive officers.</w:t>
      </w:r>
    </w:p>
    <w:p>
      <w:pPr>
        <w:spacing w:after="0" w:line="188"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limitations on liability and indemnification provisions in our amended and restated certificate of incorporation and amended and restated bylaws upon our completion of this offering may discourage stockholders from bringing a lawsuit against our directors for breach of their fiduciary duty and may reduce the likelihood of derivative litigation against our directors and officers, even though a derivative action, if successful, might otherwise benefit us and our stockholders. A stockholder's investment in us may be adversely affected to the extent we pay the costs of settlement or damage awards against our directors and officers under these indemnification provisions.</w:t>
      </w:r>
    </w:p>
    <w:p>
      <w:pPr>
        <w:spacing w:after="0" w:line="187" w:lineRule="exact"/>
        <w:rPr>
          <w:sz w:val="20"/>
          <w:szCs w:val="20"/>
          <w:color w:val="auto"/>
        </w:rPr>
      </w:pPr>
    </w:p>
    <w:p>
      <w:pPr>
        <w:ind w:right="300" w:firstLine="332"/>
        <w:spacing w:after="0" w:line="282" w:lineRule="auto"/>
        <w:rPr>
          <w:sz w:val="20"/>
          <w:szCs w:val="20"/>
          <w:color w:val="auto"/>
        </w:rPr>
      </w:pPr>
      <w:r>
        <w:rPr>
          <w:rFonts w:ascii="Arial" w:cs="Arial" w:eastAsia="Arial" w:hAnsi="Arial"/>
          <w:sz w:val="17"/>
          <w:szCs w:val="17"/>
          <w:color w:val="auto"/>
        </w:rPr>
        <w:t>At present, there is no pending litigation or proceeding involving any of our directors or officers in which indemnification is sought, nor are we aware of any threatened litigation that may result in claims for indemnification.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8" w:lineRule="exact"/>
        <w:rPr>
          <w:sz w:val="20"/>
          <w:szCs w:val="20"/>
          <w:color w:val="auto"/>
        </w:rPr>
      </w:pPr>
    </w:p>
    <w:p>
      <w:pPr>
        <w:ind w:right="80" w:firstLine="341"/>
        <w:spacing w:after="0" w:line="283" w:lineRule="auto"/>
        <w:rPr>
          <w:sz w:val="20"/>
          <w:szCs w:val="20"/>
          <w:color w:val="auto"/>
        </w:rPr>
      </w:pPr>
      <w:r>
        <w:rPr>
          <w:rFonts w:ascii="Arial" w:cs="Arial" w:eastAsia="Arial" w:hAnsi="Arial"/>
          <w:sz w:val="16"/>
          <w:szCs w:val="16"/>
          <w:color w:val="auto"/>
        </w:rPr>
        <w:t>Other than compensation agreements and other arrangements which are described as required under "Management" and the transactions described below, since January 1, 2010, there has not been, and there is not currently proposed, any transaction or series of similar transactions to which we were or will be a party in which the amount involved exceeded or will exceed $120,000 and in which any director, executive officer, holder of five percent or more of any class of our capital stock, or any member of their immediate family had or will have a direct or indirect material interest. Our audit committee will be responsible for approving all future transactions between us and our officers, directors and principal stockholders and their affiliates.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from Stockholders</w:t>
      </w:r>
    </w:p>
    <w:p>
      <w:pPr>
        <w:spacing w:after="0" w:line="228"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On February 3, 2010, we entered into a promissory note with Lina Yeh in the principal amount of $200,000 at an interest rate of 6%. Lina Yeh is the wife of William Yeh, a member of our board of directors. The principal balance of $200,000 was converted to acquire 571,427 shares of Series G preferred stock in August 2012 at a price of $0.35 per share, and the remaining interest amount of $7,715 under the promissory note was paid off in September 2012. In connection with the promissory note, Ms. Yeh was also issued warrants to acquire 96,000 shares of Series F preferred stock at a price of $0.25 per share, and 23,555 shares of Series G preferred stock at a price of $0.60 per share. The warrants expire upon the closing of this offering. The warrant to acquire 96,000 shares of Series F preferred stock was exercised by Ms. Yeh on May 13, 2013.</w:t>
      </w:r>
    </w:p>
    <w:p>
      <w:pPr>
        <w:spacing w:after="0" w:line="188"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On February 8, 2010, we entered into (i) a promissory note with Techgains Global Corporation in the aggregate principal amount of $150,000 at an interest rate of 6% and (ii) a promissory note with Techgains Pan Pacific Corporation in the aggregate principal amount of $150,000 at an interest rate of 6%. Juen-Sheng (Andrew) Kang, the Chairman of our board of directors, is a shareholder and a member of the board of directors of both Techgains Global Corporation and Techgains Pan Pacific Corporation. The remaining principal balance and the remaining interest of $319,159 under the two promissory notes was converted to acquire 911,882 shares of Series G preferred stock in September 2012 at a price of $0.35 per share. In connection with the promissory notes, Techgains Global Corporation and Techgains Pan Pacific Corporation each received warrants to acquire (i) 72,000 shares of Series F preferred stock at a price of $0.25 per share and (ii) 26,666 shares of Series G preferred stock at a price of $0.60. The warrants expire upon the closing of this offering.</w:t>
      </w:r>
    </w:p>
    <w:p>
      <w:pPr>
        <w:spacing w:after="0" w:line="175" w:lineRule="exact"/>
        <w:rPr>
          <w:sz w:val="20"/>
          <w:szCs w:val="20"/>
          <w:color w:val="auto"/>
        </w:rPr>
      </w:pPr>
    </w:p>
    <w:p>
      <w:pPr>
        <w:ind w:right="40" w:firstLine="341"/>
        <w:spacing w:after="0" w:line="262" w:lineRule="auto"/>
        <w:rPr>
          <w:sz w:val="20"/>
          <w:szCs w:val="20"/>
          <w:color w:val="auto"/>
        </w:rPr>
      </w:pPr>
      <w:r>
        <w:rPr>
          <w:rFonts w:ascii="Arial" w:cs="Arial" w:eastAsia="Arial" w:hAnsi="Arial"/>
          <w:sz w:val="17"/>
          <w:szCs w:val="17"/>
          <w:color w:val="auto"/>
        </w:rPr>
        <w:t>On February 11, 2010, we entered into (i) a promissory note with Budworth Investments Limited in the aggregate principal amount of $175,000 at an interest rate of 6% and (ii) a promissory note with Harbinger III Venture Capital Corp. in the aggregate principal amount of $75,000 at an interest rate of 6%. Chih-Kai (C.K.) Chen, a former member of our board of directors, is a shareholder, co-founder and general partner of both Budworth Investments Limited and Harbinger III Venture Capital Corp. The principal balance and interest owed under the two promissory notes were paid off in September 2011. In connection with the promissory notes, Budworth Investments Limited and Harbinger III Venture Capital Corp. received warrants to acquire an aggregate of 120,000 shares of Series F preferred stock at a price of $0.25 per share. The warrants expire upon the closing of this offering.</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 entered into (i) a promissory note with Robinhood III, LP on February 25, 2010 in the aggregate principal amount of $300,000 at an interest rate of 6% and</w:t>
      </w:r>
    </w:p>
    <w:p>
      <w:pPr>
        <w:spacing w:after="0" w:line="43" w:lineRule="exact"/>
        <w:rPr>
          <w:sz w:val="20"/>
          <w:szCs w:val="20"/>
          <w:color w:val="auto"/>
        </w:rPr>
      </w:pPr>
    </w:p>
    <w:p>
      <w:pPr>
        <w:ind w:right="320" w:firstLine="5"/>
        <w:spacing w:after="0" w:line="275" w:lineRule="auto"/>
        <w:tabs>
          <w:tab w:leader="none" w:pos="251"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promissory note with Robinhood III, LP on April 21, 2010 in the aggregate principal amount of $550,000 at an interest rate of 6%. Nancy T. Chang, a former member of our board of directors is the sole beneficiary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and the President of the general partner of Robinhood III, LP, and entities affiliated with Robinhood III, LP beneficially own more than five percent of any class of our capital stock. The principal balance and interest owed under one promissory note was paid off in August 2011 and the principal balance and interest owed under the other promissory note was paid off in November 2011. In connection with the promissory notes, Robinhood III, LP received warrants to acquire an aggregate of 408,000 shares of Series F preferred stock at a price of $0.25 per share. The warrants to acquire 408,000 shares of Series F preferred stock were exercised by Robinhood III, LP on March 12, 2013.</w:t>
      </w:r>
    </w:p>
    <w:p>
      <w:pPr>
        <w:spacing w:after="0" w:line="187" w:lineRule="exact"/>
        <w:rPr>
          <w:sz w:val="20"/>
          <w:szCs w:val="20"/>
          <w:color w:val="auto"/>
        </w:rPr>
      </w:pPr>
    </w:p>
    <w:p>
      <w:pPr>
        <w:ind w:right="40" w:firstLine="341"/>
        <w:spacing w:after="0" w:line="301" w:lineRule="auto"/>
        <w:rPr>
          <w:sz w:val="20"/>
          <w:szCs w:val="20"/>
          <w:color w:val="auto"/>
        </w:rPr>
      </w:pPr>
      <w:r>
        <w:rPr>
          <w:rFonts w:ascii="Arial" w:cs="Arial" w:eastAsia="Arial" w:hAnsi="Arial"/>
          <w:sz w:val="15"/>
          <w:szCs w:val="15"/>
          <w:color w:val="auto"/>
        </w:rPr>
        <w:t>On April 23, 2010, we entered into a promissory note with Helix Micro, Inc. the aggregate principal amount of $1,000,000 at an interest rate of 6%. Juen-Sheng (Andrew) Kang, the Chairman of our board of directors, is a shareholder and the former chairman of the board of directors of Helix Micro, Inc. The remaining principal balance of $1,000,000 under the promissory note was initially converted to acquire 1,666,666 shares of Series G preferred stock in December 2011 at a price of $0.60 per share, which number of shares was subsequently adjusted to an aggregate of 2,857,142 shares of Series G preferred stock at a price of $0.35 per share in September 2012 as a result of the second closing of our Series G private placement. The remaining interest of $102,445 owed under the promissory note was paid off in January 2012. In connection with the promissory note, Helix Micro, Inc. was issued warrants to acquire (i) 480,000 shares of Series F preferred stock at a price of $0.25 per share and (ii) 22,222 shares of Series G preferred stock at a price of $0.60. The warrants expire upon the closing of this offering.</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Consulting Services</w:t>
      </w:r>
    </w:p>
    <w:p>
      <w:pPr>
        <w:spacing w:after="0" w:line="228" w:lineRule="exact"/>
        <w:rPr>
          <w:sz w:val="20"/>
          <w:szCs w:val="20"/>
          <w:color w:val="auto"/>
        </w:rPr>
      </w:pPr>
    </w:p>
    <w:p>
      <w:pPr>
        <w:ind w:right="60" w:firstLine="341"/>
        <w:spacing w:after="0" w:line="263" w:lineRule="auto"/>
        <w:rPr>
          <w:sz w:val="20"/>
          <w:szCs w:val="20"/>
          <w:color w:val="auto"/>
        </w:rPr>
      </w:pPr>
      <w:r>
        <w:rPr>
          <w:rFonts w:ascii="Arial" w:cs="Arial" w:eastAsia="Arial" w:hAnsi="Arial"/>
          <w:sz w:val="17"/>
          <w:szCs w:val="17"/>
          <w:color w:val="auto"/>
        </w:rPr>
        <w:t>On April 1, 2009, William H. Yeh, a member of our board of directors, began providing us with certain financial consulting services. The compensation arrangement for such services was formalized on October 19, 2009 through a letter agreement that we entered into with Mr. Yeh. Pursuant to this letter agreement, we agreed to grant Mr. Yeh 4,000 shares of common stock as compensation for each month of such services that Mr. Yeh rendered to us. As a result, we granted Mr. Yeh 64,000 shares of common stock on August 1, 2010 for 16 months of services rendered and 40,000 shares of common stock on June 1, 2011 for 10 months of services rendered. As of May 31, 2011, Mr. Yeh ceased to render such services.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Private Placement of Securities</w:t>
      </w:r>
    </w:p>
    <w:p>
      <w:pPr>
        <w:spacing w:after="0" w:line="228"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On December 31, 2011, we issued and sold an aggregate of 6,676,916 shares of Series G preferred stock to twenty-five investors, at a price of $0.60 per share, in the initial closing of our Series G private placement. On September 7, 2012, we issued and sold an additional 31,410,977 shares of Series G preferred stock to fifty-four investors, at a price of $0.35 per share, in the second closing of our Series G private placement. In connection with the second closing of our Series G private placement, we agreed to amend the per share price of our Series G preferred stock issued under the initial closing of our Series G private placement from $0.60 per share to $0.35 per share and, as a result, an additional 4,769,215 shares of Series G preferred stock were issued to the investors in connection with the initial closing of our Series G private placement.</w:t>
      </w:r>
    </w:p>
    <w:p>
      <w:pPr>
        <w:spacing w:after="0" w:line="188" w:lineRule="exact"/>
        <w:rPr>
          <w:sz w:val="20"/>
          <w:szCs w:val="20"/>
          <w:color w:val="auto"/>
        </w:rPr>
      </w:pPr>
    </w:p>
    <w:p>
      <w:pPr>
        <w:ind w:right="140" w:firstLine="341"/>
        <w:spacing w:after="0" w:line="270" w:lineRule="auto"/>
        <w:rPr>
          <w:sz w:val="20"/>
          <w:szCs w:val="20"/>
          <w:color w:val="auto"/>
        </w:rPr>
      </w:pPr>
      <w:r>
        <w:rPr>
          <w:rFonts w:ascii="Arial" w:cs="Arial" w:eastAsia="Arial" w:hAnsi="Arial"/>
          <w:sz w:val="17"/>
          <w:szCs w:val="17"/>
          <w:color w:val="auto"/>
        </w:rPr>
        <w:t>On December 31, 2011, we also issued warrants to purchase 1,001,536 shares of Series G preferred stock, with exercise price of $0.60 per share in connection with the initial closing of our Series G private placement to the investors in the private placement. However, those warrants were terminated as a result of the second closing of our Series G private placement. None of these warrants were exercised prior to their termination.</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Of the aggregate 42,857,108 shares of Series G preferred stock issued in the Series G private placement, 10,457,931 shares were sold for an aggregate price of</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$3,660,277.90 to investors that, at such time, were beneficially owned by either directors, executive officers, holders of five percent or more of any class of our capital</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stock, or members of their immediate families, consisting of 2,857,142 shares sold to Helix Micro, Inc., 1,027,369 shares sold to Techgains Global Corporation,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1,598,798 shares sold to Techgains Pan Pacific Corporation, 714,285 shares sold to Techgains Pacific Century Fund, 571,428 shares sold to Technology Associates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Management Company, Ltd., 3,016,196 shares sold to Robinhood III, LP, 29,154 shares sold to Heather B. Black, 72,132 shares sold to Richard B. Black and 571,427</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shares sold to William H. Yeh. In connection with the closing of this offering, it is expected that the outstanding shares of Series G preferred stock will convert into</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42,857,108 shares of our common stock. See "Principal and Selling Stockholders" for more detail on the shares of our stock held by these investors.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We provided registration rights to our holders of common stock and redeemable Series A preferred stock in connection with this offering, including Chih-Hsiang (Thompson) Lin, an executive officer, director and holder of five percent or more of our common stock, Stefan J. Murry, Hung-Lun (Fred) Chang, Klaus Alexander Anselm, Richard B. Black and Alex Ignatiev, who are certain of our executive officers and directors, entities associated with Technology Associates Management Company, Ltd., who is considered a holder of five percent or more of a class of our capital stock, and Shiu-Mei Lin Chou, Yaun-Chung Hsu and Wei-Chien Wu (which shares are held jointly) and Yuanpin Hsu, each of which is a holder of five percent or more of a class of our capital stock. Such rights are subject to conditions and limitations at the sole discretion of our board of directors.</w:t>
      </w:r>
    </w:p>
    <w:p>
      <w:pPr>
        <w:spacing w:after="0" w:line="188"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Additionally, we entered into registration rights agreements with our investors in connection with our Series C, D, E, F and G preferred stock private placements. As a result, following the closing of this offering, the holders of approximately shares of our common stock will be eligible to exercise certain rights with respect to the registration of such shares under the Securities Act. See "Description of Capital Stock—Registration Rights."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Agreement</w:t>
      </w:r>
    </w:p>
    <w:p>
      <w:pPr>
        <w:spacing w:after="0" w:line="228"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Beginning in 2000, we entered into a shareholders' agreement with stockholders who purchased shares of our preferred stock, which agreement has been amended to include additional investors and to make other changes at the time of each of our preferred stock private placements. The shareholders' agreement was most recently amended on January 14, 2011. The shareholders' agreement contains rights of first refusal and information rights and will terminate in accordance with its terms upon the closing of this offering.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and Change in Control Agreements</w:t>
      </w:r>
    </w:p>
    <w:p>
      <w:pPr>
        <w:spacing w:after="0" w:line="228" w:lineRule="exact"/>
        <w:rPr>
          <w:sz w:val="20"/>
          <w:szCs w:val="20"/>
          <w:color w:val="auto"/>
        </w:rPr>
      </w:pPr>
    </w:p>
    <w:p>
      <w:pPr>
        <w:ind w:right="100" w:firstLine="338"/>
        <w:spacing w:after="0" w:line="263" w:lineRule="auto"/>
        <w:rPr>
          <w:sz w:val="20"/>
          <w:szCs w:val="20"/>
          <w:color w:val="auto"/>
        </w:rPr>
      </w:pPr>
      <w:r>
        <w:rPr>
          <w:rFonts w:ascii="Arial" w:cs="Arial" w:eastAsia="Arial" w:hAnsi="Arial"/>
          <w:sz w:val="17"/>
          <w:szCs w:val="17"/>
          <w:color w:val="auto"/>
        </w:rPr>
        <w:t>We have agreed to indemnify our directors and our executive officers under certain circumstances and have purchased directors' and officers' liability insurance. The indemnification agreements and our amended and restated certificate of incorporation and amended and restated bylaws require us to indemnify our directors and officers to the fullest extent permitted by Delaware law. See "Management—Indemnification of directors and officers and limitation of liability" and "— Indemnification agreements. We have also entered into change in control agreements with our executive officers. See "Management—Agreements with Executive Officers."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 Awards</w:t>
      </w:r>
    </w:p>
    <w:p>
      <w:pPr>
        <w:spacing w:after="0" w:line="228"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For information regarding stock option awards to our named executive officers and directors in 2012, see "Executive Compensation—Summary Compensation Table" and "Executive Compensation—Outstanding equity awards at fiscal year-end." In addition, on January 18, 2013, our board of directors granted a stock option for 2,740,000 shares of our common stock to Chih-Hsiang (Thompson) Lin, a stock option for 520,000 shares of our common stock to Stefan J. Murry, a stock option for 380,000 shares of our common stock to Hung-Lun (Fred) Chang and a stock option for 300,000 shares of our common stock to James L. Dunn, Jr., each with an exercise price of $0.25 per share.</w:t>
      </w:r>
    </w:p>
    <w:p>
      <w:pPr>
        <w:spacing w:after="0" w:line="187" w:lineRule="exact"/>
        <w:rPr>
          <w:sz w:val="20"/>
          <w:szCs w:val="20"/>
          <w:color w:val="auto"/>
        </w:rPr>
      </w:pPr>
    </w:p>
    <w:p>
      <w:pPr>
        <w:ind w:right="80" w:firstLine="341"/>
        <w:spacing w:after="0" w:line="278" w:lineRule="auto"/>
        <w:rPr>
          <w:sz w:val="20"/>
          <w:szCs w:val="20"/>
          <w:color w:val="auto"/>
        </w:rPr>
      </w:pPr>
      <w:r>
        <w:rPr>
          <w:rFonts w:ascii="Arial" w:cs="Arial" w:eastAsia="Arial" w:hAnsi="Arial"/>
          <w:sz w:val="16"/>
          <w:szCs w:val="16"/>
          <w:color w:val="auto"/>
        </w:rPr>
        <w:t>On April 12, 2013, our board of directors approved a plan to grant stock options to Mr. Lin, to be effective upon the completion of the offering, to be exercisable for a number of shares of our common stock such that Mr. Lin will hold stock and stock options for an aggregate of 6% of our outstanding securities on an as-converted and on an as-exercised basis, as of the closing of the offering. On April 12, 2013, our board of directors also approved a plan to grant stock options to members of our management team, including our other executive officers, to be effective upon the completion of the offering, which stock options are to be exercisable for shares of our common stock equal to, in the aggregate, 1% of our common stock, of our outstanding securities on an as-converted and on an as-exercised basis, as of the closing of the offering. Our board of directors has yet to allocate these stock options to specific members of our management team. Such stock options for Mr. Lin and other members of our management team will have an exercise price equal to the closing price of our common stock on the NASDAQ Global Market on the closing date of the offering. Any such grant to Mr. Lin or any other members of our management team will be conditioned upon the completion of an initial public offering on the NASDAQ Global Market, and other conditions determined by our board of directors.</w:t>
      </w:r>
    </w:p>
    <w:p>
      <w:pPr>
        <w:spacing w:after="0" w:line="179" w:lineRule="exact"/>
        <w:rPr>
          <w:sz w:val="20"/>
          <w:szCs w:val="20"/>
          <w:color w:val="auto"/>
        </w:rPr>
      </w:pPr>
    </w:p>
    <w:p>
      <w:pPr>
        <w:jc w:val="both"/>
        <w:ind w:right="120" w:firstLine="341"/>
        <w:spacing w:after="0" w:line="294" w:lineRule="auto"/>
        <w:rPr>
          <w:sz w:val="20"/>
          <w:szCs w:val="20"/>
          <w:color w:val="auto"/>
        </w:rPr>
      </w:pPr>
      <w:r>
        <w:rPr>
          <w:rFonts w:ascii="Arial" w:cs="Arial" w:eastAsia="Arial" w:hAnsi="Arial"/>
          <w:sz w:val="16"/>
          <w:szCs w:val="16"/>
          <w:color w:val="auto"/>
        </w:rPr>
        <w:t>Each of the stock options described above vest over a four year period, with 25% of the shares subject to each such option vesting on the first anniversary of the vesting commencement date and one sixth of the remaining shares vesting on the first day of each succeeding six month period, in each case subject to the optionee's continued service. Such vesting is subject to acceleration in the event of our change of control or the optionee's death, disability or retirement.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Review, Approval and Ratification of Transactions with Related Parties</w:t>
      </w:r>
    </w:p>
    <w:p>
      <w:pPr>
        <w:spacing w:after="0" w:line="228"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Prior to this offering, our board of directors reviewed and approved transactions with directors, officers and holders of five percent or more of our common stock of any class of our capital stock, each of whom is a related party. Prior to our board of directors' consideration of a transaction with a related party, the material facts as to the related party's relationship or interest in the transaction were disclosed to our board of directors, and the transaction was approved by our board of directors unless a majority of the directors who were not interested in the transaction approved the transaction. In March 2013, we adopted a new audit committee charter and put into place a related party transactions policy that will require, among other items, that such transactions must be approved by our audit committee.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PRINCIPAL AND SELLING STOCKHOLDERS</w:t>
      </w:r>
    </w:p>
    <w:p>
      <w:pPr>
        <w:spacing w:after="0" w:line="228" w:lineRule="exact"/>
        <w:rPr>
          <w:sz w:val="20"/>
          <w:szCs w:val="20"/>
          <w:color w:val="auto"/>
        </w:rPr>
      </w:pPr>
    </w:p>
    <w:p>
      <w:pPr>
        <w:ind w:right="240" w:firstLine="338"/>
        <w:spacing w:after="0" w:line="282" w:lineRule="auto"/>
        <w:rPr>
          <w:sz w:val="20"/>
          <w:szCs w:val="20"/>
          <w:color w:val="auto"/>
        </w:rPr>
      </w:pPr>
      <w:r>
        <w:rPr>
          <w:rFonts w:ascii="Arial" w:cs="Arial" w:eastAsia="Arial" w:hAnsi="Arial"/>
          <w:sz w:val="17"/>
          <w:szCs w:val="17"/>
          <w:color w:val="auto"/>
        </w:rPr>
        <w:t>The following table sets forth the beneficial ownership information of our common stock as of July 31, 2013, and as adjusted to reflect the sale of the shares of common stock in this offering, for:</w:t>
      </w:r>
    </w:p>
    <w:p>
      <w:pPr>
        <w:spacing w:after="0" w:line="183" w:lineRule="exact"/>
        <w:rPr>
          <w:sz w:val="20"/>
          <w:szCs w:val="20"/>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each person known to us to be the beneficial owner of more than 5% of our common stock outstanding, on an as-converted basis;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each named executive officer;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each selling stockholder.</w:t>
      </w:r>
    </w:p>
    <w:p>
      <w:pPr>
        <w:spacing w:after="0" w:line="224" w:lineRule="exact"/>
        <w:rPr>
          <w:sz w:val="20"/>
          <w:szCs w:val="20"/>
          <w:color w:val="auto"/>
        </w:rPr>
      </w:pPr>
    </w:p>
    <w:p>
      <w:pPr>
        <w:ind w:right="100" w:firstLine="338"/>
        <w:spacing w:after="0" w:line="283" w:lineRule="auto"/>
        <w:rPr>
          <w:sz w:val="20"/>
          <w:szCs w:val="20"/>
          <w:color w:val="auto"/>
        </w:rPr>
      </w:pPr>
      <w:r>
        <w:rPr>
          <w:rFonts w:ascii="Arial" w:cs="Arial" w:eastAsia="Arial" w:hAnsi="Arial"/>
          <w:sz w:val="16"/>
          <w:szCs w:val="16"/>
          <w:color w:val="auto"/>
        </w:rPr>
        <w:t>We have determined beneficial ownership in accordance with the rules of the SEC. These rules generally attribute beneficial ownership of securities to persons who possess sole or shared voting power or investment power with respect to those securities and include stock options and warrants that are immediately exercisable or exercisable within 60 days. Except as indicated by the footnotes below, we believe, based on the information furnished to us, that the persons and entities named in the table below have sole voting and investment power with respect to all shares of common stock beneficially owned by them, subject to applicable community property laws. This information is not necessarily indicative of beneficial ownership for any other purpose.</w:t>
      </w:r>
    </w:p>
    <w:p>
      <w:pPr>
        <w:spacing w:after="0" w:line="174" w:lineRule="exact"/>
        <w:rPr>
          <w:sz w:val="20"/>
          <w:szCs w:val="20"/>
          <w:color w:val="auto"/>
        </w:rPr>
      </w:pPr>
    </w:p>
    <w:p>
      <w:pPr>
        <w:jc w:val="both"/>
        <w:ind w:right="160" w:firstLine="341"/>
        <w:spacing w:after="0" w:line="265" w:lineRule="auto"/>
        <w:rPr>
          <w:sz w:val="20"/>
          <w:szCs w:val="20"/>
          <w:color w:val="auto"/>
        </w:rPr>
      </w:pPr>
      <w:r>
        <w:rPr>
          <w:rFonts w:ascii="Arial" w:cs="Arial" w:eastAsia="Arial" w:hAnsi="Arial"/>
          <w:sz w:val="17"/>
          <w:szCs w:val="17"/>
          <w:color w:val="auto"/>
        </w:rPr>
        <w:t>In computing the number of shares of common stock beneficially owned by a person and the percentage ownership of that person, we deemed to be outstanding shares of common stock and preferred stock subject to options or warrants held by that person that are currently exercisable or exercisable within 60 days of July 31, 2013 on an as-converted basis. We did not deem these shares outstanding, however, for the purpose of computing the percentage ownership of any other person. Beneficial ownership representing less than 1.0% is denoted with an asterisk (*).</w:t>
      </w:r>
    </w:p>
    <w:p>
      <w:pPr>
        <w:spacing w:after="0" w:line="185" w:lineRule="exact"/>
        <w:rPr>
          <w:sz w:val="20"/>
          <w:szCs w:val="20"/>
          <w:color w:val="auto"/>
        </w:rPr>
      </w:pPr>
    </w:p>
    <w:p>
      <w:pPr>
        <w:ind w:right="200" w:firstLine="341"/>
        <w:spacing w:after="0" w:line="296" w:lineRule="auto"/>
        <w:rPr>
          <w:sz w:val="20"/>
          <w:szCs w:val="20"/>
          <w:color w:val="auto"/>
        </w:rPr>
      </w:pPr>
      <w:r>
        <w:rPr>
          <w:rFonts w:ascii="Arial" w:cs="Arial" w:eastAsia="Arial" w:hAnsi="Arial"/>
          <w:sz w:val="15"/>
          <w:szCs w:val="15"/>
          <w:color w:val="auto"/>
        </w:rPr>
        <w:t>Percentage ownership calculations for beneficial ownership before this offering are based on 269,816,365 shares of common stock outstanding, on an as-converted basis assuming the conversion of all of the outstanding preferred stock. Percentage ownership calculations for beneficial ownership after this offering also</w:t>
      </w: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7"/>
                <w:szCs w:val="17"/>
                <w:color w:val="auto"/>
              </w:rPr>
              <w:t>include</w:t>
            </w:r>
          </w:p>
        </w:tc>
        <w:tc>
          <w:tcPr>
            <w:tcW w:w="10520" w:type="dxa"/>
            <w:vAlign w:val="bottom"/>
          </w:tcPr>
          <w:p>
            <w:pPr>
              <w:jc w:val="right"/>
              <w:ind w:right="955"/>
              <w:spacing w:after="0"/>
              <w:rPr>
                <w:sz w:val="20"/>
                <w:szCs w:val="20"/>
                <w:color w:val="auto"/>
              </w:rPr>
            </w:pPr>
            <w:r>
              <w:rPr>
                <w:rFonts w:ascii="Arial" w:cs="Arial" w:eastAsia="Arial" w:hAnsi="Arial"/>
                <w:sz w:val="17"/>
                <w:szCs w:val="17"/>
                <w:color w:val="auto"/>
                <w:w w:val="93"/>
              </w:rPr>
              <w:t>shares we are offering hereby. This table assumes no exercise of the underwriters' option to purchase additional shares in the offering.</w:t>
            </w:r>
          </w:p>
        </w:tc>
      </w:tr>
      <w:tr>
        <w:trPr>
          <w:trHeight w:val="413"/>
        </w:trPr>
        <w:tc>
          <w:tcPr>
            <w:tcW w:w="900" w:type="dxa"/>
            <w:vAlign w:val="bottom"/>
          </w:tcPr>
          <w:p>
            <w:pPr>
              <w:spacing w:after="0"/>
              <w:rPr>
                <w:sz w:val="24"/>
                <w:szCs w:val="24"/>
                <w:color w:val="auto"/>
              </w:rPr>
            </w:pPr>
          </w:p>
        </w:tc>
        <w:tc>
          <w:tcPr>
            <w:tcW w:w="10520" w:type="dxa"/>
            <w:vAlign w:val="bottom"/>
          </w:tcPr>
          <w:p>
            <w:pPr>
              <w:jc w:val="right"/>
              <w:ind w:right="5495"/>
              <w:spacing w:after="0"/>
              <w:rPr>
                <w:sz w:val="20"/>
                <w:szCs w:val="20"/>
                <w:color w:val="auto"/>
              </w:rPr>
            </w:pPr>
            <w:r>
              <w:rPr>
                <w:rFonts w:ascii="Arial" w:cs="Arial" w:eastAsia="Arial" w:hAnsi="Arial"/>
                <w:sz w:val="17"/>
                <w:szCs w:val="17"/>
                <w:color w:val="auto"/>
              </w:rPr>
              <w:t>123</w:t>
            </w:r>
          </w:p>
        </w:tc>
      </w:tr>
      <w:tr>
        <w:trPr>
          <w:trHeight w:val="222"/>
        </w:trPr>
        <w:tc>
          <w:tcPr>
            <w:tcW w:w="900" w:type="dxa"/>
            <w:vAlign w:val="bottom"/>
            <w:tcBorders>
              <w:bottom w:val="single" w:sz="8" w:color="808080"/>
            </w:tcBorders>
          </w:tcPr>
          <w:p>
            <w:pPr>
              <w:spacing w:after="0"/>
              <w:rPr>
                <w:sz w:val="19"/>
                <w:szCs w:val="19"/>
                <w:color w:val="auto"/>
              </w:rPr>
            </w:pPr>
          </w:p>
        </w:tc>
        <w:tc>
          <w:tcPr>
            <w:tcW w:w="10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7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jc w:val="center"/>
              <w:ind w:left="454"/>
              <w:spacing w:after="0"/>
              <w:rPr>
                <w:sz w:val="20"/>
                <w:szCs w:val="20"/>
                <w:color w:val="auto"/>
              </w:rPr>
            </w:pPr>
            <w:r>
              <w:rPr>
                <w:rFonts w:ascii="Arial" w:cs="Arial" w:eastAsia="Arial" w:hAnsi="Arial"/>
                <w:sz w:val="13"/>
                <w:szCs w:val="13"/>
                <w:b w:val="1"/>
                <w:bCs w:val="1"/>
                <w:color w:val="auto"/>
                <w:w w:val="87"/>
              </w:rPr>
              <w:t>Shares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20" w:type="dxa"/>
            <w:vAlign w:val="bottom"/>
            <w:gridSpan w:val="3"/>
          </w:tcPr>
          <w:p>
            <w:pPr>
              <w:jc w:val="center"/>
              <w:ind w:left="239"/>
              <w:spacing w:after="0" w:line="144" w:lineRule="exact"/>
              <w:rPr>
                <w:sz w:val="20"/>
                <w:szCs w:val="20"/>
                <w:color w:val="auto"/>
              </w:rPr>
            </w:pPr>
            <w:r>
              <w:rPr>
                <w:rFonts w:ascii="Arial" w:cs="Arial" w:eastAsia="Arial" w:hAnsi="Arial"/>
                <w:sz w:val="13"/>
                <w:szCs w:val="13"/>
                <w:b w:val="1"/>
                <w:bCs w:val="1"/>
                <w:color w:val="auto"/>
                <w:w w:val="89"/>
              </w:rPr>
              <w:t>Shares beneficially</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5"/>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beneficially</w:t>
            </w: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20" w:type="dxa"/>
            <w:vAlign w:val="bottom"/>
            <w:gridSpan w:val="3"/>
          </w:tcPr>
          <w:p>
            <w:pPr>
              <w:jc w:val="center"/>
              <w:ind w:left="259"/>
              <w:spacing w:after="0" w:line="144" w:lineRule="exact"/>
              <w:rPr>
                <w:sz w:val="20"/>
                <w:szCs w:val="20"/>
                <w:color w:val="auto"/>
              </w:rPr>
            </w:pPr>
            <w:r>
              <w:rPr>
                <w:rFonts w:ascii="Arial" w:cs="Arial" w:eastAsia="Arial" w:hAnsi="Arial"/>
                <w:sz w:val="13"/>
                <w:szCs w:val="13"/>
                <w:b w:val="1"/>
                <w:bCs w:val="1"/>
                <w:color w:val="auto"/>
                <w:w w:val="89"/>
              </w:rPr>
              <w:t>owned before the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8"/>
              </w:rPr>
              <w:t>Shares being</w:t>
            </w:r>
          </w:p>
        </w:tc>
        <w:tc>
          <w:tcPr>
            <w:tcW w:w="160" w:type="dxa"/>
            <w:vAlign w:val="bottom"/>
          </w:tcPr>
          <w:p>
            <w:pPr>
              <w:spacing w:after="0"/>
              <w:rPr>
                <w:sz w:val="12"/>
                <w:szCs w:val="12"/>
                <w:color w:val="auto"/>
              </w:rPr>
            </w:pPr>
          </w:p>
        </w:tc>
        <w:tc>
          <w:tcPr>
            <w:tcW w:w="1560" w:type="dxa"/>
            <w:vAlign w:val="bottom"/>
            <w:gridSpan w:val="5"/>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owned after the</w:t>
            </w:r>
          </w:p>
        </w:tc>
        <w:tc>
          <w:tcPr>
            <w:tcW w:w="0" w:type="dxa"/>
            <w:vAlign w:val="bottom"/>
          </w:tcPr>
          <w:p>
            <w:pPr>
              <w:spacing w:after="0"/>
              <w:rPr>
                <w:sz w:val="1"/>
                <w:szCs w:val="1"/>
                <w:color w:val="auto"/>
              </w:rPr>
            </w:pPr>
          </w:p>
        </w:tc>
      </w:tr>
      <w:tr>
        <w:trPr>
          <w:trHeight w:val="157"/>
        </w:trPr>
        <w:tc>
          <w:tcPr>
            <w:tcW w:w="1780" w:type="dxa"/>
            <w:vAlign w:val="bottom"/>
            <w:vMerge w:val="restart"/>
          </w:tcPr>
          <w:p>
            <w:pPr>
              <w:spacing w:after="0"/>
              <w:rPr>
                <w:sz w:val="20"/>
                <w:szCs w:val="20"/>
                <w:color w:val="auto"/>
              </w:rPr>
            </w:pPr>
            <w:r>
              <w:rPr>
                <w:rFonts w:ascii="Arial" w:cs="Arial" w:eastAsia="Arial" w:hAnsi="Arial"/>
                <w:sz w:val="13"/>
                <w:szCs w:val="13"/>
                <w:b w:val="1"/>
                <w:bCs w:val="1"/>
                <w:color w:val="auto"/>
              </w:rPr>
              <w:t>Names of Beneficial owner</w:t>
            </w:r>
          </w:p>
        </w:tc>
        <w:tc>
          <w:tcPr>
            <w:tcW w:w="2380" w:type="dxa"/>
            <w:vAlign w:val="bottom"/>
            <w:vMerge w:val="restart"/>
          </w:tcPr>
          <w:p>
            <w:pPr>
              <w:spacing w:after="0"/>
              <w:rPr>
                <w:sz w:val="13"/>
                <w:szCs w:val="13"/>
                <w:color w:val="auto"/>
              </w:rPr>
            </w:pPr>
          </w:p>
        </w:tc>
        <w:tc>
          <w:tcPr>
            <w:tcW w:w="1140" w:type="dxa"/>
            <w:vAlign w:val="bottom"/>
            <w:gridSpan w:val="2"/>
          </w:tcPr>
          <w:p>
            <w:pPr>
              <w:jc w:val="center"/>
              <w:ind w:left="539"/>
              <w:spacing w:after="0"/>
              <w:rPr>
                <w:sz w:val="20"/>
                <w:szCs w:val="20"/>
                <w:color w:val="auto"/>
              </w:rPr>
            </w:pPr>
            <w:r>
              <w:rPr>
                <w:rFonts w:ascii="Arial" w:cs="Arial" w:eastAsia="Arial" w:hAnsi="Arial"/>
                <w:sz w:val="13"/>
                <w:szCs w:val="13"/>
                <w:b w:val="1"/>
                <w:bCs w:val="1"/>
                <w:color w:val="auto"/>
                <w:w w:val="90"/>
              </w:rPr>
              <w:t>offering</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offered</w:t>
            </w:r>
          </w:p>
        </w:tc>
        <w:tc>
          <w:tcPr>
            <w:tcW w:w="160" w:type="dxa"/>
            <w:vAlign w:val="bottom"/>
          </w:tcPr>
          <w:p>
            <w:pPr>
              <w:spacing w:after="0"/>
              <w:rPr>
                <w:sz w:val="13"/>
                <w:szCs w:val="13"/>
                <w:color w:val="auto"/>
              </w:rPr>
            </w:pPr>
          </w:p>
        </w:tc>
        <w:tc>
          <w:tcPr>
            <w:tcW w:w="156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0"/>
              </w:rPr>
              <w:t>offering</w:t>
            </w:r>
          </w:p>
        </w:tc>
        <w:tc>
          <w:tcPr>
            <w:tcW w:w="0" w:type="dxa"/>
            <w:vAlign w:val="bottom"/>
          </w:tcPr>
          <w:p>
            <w:pPr>
              <w:spacing w:after="0"/>
              <w:rPr>
                <w:sz w:val="1"/>
                <w:szCs w:val="1"/>
                <w:color w:val="auto"/>
              </w:rPr>
            </w:pPr>
          </w:p>
        </w:tc>
      </w:tr>
      <w:tr>
        <w:trPr>
          <w:trHeight w:val="137"/>
        </w:trPr>
        <w:tc>
          <w:tcPr>
            <w:tcW w:w="1780" w:type="dxa"/>
            <w:vAlign w:val="bottom"/>
            <w:tcBorders>
              <w:bottom w:val="single" w:sz="8" w:color="auto"/>
            </w:tcBorders>
            <w:vMerge w:val="continue"/>
          </w:tcPr>
          <w:p>
            <w:pPr>
              <w:spacing w:after="0"/>
              <w:rPr>
                <w:sz w:val="11"/>
                <w:szCs w:val="11"/>
                <w:color w:val="auto"/>
              </w:rPr>
            </w:pPr>
          </w:p>
        </w:tc>
        <w:tc>
          <w:tcPr>
            <w:tcW w:w="2380" w:type="dxa"/>
            <w:vAlign w:val="bottom"/>
            <w:vMerge w:val="continue"/>
          </w:tcPr>
          <w:p>
            <w:pPr>
              <w:spacing w:after="0"/>
              <w:rPr>
                <w:sz w:val="11"/>
                <w:szCs w:val="11"/>
                <w:color w:val="auto"/>
              </w:rPr>
            </w:pPr>
          </w:p>
        </w:tc>
        <w:tc>
          <w:tcPr>
            <w:tcW w:w="980" w:type="dxa"/>
            <w:vAlign w:val="bottom"/>
            <w:tcBorders>
              <w:top w:val="single" w:sz="8" w:color="auto"/>
              <w:bottom w:val="single" w:sz="8" w:color="auto"/>
            </w:tcBorders>
          </w:tcPr>
          <w:p>
            <w:pPr>
              <w:ind w:left="260"/>
              <w:spacing w:after="0" w:line="138" w:lineRule="exact"/>
              <w:rPr>
                <w:sz w:val="20"/>
                <w:szCs w:val="20"/>
                <w:color w:val="auto"/>
              </w:rPr>
            </w:pPr>
            <w:r>
              <w:rPr>
                <w:rFonts w:ascii="Arial" w:cs="Arial" w:eastAsia="Arial" w:hAnsi="Arial"/>
                <w:sz w:val="13"/>
                <w:szCs w:val="13"/>
                <w:b w:val="1"/>
                <w:bCs w:val="1"/>
                <w:color w:val="auto"/>
              </w:rPr>
              <w:t>Number</w:t>
            </w: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2"/>
          </w:tcPr>
          <w:p>
            <w:pPr>
              <w:ind w:left="100"/>
              <w:spacing w:after="0" w:line="138" w:lineRule="exact"/>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1"/>
                <w:szCs w:val="11"/>
                <w:color w:val="auto"/>
              </w:rPr>
            </w:pPr>
          </w:p>
        </w:tc>
        <w:tc>
          <w:tcPr>
            <w:tcW w:w="640" w:type="dxa"/>
            <w:vAlign w:val="bottom"/>
            <w:tcBorders>
              <w:top w:val="single" w:sz="8" w:color="auto"/>
              <w:bottom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Number</w:t>
            </w: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1"/>
                <w:szCs w:val="11"/>
                <w:color w:val="auto"/>
              </w:rPr>
            </w:pPr>
          </w:p>
        </w:tc>
        <w:tc>
          <w:tcPr>
            <w:tcW w:w="640" w:type="dxa"/>
            <w:vAlign w:val="bottom"/>
            <w:tcBorders>
              <w:top w:val="single" w:sz="8" w:color="auto"/>
              <w:bottom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Number</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5% or Greater Stockholders:</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60" w:type="dxa"/>
            <w:vAlign w:val="bottom"/>
            <w:gridSpan w:val="2"/>
          </w:tcPr>
          <w:p>
            <w:pPr>
              <w:ind w:left="180"/>
              <w:spacing w:after="0"/>
              <w:rPr>
                <w:sz w:val="20"/>
                <w:szCs w:val="20"/>
                <w:color w:val="auto"/>
              </w:rPr>
            </w:pPr>
            <w:r>
              <w:rPr>
                <w:rFonts w:ascii="Arial" w:cs="Arial" w:eastAsia="Arial" w:hAnsi="Arial"/>
                <w:sz w:val="17"/>
                <w:szCs w:val="17"/>
                <w:color w:val="auto"/>
              </w:rPr>
              <w:t>Entities associated with Technology Associates</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60" w:type="dxa"/>
            <w:vAlign w:val="bottom"/>
            <w:gridSpan w:val="2"/>
          </w:tcPr>
          <w:p>
            <w:pPr>
              <w:ind w:left="360"/>
              <w:spacing w:after="0"/>
              <w:rPr>
                <w:sz w:val="20"/>
                <w:szCs w:val="20"/>
                <w:color w:val="auto"/>
              </w:rPr>
            </w:pPr>
            <w:r>
              <w:rPr>
                <w:rFonts w:ascii="Arial" w:cs="Arial" w:eastAsia="Arial" w:hAnsi="Arial"/>
                <w:sz w:val="17"/>
                <w:szCs w:val="17"/>
                <w:color w:val="auto"/>
              </w:rPr>
              <w:t>Management Company, Ltd. (1)</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23,389,001</w:t>
            </w:r>
          </w:p>
        </w:tc>
        <w:tc>
          <w:tcPr>
            <w:tcW w:w="2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8.7%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Entities associated with Robinhood II, LP (2)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20,111,914</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spacing w:after="0"/>
              <w:rPr>
                <w:sz w:val="20"/>
                <w:szCs w:val="20"/>
                <w:color w:val="auto"/>
              </w:rPr>
            </w:pPr>
            <w:r>
              <w:rPr>
                <w:rFonts w:ascii="Arial" w:cs="Arial" w:eastAsia="Arial" w:hAnsi="Arial"/>
                <w:sz w:val="17"/>
                <w:szCs w:val="17"/>
                <w:b w:val="1"/>
                <w:bCs w:val="1"/>
                <w:color w:val="auto"/>
              </w:rPr>
              <w:t>Certain Other Selling Stockholders: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Directors and Named Executive Officers: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180"/>
              <w:spacing w:after="0"/>
              <w:rPr>
                <w:sz w:val="20"/>
                <w:szCs w:val="20"/>
                <w:color w:val="auto"/>
              </w:rPr>
            </w:pPr>
            <w:r>
              <w:rPr>
                <w:rFonts w:ascii="Arial" w:cs="Arial" w:eastAsia="Arial" w:hAnsi="Arial"/>
                <w:sz w:val="17"/>
                <w:szCs w:val="17"/>
                <w:color w:val="auto"/>
              </w:rPr>
              <w:t>Chih-Hsiang (Thompson) Lin (3)</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3,625,457</w:t>
            </w:r>
          </w:p>
        </w:tc>
        <w:tc>
          <w:tcPr>
            <w:tcW w:w="2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1.3%</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Juen-Sheng (Andrew) Kang (1)</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23,389,001</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180"/>
              <w:spacing w:after="0"/>
              <w:rPr>
                <w:sz w:val="20"/>
                <w:szCs w:val="20"/>
                <w:color w:val="auto"/>
              </w:rPr>
            </w:pPr>
            <w:r>
              <w:rPr>
                <w:rFonts w:ascii="Arial" w:cs="Arial" w:eastAsia="Arial" w:hAnsi="Arial"/>
                <w:sz w:val="17"/>
                <w:szCs w:val="17"/>
                <w:color w:val="auto"/>
              </w:rPr>
              <w:t>William H. Yeh (4)</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2,737,957</w:t>
            </w:r>
          </w:p>
        </w:tc>
        <w:tc>
          <w:tcPr>
            <w:tcW w:w="2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Richard B. Black (5)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991,595</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180"/>
              <w:spacing w:after="0"/>
              <w:rPr>
                <w:sz w:val="20"/>
                <w:szCs w:val="20"/>
                <w:color w:val="auto"/>
              </w:rPr>
            </w:pPr>
            <w:r>
              <w:rPr>
                <w:rFonts w:ascii="Arial" w:cs="Arial" w:eastAsia="Arial" w:hAnsi="Arial"/>
                <w:sz w:val="17"/>
                <w:szCs w:val="17"/>
                <w:color w:val="auto"/>
              </w:rPr>
              <w:t>Alex Ignatiev</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136,869</w:t>
            </w:r>
          </w:p>
        </w:tc>
        <w:tc>
          <w:tcPr>
            <w:tcW w:w="2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Min-Chu (Mike) Chen</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57,428</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180"/>
              <w:spacing w:after="0"/>
              <w:rPr>
                <w:sz w:val="20"/>
                <w:szCs w:val="20"/>
                <w:color w:val="auto"/>
              </w:rPr>
            </w:pPr>
            <w:r>
              <w:rPr>
                <w:rFonts w:ascii="Arial" w:cs="Arial" w:eastAsia="Arial" w:hAnsi="Arial"/>
                <w:sz w:val="17"/>
                <w:szCs w:val="17"/>
                <w:color w:val="auto"/>
              </w:rPr>
              <w:t>Alan Moore</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2,975,593</w:t>
            </w:r>
          </w:p>
        </w:tc>
        <w:tc>
          <w:tcPr>
            <w:tcW w:w="2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1.1%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Hung-Lun (Fred) Chang (6)</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607,999</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180"/>
              <w:spacing w:after="0"/>
              <w:rPr>
                <w:sz w:val="20"/>
                <w:szCs w:val="20"/>
                <w:color w:val="auto"/>
              </w:rPr>
            </w:pPr>
            <w:r>
              <w:rPr>
                <w:rFonts w:ascii="Arial" w:cs="Arial" w:eastAsia="Arial" w:hAnsi="Arial"/>
                <w:sz w:val="17"/>
                <w:szCs w:val="17"/>
                <w:color w:val="auto"/>
              </w:rPr>
              <w:t>Stefan J. Murry (7)</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769,999</w:t>
            </w:r>
          </w:p>
        </w:tc>
        <w:tc>
          <w:tcPr>
            <w:tcW w:w="2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Klaus Alexander Anselm (8)</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514,124</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160" w:type="dxa"/>
            <w:vAlign w:val="bottom"/>
            <w:gridSpan w:val="2"/>
          </w:tcPr>
          <w:p>
            <w:pPr>
              <w:spacing w:after="0"/>
              <w:rPr>
                <w:sz w:val="20"/>
                <w:szCs w:val="20"/>
                <w:color w:val="auto"/>
              </w:rPr>
            </w:pPr>
            <w:r>
              <w:rPr>
                <w:rFonts w:ascii="Arial" w:cs="Arial" w:eastAsia="Arial" w:hAnsi="Arial"/>
                <w:sz w:val="17"/>
                <w:szCs w:val="17"/>
                <w:color w:val="auto"/>
              </w:rPr>
              <w:t>All executive officers and directors as a group</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80"/>
              <w:spacing w:after="0"/>
              <w:rPr>
                <w:sz w:val="20"/>
                <w:szCs w:val="20"/>
                <w:color w:val="auto"/>
              </w:rPr>
            </w:pPr>
            <w:r>
              <w:rPr>
                <w:rFonts w:ascii="Arial" w:cs="Arial" w:eastAsia="Arial" w:hAnsi="Arial"/>
                <w:sz w:val="17"/>
                <w:szCs w:val="17"/>
                <w:color w:val="auto"/>
              </w:rPr>
              <w:t>(13 persons) (9)</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58,767,719</w:t>
            </w:r>
          </w:p>
        </w:tc>
        <w:tc>
          <w:tcPr>
            <w:tcW w:w="2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21.8%</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1780" w:type="dxa"/>
            <w:vAlign w:val="bottom"/>
            <w:tcBorders>
              <w:bottom w:val="single" w:sz="8" w:color="auto"/>
            </w:tcBorders>
          </w:tcPr>
          <w:p>
            <w:pPr>
              <w:spacing w:after="0"/>
              <w:rPr>
                <w:sz w:val="9"/>
                <w:szCs w:val="9"/>
                <w:color w:val="auto"/>
              </w:rPr>
            </w:pPr>
          </w:p>
        </w:tc>
        <w:tc>
          <w:tcPr>
            <w:tcW w:w="2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right="20" w:hanging="533"/>
        <w:spacing w:after="0" w:line="283" w:lineRule="auto"/>
        <w:tabs>
          <w:tab w:leader="none" w:pos="1680" w:val="left"/>
        </w:tabs>
        <w:numPr>
          <w:ilvl w:val="0"/>
          <w:numId w:val="75"/>
        </w:numPr>
        <w:rPr>
          <w:rFonts w:ascii="Arial" w:cs="Arial" w:eastAsia="Arial" w:hAnsi="Arial"/>
          <w:sz w:val="11"/>
          <w:szCs w:val="11"/>
          <w:color w:val="auto"/>
        </w:rPr>
      </w:pPr>
      <w:r>
        <w:rPr>
          <w:rFonts w:ascii="Arial" w:cs="Arial" w:eastAsia="Arial" w:hAnsi="Arial"/>
          <w:sz w:val="11"/>
          <w:szCs w:val="11"/>
          <w:color w:val="auto"/>
        </w:rPr>
        <w:t>Includes (i) stock options to purchase 178,334 shares of common stock held by Mr. Kang, (ii) warrants to purchase 72,000 shares of Series F preferred stock convertible to 86,401 shares of common stock and 26,666 shares of Series G preferred stock convertible to 26,666 shares of common stock held by Techgains Global Corporation on an as-converted basis and</w:t>
      </w:r>
    </w:p>
    <w:p>
      <w:pPr>
        <w:ind w:left="1680"/>
        <w:spacing w:after="0" w:line="278" w:lineRule="auto"/>
        <w:rPr>
          <w:rFonts w:ascii="Arial" w:cs="Arial" w:eastAsia="Arial" w:hAnsi="Arial"/>
          <w:sz w:val="11"/>
          <w:szCs w:val="11"/>
          <w:color w:val="auto"/>
        </w:rPr>
      </w:pPr>
      <w:r>
        <w:rPr>
          <w:rFonts w:ascii="Arial" w:cs="Arial" w:eastAsia="Arial" w:hAnsi="Arial"/>
          <w:sz w:val="11"/>
          <w:szCs w:val="11"/>
          <w:color w:val="auto"/>
        </w:rPr>
        <w:t>(iii) warrants to purchase 72,000 shares of Series F preferred stock convertible to 86,401 shares of common stock and 26,666 shares of Series G preferred stock convertible to 26,666 shares of common stock held by Techgains Pan Pacific Corporation on an as-converted basis, assuming the conversion of all of the outstanding preferred stock, which in each case is exercisable within 60 days of July 31, 2013. Also includes (a) 5,887,041 shares held of record by Techgains Global Corporation, (b) 4,676,658 shares held of record by Techgains Pacific Century Fund, LP, (c) 11,849,406 shares held of record by Techgains Pan Pacific Corporation and (d) 571,428 shares held of record by Technology Associates Management Company, Ltd., in each case on an as-converted basis assuming the conversion of all of the outstanding shares of preferred stock. Mr. Kang has the power to direct investments and/or has the sole power to vote the securities owned by Technology Associates Management Company, Ltd., as its managing director. Mr. Kang also has the sole power to vote the securities owned by Techgains Pan Pacific Corporation, Techgains Global Corporation and Techgains Pacific Century Fund LP, pursuant to investment management arrangements with these entities. The principal address of the entities associated with Technology Associates Management Company, Ltd. is 5052 Tennyson Parkway, Suite 100 Plano, Texas 75024. Mr. Kang disclaims any and all pecuniary interests and beneficial ownership interests in the shares of the Company held by the foregoing entities. Tekkang Management Consulting Inc., the majority shareholder of Technology Associates Management Company Ltd., holds of record 6,776,463 shares of our common stock, on an as-converted basis. Tekkang Management Consulting Inc. does not have any power, whether by itself or shared with others, to direct investments or to vote the securities of the Company held by Techgains Pan Pacific Corporation, Techgains Global Corporation and Techgains Pacific Century Fund LP. Mr. Kang is not a shareholder, director or officer of the majority shareholder of Tekkang Management Company Inc., and has no voting or investment control over the shares held of record by such majority shareholder. Tekkang Management Company Inc. disclaims any and</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680" w:right="80"/>
        <w:spacing w:after="0" w:line="256" w:lineRule="auto"/>
        <w:rPr>
          <w:sz w:val="20"/>
          <w:szCs w:val="20"/>
          <w:color w:val="auto"/>
        </w:rPr>
      </w:pPr>
      <w:r>
        <w:rPr>
          <w:rFonts w:ascii="Arial" w:cs="Arial" w:eastAsia="Arial" w:hAnsi="Arial"/>
          <w:sz w:val="13"/>
          <w:szCs w:val="13"/>
          <w:color w:val="auto"/>
        </w:rPr>
        <w:t>all pecuniary interests and beneficial ownership interests in the shares of the Company held by Techgains Pan Pacific Corporation, Techgains Global Corporation and Techgains Pacific Century Fund LP.</w:t>
      </w:r>
    </w:p>
    <w:p>
      <w:pPr>
        <w:spacing w:after="0" w:line="166" w:lineRule="exact"/>
        <w:rPr>
          <w:sz w:val="20"/>
          <w:szCs w:val="20"/>
          <w:color w:val="auto"/>
        </w:rPr>
      </w:pPr>
    </w:p>
    <w:p>
      <w:pPr>
        <w:ind w:left="1680" w:right="80" w:hanging="533"/>
        <w:spacing w:after="0" w:line="239" w:lineRule="auto"/>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Includes (a) 12,632,238 shares held of record by Robinhood II, LP, (b) 7,333,343 shares held of record by Robinhood III, LP and (c) 146,333 shares held of record by Nancy T. Chang. Ms. Chang resigned as a member of our board of directors on March 22, 2013. Ms. Chang has the power to direct investments and/or has the sole power to vote the securities owned by Robinhood II, LP and Robinhood III, LP, as the sole beneficiary and president of the general partner of such entities. The principal address of the entities associated with Robinhood II, LP is 101 Wescott St. #603, Houston, Texas 77007.</w:t>
      </w:r>
    </w:p>
    <w:p>
      <w:pPr>
        <w:spacing w:after="0" w:line="112" w:lineRule="exact"/>
        <w:rPr>
          <w:rFonts w:ascii="Arial" w:cs="Arial" w:eastAsia="Arial" w:hAnsi="Arial"/>
          <w:sz w:val="13"/>
          <w:szCs w:val="13"/>
          <w:color w:val="auto"/>
        </w:rPr>
      </w:pPr>
    </w:p>
    <w:p>
      <w:pPr>
        <w:ind w:left="1680" w:hanging="533"/>
        <w:spacing w:after="0" w:line="262" w:lineRule="auto"/>
        <w:tabs>
          <w:tab w:leader="none" w:pos="1680" w:val="left"/>
        </w:tabs>
        <w:numPr>
          <w:ilvl w:val="0"/>
          <w:numId w:val="76"/>
        </w:numPr>
        <w:rPr>
          <w:rFonts w:ascii="Arial" w:cs="Arial" w:eastAsia="Arial" w:hAnsi="Arial"/>
          <w:sz w:val="12"/>
          <w:szCs w:val="12"/>
          <w:color w:val="auto"/>
        </w:rPr>
      </w:pPr>
      <w:r>
        <w:rPr>
          <w:rFonts w:ascii="Arial" w:cs="Arial" w:eastAsia="Arial" w:hAnsi="Arial"/>
          <w:sz w:val="12"/>
          <w:szCs w:val="12"/>
          <w:color w:val="auto"/>
        </w:rPr>
        <w:t>Includes stock options to purchase 1,991,996 shares of common stock that are exercisable within 60 days of July 31, 2013. Does not include a planned stock option grant to Mr. Lin as of the closing of this offering, which option would vest over a four-year period beginning on the first anniversary of the closing of this offering and would be exercisable for a number of shares of our common stock such that Mr. Lin will hold stock and stock options for an aggregate of 6% of our outstanding securities on an as-converted and on an as-exercised basis. Any grant of these stock options will be subject to the satisfaction of certain conditions determined by our board of directors. See "Certain Relationships and Related Party Transactions —Stock Option Awards" for more detail on these conditions and the stock options mentioned above.</w:t>
      </w:r>
    </w:p>
    <w:p>
      <w:pPr>
        <w:spacing w:after="0" w:line="98" w:lineRule="exact"/>
        <w:rPr>
          <w:rFonts w:ascii="Arial" w:cs="Arial" w:eastAsia="Arial" w:hAnsi="Arial"/>
          <w:sz w:val="12"/>
          <w:szCs w:val="12"/>
          <w:color w:val="auto"/>
        </w:rPr>
      </w:pPr>
    </w:p>
    <w:p>
      <w:pPr>
        <w:ind w:left="1680" w:hanging="533"/>
        <w:spacing w:after="0" w:line="346" w:lineRule="auto"/>
        <w:tabs>
          <w:tab w:leader="none" w:pos="1680" w:val="left"/>
        </w:tabs>
        <w:numPr>
          <w:ilvl w:val="0"/>
          <w:numId w:val="76"/>
        </w:numPr>
        <w:rPr>
          <w:rFonts w:ascii="Arial" w:cs="Arial" w:eastAsia="Arial" w:hAnsi="Arial"/>
          <w:sz w:val="11"/>
          <w:szCs w:val="11"/>
          <w:color w:val="auto"/>
        </w:rPr>
      </w:pPr>
      <w:r>
        <w:rPr>
          <w:rFonts w:ascii="Arial" w:cs="Arial" w:eastAsia="Arial" w:hAnsi="Arial"/>
          <w:sz w:val="11"/>
          <w:szCs w:val="11"/>
          <w:color w:val="auto"/>
        </w:rPr>
        <w:t>Includes stock options to purchase 163,164 shares of common stock, and warrants held by Lina Yeh to purchase 23,555 shares of Series G preferred stock convertible to 23,555 shares of common stock, which in each is exercisable within 60 days of July 31, 2013. Also includes 530,002 shares of common stock held of record by Ms. Yeh. Ms. Yeh is Mr. Yeh's spouse.</w:t>
      </w:r>
    </w:p>
    <w:p>
      <w:pPr>
        <w:spacing w:after="0" w:line="54" w:lineRule="exact"/>
        <w:rPr>
          <w:rFonts w:ascii="Arial" w:cs="Arial" w:eastAsia="Arial" w:hAnsi="Arial"/>
          <w:sz w:val="11"/>
          <w:szCs w:val="11"/>
          <w:color w:val="auto"/>
        </w:rPr>
      </w:pPr>
    </w:p>
    <w:p>
      <w:pPr>
        <w:ind w:left="1680" w:right="20" w:hanging="533"/>
        <w:spacing w:after="0" w:line="256" w:lineRule="auto"/>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Includes stock options to purchase 37,500 shares of common stock that are exercisable within 60 days of July 31, 2013. Also includes 244,995 shares of common stock held of record by Heather Black. Ms. Black is Mr. Black's spouse.</w:t>
      </w:r>
    </w:p>
    <w:p>
      <w:pPr>
        <w:spacing w:after="0" w:line="100" w:lineRule="exact"/>
        <w:rPr>
          <w:rFonts w:ascii="Arial" w:cs="Arial" w:eastAsia="Arial" w:hAnsi="Arial"/>
          <w:sz w:val="13"/>
          <w:szCs w:val="13"/>
          <w:color w:val="auto"/>
        </w:rPr>
      </w:pPr>
    </w:p>
    <w:p>
      <w:pPr>
        <w:ind w:left="1680" w:hanging="533"/>
        <w:spacing w:after="0"/>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Includes stock options to purchase 530,517 shares of common stock that are exercisable within 60 days of July 31, 2013.</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Includes stock options to purchase 703,099 shares of common stock that are exercisable within 60 days of July 31, 2013.</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Includes stock options to purchase 404,124 shares of common stock that are exercisable within 60 days of July 31, 2013.</w:t>
      </w:r>
    </w:p>
    <w:p>
      <w:pPr>
        <w:spacing w:after="0" w:line="125" w:lineRule="exact"/>
        <w:rPr>
          <w:rFonts w:ascii="Arial" w:cs="Arial" w:eastAsia="Arial" w:hAnsi="Arial"/>
          <w:sz w:val="13"/>
          <w:szCs w:val="13"/>
          <w:color w:val="auto"/>
        </w:rPr>
      </w:pPr>
    </w:p>
    <w:p>
      <w:pPr>
        <w:ind w:left="1680" w:right="220" w:hanging="533"/>
        <w:spacing w:after="0" w:line="243" w:lineRule="auto"/>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Includes (i) stock options to purchase 4,676,233 shares of common stock that are exercisable within 60 days of July 31, 2013, (ii) warrants to purchase 144,000 shares of Series F preferred stock convertible to 172,802 shares of common stock that are exercisable within 60 days of July 31, 2013 and (iii) warrants to purchase 76,887 shares of Series G preferred stock convertible to 76,887 shares of common stock within 60 days of July 31, 2013.</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DESCRIPTION OF CAPITAL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jc w:val="both"/>
        <w:ind w:right="20" w:firstLine="338"/>
        <w:spacing w:after="0" w:line="270" w:lineRule="auto"/>
        <w:rPr>
          <w:sz w:val="20"/>
          <w:szCs w:val="20"/>
          <w:color w:val="auto"/>
        </w:rPr>
      </w:pPr>
      <w:r>
        <w:rPr>
          <w:rFonts w:ascii="Arial" w:cs="Arial" w:eastAsia="Arial" w:hAnsi="Arial"/>
          <w:sz w:val="17"/>
          <w:szCs w:val="17"/>
          <w:color w:val="auto"/>
        </w:rPr>
        <w:t>The following description of our capital stock is intended as a summary only and is qualified in its entirety by reference to our amended and restated certificate of incorporation and amended and restated bylaws to be in effect immediately prior to the closing of this offering, which are filed as exhibits to the registration statement, of which this prospectus forms a part.</w:t>
      </w:r>
    </w:p>
    <w:p>
      <w:pPr>
        <w:spacing w:after="0" w:line="179" w:lineRule="exact"/>
        <w:rPr>
          <w:sz w:val="20"/>
          <w:szCs w:val="20"/>
          <w:color w:val="auto"/>
        </w:rPr>
      </w:pPr>
    </w:p>
    <w:p>
      <w:pPr>
        <w:ind w:right="380" w:firstLine="341"/>
        <w:spacing w:after="0" w:line="282" w:lineRule="auto"/>
        <w:rPr>
          <w:sz w:val="20"/>
          <w:szCs w:val="20"/>
          <w:color w:val="auto"/>
        </w:rPr>
      </w:pPr>
      <w:r>
        <w:rPr>
          <w:rFonts w:ascii="Arial" w:cs="Arial" w:eastAsia="Arial" w:hAnsi="Arial"/>
          <w:sz w:val="17"/>
          <w:szCs w:val="17"/>
          <w:color w:val="auto"/>
        </w:rPr>
        <w:t>Upon completion of this offering, our authorized capital stock will consist of 45,000,000 shares of common stock, par value $0.001 per share, and 5,000,000 shares of undesignated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8" w:lineRule="exact"/>
        <w:rPr>
          <w:sz w:val="20"/>
          <w:szCs w:val="20"/>
          <w:color w:val="auto"/>
        </w:rPr>
      </w:pPr>
    </w:p>
    <w:p>
      <w:pPr>
        <w:ind w:firstLine="332"/>
        <w:spacing w:after="0" w:line="277" w:lineRule="auto"/>
        <w:rPr>
          <w:sz w:val="20"/>
          <w:szCs w:val="20"/>
          <w:color w:val="auto"/>
        </w:rPr>
      </w:pPr>
      <w:r>
        <w:rPr>
          <w:rFonts w:ascii="Arial" w:cs="Arial" w:eastAsia="Arial" w:hAnsi="Arial"/>
          <w:sz w:val="16"/>
          <w:szCs w:val="16"/>
          <w:color w:val="auto"/>
        </w:rPr>
        <w:t>As of June 30, 2013, there were 269,816,365 shares of our common stock outstanding and held of record by 351 stockholders, on an as-converted basis assuming the conversion of all outstanding shares of preferred stock. Holders of our common stock are entitled to one vote for each share of common stock held of record for the election of directors and on all matters submitted to a vote of stockholders. Holders of our common stock are also entitled to receive dividends ratably, if any, as may be declared by our board of directors out of legally available funds, subject to any preferential dividend rights of any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subscription, preemptive, redemption or conversion rights. The rights, preferences and privileges of holders of common stock are subject to, and may be adversely affected by, the rights of the holders of shares of any series of preferred stock that we may designate and issue in the future. Except with respect to the election of directors (which shall be determined by our stockholders by a plurality of the votes cast by the stockholders entitled to vote on the election) and as described below in "Provisions of our Certificate of Incorporation and Bylaws and Delaware Anti-Takeover Law," a majority vote of common stockholders is generally required to take action under our amended and restated certificate of incorporation and amended and restated bylaws.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8"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Upon the completion of this offering, our board of directors will be authorized, without action by the stockholders, to designate and issue up to an aggregate of 5,000,000 shares of preferred stock in one or more series. The board of directors can fix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delaying, deferring or preventing a change in control of our company and might harm the market price of our common stock.</w:t>
      </w:r>
    </w:p>
    <w:p>
      <w:pPr>
        <w:spacing w:after="0" w:line="176" w:lineRule="exact"/>
        <w:rPr>
          <w:sz w:val="20"/>
          <w:szCs w:val="20"/>
          <w:color w:val="auto"/>
        </w:rPr>
      </w:pPr>
    </w:p>
    <w:p>
      <w:pPr>
        <w:ind w:right="380" w:firstLine="341"/>
        <w:spacing w:after="0" w:line="282" w:lineRule="auto"/>
        <w:rPr>
          <w:sz w:val="20"/>
          <w:szCs w:val="20"/>
          <w:color w:val="auto"/>
        </w:rPr>
      </w:pPr>
      <w:r>
        <w:rPr>
          <w:rFonts w:ascii="Arial" w:cs="Arial" w:eastAsia="Arial" w:hAnsi="Arial"/>
          <w:sz w:val="17"/>
          <w:szCs w:val="17"/>
          <w:color w:val="auto"/>
        </w:rPr>
        <w:t>Our board of directors will make any determination to issue such shares based on its judgment as to our company's best interests and the best interests of our stockholders. We have no current plans to issue any shares of preferred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June 30, 2013, we had outstanding warrants to purchase:</w:t>
      </w:r>
    </w:p>
    <w:p>
      <w:pPr>
        <w:spacing w:after="0" w:line="237" w:lineRule="exact"/>
        <w:rPr>
          <w:sz w:val="20"/>
          <w:szCs w:val="20"/>
          <w:color w:val="auto"/>
        </w:rPr>
      </w:pPr>
    </w:p>
    <w:p>
      <w:pPr>
        <w:ind w:left="1060" w:right="80" w:hanging="531"/>
        <w:spacing w:after="0" w:line="263"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744,000 shares of our Series F preferred stock with an exercise price of $0.25 per share. These warrants will automatically convert upon the closing of this offering, unless earlier exercised by the holder, into a number of common shares determined by dividing (i) the aggregate fair market value of the underlying shares less the aggregate cost of those shares (using the exercise price of $0.25) by (ii) the then fair market value of one share. The fair market value of the shares are determined by either the closing price of the shares if traded on an exchange or the board of directors of the Company, if not traded on an exchange.</w:t>
      </w:r>
    </w:p>
    <w:p>
      <w:pPr>
        <w:spacing w:after="0" w:line="213" w:lineRule="exact"/>
        <w:rPr>
          <w:rFonts w:ascii="Arial" w:cs="Arial" w:eastAsia="Arial" w:hAnsi="Arial"/>
          <w:sz w:val="17"/>
          <w:szCs w:val="17"/>
          <w:color w:val="auto"/>
        </w:rPr>
      </w:pPr>
    </w:p>
    <w:p>
      <w:pPr>
        <w:ind w:left="1060" w:right="20" w:hanging="531"/>
        <w:spacing w:after="0" w:line="265"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650,000 shares of our Series F preferred stock with a weighted average exercise price of $0.38462 per share of which 250,000 shares are exercisable under a warrant issued to our U.S. lender with an exercise price of $0.60 per share. If these warrants have not been exercised prior to the closing of the offering, then, pursuant to their terms, the warrants shall automatically adjust to be exercisable for an aggregate of 780,011 shares of common stock at a weighted average exercise price of $0.32051 per share.</w:t>
      </w:r>
    </w:p>
    <w:p>
      <w:pPr>
        <w:spacing w:after="0" w:line="198" w:lineRule="exact"/>
        <w:rPr>
          <w:rFonts w:ascii="Arial" w:cs="Arial" w:eastAsia="Arial" w:hAnsi="Arial"/>
          <w:sz w:val="17"/>
          <w:szCs w:val="17"/>
          <w:color w:val="auto"/>
        </w:rPr>
      </w:pPr>
    </w:p>
    <w:p>
      <w:pPr>
        <w:ind w:left="1060" w:right="80" w:hanging="531"/>
        <w:spacing w:after="0" w:line="263"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99,109 shares of our Series G preferred stock with an exercise price of $0.60 per share. These warrants will automatically convert upon the closing of this offering, unless earlier exercised by the holder, into a number of common shares determined by dividing (i) the aggregate fair market value of the underlying shares less the aggregate cost of those shares (using the exercise price of $0.60) by (ii) the then fair market value of one share. The fair market value of the shares are determined by either the closing price of the shares if traded on an exchange or the board of directors of the Company, if not traded on an exchange.</w:t>
      </w:r>
    </w:p>
    <w:p>
      <w:pPr>
        <w:spacing w:after="0" w:line="200" w:lineRule="exact"/>
        <w:rPr>
          <w:rFonts w:ascii="Arial" w:cs="Arial" w:eastAsia="Arial" w:hAnsi="Arial"/>
          <w:sz w:val="17"/>
          <w:szCs w:val="17"/>
          <w:color w:val="auto"/>
        </w:rPr>
      </w:pPr>
    </w:p>
    <w:p>
      <w:pPr>
        <w:ind w:left="1060" w:right="240" w:hanging="531"/>
        <w:spacing w:after="0" w:line="352" w:lineRule="auto"/>
        <w:tabs>
          <w:tab w:leader="none" w:pos="10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200,000 shares of our Series G preferred stock with an exercise price of $0.35 per share. If this warrant has not been exercised prior to closing of the offering, then pursuant to its terms, the warrant shall automatically adjust to be exercisable for 200,000 shares of common stock at $0.35 per share.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ind w:firstLine="341"/>
        <w:spacing w:after="0" w:line="301" w:lineRule="auto"/>
        <w:rPr>
          <w:sz w:val="20"/>
          <w:szCs w:val="20"/>
          <w:color w:val="auto"/>
        </w:rPr>
      </w:pPr>
      <w:r>
        <w:rPr>
          <w:rFonts w:ascii="Arial" w:cs="Arial" w:eastAsia="Arial" w:hAnsi="Arial"/>
          <w:sz w:val="15"/>
          <w:szCs w:val="15"/>
          <w:color w:val="auto"/>
        </w:rPr>
        <w:t>Our board of directors approved giving certain registration rights to holders of our common stock and our redeemable Series A preferred stock in connection with this offering which rights are subject to conditions and limitations at the sole discretion of our board of directors, which rights are subject to conditions and limitations at the sole discretion of our board of directors. We have also entered into agreements with holders of our Series C, D, E, F and G preferred stock that give certain registration rights to such holders. Following the completion of this offering, there will be shares of our common stock, issued upon conversion of our preferred stock, entitled to such registration rights, excluding the shares issuable upon the exercise of warrants for our preferred stock. The registration rights granted under these registration rights agreements are subject to conditions and limitations, including our right to limit the number of shares included in such a registration upon advisement of the managing underwriter and our right not to effect a requested registration if the aggregate price to the public is less than $2,000,000.</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Demand registration rights</w:t>
      </w:r>
    </w:p>
    <w:p>
      <w:pPr>
        <w:spacing w:after="0" w:line="224" w:lineRule="exact"/>
        <w:rPr>
          <w:sz w:val="20"/>
          <w:szCs w:val="20"/>
          <w:color w:val="auto"/>
        </w:rPr>
      </w:pPr>
    </w:p>
    <w:p>
      <w:pPr>
        <w:ind w:right="280" w:firstLine="332"/>
        <w:spacing w:after="0" w:line="270" w:lineRule="auto"/>
        <w:rPr>
          <w:sz w:val="20"/>
          <w:szCs w:val="20"/>
          <w:color w:val="auto"/>
        </w:rPr>
      </w:pPr>
      <w:r>
        <w:rPr>
          <w:rFonts w:ascii="Arial" w:cs="Arial" w:eastAsia="Arial" w:hAnsi="Arial"/>
          <w:sz w:val="17"/>
          <w:szCs w:val="17"/>
          <w:color w:val="auto"/>
        </w:rPr>
        <w:t>At any time more than 180 days after the effective date of this offering, the holders of a majority of the shares of common stock issued upon conversion of our Series C, D, E, F and G preferred stock, subject to exceptions, are entitled to demand registration of all or any of such shares and require us to file a registration statement under the Securities Act at our expense.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S-3 demand registration rights</w:t>
      </w:r>
    </w:p>
    <w:p>
      <w:pPr>
        <w:spacing w:after="0" w:line="22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Following the closing of this offering, the holders of the shares of common stock issued upon conversion of our Series C, D, E, F and G preferred stock, subject to exceptions, are entitled to demand registration rights pursuant to which they may require us to file, as soon as practicable, one registration statement under the Securities Act on Form S-3 in any 12-month period with respect to these shares. We have the ability to delay the filing of a registration statement under specified conditions, such as if we are in possession of material non-public information that would not be in our best interests to disclose.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Piggyback registration rights</w:t>
      </w:r>
    </w:p>
    <w:p>
      <w:pPr>
        <w:spacing w:after="0" w:line="224" w:lineRule="exact"/>
        <w:rPr>
          <w:sz w:val="20"/>
          <w:szCs w:val="20"/>
          <w:color w:val="auto"/>
        </w:rPr>
      </w:pPr>
    </w:p>
    <w:p>
      <w:pPr>
        <w:ind w:right="140" w:firstLine="341"/>
        <w:spacing w:after="0" w:line="270" w:lineRule="auto"/>
        <w:rPr>
          <w:sz w:val="20"/>
          <w:szCs w:val="20"/>
          <w:color w:val="auto"/>
        </w:rPr>
      </w:pPr>
      <w:r>
        <w:rPr>
          <w:rFonts w:ascii="Arial" w:cs="Arial" w:eastAsia="Arial" w:hAnsi="Arial"/>
          <w:sz w:val="17"/>
          <w:szCs w:val="17"/>
          <w:color w:val="auto"/>
        </w:rPr>
        <w:t>If we propose to register any of our securities under the Securities Act for our own account or the account of any other holder, the holders of the shares of common stock issued upon conversion of our Series C, D, E, F and G preferred stock are entitled to notice of such registration and are entitled to include these shares in the registration, subject to exceptions, including our right to limit the number of shares included in the registration.</w:t>
      </w:r>
    </w:p>
    <w:p>
      <w:pPr>
        <w:spacing w:after="0" w:line="179" w:lineRule="exact"/>
        <w:rPr>
          <w:sz w:val="20"/>
          <w:szCs w:val="20"/>
          <w:color w:val="auto"/>
        </w:rPr>
      </w:pPr>
    </w:p>
    <w:p>
      <w:pPr>
        <w:ind w:right="160" w:firstLine="338"/>
        <w:spacing w:after="0" w:line="262" w:lineRule="auto"/>
        <w:rPr>
          <w:sz w:val="20"/>
          <w:szCs w:val="20"/>
          <w:color w:val="auto"/>
        </w:rPr>
      </w:pPr>
      <w:r>
        <w:rPr>
          <w:rFonts w:ascii="Arial" w:cs="Arial" w:eastAsia="Arial" w:hAnsi="Arial"/>
          <w:sz w:val="17"/>
          <w:szCs w:val="17"/>
          <w:color w:val="auto"/>
        </w:rPr>
        <w:t>We will pay all registration expenses, other than underwriting discounts and commissions and certain other expenses (including all fees and expenses of the consultants, advisors, attorneys, special experts and other third parties engaged by the holders of the shares of common stock issued upon conversion of our common stock and Series A, C, D, E, F and G preferred stock, and all relevant taxes, including transfer taxes), related to the foregoing demand, S-3 or piggyback registration rights. The registration rights agreements contain customary cross-indemnification provisions, pursuant to which we are obligated to indemnify the selling stockholders in the event of material misstatements or omissions in the registration statement attributable to us, and they are obligated to indemnify us for material misstatements or omissions attributable to them.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of Our Certificate of Incorporation and Bylaws and Delaware Anti-Takeover Law</w:t>
      </w:r>
    </w:p>
    <w:p>
      <w:pPr>
        <w:spacing w:after="0" w:line="228"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Our amended and restated certificate of incorporation and amended and restated bylaws will, immediately prior to the closing of this offering,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Board composition and filling vacancies</w:t>
      </w:r>
    </w:p>
    <w:p>
      <w:pPr>
        <w:spacing w:after="0" w:line="224" w:lineRule="exact"/>
        <w:rPr>
          <w:sz w:val="20"/>
          <w:szCs w:val="20"/>
          <w:color w:val="auto"/>
        </w:rPr>
      </w:pPr>
    </w:p>
    <w:p>
      <w:pPr>
        <w:ind w:right="40" w:firstLine="341"/>
        <w:spacing w:after="0" w:line="296" w:lineRule="auto"/>
        <w:rPr>
          <w:sz w:val="20"/>
          <w:szCs w:val="20"/>
          <w:color w:val="auto"/>
        </w:rPr>
      </w:pPr>
      <w:r>
        <w:rPr>
          <w:rFonts w:ascii="Arial" w:cs="Arial" w:eastAsia="Arial" w:hAnsi="Arial"/>
          <w:sz w:val="15"/>
          <w:szCs w:val="15"/>
          <w:color w:val="auto"/>
        </w:rPr>
        <w:t>In accordance with our amended and restated certificate of incorporation, our board of directors is divided into three classes serving staggered three year terms, with one class being elected each year. Our amended and restated certificate of incorporation also provides that directors may be removed only for cause and then only</w:t>
      </w:r>
    </w:p>
    <w:p>
      <w:pPr>
        <w:ind w:right="520"/>
        <w:spacing w:after="0" w:line="212" w:lineRule="auto"/>
        <w:rPr>
          <w:sz w:val="20"/>
          <w:szCs w:val="20"/>
          <w:color w:val="auto"/>
        </w:rPr>
      </w:pPr>
      <w:r>
        <w:rPr>
          <w:rFonts w:ascii="Arial" w:cs="Arial" w:eastAsia="Arial" w:hAnsi="Arial"/>
          <w:sz w:val="17"/>
          <w:szCs w:val="17"/>
          <w:color w:val="auto"/>
        </w:rPr>
        <w:t>by the affirmative vote of the holders of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or more of the shares then entitled to vote at an election of directors. Furthermore, any vacancy on our board of directors, however occurring, including a vacancy resulting from 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increase in the size of our board of directors, may only be filled by the affirmative vote of a majority of our directors then in office even if less than a quorum.</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 written consent of stockholders</w:t>
      </w:r>
    </w:p>
    <w:p>
      <w:pPr>
        <w:spacing w:after="0" w:line="224" w:lineRule="exact"/>
        <w:rPr>
          <w:sz w:val="20"/>
          <w:szCs w:val="20"/>
          <w:color w:val="auto"/>
        </w:rPr>
      </w:pPr>
    </w:p>
    <w:p>
      <w:pPr>
        <w:ind w:right="160" w:firstLine="341"/>
        <w:spacing w:after="0" w:line="282" w:lineRule="auto"/>
        <w:rPr>
          <w:sz w:val="20"/>
          <w:szCs w:val="20"/>
          <w:color w:val="auto"/>
        </w:rPr>
      </w:pPr>
      <w:r>
        <w:rPr>
          <w:rFonts w:ascii="Arial" w:cs="Arial" w:eastAsia="Arial" w:hAnsi="Arial"/>
          <w:sz w:val="17"/>
          <w:szCs w:val="17"/>
          <w:color w:val="auto"/>
        </w:rPr>
        <w:t>Our amended and restated certificate of incorporation provides that all stockholder actions are required to be taken by a vote of the stockholders at an annual or special meeting, and that stockholders may not take any action by written consent in lieu of a meeting.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Meetings of stockholders</w:t>
      </w:r>
    </w:p>
    <w:p>
      <w:pPr>
        <w:spacing w:after="0" w:line="224"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Our amended and restated bylaws provide that only a majority of the members of our board of directors then in office, the Chairman of the board of directors or the Chief Executive Officer may call special meetings of stockholders and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Advance notice requirements</w:t>
      </w:r>
    </w:p>
    <w:p>
      <w:pPr>
        <w:spacing w:after="0" w:line="224"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Our amended and restated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before the meeting at which the action is to be taken. Generally, to be timely, notice must be received at our principal executive offices not less than 90 days or more than 120 days before the first anniversary date of the annual meeting for the preceding year. The notice must contain certain information specified in the amended and restated bylaws.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Amendment to bylaws and certificate of incorporation</w:t>
      </w:r>
    </w:p>
    <w:p>
      <w:pPr>
        <w:spacing w:after="0" w:line="224" w:lineRule="exact"/>
        <w:rPr>
          <w:sz w:val="20"/>
          <w:szCs w:val="20"/>
          <w:color w:val="auto"/>
        </w:rPr>
      </w:pPr>
    </w:p>
    <w:p>
      <w:pPr>
        <w:ind w:right="60" w:firstLine="332"/>
        <w:spacing w:after="0" w:line="293" w:lineRule="auto"/>
        <w:rPr>
          <w:sz w:val="20"/>
          <w:szCs w:val="20"/>
          <w:color w:val="auto"/>
        </w:rPr>
      </w:pPr>
      <w:r>
        <w:rPr>
          <w:rFonts w:ascii="Arial" w:cs="Arial" w:eastAsia="Arial" w:hAnsi="Arial"/>
          <w:sz w:val="15"/>
          <w:szCs w:val="15"/>
          <w:color w:val="auto"/>
        </w:rPr>
        <w:t>As required by the Delaware General Corporation Law, any amendment of our amended and restated certificate of incorporation must first be approved by a majority of our board of directors and, if required by law or our amended and restated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amended and restated bylaws and amended and</w:t>
      </w:r>
    </w:p>
    <w:p>
      <w:pPr>
        <w:spacing w:after="0" w:line="3" w:lineRule="exact"/>
        <w:rPr>
          <w:sz w:val="20"/>
          <w:szCs w:val="20"/>
          <w:color w:val="auto"/>
        </w:rPr>
      </w:pPr>
    </w:p>
    <w:p>
      <w:pPr>
        <w:spacing w:after="0" w:line="245" w:lineRule="auto"/>
        <w:rPr>
          <w:sz w:val="20"/>
          <w:szCs w:val="20"/>
          <w:color w:val="auto"/>
        </w:rPr>
      </w:pPr>
      <w:r>
        <w:rPr>
          <w:rFonts w:ascii="Arial" w:cs="Arial" w:eastAsia="Arial" w:hAnsi="Arial"/>
          <w:sz w:val="15"/>
          <w:szCs w:val="15"/>
          <w:color w:val="auto"/>
        </w:rPr>
        <w:t>restated certificate of incorporation must be approved by not less than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3"/>
          <w:szCs w:val="13"/>
          <w:color w:val="auto"/>
        </w:rPr>
        <w:t>3</w:t>
      </w:r>
      <w:r>
        <w:rPr>
          <w:rFonts w:ascii="Arial" w:cs="Arial" w:eastAsia="Arial" w:hAnsi="Arial"/>
          <w:sz w:val="15"/>
          <w:szCs w:val="15"/>
          <w:color w:val="auto"/>
        </w:rPr>
        <w:t>% of the outstanding shares entitled to vote on the amendment, and not less than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3"/>
          <w:szCs w:val="13"/>
          <w:color w:val="auto"/>
        </w:rPr>
        <w:t>3</w:t>
      </w:r>
      <w:r>
        <w:rPr>
          <w:rFonts w:ascii="Arial" w:cs="Arial" w:eastAsia="Arial" w:hAnsi="Arial"/>
          <w:sz w:val="15"/>
          <w:szCs w:val="15"/>
          <w:color w:val="auto"/>
        </w:rPr>
        <w:t>% of the outstanding shares of each class entitled to vote thereon as a class. Our bylaws may be amended by the affirmative vote of a majority vote of the directors then in</w:t>
      </w:r>
    </w:p>
    <w:p>
      <w:pPr>
        <w:spacing w:after="0" w:line="1" w:lineRule="exact"/>
        <w:rPr>
          <w:sz w:val="20"/>
          <w:szCs w:val="20"/>
          <w:color w:val="auto"/>
        </w:rPr>
      </w:pPr>
    </w:p>
    <w:p>
      <w:pPr>
        <w:jc w:val="both"/>
        <w:ind w:right="120"/>
        <w:spacing w:after="0" w:line="225" w:lineRule="auto"/>
        <w:rPr>
          <w:sz w:val="20"/>
          <w:szCs w:val="20"/>
          <w:color w:val="auto"/>
        </w:rPr>
      </w:pPr>
      <w:r>
        <w:rPr>
          <w:rFonts w:ascii="Arial" w:cs="Arial" w:eastAsia="Arial" w:hAnsi="Arial"/>
          <w:sz w:val="17"/>
          <w:szCs w:val="17"/>
          <w:color w:val="auto"/>
        </w:rPr>
        <w:t>office, subject to any limitations set forth in the bylaws; and may also be amended by the affirmative vote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Blank check preferred stock</w:t>
      </w:r>
    </w:p>
    <w:p>
      <w:pPr>
        <w:spacing w:after="0" w:line="224" w:lineRule="exact"/>
        <w:rPr>
          <w:sz w:val="20"/>
          <w:szCs w:val="20"/>
          <w:color w:val="auto"/>
        </w:rPr>
      </w:pPr>
    </w:p>
    <w:p>
      <w:pPr>
        <w:ind w:right="440" w:firstLine="341"/>
        <w:spacing w:after="0" w:line="282" w:lineRule="auto"/>
        <w:rPr>
          <w:sz w:val="20"/>
          <w:szCs w:val="20"/>
          <w:color w:val="auto"/>
        </w:rPr>
      </w:pPr>
      <w:r>
        <w:rPr>
          <w:rFonts w:ascii="Arial" w:cs="Arial" w:eastAsia="Arial" w:hAnsi="Arial"/>
          <w:sz w:val="17"/>
          <w:szCs w:val="17"/>
          <w:color w:val="auto"/>
        </w:rPr>
        <w:t>Upon the completion of this offering, our amended and restated certificate of incorporation authorizes 5,000,000 shares of preferred stock. The existence of authorized but unissued shares of preferred stock may enable our board of directors to render more difficult or to discourage an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Choice of Forum</w:t>
      </w:r>
    </w:p>
    <w:p>
      <w:pPr>
        <w:spacing w:after="0" w:line="224" w:lineRule="exact"/>
        <w:rPr>
          <w:sz w:val="20"/>
          <w:szCs w:val="20"/>
          <w:color w:val="auto"/>
        </w:rPr>
      </w:pPr>
    </w:p>
    <w:p>
      <w:pPr>
        <w:ind w:right="100" w:firstLine="341"/>
        <w:spacing w:after="0" w:line="262"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will be the exclusive forum for: (a) any derivative action or proceeding brought on our behalf; (b) any action asserting a breach of fiduciary duty; (c) any action asserting a claim against us arising pursuant to the DGCL, our amended and restated certificate of incorporation or our amended or restated bylaws; or (d) any action asserting a claim against us that is governed by the internal affairs doctrine. However, several lawsuits involving other companies are currently pending challenging the validity of choice of forum provisions in certificates of incorporation, and it is possible that a court could rule that such provision is inapplicable or unenforceable.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the Delaware general corporation law</w:t>
      </w:r>
    </w:p>
    <w:p>
      <w:pPr>
        <w:spacing w:after="0" w:line="228"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Upon completion of this offering, we will be subject to the provisions of Section 203 of the Delaware General Corporation Law, or Section 203. In general, Section 203 prohibits a publicly held Delaware corporation from engaging in a "business combination" with an "interested stockholder" for a 3-year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the three years before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203" w:lineRule="exact"/>
        <w:rPr>
          <w:sz w:val="20"/>
          <w:szCs w:val="20"/>
          <w:color w:val="auto"/>
        </w:rPr>
      </w:pPr>
    </w:p>
    <w:p>
      <w:pPr>
        <w:ind w:left="1060" w:right="440" w:hanging="531"/>
        <w:spacing w:after="0" w:line="282"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before the stockholder became interested, the board of directors approved either the business combination or the transaction which resulted in the stockholder becoming an interested stockholder;</w:t>
      </w:r>
    </w:p>
    <w:p>
      <w:pPr>
        <w:spacing w:after="0" w:line="196" w:lineRule="exact"/>
        <w:rPr>
          <w:rFonts w:ascii="Arial" w:cs="Arial" w:eastAsia="Arial" w:hAnsi="Arial"/>
          <w:sz w:val="17"/>
          <w:szCs w:val="17"/>
          <w:color w:val="auto"/>
        </w:rPr>
      </w:pPr>
    </w:p>
    <w:p>
      <w:pPr>
        <w:jc w:val="both"/>
        <w:ind w:left="1060" w:right="120" w:hanging="531"/>
        <w:spacing w:after="0" w:line="294" w:lineRule="auto"/>
        <w:tabs>
          <w:tab w:leader="none" w:pos="10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75" w:lineRule="exact"/>
        <w:rPr>
          <w:rFonts w:ascii="Arial" w:cs="Arial" w:eastAsia="Arial" w:hAnsi="Arial"/>
          <w:sz w:val="16"/>
          <w:szCs w:val="16"/>
          <w:color w:val="auto"/>
        </w:rPr>
      </w:pPr>
    </w:p>
    <w:p>
      <w:pPr>
        <w:ind w:left="1060" w:right="660" w:hanging="531"/>
        <w:spacing w:after="0" w:line="282"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at or after the time the stockholder became interested, the business combination was approved by the board of directors of the corporation and authorized at an annual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220"/>
        <w:spacing w:after="0" w:line="282" w:lineRule="auto"/>
        <w:rPr>
          <w:sz w:val="20"/>
          <w:szCs w:val="20"/>
          <w:color w:val="auto"/>
        </w:rPr>
      </w:pPr>
      <w:r>
        <w:rPr>
          <w:rFonts w:ascii="Arial" w:cs="Arial" w:eastAsia="Arial" w:hAnsi="Arial"/>
          <w:sz w:val="17"/>
          <w:szCs w:val="17"/>
          <w:color w:val="auto"/>
        </w:rPr>
        <w:t>special meeting of the stockholders by the affirmative vote of at least two-thirds of the outstanding voting stock which is not owned by the interested stockholder.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NASDAQ Global Market Listing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applied to have our common stock listed on the NASDAQ Global Market under the trading symbol "AAOI."</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28" w:lineRule="exact"/>
        <w:rPr>
          <w:sz w:val="20"/>
          <w:szCs w:val="20"/>
          <w:color w:val="auto"/>
        </w:rPr>
      </w:pPr>
    </w:p>
    <w:p>
      <w:pPr>
        <w:ind w:firstLine="341"/>
        <w:spacing w:after="0" w:line="287" w:lineRule="auto"/>
        <w:rPr>
          <w:sz w:val="20"/>
          <w:szCs w:val="20"/>
          <w:color w:val="auto"/>
        </w:rPr>
      </w:pPr>
      <w:r>
        <w:rPr>
          <w:rFonts w:ascii="Arial" w:cs="Arial" w:eastAsia="Arial" w:hAnsi="Arial"/>
          <w:sz w:val="17"/>
          <w:szCs w:val="17"/>
          <w:color w:val="auto"/>
        </w:rPr>
        <w:t>Continental Stock Transfer &amp; Trust will act as the transfer agent and registrar for our common stock. The transfer agent and registrar's address is 17 Battery Place, 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10004.</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SHARES ELIGIBLE FOR FUTURE SALE</w:t>
      </w:r>
    </w:p>
    <w:p>
      <w:pPr>
        <w:spacing w:after="0" w:line="228"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Before this offering, there was no public market for our common stock. Future sales of substantial amounts of common stock in the public market, or the perception that such sales may occur, could adversely affect the market price of our common stock. Although we have applied to have our common stock approved for quotation on the NASDAQ Global Market, we cannot assure you that there will be an active public market for our common stock.</w:t>
      </w:r>
    </w:p>
    <w:p>
      <w:pPr>
        <w:spacing w:after="0" w:line="163"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Upon completion of this offering, we will have outstanding an aggregate of shares of common stock, assuming the issuance of the shares of common stock offered in this offering and no other exercise of outstanding options or warrants. Of these shares, all shares sold in this offering will be freely tradable without restriction or further registration under the Securities Act, except for any shares purchased by our "affiliates," as that term is defined in Rule 144(a) under the Securities Act, whose sales would be subject to certain limitations and restrictions described below.</w:t>
      </w:r>
    </w:p>
    <w:p>
      <w:pPr>
        <w:spacing w:after="0" w:line="185" w:lineRule="exact"/>
        <w:rPr>
          <w:sz w:val="20"/>
          <w:szCs w:val="20"/>
          <w:color w:val="auto"/>
        </w:rPr>
      </w:pPr>
    </w:p>
    <w:p>
      <w:pPr>
        <w:ind w:right="80" w:firstLine="338"/>
        <w:spacing w:after="0" w:line="275" w:lineRule="auto"/>
        <w:rPr>
          <w:sz w:val="20"/>
          <w:szCs w:val="20"/>
          <w:color w:val="auto"/>
        </w:rPr>
      </w:pPr>
      <w:r>
        <w:rPr>
          <w:rFonts w:ascii="Arial" w:cs="Arial" w:eastAsia="Arial" w:hAnsi="Arial"/>
          <w:sz w:val="16"/>
          <w:szCs w:val="16"/>
          <w:color w:val="auto"/>
        </w:rPr>
        <w:t>The remaining shares of common stock held by existing stockholders were issued and sold by us in reliance on exemptions from the registration requirements of the Securities Act. Of these shares, shares will be subject to "lock-up" agreements with the underwriters or us described below on the effective date of this offering. On the effective date of this offering, there will be shares that are not subject to lock-up agreements and are eligible for sale pursuant to Rule 144. Upon expiration of the lock-up agreements 180 days after the effective date of this offering, shares will become eligible for sale, subject in most</w:t>
      </w:r>
    </w:p>
    <w:p>
      <w:pPr>
        <w:spacing w:after="0" w:line="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cases to the limitations of Rule 144 and Rule 701. In addition, holders of stock options could exercise such options and sell certain of the shares issued upon exercise as described below.</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7"/>
              </w:rPr>
              <w:t>Shares eligible</w:t>
            </w:r>
          </w:p>
        </w:tc>
        <w:tc>
          <w:tcPr>
            <w:tcW w:w="1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40" w:type="dxa"/>
            <w:vAlign w:val="bottom"/>
            <w:gridSpan w:val="2"/>
          </w:tcPr>
          <w:p>
            <w:pPr>
              <w:spacing w:after="0"/>
              <w:rPr>
                <w:sz w:val="20"/>
                <w:szCs w:val="20"/>
                <w:color w:val="auto"/>
              </w:rPr>
            </w:pPr>
            <w:r>
              <w:rPr>
                <w:rFonts w:ascii="Arial" w:cs="Arial" w:eastAsia="Arial" w:hAnsi="Arial"/>
                <w:sz w:val="13"/>
                <w:szCs w:val="13"/>
                <w:b w:val="1"/>
                <w:bCs w:val="1"/>
                <w:color w:val="auto"/>
              </w:rPr>
              <w:t>Days or date after date of this prospectus</w:t>
            </w:r>
          </w:p>
        </w:tc>
        <w:tc>
          <w:tcPr>
            <w:tcW w:w="18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6"/>
              </w:rPr>
              <w:t>for sale</w:t>
            </w:r>
          </w:p>
        </w:tc>
        <w:tc>
          <w:tcPr>
            <w:tcW w:w="160" w:type="dxa"/>
            <w:vAlign w:val="bottom"/>
          </w:tcPr>
          <w:p>
            <w:pPr>
              <w:spacing w:after="0"/>
              <w:rPr>
                <w:sz w:val="13"/>
                <w:szCs w:val="13"/>
                <w:color w:val="auto"/>
              </w:rPr>
            </w:pPr>
          </w:p>
        </w:tc>
        <w:tc>
          <w:tcPr>
            <w:tcW w:w="3940" w:type="dxa"/>
            <w:vAlign w:val="bottom"/>
          </w:tcPr>
          <w:p>
            <w:pPr>
              <w:ind w:left="1700"/>
              <w:spacing w:after="0"/>
              <w:rPr>
                <w:sz w:val="20"/>
                <w:szCs w:val="20"/>
                <w:color w:val="auto"/>
              </w:rPr>
            </w:pPr>
            <w:r>
              <w:rPr>
                <w:rFonts w:ascii="Arial" w:cs="Arial" w:eastAsia="Arial" w:hAnsi="Arial"/>
                <w:sz w:val="13"/>
                <w:szCs w:val="13"/>
                <w:b w:val="1"/>
                <w:bCs w:val="1"/>
                <w:color w:val="auto"/>
              </w:rPr>
              <w:t>Comment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Upon effectiveness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Shares sold in the offering</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Upon effectiveness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100" w:type="dxa"/>
            <w:vAlign w:val="bottom"/>
            <w:gridSpan w:val="2"/>
          </w:tcPr>
          <w:p>
            <w:pPr>
              <w:ind w:left="160"/>
              <w:spacing w:after="0"/>
              <w:rPr>
                <w:sz w:val="20"/>
                <w:szCs w:val="20"/>
                <w:color w:val="auto"/>
              </w:rPr>
            </w:pPr>
            <w:r>
              <w:rPr>
                <w:rFonts w:ascii="Arial" w:cs="Arial" w:eastAsia="Arial" w:hAnsi="Arial"/>
                <w:sz w:val="17"/>
                <w:szCs w:val="17"/>
                <w:color w:val="auto"/>
              </w:rPr>
              <w:t>Freely tradable shares that may be sold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2"/>
          </w:tcPr>
          <w:p>
            <w:pPr>
              <w:ind w:left="160"/>
              <w:spacing w:after="0"/>
              <w:rPr>
                <w:sz w:val="20"/>
                <w:szCs w:val="20"/>
                <w:color w:val="auto"/>
              </w:rPr>
            </w:pPr>
            <w:r>
              <w:rPr>
                <w:rFonts w:ascii="Arial" w:cs="Arial" w:eastAsia="Arial" w:hAnsi="Arial"/>
                <w:sz w:val="17"/>
                <w:szCs w:val="17"/>
                <w:color w:val="auto"/>
              </w:rPr>
              <w:t>Rule 144(k) and are not subject to the lock-up</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180 days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1"/>
              </w:rPr>
              <w:t>Lock-ups released, subject to extension; shares that may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be sold under Rules 144 and 701</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28" w:lineRule="exact"/>
        <w:rPr>
          <w:sz w:val="20"/>
          <w:szCs w:val="20"/>
          <w:color w:val="auto"/>
        </w:rPr>
      </w:pPr>
    </w:p>
    <w:p>
      <w:pPr>
        <w:ind w:right="20" w:firstLine="338"/>
        <w:spacing w:after="0" w:line="280" w:lineRule="auto"/>
        <w:rPr>
          <w:sz w:val="20"/>
          <w:szCs w:val="20"/>
          <w:color w:val="auto"/>
        </w:rPr>
      </w:pPr>
      <w:r>
        <w:rPr>
          <w:rFonts w:ascii="Arial" w:cs="Arial" w:eastAsia="Arial" w:hAnsi="Arial"/>
          <w:sz w:val="16"/>
          <w:szCs w:val="16"/>
          <w:color w:val="auto"/>
        </w:rPr>
        <w:t>We, and all directors and officers, and holders of substantially all of our outstanding stock and stock options (including the selling stockholders) have agreed that, subject to certain exceptions, without the prior written consent of Raymond James and Piper Jaffray, as representatives on behalf of the underwriters, we and they will not, during the period ending 180 days after the date of the final prospectus relating to this offering, dispose any shares of our stock or options, warrants or other securities with respect to our stock, enter into any swap or other arrangement that transfers to another, in whole or in part, any of the economic consequences of ownership of our common stock, or file or cause to be filed any registration statement with the Securities and Exchange Commission relating to the offering of any shares of common stock or any securities convertible into or exercisable or exchangeable for common stock (other than any registration statement on Form S-8). There are no agreements between Raymond James and Piper Jaffray, as representatives on behalf of the underwriters, our company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and any of our securityholders or affiliates releasing them from these lock-up agreements prior to the expiration of the 180-day period.</w:t>
      </w:r>
    </w:p>
    <w:p>
      <w:pPr>
        <w:spacing w:after="0" w:line="224"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The agreements to not contain any pre-established conditions to the waiver by Raymond James and Piper Jaffray on behalf of the underwriters of any terms of the lock-up agreements. Any determination to release shares subject to the lock-up agreements would be based on a number of factors at the time of the determination, including but not necessarily limited to the market price of the common stock, the liquidity of the trading market for the common stock, general market conditions, the number of shares proposed to be sold and the timing, purpose and terms of the proposed sale.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28" w:lineRule="exact"/>
        <w:rPr>
          <w:sz w:val="20"/>
          <w:szCs w:val="20"/>
          <w:color w:val="auto"/>
        </w:rPr>
      </w:pPr>
    </w:p>
    <w:p>
      <w:pPr>
        <w:ind w:right="20" w:firstLine="341"/>
        <w:spacing w:after="0" w:line="306" w:lineRule="auto"/>
        <w:rPr>
          <w:sz w:val="20"/>
          <w:szCs w:val="20"/>
          <w:color w:val="auto"/>
        </w:rPr>
      </w:pPr>
      <w:r>
        <w:rPr>
          <w:rFonts w:ascii="Arial" w:cs="Arial" w:eastAsia="Arial" w:hAnsi="Arial"/>
          <w:sz w:val="15"/>
          <w:szCs w:val="15"/>
          <w:color w:val="auto"/>
        </w:rPr>
        <w:t>In general, under Rule 144 as currently in effect, beginning 90 days after the effective date of the registration statement of which this prospectus is a part, a person who is not our affiliate and has not been our affiliate at any time during the preceding 90 days and who is not a party to a lock-up agreement as described above will be entitled to sell any shares of our common stock that such person has beneficially owned for at least six months, including the holding period of any prior owner other than one of our affiliates, without regard to manner of sale, volume limitations or notice provisions of Rule 144. These sales of our common stock by any such person would be subject to the availability of current public information about us if the shares to be sold were beneficially owned by such person for less than one year.</w:t>
      </w:r>
    </w:p>
    <w:p>
      <w:pPr>
        <w:spacing w:after="0" w:line="159" w:lineRule="exact"/>
        <w:rPr>
          <w:sz w:val="20"/>
          <w:szCs w:val="20"/>
          <w:color w:val="auto"/>
        </w:rPr>
      </w:pPr>
    </w:p>
    <w:p>
      <w:pPr>
        <w:ind w:right="380" w:firstLine="341"/>
        <w:spacing w:after="0" w:line="282" w:lineRule="auto"/>
        <w:rPr>
          <w:sz w:val="20"/>
          <w:szCs w:val="20"/>
          <w:color w:val="auto"/>
        </w:rPr>
      </w:pPr>
      <w:r>
        <w:rPr>
          <w:rFonts w:ascii="Arial" w:cs="Arial" w:eastAsia="Arial" w:hAnsi="Arial"/>
          <w:sz w:val="17"/>
          <w:szCs w:val="17"/>
          <w:color w:val="auto"/>
        </w:rPr>
        <w:t>In addition, under Rule 144, a person may sell shares of our common stock acquired from us immediately upon the closing of this offering, without regard to volume limitations or the availability of public information about us, if:</w:t>
      </w:r>
    </w:p>
    <w:p>
      <w:pPr>
        <w:spacing w:after="0" w:line="183" w:lineRule="exact"/>
        <w:rPr>
          <w:sz w:val="20"/>
          <w:szCs w:val="20"/>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person is not our affiliate and has not been our affiliate at any time during the preceding 90 days; and</w:t>
      </w:r>
    </w:p>
    <w:p>
      <w:pPr>
        <w:spacing w:after="0" w:line="250" w:lineRule="exact"/>
        <w:rPr>
          <w:rFonts w:ascii="Arial" w:cs="Arial" w:eastAsia="Arial" w:hAnsi="Arial"/>
          <w:sz w:val="17"/>
          <w:szCs w:val="17"/>
          <w:color w:val="auto"/>
        </w:rPr>
      </w:pPr>
    </w:p>
    <w:p>
      <w:pPr>
        <w:ind w:left="1060" w:right="440" w:hanging="531"/>
        <w:spacing w:after="0" w:line="282"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person has beneficially owned the shares to be sold for at least one year, including the holding period of any prior owner other than one of our affiliates.</w:t>
      </w:r>
    </w:p>
    <w:p>
      <w:pPr>
        <w:spacing w:after="0" w:line="170" w:lineRule="exact"/>
        <w:rPr>
          <w:sz w:val="20"/>
          <w:szCs w:val="20"/>
          <w:color w:val="auto"/>
        </w:rPr>
      </w:pPr>
    </w:p>
    <w:p>
      <w:pPr>
        <w:jc w:val="both"/>
        <w:ind w:right="180" w:firstLine="341"/>
        <w:spacing w:after="0" w:line="270" w:lineRule="auto"/>
        <w:rPr>
          <w:sz w:val="20"/>
          <w:szCs w:val="20"/>
          <w:color w:val="auto"/>
        </w:rPr>
      </w:pPr>
      <w:r>
        <w:rPr>
          <w:rFonts w:ascii="Arial" w:cs="Arial" w:eastAsia="Arial" w:hAnsi="Arial"/>
          <w:sz w:val="17"/>
          <w:szCs w:val="17"/>
          <w:color w:val="auto"/>
        </w:rPr>
        <w:t>Beginning 90 days after the date of this prospectus, subject to the lock-up agreements described above, our affiliates who have beneficially owned shares of our common stock for at least six months, including the holding period of any prior owner other than one of our affiliates, will be entitled to sell within any three-month period a number of shares that does not exceed the greater of:</w:t>
      </w:r>
    </w:p>
    <w:p>
      <w:pPr>
        <w:spacing w:after="0" w:line="192" w:lineRule="exact"/>
        <w:rPr>
          <w:sz w:val="20"/>
          <w:szCs w:val="20"/>
          <w:color w:val="auto"/>
        </w:rPr>
      </w:pPr>
    </w:p>
    <w:p>
      <w:pPr>
        <w:ind w:left="1060" w:hanging="531"/>
        <w:spacing w:after="0"/>
        <w:tabs>
          <w:tab w:leader="none" w:pos="10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1% of the number of shares of our common stock then outstanding, which will equal approximately shares immediately after this offering; and</w:t>
      </w:r>
    </w:p>
    <w:p>
      <w:pPr>
        <w:spacing w:after="0" w:line="248"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average weekly trading volume in our common stock on the NASDAQ Global Market during the four calendar weeks preceding the date of filing of a Notice of Proposed Sale of Securities Pursuant to Rule 144 with respect to the sale.</w:t>
      </w:r>
    </w:p>
    <w:p>
      <w:pPr>
        <w:spacing w:after="0" w:line="170"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Sales under Rule 144 by our affiliates are also subject to manner of sale provisions and notice requirements and to the availability of current public information about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228"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Rule 701 of the Securities Act, as in effect on the date of this prospectus, permits resales of shares in reliance upon Rule 144 but without compliance with certain restrictions of Rule 144, including the holding period requirement. Most of our employees, executive officers, directors or consultants who purchased shares under a written compensatory plan or contract may be entitled to rely on the resale provisions of Rule 701, but all holders of Rule 701 shares are required to wait until 90 days after the date of this prospectus before selling their shares. All of the Rule 701 shares are subject to lock-up agreements as described under the heading "Underwriting" and will become eligible for sale at the expiration of those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228" w:lineRule="exact"/>
        <w:rPr>
          <w:sz w:val="20"/>
          <w:szCs w:val="20"/>
          <w:color w:val="auto"/>
        </w:rPr>
      </w:pPr>
    </w:p>
    <w:p>
      <w:pPr>
        <w:ind w:right="140" w:firstLine="338"/>
        <w:spacing w:after="0" w:line="265"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all shares of common stock subject to outstanding stock options and common stock issued or issuable under our stock plans. We expect to file the registration statement covering shares offered pursuant to our stock plans shortly after the date of this prospectus, permitting the resale of such shares by non-affiliates in the public market without restriction under the Securities Act and the sale by affiliates in the public market, subject to applicable volume limitations.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jc w:val="both"/>
        <w:ind w:right="460" w:firstLine="341"/>
        <w:spacing w:after="0" w:line="270" w:lineRule="auto"/>
        <w:rPr>
          <w:sz w:val="20"/>
          <w:szCs w:val="20"/>
          <w:color w:val="auto"/>
        </w:rPr>
      </w:pPr>
      <w:r>
        <w:rPr>
          <w:rFonts w:ascii="Arial" w:cs="Arial" w:eastAsia="Arial" w:hAnsi="Arial"/>
          <w:sz w:val="17"/>
          <w:szCs w:val="17"/>
          <w:color w:val="auto"/>
        </w:rPr>
        <w:t>Upon the closing of this offering, the holders of approximately shares of our common stock will be eligible to exercise certain rights with respect to the registration of such shares under the Securities Act. See "Description of Capital Stock—Registration Rights." Upon the effectiveness of a registration statement covering these shares, such shares would become freely tradable.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MATERIAL U.S. FEDERAL TAX CONSIDERATIONS FOR NON-U.S. HOLDERS</w:t>
      </w:r>
    </w:p>
    <w:p>
      <w:pPr>
        <w:spacing w:after="0" w:line="228" w:lineRule="exact"/>
        <w:rPr>
          <w:sz w:val="20"/>
          <w:szCs w:val="20"/>
          <w:color w:val="auto"/>
        </w:rPr>
      </w:pPr>
    </w:p>
    <w:p>
      <w:pPr>
        <w:jc w:val="both"/>
        <w:ind w:right="420" w:firstLine="338"/>
        <w:spacing w:after="0" w:line="270" w:lineRule="auto"/>
        <w:rPr>
          <w:sz w:val="20"/>
          <w:szCs w:val="20"/>
          <w:color w:val="auto"/>
        </w:rPr>
      </w:pPr>
      <w:r>
        <w:rPr>
          <w:rFonts w:ascii="Arial" w:cs="Arial" w:eastAsia="Arial" w:hAnsi="Arial"/>
          <w:sz w:val="17"/>
          <w:szCs w:val="17"/>
          <w:color w:val="auto"/>
        </w:rPr>
        <w:t>This section summarizes the material U.S. federal income and estate tax consequences of the ownership and disposition of our common stock by a non-U.S. holder. For purposes of this summary, a "non-U.S. holder" is any beneficial owner that for U.S. federal income tax purposes is not a U.S. person. The term "U.S. person" means:</w:t>
      </w:r>
    </w:p>
    <w:p>
      <w:pPr>
        <w:spacing w:after="0" w:line="192" w:lineRule="exact"/>
        <w:rPr>
          <w:sz w:val="20"/>
          <w:szCs w:val="20"/>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 individual citizen or resident of the U.S.;</w:t>
      </w:r>
    </w:p>
    <w:p>
      <w:pPr>
        <w:spacing w:after="0" w:line="250" w:lineRule="exact"/>
        <w:rPr>
          <w:rFonts w:ascii="Arial" w:cs="Arial" w:eastAsia="Arial" w:hAnsi="Arial"/>
          <w:sz w:val="17"/>
          <w:szCs w:val="17"/>
          <w:color w:val="auto"/>
        </w:rPr>
      </w:pPr>
    </w:p>
    <w:p>
      <w:pPr>
        <w:ind w:left="1060" w:right="480" w:hanging="531"/>
        <w:spacing w:after="0" w:line="282"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corporation or entity treated as a corporation for U.S. federal income tax purposes, created or organized under the laws of the U.S. or any state, including the District of Columbia, or otherwise treated as such for U.S. federal income tax purposes;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 regardless of source; or</w:t>
      </w:r>
    </w:p>
    <w:p>
      <w:pPr>
        <w:spacing w:after="0" w:line="237" w:lineRule="exact"/>
        <w:rPr>
          <w:rFonts w:ascii="Arial" w:cs="Arial" w:eastAsia="Arial" w:hAnsi="Arial"/>
          <w:sz w:val="17"/>
          <w:szCs w:val="17"/>
          <w:color w:val="auto"/>
        </w:rPr>
      </w:pPr>
    </w:p>
    <w:p>
      <w:pPr>
        <w:ind w:left="1060" w:right="360" w:hanging="531"/>
        <w:spacing w:after="0" w:line="270"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trust (i) whose administration is subject to the primary supervision of a court within the U.S. and which has one or more U.S. persons who have authority to control all substantive decisions of the trust or (ii) which has a valid election in effect under applicable U.S. Treasury regulations to be treated as a U.S. person.</w:t>
      </w:r>
    </w:p>
    <w:p>
      <w:pPr>
        <w:spacing w:after="0" w:line="179" w:lineRule="exact"/>
        <w:rPr>
          <w:sz w:val="20"/>
          <w:szCs w:val="20"/>
          <w:color w:val="auto"/>
        </w:rPr>
      </w:pPr>
    </w:p>
    <w:p>
      <w:pPr>
        <w:jc w:val="both"/>
        <w:ind w:right="20" w:firstLine="341"/>
        <w:spacing w:after="0" w:line="263" w:lineRule="auto"/>
        <w:rPr>
          <w:sz w:val="20"/>
          <w:szCs w:val="20"/>
          <w:color w:val="auto"/>
        </w:rPr>
      </w:pPr>
      <w:r>
        <w:rPr>
          <w:rFonts w:ascii="Arial" w:cs="Arial" w:eastAsia="Arial" w:hAnsi="Arial"/>
          <w:sz w:val="17"/>
          <w:szCs w:val="17"/>
          <w:color w:val="auto"/>
        </w:rPr>
        <w:t>Generally, an individual may be treated as a resident of the U.S. in any calendar year for U.S. federal income tax purposes by, among other ways, being present in the U.S. for at least 31 days in that calendar year and for an aggregate of at least 183 days during a three-year period ending in the current calendar year. For purposes of this calculation, such individual would count all of the days in which the individual was present in the current year, one-third of the days present in the immediately preceding year, and one-sixth of the days present in the second preceding year. Residents are taxed for U.S. federal income tax purposes as if they were citizens of the U.S.</w:t>
      </w:r>
    </w:p>
    <w:p>
      <w:pPr>
        <w:spacing w:after="0" w:line="187"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This summary does not consider the tax consequences for partnerships, entities classified as a partnership for U.S. federal income tax purposes, or persons who hold their interests through a partnership or other entity classified as a partnership for U.S. federal income tax purposes. If a partnership, including any entity treated as a partnership for U.S. federal income tax purposes, is a beneficial owner of common stock, the tax treatment of a partner in the partnership will depend upon the status of the partner and the activities of the partnership. Partnerships that are beneficial owners of our common stock, and partners in such partnerships, should consult their tax advisors regarding the tax consequences to them of the ownership and disposition of our common stock.</w:t>
      </w:r>
    </w:p>
    <w:p>
      <w:pPr>
        <w:spacing w:after="0" w:line="174" w:lineRule="exact"/>
        <w:rPr>
          <w:sz w:val="20"/>
          <w:szCs w:val="20"/>
          <w:color w:val="auto"/>
        </w:rPr>
      </w:pPr>
    </w:p>
    <w:p>
      <w:pPr>
        <w:ind w:firstLine="338"/>
        <w:spacing w:after="0" w:line="279" w:lineRule="auto"/>
        <w:rPr>
          <w:sz w:val="20"/>
          <w:szCs w:val="20"/>
          <w:color w:val="auto"/>
        </w:rPr>
      </w:pPr>
      <w:r>
        <w:rPr>
          <w:rFonts w:ascii="Arial" w:cs="Arial" w:eastAsia="Arial" w:hAnsi="Arial"/>
          <w:sz w:val="16"/>
          <w:szCs w:val="16"/>
          <w:color w:val="auto"/>
        </w:rPr>
        <w:t>This summary applies only to non-U.S. holders who acquire our common stock pursuant to this offering and who hold our common stock as a capital asset (generally property held for investment). This summary generally does not address tax considerations that may be relevant to particular investors because of their specific circumstances, or because they are subject to special rules. Certain former U.S. citizens or long-term residents, controlled foreign corporations, passive foreign investment companies, corporations that accumulate earnings to avoid U.S. federal income tax, life insurance companies, tax-exempt organizations, dealers in securities or currencies, brokers, banks or other financial institutions, certain trusts, hybrid entities, pension funds and investors that hold our common stock as part of a hedge, straddle or conversion transaction are among those categories of potential investors that are subject to special rules not covered in this discussion. This summary does not address any U.S. federal gift tax consequences, or state or local or non-U.S. tax consequences. This summary does not provide a complete analysis of all potential tax considerations. The information provided below is based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on existing authorities. These authorities may change, or the Internal Revenue Service, or IRS, might interpret the existing authorities differently. In either case, the tax considerations of owning or disposing of common stock could differ from those described below.</w:t>
      </w:r>
    </w:p>
    <w:p>
      <w:pPr>
        <w:spacing w:after="0" w:line="170" w:lineRule="exact"/>
        <w:rPr>
          <w:sz w:val="20"/>
          <w:szCs w:val="20"/>
          <w:color w:val="auto"/>
        </w:rPr>
      </w:pPr>
    </w:p>
    <w:p>
      <w:pPr>
        <w:ind w:right="500" w:firstLine="341"/>
        <w:spacing w:after="0" w:line="270" w:lineRule="auto"/>
        <w:rPr>
          <w:sz w:val="20"/>
          <w:szCs w:val="20"/>
          <w:color w:val="auto"/>
        </w:rPr>
      </w:pPr>
      <w:r>
        <w:rPr>
          <w:rFonts w:ascii="Arial" w:cs="Arial" w:eastAsia="Arial" w:hAnsi="Arial"/>
          <w:sz w:val="17"/>
          <w:szCs w:val="17"/>
          <w:color w:val="auto"/>
        </w:rPr>
        <w:t>INVESTORS CONSIDERING THE PURCHASE OF COMMON STOCK SHOULD CONSULT THEIR OWN TAX ADVISORS REGARDING THE APPLICATION OF THE U.S. FEDERAL INCOME AND ESTATE TAX LAWS TO THEIR PARTICULAR SITUATIONS AND THE CONSEQUENCES OF OTHER U.S. FEDERAL, STATE, OR LOCAL OR NON-U.S. LAWS AND ANY APPLICABLE TAX TREATIES.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28"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Payments of cash and other property that we make to our shareholders with respect to our common stock will constitute dividends to the extent paid from our current or accumulated earnings and profits, as determined under U.S. federal income tax principles. To the extent those dividends exceed our current and accumulated earnings and profits, the dividends will constitute a return of capital and will first reduce a holder's basis, but not below zero, and then will be treated as gain from the sale of stock.</w:t>
      </w:r>
    </w:p>
    <w:p>
      <w:pPr>
        <w:spacing w:after="0" w:line="185"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gross amount of any dividend (out of earnings and profits) paid to a non-U.S. holder of common stock generally will be subject to U.S. withholding tax at a rate of 30% unless the holder is entitled to an exemption from or reduced rate of withholding under an applicable income tax treaty. In order to receive an exemption or a reduced treaty rate, prior to the payment of a dividend, a non-U.S. holder must provide us with an IRS Form W-8BEN (or successor form) certifying qualification for the exemption or reduced rate.</w:t>
      </w:r>
    </w:p>
    <w:p>
      <w:pPr>
        <w:spacing w:after="0" w:line="185"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Dividends received by a non-U.S. holder that are effectively connected with a U.S. trade or business conducted by the non-U.S. holder (and dividends attributable to a non-U.S. holder's permanent establishment in the U.S. if an income tax treaty applies) are exempt from this withholding tax. To obtain this exemption, prior to the payment of a dividend, a non-U.S. holder must provide us with an IRS Form W-8ECI (or successor form) properly certifying this exemption. Effectively connected dividends (or dividends attributable to a permanent establishment in the U.S. if an income tax treaty applies), although not subject to withholding tax, are taxed at the same graduated rates applicable to U.S. persons, net of certain deductions and credits. In addition, dividends received by a corporate non-U.S. holder that are effectively connected with a U.S. trade or business of the corporate non-U.S. holder (or dividends attributable to a corporate non-U.S. holder's permanent establishment in the U.S. if an income tax treaty applies) may also be subject to a branch profits tax at a rate of 30% (or such lower rate as may be specified by an applicable income tax treaty).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non-U.S. holder who provides us with an IRS Form W-8BEN or an IRS Form W-8ECI will be required to periodically update such form.</w:t>
      </w:r>
    </w:p>
    <w:p>
      <w:pPr>
        <w:spacing w:after="0" w:line="224" w:lineRule="exact"/>
        <w:rPr>
          <w:sz w:val="20"/>
          <w:szCs w:val="20"/>
          <w:color w:val="auto"/>
        </w:rPr>
      </w:pPr>
    </w:p>
    <w:p>
      <w:pPr>
        <w:ind w:right="460" w:firstLine="332"/>
        <w:spacing w:after="0" w:line="282" w:lineRule="auto"/>
        <w:rPr>
          <w:sz w:val="20"/>
          <w:szCs w:val="20"/>
          <w:color w:val="auto"/>
        </w:rPr>
      </w:pPr>
      <w:r>
        <w:rPr>
          <w:rFonts w:ascii="Arial" w:cs="Arial" w:eastAsia="Arial" w:hAnsi="Arial"/>
          <w:sz w:val="17"/>
          <w:szCs w:val="17"/>
          <w:color w:val="auto"/>
        </w:rPr>
        <w:t>A non-U.S. holder of common stock that is eligible for a reduced rate of withholding tax pursuant to an income tax treaty may obtain a refund of any excess amounts currently withheld if an appropriate claim for refund is timely filed with the IRS.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Common Stock</w:t>
      </w:r>
    </w:p>
    <w:p>
      <w:pPr>
        <w:spacing w:after="0" w:line="228" w:lineRule="exact"/>
        <w:rPr>
          <w:sz w:val="20"/>
          <w:szCs w:val="20"/>
          <w:color w:val="auto"/>
        </w:rPr>
      </w:pPr>
    </w:p>
    <w:p>
      <w:pPr>
        <w:ind w:right="380" w:firstLine="332"/>
        <w:spacing w:after="0" w:line="282" w:lineRule="auto"/>
        <w:rPr>
          <w:sz w:val="20"/>
          <w:szCs w:val="20"/>
          <w:color w:val="auto"/>
        </w:rPr>
      </w:pPr>
      <w:r>
        <w:rPr>
          <w:rFonts w:ascii="Arial" w:cs="Arial" w:eastAsia="Arial" w:hAnsi="Arial"/>
          <w:sz w:val="17"/>
          <w:szCs w:val="17"/>
          <w:color w:val="auto"/>
        </w:rPr>
        <w:t>A non-U.S. holder will generally not be subject to U.S. federal income tax on any gains realized on the sale, exchange or other disposition of common stock unless:</w:t>
      </w:r>
    </w:p>
    <w:p>
      <w:pPr>
        <w:spacing w:after="0" w:line="183" w:lineRule="exact"/>
        <w:rPr>
          <w:sz w:val="20"/>
          <w:szCs w:val="20"/>
          <w:color w:val="auto"/>
        </w:rPr>
      </w:pPr>
    </w:p>
    <w:p>
      <w:pPr>
        <w:ind w:left="1060" w:right="120" w:hanging="531"/>
        <w:spacing w:after="0" w:line="265"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gain is effectively connected with a U.S. trade or business of the non-U.S. holder (or attributable to a permanent establishment in the U.S. if an income tax treaty applies), in which case the non-U.S. holder generally will be required to pay tax on the net gain derived from the sale under regular graduated U.S. federal income tax rates and, if the non-U.S. holder is a corporation, the branch profits tax may apply, at a 30% rate or such lower rate as may be specified by an applicable income tax treaty;</w:t>
      </w:r>
    </w:p>
    <w:p>
      <w:pPr>
        <w:spacing w:after="0" w:line="211" w:lineRule="exact"/>
        <w:rPr>
          <w:rFonts w:ascii="Arial" w:cs="Arial" w:eastAsia="Arial" w:hAnsi="Arial"/>
          <w:sz w:val="17"/>
          <w:szCs w:val="17"/>
          <w:color w:val="auto"/>
        </w:rPr>
      </w:pPr>
    </w:p>
    <w:p>
      <w:pPr>
        <w:ind w:left="1060" w:right="100" w:hanging="531"/>
        <w:spacing w:after="0" w:line="263"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U.S. for a period or periods aggregating 183 days or more during the calendar year in which the sale or disposition occurs and certain other conditions are met, in which case the non-U.S. holder will be required to pay a flat 30% tax (or such lower rate as may be specified by an applicable income tax treaty between the U.S. and such non-U.S. holder's country of residence) on the net gain derived from the disposition, which tax may be offset by U.S. source capital losses, if any, provided that the non-U.S. holder has timely filed U.S. federal income tax returns with respect to such losses; or</w:t>
      </w:r>
    </w:p>
    <w:p>
      <w:pPr>
        <w:spacing w:after="0" w:line="200" w:lineRule="exact"/>
        <w:rPr>
          <w:rFonts w:ascii="Arial" w:cs="Arial" w:eastAsia="Arial" w:hAnsi="Arial"/>
          <w:sz w:val="17"/>
          <w:szCs w:val="17"/>
          <w:color w:val="auto"/>
        </w:rPr>
      </w:pPr>
    </w:p>
    <w:p>
      <w:pPr>
        <w:ind w:left="1060" w:hanging="531"/>
        <w:spacing w:after="0" w:line="322" w:lineRule="auto"/>
        <w:tabs>
          <w:tab w:leader="none" w:pos="10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our common stock constitutes a U.S. real property interest by reason of our status as a "U.S. real property holding corporation" for U.S. federal income tax purposes at any time within the shorter of the five-year period preceding the disposition or the holder's holding period for our common stock. We believe that we are not currently, and we are not likely to become, a "U.S. real property holding corporation" for U.S. federal income tax purposes.</w:t>
      </w:r>
    </w:p>
    <w:p>
      <w:pPr>
        <w:spacing w:after="0" w:line="145" w:lineRule="exact"/>
        <w:rPr>
          <w:sz w:val="20"/>
          <w:szCs w:val="20"/>
          <w:color w:val="auto"/>
        </w:rPr>
      </w:pPr>
    </w:p>
    <w:p>
      <w:pPr>
        <w:ind w:right="20" w:firstLine="341"/>
        <w:spacing w:after="0" w:line="278" w:lineRule="auto"/>
        <w:rPr>
          <w:sz w:val="20"/>
          <w:szCs w:val="20"/>
          <w:color w:val="auto"/>
        </w:rPr>
      </w:pPr>
      <w:r>
        <w:rPr>
          <w:rFonts w:ascii="Arial" w:cs="Arial" w:eastAsia="Arial" w:hAnsi="Arial"/>
          <w:sz w:val="16"/>
          <w:szCs w:val="16"/>
          <w:color w:val="auto"/>
        </w:rPr>
        <w:t>If we become a U.S. real property holding corporation after this offering, so long as our common stock is regularly traded on an established securities market and continues to be so traded, a non-U.S. holder will not be subject to U.S. federal income tax on gain recognized from the sale, exchange or other disposition of shares of our common stock as a result of such status unless (i) such holder actually or constructively owned more than 5% of our common stock at any time during the shorter of (A) the five-year period preceding the disposition, or (B) the holder's holding period for our common stock, and (ii) we were a U.S. real property holding corporation at any time during such period when the more than 5% ownership test was met. If any gain on your disposition is taxable because we are a U.S. real property holding corporation and your ownership of our common stock exceeds 5%, you will be taxed on such disposition generally in the manner applicable to U.S. persons. Any such non-U.S. holder that owns or has owned, actually or constructively, more than 5% of our common stock is urged to consult that holder's own tax advisor with respect to the particular tax consequences to such holder for the gain from the sale, exchange or other disposition of shares of our common stock if we were to be or to become a U.S. real property holding corporation.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28" w:lineRule="exact"/>
        <w:rPr>
          <w:sz w:val="20"/>
          <w:szCs w:val="20"/>
          <w:color w:val="auto"/>
        </w:rPr>
      </w:pPr>
    </w:p>
    <w:p>
      <w:pPr>
        <w:jc w:val="both"/>
        <w:ind w:right="280" w:firstLine="341"/>
        <w:spacing w:after="0" w:line="270" w:lineRule="auto"/>
        <w:rPr>
          <w:sz w:val="20"/>
          <w:szCs w:val="20"/>
          <w:color w:val="auto"/>
        </w:rPr>
      </w:pPr>
      <w:r>
        <w:rPr>
          <w:rFonts w:ascii="Arial" w:cs="Arial" w:eastAsia="Arial" w:hAnsi="Arial"/>
          <w:sz w:val="17"/>
          <w:szCs w:val="17"/>
          <w:color w:val="auto"/>
        </w:rPr>
        <w:t>Generally, we must report annually to the IRS the amount of dividends paid, the name and address of the recipient, and the amount, if any, of tax withheld. A similar report is sent to the recipient. Pursuant to tax treaties or other agreements, the IRS may make its reports available to tax authorities in the non-U.S. holder's country of residence.</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firstLine="341"/>
        <w:spacing w:after="0" w:line="265" w:lineRule="auto"/>
        <w:rPr>
          <w:sz w:val="20"/>
          <w:szCs w:val="20"/>
          <w:color w:val="auto"/>
        </w:rPr>
      </w:pPr>
      <w:r>
        <w:rPr>
          <w:rFonts w:ascii="Arial" w:cs="Arial" w:eastAsia="Arial" w:hAnsi="Arial"/>
          <w:sz w:val="17"/>
          <w:szCs w:val="17"/>
          <w:color w:val="auto"/>
        </w:rPr>
        <w:t>Payments of dividends or of proceeds on the disposition of stock made to a non-U.S. holder may be subject to additional information reporting and backup withholding. Backup withholding will not apply if the non-U.S. holder establishes an exemption, for example, by properly certifying its non-U.S. person status on an IRS Form W-8BEN (or successor form). Notwithstanding the foregoing, backup withholding may apply if either we or our paying agent has actual knowledge, or reason to know, that the holder is a U.S. person.</w:t>
      </w:r>
    </w:p>
    <w:p>
      <w:pPr>
        <w:spacing w:after="0" w:line="185"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Backup withholding is not an additional tax. Rather, the U.S. federal income tax liability of persons subject to backup withholding will be reduced by the amount of tax withheld. If withholding results in an overpayment of taxes, a credit or refund may be obtained from the IRS, provided that the required information is furnished to the IRS in a timely manner.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Legislation Relating to Foreign Accounts</w:t>
      </w:r>
    </w:p>
    <w:p>
      <w:pPr>
        <w:spacing w:after="0" w:line="228" w:lineRule="exact"/>
        <w:rPr>
          <w:sz w:val="20"/>
          <w:szCs w:val="20"/>
          <w:color w:val="auto"/>
        </w:rPr>
      </w:pPr>
    </w:p>
    <w:p>
      <w:pPr>
        <w:ind w:right="20" w:firstLine="341"/>
        <w:spacing w:after="0" w:line="278" w:lineRule="auto"/>
        <w:rPr>
          <w:sz w:val="20"/>
          <w:szCs w:val="20"/>
          <w:color w:val="auto"/>
        </w:rPr>
      </w:pPr>
      <w:r>
        <w:rPr>
          <w:rFonts w:ascii="Arial" w:cs="Arial" w:eastAsia="Arial" w:hAnsi="Arial"/>
          <w:sz w:val="16"/>
          <w:szCs w:val="16"/>
          <w:color w:val="auto"/>
        </w:rPr>
        <w:t>Under legislation enacted in 2010, a 30% U.S. federal withholding tax will be imposed on dividends on stock of U.S. corporations, and on the gross proceeds from the disposition of such stock, paid to a "foreign financial institution" (as specially defined for this purpose), unless such institution enters into an agreement with the U.S. Treasury to collect and provide to the U.S. Treasury substantial information regarding its U.S. account holders and certain account holders that are foreign entities with U.S. owners. A 30% U.S. federal withholding tax will also apply to dividends paid on stock of U.S. corporations and on the gross proceeds from the disposition of such stock paid to a non-financial foreign entity unless such entity provides the withholding agent with a certification that it does not have any substantial U.S. owners or a certification identifying the direct and indirect substantial U.S. owners of the entity. The withholding taxes described above generally will apply to dividend payments made after December 31, 2013 and payments of gross proceeds made after December 31, 2016. Under certain circumstances, a non-U.S. holder may be eligible for refunds or credits of such withholding taxes. Investors are urged to consult with their own tax advisors regarding the possible application of these rules to their investment in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Estate Tax</w:t>
      </w:r>
    </w:p>
    <w:p>
      <w:pPr>
        <w:spacing w:after="0" w:line="228"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estates of nonresident alien individuals are generally subject to U.S. federal estate tax on property with a U.S. situs. Because we are a U.S. corporation, our common stock will be U.S. situs property and therefore will be included in the taxable estate of a nonresident alien decedent. The U.S. federal estate tax liability of the estate of a nonresident alien may be affected by a tax treaty between the U.S. and the decedent's country of residence.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UNDERWRITING</w:t>
      </w:r>
    </w:p>
    <w:p>
      <w:pPr>
        <w:spacing w:after="0" w:line="228"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Raymond James &amp; Associates, Inc. and Piper Jaffray &amp; Co. are acting as representatives of each of the underwriters named below. Subject to the conditions set forth in an underwriting agreement among us, the selling stockholders and the underwriters, we and the selling stockholders have severally agreed to sell to the underwriters, and each of the underwriters has agreed, severally and not jointly, to purchase from us and the selling stockholders the number of shares of our common stock set forth opposite its name below:</w:t>
      </w:r>
    </w:p>
    <w:p>
      <w:pPr>
        <w:sectPr>
          <w:pgSz w:w="11900" w:h="16838" w:orient="portrait"/>
          <w:cols w:equalWidth="0" w:num="1">
            <w:col w:w="11400"/>
          </w:cols>
          <w:pgMar w:left="240" w:top="131" w:right="259" w:bottom="1440" w:gutter="0" w:footer="0" w:header="0"/>
        </w:sectPr>
      </w:pPr>
    </w:p>
    <w:p>
      <w:pPr>
        <w:spacing w:after="0" w:line="325" w:lineRule="exact"/>
        <w:rPr>
          <w:sz w:val="20"/>
          <w:szCs w:val="20"/>
          <w:color w:val="auto"/>
        </w:rPr>
      </w:pPr>
    </w:p>
    <w:p>
      <w:pPr>
        <w:ind w:left="1720"/>
        <w:spacing w:after="0"/>
        <w:rPr>
          <w:sz w:val="20"/>
          <w:szCs w:val="20"/>
          <w:color w:val="auto"/>
        </w:rPr>
      </w:pPr>
      <w:r>
        <w:rPr>
          <w:rFonts w:ascii="Arial" w:cs="Arial" w:eastAsia="Arial" w:hAnsi="Arial"/>
          <w:sz w:val="11"/>
          <w:szCs w:val="11"/>
          <w:b w:val="1"/>
          <w:bCs w:val="1"/>
          <w:u w:val="single" w:color="auto"/>
          <w:color w:val="auto"/>
        </w:rPr>
        <w:t>Name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1760"/>
        <w:spacing w:after="0"/>
        <w:rPr>
          <w:sz w:val="20"/>
          <w:szCs w:val="20"/>
          <w:color w:val="auto"/>
        </w:rPr>
      </w:pPr>
      <w:r>
        <w:rPr>
          <w:rFonts w:ascii="Arial" w:cs="Arial" w:eastAsia="Arial" w:hAnsi="Arial"/>
          <w:sz w:val="11"/>
          <w:szCs w:val="11"/>
          <w:b w:val="1"/>
          <w:bCs w:val="1"/>
          <w:color w:val="auto"/>
        </w:rPr>
        <w:t>Number of</w:t>
      </w:r>
    </w:p>
    <w:p>
      <w:pPr>
        <w:spacing w:after="0" w:line="32" w:lineRule="exact"/>
        <w:rPr>
          <w:sz w:val="20"/>
          <w:szCs w:val="20"/>
          <w:color w:val="auto"/>
        </w:rPr>
      </w:pPr>
    </w:p>
    <w:p>
      <w:pPr>
        <w:jc w:val="center"/>
        <w:ind w:right="1760"/>
        <w:spacing w:after="0"/>
        <w:rPr>
          <w:sz w:val="20"/>
          <w:szCs w:val="20"/>
          <w:color w:val="auto"/>
        </w:rPr>
      </w:pPr>
      <w:r>
        <w:rPr>
          <w:rFonts w:ascii="Arial" w:cs="Arial" w:eastAsia="Arial" w:hAnsi="Arial"/>
          <w:sz w:val="13"/>
          <w:szCs w:val="13"/>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-3175</wp:posOffset>
            </wp:positionV>
            <wp:extent cx="457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8320" w:space="720"/>
            <w:col w:w="2360"/>
          </w:cols>
          <w:pgMar w:left="240" w:top="131" w:right="259" w:bottom="1440" w:gutter="0" w:footer="0" w:header="0"/>
          <w:type w:val="continuous"/>
        </w:sectPr>
      </w:pPr>
    </w:p>
    <w:p>
      <w:pPr>
        <w:ind w:left="1720"/>
        <w:spacing w:after="0"/>
        <w:rPr>
          <w:sz w:val="20"/>
          <w:szCs w:val="20"/>
          <w:color w:val="auto"/>
        </w:rPr>
      </w:pPr>
      <w:r>
        <w:rPr>
          <w:rFonts w:ascii="Arial" w:cs="Arial" w:eastAsia="Arial" w:hAnsi="Arial"/>
          <w:sz w:val="17"/>
          <w:szCs w:val="17"/>
          <w:color w:val="auto"/>
        </w:rPr>
        <w:t>Raymond James &amp;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-122555</wp:posOffset>
            </wp:positionV>
            <wp:extent cx="5069840" cy="133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Piper Jaffray &amp; Co.</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Roth 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27305</wp:posOffset>
            </wp:positionV>
            <wp:extent cx="457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-118110</wp:posOffset>
            </wp:positionV>
            <wp:extent cx="5069840" cy="133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69840" cy="13335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31115</wp:posOffset>
            </wp:positionV>
            <wp:extent cx="457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578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47625</wp:posOffset>
            </wp:positionV>
            <wp:extent cx="457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270" w:lineRule="exact"/>
        <w:rPr>
          <w:sz w:val="20"/>
          <w:szCs w:val="20"/>
          <w:color w:val="auto"/>
        </w:rPr>
      </w:pPr>
    </w:p>
    <w:p>
      <w:pPr>
        <w:ind w:right="20" w:firstLine="338"/>
        <w:spacing w:after="0" w:line="281" w:lineRule="auto"/>
        <w:rPr>
          <w:sz w:val="20"/>
          <w:szCs w:val="20"/>
          <w:color w:val="auto"/>
        </w:rPr>
      </w:pPr>
      <w:r>
        <w:rPr>
          <w:rFonts w:ascii="Arial" w:cs="Arial" w:eastAsia="Arial" w:hAnsi="Arial"/>
          <w:sz w:val="16"/>
          <w:szCs w:val="16"/>
          <w:color w:val="auto"/>
        </w:rPr>
        <w:t>The underwriters are offering the shares of common stock subject to their acceptance of the shares from us and the selling stockholders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 The underwriting agreement also provides that if an underwriter defaults, the purchase commitments of non-defaulting underwriters may be increased or the offering may be terminated.</w:t>
      </w:r>
    </w:p>
    <w:p>
      <w:pPr>
        <w:spacing w:after="0" w:line="176" w:lineRule="exact"/>
        <w:rPr>
          <w:sz w:val="20"/>
          <w:szCs w:val="20"/>
          <w:color w:val="auto"/>
        </w:rPr>
      </w:pPr>
    </w:p>
    <w:p>
      <w:pPr>
        <w:ind w:firstLine="338"/>
        <w:spacing w:after="0" w:line="322" w:lineRule="auto"/>
        <w:rPr>
          <w:sz w:val="20"/>
          <w:szCs w:val="20"/>
          <w:color w:val="auto"/>
        </w:rPr>
      </w:pPr>
      <w:r>
        <w:rPr>
          <w:rFonts w:ascii="Arial" w:cs="Arial" w:eastAsia="Arial" w:hAnsi="Arial"/>
          <w:sz w:val="15"/>
          <w:szCs w:val="15"/>
          <w:color w:val="auto"/>
        </w:rPr>
        <w:t>The underwriters initially propose to offer part of the shares of common stock directly to the public at the offering price listed on the cover page of this prospectus and part to certain dealers at that price less a concession not in excess of $ per share. After the initial offering of the shares of common stock, the offering price and other selling terms may be changed by the underwriters. Sales of shares made outside of the U.S. may be made by affiliates of the underwriters.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to Purchase Additional Shares of Common Stock</w:t>
      </w:r>
    </w:p>
    <w:p>
      <w:pPr>
        <w:spacing w:after="0" w:line="228" w:lineRule="exact"/>
        <w:rPr>
          <w:sz w:val="20"/>
          <w:szCs w:val="20"/>
          <w:color w:val="auto"/>
        </w:rPr>
      </w:pPr>
    </w:p>
    <w:p>
      <w:pPr>
        <w:ind w:right="40" w:firstLine="338"/>
        <w:spacing w:after="0" w:line="281" w:lineRule="auto"/>
        <w:rPr>
          <w:sz w:val="20"/>
          <w:szCs w:val="20"/>
          <w:color w:val="auto"/>
        </w:rPr>
      </w:pPr>
      <w:r>
        <w:rPr>
          <w:rFonts w:ascii="Arial" w:cs="Arial" w:eastAsia="Arial" w:hAnsi="Arial"/>
          <w:sz w:val="16"/>
          <w:szCs w:val="16"/>
          <w:color w:val="auto"/>
        </w:rPr>
        <w:t>We and the selling stockholders have granted the underwriters an option, exercisable for 30 days from the date of this prospectus, to purchase up to additional shares of common stock at the public offering price listed on the cover page of this prospectus, less underwriting discounts and commissions. To the extent the option is exercised, each underwriter will become obligated, subject to certain conditions, to purchase approximately the same percentage of the additional shares of common stock as the number listed next to the underwriter's name in the preceding table bears to the total number of shares of common stock listed next to the names of all underwriters in the preceding table. The underwriters may exercise this option solely for the purpose of covering over-allotments, if any, made in connection with the offering of the shares of common stock offered by this prospectus.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44" w:name="page145"/>
    <w:bookmarkEnd w:id="1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Discounts and Expenses</w:t>
      </w:r>
    </w:p>
    <w:p>
      <w:pPr>
        <w:spacing w:after="0" w:line="228" w:lineRule="exact"/>
        <w:rPr>
          <w:sz w:val="20"/>
          <w:szCs w:val="20"/>
          <w:color w:val="auto"/>
        </w:rPr>
      </w:pPr>
    </w:p>
    <w:p>
      <w:pPr>
        <w:ind w:right="340" w:firstLine="338"/>
        <w:spacing w:after="0" w:line="270" w:lineRule="auto"/>
        <w:rPr>
          <w:sz w:val="20"/>
          <w:szCs w:val="20"/>
          <w:color w:val="auto"/>
        </w:rPr>
      </w:pPr>
      <w:r>
        <w:rPr>
          <w:rFonts w:ascii="Arial" w:cs="Arial" w:eastAsia="Arial" w:hAnsi="Arial"/>
          <w:sz w:val="17"/>
          <w:szCs w:val="17"/>
          <w:color w:val="auto"/>
        </w:rPr>
        <w:t>The following table shows the per share and total public offering price, underwriting discounts and commissions, and proceeds before expenses to us and the selling stockholders. These amounts are shown assuming both no exercise and full exercise of the underwriters' option to purchase up to an additional shares of common stock.</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r>
      <w:tr>
        <w:trPr>
          <w:trHeight w:val="157"/>
        </w:trPr>
        <w:tc>
          <w:tcPr>
            <w:tcW w:w="4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Per Share</w:t>
            </w:r>
          </w:p>
        </w:tc>
        <w:tc>
          <w:tcPr>
            <w:tcW w:w="16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No Exercise</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Full Exercise</w:t>
            </w:r>
          </w:p>
        </w:tc>
      </w:tr>
      <w:tr>
        <w:trPr>
          <w:trHeight w:val="203"/>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Initial public offering price</w:t>
            </w:r>
          </w:p>
        </w:tc>
        <w:tc>
          <w:tcPr>
            <w:tcW w:w="1420" w:type="dxa"/>
            <w:vAlign w:val="bottom"/>
            <w:gridSpan w:val="2"/>
            <w:shd w:val="clear" w:color="auto" w:fill="CCEEFF"/>
          </w:tcPr>
          <w:p>
            <w:pPr>
              <w:jc w:val="right"/>
              <w:ind w:right="514"/>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r>
      <w:tr>
        <w:trPr>
          <w:trHeight w:val="210"/>
        </w:trPr>
        <w:tc>
          <w:tcPr>
            <w:tcW w:w="4580" w:type="dxa"/>
            <w:vAlign w:val="bottom"/>
          </w:tcPr>
          <w:p>
            <w:pPr>
              <w:spacing w:after="0"/>
              <w:rPr>
                <w:sz w:val="20"/>
                <w:szCs w:val="20"/>
                <w:color w:val="auto"/>
              </w:rPr>
            </w:pPr>
            <w:r>
              <w:rPr>
                <w:rFonts w:ascii="Arial" w:cs="Arial" w:eastAsia="Arial" w:hAnsi="Arial"/>
                <w:sz w:val="17"/>
                <w:szCs w:val="17"/>
                <w:color w:val="auto"/>
              </w:rPr>
              <w:t>Underwriting discounts and commissions to be paid by:</w:t>
            </w: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Us</w:t>
            </w: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0"/>
        </w:trPr>
        <w:tc>
          <w:tcPr>
            <w:tcW w:w="4580" w:type="dxa"/>
            <w:vAlign w:val="bottom"/>
          </w:tcPr>
          <w:p>
            <w:pPr>
              <w:ind w:left="180"/>
              <w:spacing w:after="0"/>
              <w:rPr>
                <w:sz w:val="20"/>
                <w:szCs w:val="20"/>
                <w:color w:val="auto"/>
              </w:rPr>
            </w:pPr>
            <w:r>
              <w:rPr>
                <w:rFonts w:ascii="Arial" w:cs="Arial" w:eastAsia="Arial" w:hAnsi="Arial"/>
                <w:sz w:val="17"/>
                <w:szCs w:val="17"/>
                <w:color w:val="auto"/>
              </w:rPr>
              <w:t>The selling stockholders</w:t>
            </w: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7"/>
                <w:szCs w:val="17"/>
                <w:color w:val="auto"/>
              </w:rPr>
              <w:t>Proceeds, before expenses, to selling stockholders</w:t>
            </w: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195" w:lineRule="exact"/>
        <w:rPr>
          <w:sz w:val="20"/>
          <w:szCs w:val="20"/>
          <w:color w:val="auto"/>
        </w:rPr>
      </w:pPr>
    </w:p>
    <w:p>
      <w:pPr>
        <w:ind w:left="340"/>
        <w:spacing w:after="0"/>
        <w:tabs>
          <w:tab w:leader="none" w:pos="9120" w:val="left"/>
        </w:tabs>
        <w:rPr>
          <w:sz w:val="20"/>
          <w:szCs w:val="20"/>
          <w:color w:val="auto"/>
        </w:rPr>
      </w:pPr>
      <w:r>
        <w:rPr>
          <w:rFonts w:ascii="Arial" w:cs="Arial" w:eastAsia="Arial" w:hAnsi="Arial"/>
          <w:sz w:val="15"/>
          <w:szCs w:val="15"/>
          <w:color w:val="auto"/>
        </w:rPr>
        <w:t>The estimated offering expenses payable by us, exclusive of the underwriting discounts and commissions, are approximately $</w:t>
      </w:r>
      <w:r>
        <w:rPr>
          <w:sz w:val="20"/>
          <w:szCs w:val="20"/>
          <w:color w:val="auto"/>
        </w:rPr>
        <w:tab/>
      </w:r>
      <w:r>
        <w:rPr>
          <w:rFonts w:ascii="Arial" w:cs="Arial" w:eastAsia="Arial" w:hAnsi="Arial"/>
          <w:sz w:val="14"/>
          <w:szCs w:val="14"/>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and the selling stockholders have agreed to indemnify the underwriters against certain liabilities, including liabilities under the Securities Act.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28" w:lineRule="exact"/>
        <w:rPr>
          <w:sz w:val="20"/>
          <w:szCs w:val="20"/>
          <w:color w:val="auto"/>
        </w:rPr>
      </w:pPr>
    </w:p>
    <w:p>
      <w:pPr>
        <w:jc w:val="both"/>
        <w:ind w:right="40" w:firstLine="341"/>
        <w:spacing w:after="0" w:line="294" w:lineRule="auto"/>
        <w:rPr>
          <w:sz w:val="20"/>
          <w:szCs w:val="20"/>
          <w:color w:val="auto"/>
        </w:rPr>
      </w:pPr>
      <w:r>
        <w:rPr>
          <w:rFonts w:ascii="Arial" w:cs="Arial" w:eastAsia="Arial" w:hAnsi="Arial"/>
          <w:sz w:val="16"/>
          <w:szCs w:val="16"/>
          <w:color w:val="auto"/>
        </w:rPr>
        <w:t>Subject to specified exceptions, we and all directors and officers, and holders of substantially all of our outstanding stock and stock options (including the selling stockholders) have agreed that, subject to certain exceptions, without the prior written consent of Raymond James and Piper Jaffray as representatives on behalf of the underwriters, we and they will not, during the period ending 180 days after the date of the final prospectus relating to this offering:</w:t>
      </w:r>
    </w:p>
    <w:p>
      <w:pPr>
        <w:spacing w:after="0" w:line="176" w:lineRule="exact"/>
        <w:rPr>
          <w:sz w:val="20"/>
          <w:szCs w:val="20"/>
          <w:color w:val="auto"/>
        </w:rPr>
      </w:pPr>
    </w:p>
    <w:p>
      <w:pPr>
        <w:ind w:left="1060" w:right="140" w:hanging="531"/>
        <w:spacing w:after="0" w:line="270"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offer, sell, contract to sell, pledge, grant any option to purchase, contract to purchase or purchase any option or contract to sell, grant any option, right or warrant, lend, make any short sale or otherwise transfer or dispose of, directly or indirectly, any shares of our stock or options, warrants or other securities with respect to our stock;</w:t>
      </w:r>
    </w:p>
    <w:p>
      <w:pPr>
        <w:spacing w:after="0" w:line="205"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our common stock; or</w:t>
      </w:r>
    </w:p>
    <w:p>
      <w:pPr>
        <w:spacing w:after="0" w:line="182"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file or cause to be filed any registration statement with the Securities and Exchange Commission relating to the offering of any shares of common stock or any securities convertible into or exercisable or exchangeable for common stock (other than any registration statement on Form S-8).</w:t>
      </w:r>
    </w:p>
    <w:p>
      <w:pPr>
        <w:spacing w:after="0" w:line="146"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The preceding restrictions apply without regard to whether any such transaction described above is to be settled by delivery of common stock or other securities, in cash or otherwise. In addition, we and each such person agree that, without the prior written consent of the representatives, we and each such person will not, during the period ending 180 days after the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date of this prospectus, make any demand for, or exercise any right with respect to, the registration of any shares of common stock or any security convertible into or exercisable or exchangeable for common stock.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restrictions described in the immediately preceding paragraph do not apply to:</w:t>
      </w:r>
    </w:p>
    <w:p>
      <w:pPr>
        <w:spacing w:after="0" w:line="237" w:lineRule="exact"/>
        <w:rPr>
          <w:sz w:val="20"/>
          <w:szCs w:val="20"/>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sale of shares to the underwriters pursuant to the underwriting agreement;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grant or exercise of options pursuant to our existing stock option plans;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common stock as a bona fide gift;</w:t>
      </w:r>
    </w:p>
    <w:p>
      <w:pPr>
        <w:spacing w:after="0" w:line="237" w:lineRule="exact"/>
        <w:rPr>
          <w:rFonts w:ascii="Arial" w:cs="Arial" w:eastAsia="Arial" w:hAnsi="Arial"/>
          <w:sz w:val="17"/>
          <w:szCs w:val="17"/>
          <w:color w:val="auto"/>
        </w:rPr>
      </w:pPr>
    </w:p>
    <w:p>
      <w:pPr>
        <w:ind w:left="1060" w:right="500" w:hanging="531"/>
        <w:spacing w:after="0" w:line="282"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common stock by will or intestate succession or to any trust for the direct or indirect benefit of the stockholder or immediate family of the stockholder; or</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establishment of a trading plan designed to comply with Rule 10b5-1(c) under the Exchange Act for the transfer of shares of common stock;</w:t>
      </w:r>
    </w:p>
    <w:p>
      <w:pPr>
        <w:spacing w:after="0" w:line="236"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provided that in the case of any transfer or distribution as described in the second, third or fourth bullet points above, (i) each recipient or transferee agrees to be subject to the restrictions described in the immediately preceding paragraph, and (ii) no public announcement or filing under the Exchange Act with respect to such transfer shall be required or voluntarily made during the restricted period under Section 16(a) of the Exchange Act reporting a reduction in beneficial ownership of shares of common stock (other than a filing on a Form 5, Schedule 13D or Schedule 13G (or 13D/A or 13G/A) made after the expiration of the restricted period referred to above).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180 day restricted period described in the preceding paragraph will be extended if, during any period that we are not an emerging growth company:</w:t>
      </w:r>
    </w:p>
    <w:p>
      <w:pPr>
        <w:spacing w:after="0" w:line="249" w:lineRule="exact"/>
        <w:rPr>
          <w:sz w:val="20"/>
          <w:szCs w:val="20"/>
          <w:color w:val="auto"/>
        </w:rPr>
      </w:pPr>
    </w:p>
    <w:p>
      <w:pPr>
        <w:ind w:left="1060" w:hanging="531"/>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during the last 17 days of the 180 day restricted period we issue an earnings release or material news event relating to us occurs, or</w:t>
      </w:r>
    </w:p>
    <w:p>
      <w:pPr>
        <w:spacing w:after="0" w:line="237" w:lineRule="exact"/>
        <w:rPr>
          <w:rFonts w:ascii="Arial" w:cs="Arial" w:eastAsia="Arial" w:hAnsi="Arial"/>
          <w:sz w:val="17"/>
          <w:szCs w:val="17"/>
          <w:color w:val="auto"/>
        </w:rPr>
      </w:pPr>
    </w:p>
    <w:p>
      <w:pPr>
        <w:ind w:left="1060" w:right="40" w:hanging="531"/>
        <w:spacing w:after="0" w:line="294" w:lineRule="auto"/>
        <w:tabs>
          <w:tab w:leader="none" w:pos="10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prior to the expiration of the 180 day restricted period, we announce that we will release earnings results during the 16-day period beginning on the last day of the 180 day period, in which case the restrictions described in the preceding paragraph will continue to apply until the expiration of the 18-day period beginning on the issuance of the earnings release or the announcement of the material news or material event.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Stabilization</w:t>
      </w:r>
    </w:p>
    <w:p>
      <w:pPr>
        <w:spacing w:after="0" w:line="228"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Until this offering is completed, rules of the SEC may limit the ability of the underwriters and various selling group members to bid for and purchase the shares of our common stock. As an exception to these rules and in accordance with Regulation M under the Exchange Act, the underwriters may engage in activities that stabilize, maintain or otherwise affect the price of our common stock in order to facilitate the offering of the common stock, including: short sales; syndicate covering transactions; imposition of penalty bids; and purchases to cover positions created by short sales.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Stabilizing transactions may include making short sales of shares of our common stock, which involve the sale by the underwriters of a greater number of shares than it is required to purchase in this offering and purchasing shares of common stock from us by exercising the over-allotment option or in the open market to cover positions created by short sales. Short sales may be "covered" shorts, which are short positions in an amount not greater than the underwriters' over-allotment option referred to above, or may be "naked" shorts, which are short positions in excess of that amount.</w:t>
      </w:r>
    </w:p>
    <w:p>
      <w:pPr>
        <w:spacing w:after="0" w:line="169"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Each underwriter may close out any covered short position either by exercising its over-allotment option, in whole or in part, or by purchasing shares of common stock in the open market after the distribution has been completed. In making this determination, each underwriter will consider, among other things, the price of shares of our common stock available for purchase in the open market compared to the price at which the underwriter may purchase shares of our common stock pursuant to the over-allotment option.</w:t>
      </w:r>
    </w:p>
    <w:p>
      <w:pPr>
        <w:spacing w:after="0" w:line="185" w:lineRule="exact"/>
        <w:rPr>
          <w:sz w:val="20"/>
          <w:szCs w:val="20"/>
          <w:color w:val="auto"/>
        </w:rPr>
      </w:pPr>
    </w:p>
    <w:p>
      <w:pPr>
        <w:ind w:right="80" w:firstLine="332"/>
        <w:spacing w:after="0" w:line="294" w:lineRule="auto"/>
        <w:rPr>
          <w:sz w:val="20"/>
          <w:szCs w:val="20"/>
          <w:color w:val="auto"/>
        </w:rPr>
      </w:pPr>
      <w:r>
        <w:rPr>
          <w:rFonts w:ascii="Arial" w:cs="Arial" w:eastAsia="Arial" w:hAnsi="Arial"/>
          <w:sz w:val="16"/>
          <w:szCs w:val="16"/>
          <w:color w:val="auto"/>
        </w:rPr>
        <w:t>A naked short position is more likely to be created if the underwriters are concerned that there may be downward pressure on the price of shares of our common stock in the open market after pricing that could adversely affect investors who purchased in this offering. To the extent that the underwriters create a naked short position, they will purchase shares of our common stock in the open market to cover the position after the pricing of this offering.</w:t>
      </w:r>
    </w:p>
    <w:p>
      <w:pPr>
        <w:spacing w:after="0" w:line="163" w:lineRule="exact"/>
        <w:rPr>
          <w:sz w:val="20"/>
          <w:szCs w:val="20"/>
          <w:color w:val="auto"/>
        </w:rPr>
      </w:pPr>
    </w:p>
    <w:p>
      <w:pPr>
        <w:jc w:val="both"/>
        <w:ind w:right="20" w:firstLine="338"/>
        <w:spacing w:after="0" w:line="270" w:lineRule="auto"/>
        <w:rPr>
          <w:sz w:val="20"/>
          <w:szCs w:val="20"/>
          <w:color w:val="auto"/>
        </w:rPr>
      </w:pPr>
      <w:r>
        <w:rPr>
          <w:rFonts w:ascii="Arial" w:cs="Arial" w:eastAsia="Arial" w:hAnsi="Arial"/>
          <w:sz w:val="17"/>
          <w:szCs w:val="17"/>
          <w:color w:val="auto"/>
        </w:rPr>
        <w:t>The underwriters also may impose a penalty bid on selling group members. This means that if the underwriters purchase shares of our common stock in the open market in stabilizing transactions or to cover short sales, the underwriters can require the selling group members that sold those shares as part of this offering to repay the selling concession received by them.</w:t>
      </w:r>
    </w:p>
    <w:p>
      <w:pPr>
        <w:spacing w:after="0" w:line="179" w:lineRule="exact"/>
        <w:rPr>
          <w:sz w:val="20"/>
          <w:szCs w:val="20"/>
          <w:color w:val="auto"/>
        </w:rPr>
      </w:pPr>
    </w:p>
    <w:p>
      <w:pPr>
        <w:ind w:right="180" w:firstLine="332"/>
        <w:spacing w:after="0" w:line="270" w:lineRule="auto"/>
        <w:rPr>
          <w:sz w:val="20"/>
          <w:szCs w:val="20"/>
          <w:color w:val="auto"/>
        </w:rPr>
      </w:pPr>
      <w:r>
        <w:rPr>
          <w:rFonts w:ascii="Arial" w:cs="Arial" w:eastAsia="Arial" w:hAnsi="Arial"/>
          <w:sz w:val="17"/>
          <w:szCs w:val="17"/>
          <w:color w:val="auto"/>
        </w:rPr>
        <w:t>As a result of these activities, the price of shares of our common stock may be higher than the price that otherwise might exist in the open market. If the underwriters commence these activities, they may discontinue them without notice at any time. The underwriters may carry out these transactions on the NASDAQ Global Market or otherwise.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underwriters are not required to engage in these activities and may end any of these activities at any time.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Relationships</w:t>
      </w:r>
    </w:p>
    <w:p>
      <w:pPr>
        <w:spacing w:after="0" w:line="228"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Certain of the underwriters and their affiliates may provide from time to time in the future certain commercial banking, financial advisory, investment banking and other services for us and such affiliates, and for the selling stockholders and their affiliates, in the ordinary course of their business, for which they will receive customary fees and commissions, as applicable, and reimbursement for out-of-pocket expenses.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Discretionary Accounts</w:t>
      </w:r>
    </w:p>
    <w:p>
      <w:pPr>
        <w:spacing w:after="0" w:line="228" w:lineRule="exact"/>
        <w:rPr>
          <w:sz w:val="20"/>
          <w:szCs w:val="20"/>
          <w:color w:val="auto"/>
        </w:rPr>
      </w:pPr>
    </w:p>
    <w:p>
      <w:pPr>
        <w:ind w:right="380" w:firstLine="338"/>
        <w:spacing w:after="0" w:line="282" w:lineRule="auto"/>
        <w:rPr>
          <w:sz w:val="20"/>
          <w:szCs w:val="20"/>
          <w:color w:val="auto"/>
        </w:rPr>
      </w:pPr>
      <w:r>
        <w:rPr>
          <w:rFonts w:ascii="Arial" w:cs="Arial" w:eastAsia="Arial" w:hAnsi="Arial"/>
          <w:sz w:val="17"/>
          <w:szCs w:val="17"/>
          <w:color w:val="auto"/>
        </w:rPr>
        <w:t>The underwriters may confirm sales of the common stock offered by this prospectus to accounts over which they exercise discretionary authority but do not expect those sales to exceed 5% of the total number of shares of common stock offered by this prospectus.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Directed Shares Program</w:t>
      </w:r>
    </w:p>
    <w:p>
      <w:pPr>
        <w:spacing w:after="0" w:line="228" w:lineRule="exact"/>
        <w:rPr>
          <w:sz w:val="20"/>
          <w:szCs w:val="20"/>
          <w:color w:val="auto"/>
        </w:rPr>
      </w:pPr>
    </w:p>
    <w:p>
      <w:pPr>
        <w:ind w:right="60" w:firstLine="332"/>
        <w:spacing w:after="0" w:line="278" w:lineRule="auto"/>
        <w:rPr>
          <w:sz w:val="20"/>
          <w:szCs w:val="20"/>
          <w:color w:val="auto"/>
        </w:rPr>
      </w:pPr>
      <w:r>
        <w:rPr>
          <w:rFonts w:ascii="Arial" w:cs="Arial" w:eastAsia="Arial" w:hAnsi="Arial"/>
          <w:sz w:val="16"/>
          <w:szCs w:val="16"/>
          <w:color w:val="auto"/>
        </w:rPr>
        <w:t>At our request, the underwriters have reserved up to 5% of the shares of common stock being offered by this prospectus (excluding the shares of common stock that may be issued upon the underwriters' exercise of their over-allotment option to purchase additional shares of common stock) for sale at the initial public offering price to our directors, officers, employees, business associates and other related persons. The sales will be made by Raymond James &amp; Associates, Inc. through a directed shares program. It is not certain if these persons will choose to purchase all or any portion of these reserved shares, but any purchases they make will reduce the number of shares of common stock available for sale to the general public. Any reserved shares of common stock not so purchased will be offered by the underwriters to the general public on the same basis as the other shares of common stock offered by this prospectus. The individuals eligible to participate in the directed shares program must commit to purchase no later than before the opening of business on the day following the date of this prospectus. We and the selling stockholders have agreed to indemnify Raymond James &amp; Associates, Inc. and the underwriters against certain liabilities and expenses in connection with the directed shares program, including liabilities under the Securities Act in connection with the sale of the reserved shares and for the failure of any participant to pay for its shares of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applied to list our common stock on the NASDAQ Global Market under the symbol "AAOI."</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Initial Offering Price</w:t>
      </w:r>
    </w:p>
    <w:p>
      <w:pPr>
        <w:spacing w:after="0" w:line="228"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Prior to this offering, there has been no public market for our common stock. Consequently, the initial public offering price will be determined by negotiations between us and the representatives. Among the factors considered in determining the initial public offering price will be our future prospects and those of our industry in general, our sales, earnings and certain other financial and operating information in recent periods, market prices of securities, and certain financial and operating information of companies engaged in activities similar to ours.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Prospectus</w:t>
      </w:r>
    </w:p>
    <w:p>
      <w:pPr>
        <w:spacing w:after="0" w:line="228"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 prospectus in electronic format may be available on the Internet sites or through other online services maintained by one or more of the underwriters and selling group members participating in this offering, or by their affiliates. In those cases, prospective investors may view offering terms online and, depending upon the underwriter or the selling group member, prospective investors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w:t>
      </w:r>
    </w:p>
    <w:p>
      <w:pPr>
        <w:spacing w:after="0" w:line="187" w:lineRule="exact"/>
        <w:rPr>
          <w:sz w:val="20"/>
          <w:szCs w:val="20"/>
          <w:color w:val="auto"/>
        </w:rPr>
      </w:pPr>
    </w:p>
    <w:p>
      <w:pPr>
        <w:jc w:val="both"/>
        <w:ind w:right="100" w:firstLine="341"/>
        <w:spacing w:after="0" w:line="265" w:lineRule="auto"/>
        <w:rPr>
          <w:sz w:val="20"/>
          <w:szCs w:val="20"/>
          <w:color w:val="auto"/>
        </w:rPr>
      </w:pPr>
      <w:r>
        <w:rPr>
          <w:rFonts w:ascii="Arial" w:cs="Arial" w:eastAsia="Arial" w:hAnsi="Arial"/>
          <w:sz w:val="17"/>
          <w:szCs w:val="17"/>
          <w:color w:val="auto"/>
        </w:rPr>
        <w:t>Other than the prospectus in electronic format, the information on any underwriter's or any selling group member's website and any information contained in any other website maintained by the underwriters or any selling group member is not part of this prospectus or the registration statement of which this prospectus forms a part, has not been approved or endorsed by us or any underwriters or any selling group member in its capacity as underwriter or selling group member and should not be relied upon by investors.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228" w:lineRule="exact"/>
        <w:rPr>
          <w:sz w:val="20"/>
          <w:szCs w:val="20"/>
          <w:color w:val="auto"/>
        </w:rPr>
      </w:pPr>
    </w:p>
    <w:p>
      <w:pPr>
        <w:ind w:right="100" w:firstLine="341"/>
        <w:spacing w:after="0" w:line="280" w:lineRule="auto"/>
        <w:rPr>
          <w:sz w:val="20"/>
          <w:szCs w:val="20"/>
          <w:color w:val="auto"/>
        </w:rPr>
      </w:pPr>
      <w:r>
        <w:rPr>
          <w:rFonts w:ascii="Arial" w:cs="Arial" w:eastAsia="Arial" w:hAnsi="Arial"/>
          <w:sz w:val="16"/>
          <w:szCs w:val="16"/>
          <w:color w:val="auto"/>
        </w:rPr>
        <w:t>Other than in the U.S. and as described below, no action has been taken by us or the underwriters that would permit a public offering of the shares of common stock offered by this prospectus in any jurisdiction where action for that purpose is required. The shares of common stock offered by this prospectus may not be offered or sold, directly or indirectly, nor may this prospectus or any other offering material or advertisements in connection with the offer and sale of any such shares of common stock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 common stock offered by this prospectus in any jurisdiction in which such an offer or a solicitation is unlawful.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European Economic Area</w:t>
      </w:r>
    </w:p>
    <w:p>
      <w:pPr>
        <w:spacing w:after="0" w:line="224"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Member State, each underwriter has represented and agreed that with effect from and including the date on which the Prospectus Directive is implemented in that Member State it has not made and will not make an offer of securities to the public in that Member State, except that it may, with effect from and including such date, make an offer of securities to the public in that Member State:</w:t>
      </w:r>
    </w:p>
    <w:p>
      <w:pPr>
        <w:spacing w:after="0" w:line="199" w:lineRule="exact"/>
        <w:rPr>
          <w:sz w:val="20"/>
          <w:szCs w:val="20"/>
          <w:color w:val="auto"/>
        </w:rPr>
      </w:pPr>
    </w:p>
    <w:p>
      <w:pPr>
        <w:ind w:left="1060" w:right="180" w:hanging="531"/>
        <w:spacing w:after="0" w:line="282"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at any time to legal entities which are authorized or regulated to operate in the financial markets or, if not so authorized or regulated, whose corporate purpose is solely to invest in securities;</w:t>
      </w:r>
    </w:p>
    <w:p>
      <w:pPr>
        <w:spacing w:after="0" w:line="196" w:lineRule="exact"/>
        <w:rPr>
          <w:rFonts w:ascii="Arial" w:cs="Arial" w:eastAsia="Arial" w:hAnsi="Arial"/>
          <w:sz w:val="17"/>
          <w:szCs w:val="17"/>
          <w:color w:val="auto"/>
        </w:rPr>
      </w:pPr>
    </w:p>
    <w:p>
      <w:pPr>
        <w:ind w:left="1060" w:right="60" w:hanging="531"/>
        <w:spacing w:after="0" w:line="315" w:lineRule="auto"/>
        <w:tabs>
          <w:tab w:leader="none" w:pos="10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at any time 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159"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fewer than 100 natural or legal persons (other than qualified investors as defined in the Prospectus Directive) subject to obtaining the prior consent of the book-running managers for any such offer; or</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at any time in any other circumstances which do not require the publication by us of a prospectus pursuant to Article 3 of the Prospectus Directive.</w:t>
      </w:r>
    </w:p>
    <w:p>
      <w:pPr>
        <w:spacing w:after="0" w:line="236"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For the purposes of the above, the expression "offer of securities to the public" in relation to any securities in any Member State means the communication in any form and by any means of sufficient information on the terms of the offer and the securities to be offered so as to enable an investor to decide to purchase or subscribe for the securities, as the same may be varied in that Member State by any measure implementing the Prospectus Directive in that Member State, and the expression Prospectus Directive means Directive 2003/71/EC and includes any relevant implementing measure in that Member State.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United Kingdom</w:t>
      </w:r>
    </w:p>
    <w:p>
      <w:pPr>
        <w:spacing w:after="0" w:line="224" w:lineRule="exact"/>
        <w:rPr>
          <w:sz w:val="20"/>
          <w:szCs w:val="20"/>
          <w:color w:val="auto"/>
        </w:rPr>
      </w:pPr>
    </w:p>
    <w:p>
      <w:pPr>
        <w:ind w:right="240" w:firstLine="338"/>
        <w:spacing w:after="0" w:line="282" w:lineRule="auto"/>
        <w:rPr>
          <w:sz w:val="20"/>
          <w:szCs w:val="20"/>
          <w:color w:val="auto"/>
        </w:rPr>
      </w:pPr>
      <w:r>
        <w:rPr>
          <w:rFonts w:ascii="Arial" w:cs="Arial" w:eastAsia="Arial" w:hAnsi="Arial"/>
          <w:sz w:val="17"/>
          <w:szCs w:val="17"/>
          <w:color w:val="auto"/>
        </w:rPr>
        <w:t>This prospectus and any other material in relation to the shares described herein is only being distributed to, and is only directed at, (i) persons who are outside the United Kingdom,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5"/>
        <w:spacing w:after="0" w:line="262" w:lineRule="auto"/>
        <w:tabs>
          <w:tab w:leader="none" w:pos="251"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investment professionals falling within Article 19(5) of the Financial Services and Markets Act 2000 (Financial Promotion) Order 2005, as amended, or the Order, or (iii) high net worth entities, and other persons to whom it may be lawfully communicated, falling within Article 49(2)(a) to (d) of the Order (all such persons together being referred to as relevant persons). The shares are only available to, and any invitation, offer or agreement to purchase or otherwise acquire such shares will be engaged in only with, relevant persons. This prospectus and its contents are confidential and should not be distributed, published or reproduced (in whole or in part) or disclosed by recipients to any other person in the United Kingdom. Any person in the United Kingdom that is not a relevant person should not act or rely on this prospectus or any of its contents.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ind w:right="220" w:firstLine="338"/>
        <w:spacing w:after="0" w:line="282" w:lineRule="auto"/>
        <w:rPr>
          <w:sz w:val="20"/>
          <w:szCs w:val="20"/>
          <w:color w:val="auto"/>
        </w:rPr>
      </w:pPr>
      <w:r>
        <w:rPr>
          <w:rFonts w:ascii="Arial" w:cs="Arial" w:eastAsia="Arial" w:hAnsi="Arial"/>
          <w:sz w:val="17"/>
          <w:szCs w:val="17"/>
          <w:color w:val="auto"/>
        </w:rPr>
        <w:t>The validity of the common stock offered by this prospectus will be passed upon for us by DLA Piper LLP (US), Houston, Texas. Certain legal matters will be passed upon for the underwriters by Wilson Sonsini Goodrich &amp; Rosati, Professional Corporation, Austin, Texas.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ind w:right="120" w:firstLine="338"/>
        <w:spacing w:after="0" w:line="322" w:lineRule="auto"/>
        <w:rPr>
          <w:sz w:val="20"/>
          <w:szCs w:val="20"/>
          <w:color w:val="auto"/>
        </w:rPr>
      </w:pPr>
      <w:r>
        <w:rPr>
          <w:rFonts w:ascii="Arial" w:cs="Arial" w:eastAsia="Arial" w:hAnsi="Arial"/>
          <w:sz w:val="15"/>
          <w:szCs w:val="15"/>
          <w:color w:val="auto"/>
        </w:rPr>
        <w:t>The consolidated financial statements of Applied Optoelectronics, Inc. and its subsidiaries as of December 31, 2012 and 2011, and for each of the years in the three-year period ended December 31, 2012, included in this prospectus and elsewhere in the registration statement have been so included in reliance upon the report of Grant Thornton LLP, independent registered public accountants, upon the authority of said firm as experts in accounting and auditing in giving said report.</w:t>
      </w:r>
    </w:p>
    <w:p>
      <w:pPr>
        <w:spacing w:after="0" w:line="145"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Adams Capital, Inc., an independent valuation services firm, has given its opinion, set forth in its valuation reports described in this prospectus as to the fair value of our common stock as of the dates set forth in the valuation reports. Additionally, Adams Capital, Inc. has consented to the references in this registration statement and to its valuation reports.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MORE INFORMATION</w:t>
      </w:r>
    </w:p>
    <w:p>
      <w:pPr>
        <w:spacing w:after="0" w:line="228" w:lineRule="exact"/>
        <w:rPr>
          <w:sz w:val="20"/>
          <w:szCs w:val="20"/>
          <w:color w:val="auto"/>
        </w:rPr>
      </w:pPr>
    </w:p>
    <w:p>
      <w:pPr>
        <w:jc w:val="both"/>
        <w:ind w:right="260" w:firstLine="338"/>
        <w:spacing w:after="0" w:line="263"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we are offering by this prospectus. This prospectus does not contain all of the information included in the registration statement. For further information pertaining to us and our common stock,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187" w:lineRule="exact"/>
        <w:rPr>
          <w:sz w:val="20"/>
          <w:szCs w:val="20"/>
          <w:color w:val="auto"/>
        </w:rPr>
      </w:pPr>
    </w:p>
    <w:p>
      <w:pPr>
        <w:jc w:val="both"/>
        <w:ind w:right="320" w:firstLine="341"/>
        <w:spacing w:after="0" w:line="265" w:lineRule="auto"/>
        <w:rPr>
          <w:sz w:val="20"/>
          <w:szCs w:val="20"/>
          <w:color w:val="auto"/>
        </w:rPr>
      </w:pPr>
      <w:r>
        <w:rPr>
          <w:rFonts w:ascii="Arial" w:cs="Arial" w:eastAsia="Arial" w:hAnsi="Arial"/>
          <w:sz w:val="17"/>
          <w:szCs w:val="17"/>
          <w:color w:val="auto"/>
        </w:rPr>
        <w:t>Upon the closing of the offering, we will be subject to the informational requirements of the Exchange Act and will file annual, quarterly and current reports, proxy statements and other information with the SEC. You can read our SEC filings, including the registration statement, over the Internet at the SEC's website at www.sec.gov. You may also read and copy any document we file with the SEC, including the registration statement of which this prospectus is a part, at its public reference facility at 100 F Street, N.E., Room 1580, Washington, D.C. 20549.</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You may also obtain copies of the documents at prescribed rates by writing to the Public Reference Section of the SEC at 100 F Street, N.E., Washington, D.C.</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20549. Please call the SEC at 1-800-SEC-0330 for further information on the operation of the public reference facilities.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INDEX TO CONSOLIDATED FINANCIAL STATEMENTS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4220" w:type="dxa"/>
            <w:vAlign w:val="bottom"/>
            <w:gridSpan w:val="8"/>
            <w:vMerge w:val="restart"/>
          </w:tcPr>
          <w:p>
            <w:pPr>
              <w:spacing w:after="0"/>
              <w:rPr>
                <w:rFonts w:ascii="Arial" w:cs="Arial" w:eastAsia="Arial" w:hAnsi="Arial"/>
                <w:sz w:val="17"/>
                <w:szCs w:val="17"/>
                <w:color w:val="0000EE"/>
                <w:w w:val="96"/>
              </w:rPr>
            </w:pPr>
            <w:hyperlink w:anchor="page153">
              <w:r>
                <w:rPr>
                  <w:rFonts w:ascii="Arial" w:cs="Arial" w:eastAsia="Arial" w:hAnsi="Arial"/>
                  <w:sz w:val="17"/>
                  <w:szCs w:val="17"/>
                  <w:color w:val="0000EE"/>
                  <w:w w:val="96"/>
                </w:rPr>
                <w:t>Report of Independent Registered Public Accounting Firm</w:t>
              </w:r>
            </w:hyperlink>
          </w:p>
        </w:tc>
        <w:tc>
          <w:tcPr>
            <w:tcW w:w="4240" w:type="dxa"/>
            <w:vAlign w:val="bottom"/>
          </w:tcPr>
          <w:p>
            <w:pPr>
              <w:spacing w:after="0"/>
              <w:rPr>
                <w:sz w:val="13"/>
                <w:szCs w:val="13"/>
                <w:color w:val="auto"/>
              </w:rPr>
            </w:pPr>
          </w:p>
        </w:tc>
        <w:tc>
          <w:tcPr>
            <w:tcW w:w="1800" w:type="dxa"/>
            <w:vAlign w:val="bottom"/>
            <w:gridSpan w:val="4"/>
          </w:tcPr>
          <w:p>
            <w:pPr>
              <w:ind w:left="100"/>
              <w:spacing w:after="0"/>
              <w:rPr>
                <w:sz w:val="20"/>
                <w:szCs w:val="20"/>
                <w:color w:val="auto"/>
              </w:rPr>
            </w:pPr>
            <w:r>
              <w:rPr>
                <w:rFonts w:ascii="Arial" w:cs="Arial" w:eastAsia="Arial" w:hAnsi="Arial"/>
                <w:sz w:val="13"/>
                <w:szCs w:val="13"/>
                <w:b w:val="1"/>
                <w:bCs w:val="1"/>
                <w:color w:val="auto"/>
              </w:rPr>
              <w:t>Pages</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4220" w:type="dxa"/>
            <w:vAlign w:val="bottom"/>
            <w:gridSpan w:val="8"/>
            <w:vMerge w:val="continue"/>
          </w:tcPr>
          <w:p>
            <w:pPr>
              <w:spacing w:after="0"/>
              <w:rPr>
                <w:sz w:val="14"/>
                <w:szCs w:val="14"/>
                <w:color w:val="auto"/>
              </w:rPr>
            </w:pPr>
          </w:p>
        </w:tc>
        <w:tc>
          <w:tcPr>
            <w:tcW w:w="4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line="163" w:lineRule="exact"/>
              <w:rPr>
                <w:rFonts w:ascii="Arial" w:cs="Arial" w:eastAsia="Arial" w:hAnsi="Arial"/>
                <w:sz w:val="17"/>
                <w:szCs w:val="17"/>
                <w:color w:val="0000EE"/>
                <w:w w:val="86"/>
              </w:rPr>
            </w:pPr>
            <w:hyperlink w:anchor="page153">
              <w:r>
                <w:rPr>
                  <w:rFonts w:ascii="Arial" w:cs="Arial" w:eastAsia="Arial" w:hAnsi="Arial"/>
                  <w:sz w:val="17"/>
                  <w:szCs w:val="17"/>
                  <w:color w:val="0000EE"/>
                  <w:w w:val="86"/>
                </w:rPr>
                <w:t>F-2</w:t>
              </w:r>
            </w:hyperlink>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198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7"/>
              </w:rPr>
            </w:pPr>
            <w:hyperlink w:anchor="page154">
              <w:r>
                <w:rPr>
                  <w:rFonts w:ascii="Arial" w:cs="Arial" w:eastAsia="Arial" w:hAnsi="Arial"/>
                  <w:sz w:val="17"/>
                  <w:szCs w:val="17"/>
                  <w:color w:val="0000EE"/>
                  <w:w w:val="87"/>
                </w:rPr>
                <w:t>Consolidated Balance Sheets</w:t>
              </w:r>
            </w:hyperlink>
          </w:p>
        </w:tc>
        <w:tc>
          <w:tcPr>
            <w:tcW w:w="2000" w:type="dxa"/>
            <w:vAlign w:val="bottom"/>
            <w:tcBorders>
              <w:top w:val="single" w:sz="8" w:color="0000EE"/>
            </w:tcBorders>
            <w:gridSpan w:val="6"/>
          </w:tcPr>
          <w:p>
            <w:pPr>
              <w:spacing w:after="0"/>
              <w:rPr>
                <w:sz w:val="16"/>
                <w:szCs w:val="16"/>
                <w:color w:val="auto"/>
              </w:rPr>
            </w:pPr>
          </w:p>
        </w:tc>
        <w:tc>
          <w:tcPr>
            <w:tcW w:w="2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93"/>
              </w:rPr>
            </w:pPr>
            <w:hyperlink w:anchor="page154">
              <w:r>
                <w:rPr>
                  <w:rFonts w:ascii="Arial" w:cs="Arial" w:eastAsia="Arial" w:hAnsi="Arial"/>
                  <w:sz w:val="17"/>
                  <w:szCs w:val="17"/>
                  <w:color w:val="0000EE"/>
                  <w:w w:val="93"/>
                </w:rPr>
                <w:t>F-3</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266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55">
              <w:r>
                <w:rPr>
                  <w:rFonts w:ascii="Arial" w:cs="Arial" w:eastAsia="Arial" w:hAnsi="Arial"/>
                  <w:sz w:val="17"/>
                  <w:szCs w:val="17"/>
                  <w:color w:val="0000EE"/>
                  <w:w w:val="88"/>
                </w:rPr>
                <w:t>Consolidated Statements of Operations</w:t>
              </w:r>
            </w:hyperlink>
          </w:p>
        </w:tc>
        <w:tc>
          <w:tcPr>
            <w:tcW w:w="1560" w:type="dxa"/>
            <w:vAlign w:val="bottom"/>
            <w:gridSpan w:val="6"/>
          </w:tcPr>
          <w:p>
            <w:pPr>
              <w:spacing w:after="0"/>
              <w:rPr>
                <w:sz w:val="16"/>
                <w:szCs w:val="16"/>
                <w:color w:val="auto"/>
              </w:rPr>
            </w:pPr>
          </w:p>
        </w:tc>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0000EE"/>
            </w:tcBorders>
            <w:gridSpan w:val="2"/>
          </w:tcPr>
          <w:p>
            <w:pPr>
              <w:spacing w:after="0" w:line="189" w:lineRule="exact"/>
              <w:rPr>
                <w:rFonts w:ascii="Arial" w:cs="Arial" w:eastAsia="Arial" w:hAnsi="Arial"/>
                <w:sz w:val="17"/>
                <w:szCs w:val="17"/>
                <w:color w:val="0000EE"/>
                <w:w w:val="93"/>
              </w:rPr>
            </w:pPr>
            <w:hyperlink w:anchor="page155">
              <w:r>
                <w:rPr>
                  <w:rFonts w:ascii="Arial" w:cs="Arial" w:eastAsia="Arial" w:hAnsi="Arial"/>
                  <w:sz w:val="17"/>
                  <w:szCs w:val="17"/>
                  <w:color w:val="0000EE"/>
                  <w:w w:val="93"/>
                </w:rPr>
                <w:t>F-4</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4220" w:type="dxa"/>
            <w:vAlign w:val="bottom"/>
            <w:gridSpan w:val="8"/>
          </w:tcPr>
          <w:p>
            <w:pPr>
              <w:spacing w:after="0" w:line="189" w:lineRule="exact"/>
              <w:rPr>
                <w:rFonts w:ascii="Arial" w:cs="Arial" w:eastAsia="Arial" w:hAnsi="Arial"/>
                <w:sz w:val="17"/>
                <w:szCs w:val="17"/>
                <w:color w:val="0000EE"/>
              </w:rPr>
            </w:pPr>
            <w:hyperlink w:anchor="page156">
              <w:r>
                <w:rPr>
                  <w:rFonts w:ascii="Arial" w:cs="Arial" w:eastAsia="Arial" w:hAnsi="Arial"/>
                  <w:sz w:val="17"/>
                  <w:szCs w:val="17"/>
                  <w:color w:val="0000EE"/>
                </w:rPr>
                <w:t>Consolidated Statements of Comprehensive Loss</w:t>
              </w:r>
            </w:hyperlink>
          </w:p>
        </w:tc>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3"/>
          </w:tcPr>
          <w:p>
            <w:pPr>
              <w:spacing w:after="0" w:line="189" w:lineRule="exact"/>
              <w:rPr>
                <w:rFonts w:ascii="Arial" w:cs="Arial" w:eastAsia="Arial" w:hAnsi="Arial"/>
                <w:sz w:val="17"/>
                <w:szCs w:val="17"/>
                <w:color w:val="0000EE"/>
              </w:rPr>
            </w:pPr>
            <w:hyperlink w:anchor="page156">
              <w:r>
                <w:rPr>
                  <w:rFonts w:ascii="Arial" w:cs="Arial" w:eastAsia="Arial" w:hAnsi="Arial"/>
                  <w:sz w:val="17"/>
                  <w:szCs w:val="17"/>
                  <w:color w:val="0000EE"/>
                </w:rPr>
                <w:t>F-5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960" w:type="dxa"/>
            <w:vAlign w:val="bottom"/>
            <w:tcBorders>
              <w:bottom w:val="single" w:sz="8" w:color="0000EE"/>
            </w:tcBorders>
            <w:gridSpan w:val="6"/>
          </w:tcPr>
          <w:p>
            <w:pPr>
              <w:spacing w:after="0" w:line="189" w:lineRule="exact"/>
              <w:rPr>
                <w:rFonts w:ascii="Arial" w:cs="Arial" w:eastAsia="Arial" w:hAnsi="Arial"/>
                <w:sz w:val="17"/>
                <w:szCs w:val="17"/>
                <w:color w:val="0000EE"/>
                <w:w w:val="91"/>
              </w:rPr>
            </w:pPr>
            <w:hyperlink w:anchor="page157">
              <w:r>
                <w:rPr>
                  <w:rFonts w:ascii="Arial" w:cs="Arial" w:eastAsia="Arial" w:hAnsi="Arial"/>
                  <w:sz w:val="17"/>
                  <w:szCs w:val="17"/>
                  <w:color w:val="0000EE"/>
                  <w:w w:val="91"/>
                </w:rPr>
                <w:t>Consolidated Statements of Stockholders' Equity (Deficit)</w:t>
              </w:r>
            </w:hyperlink>
          </w:p>
        </w:tc>
        <w:tc>
          <w:tcPr>
            <w:tcW w:w="260" w:type="dxa"/>
            <w:vAlign w:val="bottom"/>
            <w:gridSpan w:val="2"/>
          </w:tcPr>
          <w:p>
            <w:pPr>
              <w:spacing w:after="0"/>
              <w:rPr>
                <w:sz w:val="16"/>
                <w:szCs w:val="16"/>
                <w:color w:val="auto"/>
              </w:rPr>
            </w:pPr>
          </w:p>
        </w:tc>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0000EE"/>
            </w:tcBorders>
            <w:gridSpan w:val="2"/>
          </w:tcPr>
          <w:p>
            <w:pPr>
              <w:spacing w:after="0" w:line="189" w:lineRule="exact"/>
              <w:rPr>
                <w:rFonts w:ascii="Arial" w:cs="Arial" w:eastAsia="Arial" w:hAnsi="Arial"/>
                <w:sz w:val="17"/>
                <w:szCs w:val="17"/>
                <w:color w:val="0000EE"/>
                <w:w w:val="93"/>
              </w:rPr>
            </w:pPr>
            <w:hyperlink w:anchor="page157">
              <w:r>
                <w:rPr>
                  <w:rFonts w:ascii="Arial" w:cs="Arial" w:eastAsia="Arial" w:hAnsi="Arial"/>
                  <w:sz w:val="17"/>
                  <w:szCs w:val="17"/>
                  <w:color w:val="0000EE"/>
                  <w:w w:val="93"/>
                </w:rPr>
                <w:t>F-6</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4220" w:type="dxa"/>
            <w:vAlign w:val="bottom"/>
            <w:gridSpan w:val="8"/>
          </w:tcPr>
          <w:p>
            <w:pPr>
              <w:spacing w:after="0" w:line="189" w:lineRule="exact"/>
              <w:rPr>
                <w:rFonts w:ascii="Arial" w:cs="Arial" w:eastAsia="Arial" w:hAnsi="Arial"/>
                <w:sz w:val="17"/>
                <w:szCs w:val="17"/>
                <w:color w:val="0000EE"/>
              </w:rPr>
            </w:pPr>
            <w:hyperlink w:anchor="page158">
              <w:r>
                <w:rPr>
                  <w:rFonts w:ascii="Arial" w:cs="Arial" w:eastAsia="Arial" w:hAnsi="Arial"/>
                  <w:sz w:val="17"/>
                  <w:szCs w:val="17"/>
                  <w:color w:val="0000EE"/>
                </w:rPr>
                <w:t>Consolidated Statements of Cash Flows</w:t>
              </w:r>
            </w:hyperlink>
          </w:p>
        </w:tc>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3"/>
          </w:tcPr>
          <w:p>
            <w:pPr>
              <w:spacing w:after="0" w:line="189" w:lineRule="exact"/>
              <w:rPr>
                <w:rFonts w:ascii="Arial" w:cs="Arial" w:eastAsia="Arial" w:hAnsi="Arial"/>
                <w:sz w:val="17"/>
                <w:szCs w:val="17"/>
                <w:color w:val="0000EE"/>
              </w:rPr>
            </w:pPr>
            <w:hyperlink w:anchor="page158">
              <w:r>
                <w:rPr>
                  <w:rFonts w:ascii="Arial" w:cs="Arial" w:eastAsia="Arial" w:hAnsi="Arial"/>
                  <w:sz w:val="17"/>
                  <w:szCs w:val="17"/>
                  <w:color w:val="0000EE"/>
                </w:rPr>
                <w:t>F-7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2980" w:type="dxa"/>
            <w:vAlign w:val="bottom"/>
            <w:tcBorders>
              <w:bottom w:val="single" w:sz="8" w:color="0000EE"/>
            </w:tcBorders>
            <w:gridSpan w:val="4"/>
          </w:tcPr>
          <w:p>
            <w:pPr>
              <w:spacing w:after="0" w:line="189" w:lineRule="exact"/>
              <w:rPr>
                <w:rFonts w:ascii="Arial" w:cs="Arial" w:eastAsia="Arial" w:hAnsi="Arial"/>
                <w:sz w:val="17"/>
                <w:szCs w:val="17"/>
                <w:color w:val="0000EE"/>
                <w:w w:val="89"/>
              </w:rPr>
            </w:pPr>
            <w:hyperlink w:anchor="page159">
              <w:r>
                <w:rPr>
                  <w:rFonts w:ascii="Arial" w:cs="Arial" w:eastAsia="Arial" w:hAnsi="Arial"/>
                  <w:sz w:val="17"/>
                  <w:szCs w:val="17"/>
                  <w:color w:val="0000EE"/>
                  <w:w w:val="89"/>
                </w:rPr>
                <w:t>Notes to Consolidated Financial Statements</w:t>
              </w:r>
            </w:hyperlink>
          </w:p>
        </w:tc>
        <w:tc>
          <w:tcPr>
            <w:tcW w:w="1240" w:type="dxa"/>
            <w:vAlign w:val="bottom"/>
            <w:gridSpan w:val="4"/>
          </w:tcPr>
          <w:p>
            <w:pPr>
              <w:spacing w:after="0"/>
              <w:rPr>
                <w:sz w:val="16"/>
                <w:szCs w:val="16"/>
                <w:color w:val="auto"/>
              </w:rPr>
            </w:pPr>
          </w:p>
        </w:tc>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0000EE"/>
            </w:tcBorders>
            <w:gridSpan w:val="2"/>
          </w:tcPr>
          <w:p>
            <w:pPr>
              <w:spacing w:after="0" w:line="189" w:lineRule="exact"/>
              <w:rPr>
                <w:rFonts w:ascii="Arial" w:cs="Arial" w:eastAsia="Arial" w:hAnsi="Arial"/>
                <w:sz w:val="17"/>
                <w:szCs w:val="17"/>
                <w:color w:val="0000EE"/>
                <w:w w:val="93"/>
              </w:rPr>
            </w:pPr>
            <w:hyperlink w:anchor="page159">
              <w:r>
                <w:rPr>
                  <w:rFonts w:ascii="Arial" w:cs="Arial" w:eastAsia="Arial" w:hAnsi="Arial"/>
                  <w:sz w:val="17"/>
                  <w:szCs w:val="17"/>
                  <w:color w:val="0000EE"/>
                  <w:w w:val="93"/>
                </w:rPr>
                <w:t>F-8</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1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40" w:type="dxa"/>
            <w:vAlign w:val="bottom"/>
            <w:gridSpan w:val="5"/>
          </w:tcPr>
          <w:p>
            <w:pPr>
              <w:ind w:left="220"/>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Applied Optoelectronics, Inc.:</w:t>
      </w:r>
    </w:p>
    <w:p>
      <w:pPr>
        <w:spacing w:after="0" w:line="218"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We have audited the accompanying consolidated balance sheets of Applied Optoelectronics, Inc. (the Company) and subsidiaries as of December 31, 2012 and 2011, and the related consolidated statements of operations, comprehensive loss, stockholders' equity and cash flows for each of the years in the three-year period ended December 31, 2012. These consolidated financial statements are the responsibility of the Company's management. Our responsibility is to express an opinion on these consolidated financial statements based on our audits.</w:t>
      </w:r>
    </w:p>
    <w:p>
      <w:pPr>
        <w:spacing w:after="0" w:line="185" w:lineRule="exact"/>
        <w:rPr>
          <w:sz w:val="20"/>
          <w:szCs w:val="20"/>
          <w:color w:val="auto"/>
        </w:rPr>
      </w:pPr>
    </w:p>
    <w:p>
      <w:pPr>
        <w:ind w:right="160" w:firstLine="338"/>
        <w:spacing w:after="0" w:line="301"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260" w:firstLine="341"/>
        <w:spacing w:after="0" w:line="270"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Applied Optoelectronics, Inc. and subsidiary as of December 31, 2012 and 2011 and the results of their operations and their cash flows for each of the years in the three-year period ended December 31, 2012,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May 21, 2013</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CONSOLIDATED BALANCE SHEETS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17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124"/>
        </w:trPr>
        <w:tc>
          <w:tcPr>
            <w:tcW w:w="55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6"/>
              <w:spacing w:after="0" w:line="124" w:lineRule="exact"/>
              <w:rPr>
                <w:sz w:val="20"/>
                <w:szCs w:val="20"/>
                <w:color w:val="auto"/>
              </w:rPr>
            </w:pPr>
            <w:r>
              <w:rPr>
                <w:rFonts w:ascii="Arial" w:cs="Arial" w:eastAsia="Arial" w:hAnsi="Arial"/>
                <w:sz w:val="13"/>
                <w:szCs w:val="13"/>
                <w:b w:val="1"/>
                <w:bCs w:val="1"/>
                <w:color w:val="auto"/>
                <w:w w:val="92"/>
              </w:rPr>
              <w:t>Pro Forma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400"/>
              <w:spacing w:after="0"/>
              <w:rPr>
                <w:sz w:val="20"/>
                <w:szCs w:val="20"/>
                <w:color w:val="auto"/>
              </w:rPr>
            </w:pPr>
            <w:r>
              <w:rPr>
                <w:rFonts w:ascii="Arial" w:cs="Arial" w:eastAsia="Arial" w:hAnsi="Arial"/>
                <w:sz w:val="17"/>
                <w:szCs w:val="17"/>
                <w:color w:val="auto"/>
              </w:rPr>
              <w:t>ASSETS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9,768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9,768</w:t>
            </w:r>
          </w:p>
        </w:tc>
        <w:tc>
          <w:tcPr>
            <w:tcW w:w="0" w:type="dxa"/>
            <w:vAlign w:val="bottom"/>
          </w:tcPr>
          <w:p>
            <w:pPr>
              <w:spacing w:after="0"/>
              <w:rPr>
                <w:sz w:val="1"/>
                <w:szCs w:val="1"/>
                <w:color w:val="auto"/>
              </w:rPr>
            </w:pPr>
          </w:p>
        </w:tc>
      </w:tr>
      <w:tr>
        <w:trPr>
          <w:trHeight w:val="210"/>
        </w:trPr>
        <w:tc>
          <w:tcPr>
            <w:tcW w:w="5560" w:type="dxa"/>
            <w:vAlign w:val="bottom"/>
          </w:tcPr>
          <w:p>
            <w:pPr>
              <w:ind w:left="160"/>
              <w:spacing w:after="0"/>
              <w:rPr>
                <w:sz w:val="20"/>
                <w:szCs w:val="20"/>
                <w:color w:val="auto"/>
              </w:rPr>
            </w:pPr>
            <w:r>
              <w:rPr>
                <w:rFonts w:ascii="Arial" w:cs="Arial" w:eastAsia="Arial" w:hAnsi="Arial"/>
                <w:sz w:val="17"/>
                <w:szCs w:val="17"/>
                <w:color w:val="auto"/>
              </w:rPr>
              <w:t>Restricted cash</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503</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306</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1,086</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1,086</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6"/>
              </w:rPr>
              <w:t>Accounts receivable—trade, net of allowance of $59 and $61, respectively</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13,525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12,335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13,988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13,988</w:t>
            </w:r>
          </w:p>
        </w:tc>
        <w:tc>
          <w:tcPr>
            <w:tcW w:w="0" w:type="dxa"/>
            <w:vAlign w:val="bottom"/>
          </w:tcPr>
          <w:p>
            <w:pPr>
              <w:spacing w:after="0"/>
              <w:rPr>
                <w:sz w:val="1"/>
                <w:szCs w:val="1"/>
                <w:color w:val="auto"/>
              </w:rPr>
            </w:pPr>
          </w:p>
        </w:tc>
      </w:tr>
      <w:tr>
        <w:trPr>
          <w:trHeight w:val="210"/>
        </w:trPr>
        <w:tc>
          <w:tcPr>
            <w:tcW w:w="5560" w:type="dxa"/>
            <w:vAlign w:val="bottom"/>
          </w:tcPr>
          <w:p>
            <w:pPr>
              <w:ind w:left="160"/>
              <w:spacing w:after="0"/>
              <w:rPr>
                <w:sz w:val="20"/>
                <w:szCs w:val="20"/>
                <w:color w:val="auto"/>
              </w:rPr>
            </w:pPr>
            <w:r>
              <w:rPr>
                <w:rFonts w:ascii="Arial" w:cs="Arial" w:eastAsia="Arial" w:hAnsi="Arial"/>
                <w:sz w:val="17"/>
                <w:szCs w:val="17"/>
                <w:color w:val="auto"/>
              </w:rPr>
              <w:t>Notes receivable</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1,034</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Inventories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12,493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12,671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16,087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16,087</w:t>
            </w:r>
          </w:p>
        </w:tc>
        <w:tc>
          <w:tcPr>
            <w:tcW w:w="0" w:type="dxa"/>
            <w:vAlign w:val="bottom"/>
          </w:tcPr>
          <w:p>
            <w:pPr>
              <w:spacing w:after="0"/>
              <w:rPr>
                <w:sz w:val="1"/>
                <w:szCs w:val="1"/>
                <w:color w:val="auto"/>
              </w:rPr>
            </w:pPr>
          </w:p>
        </w:tc>
      </w:tr>
      <w:tr>
        <w:trPr>
          <w:trHeight w:val="216"/>
        </w:trPr>
        <w:tc>
          <w:tcPr>
            <w:tcW w:w="5560" w:type="dxa"/>
            <w:vAlign w:val="bottom"/>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968</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695</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2,358</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2,358</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current assets</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39,246</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27,775</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43,376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43,376</w:t>
            </w:r>
          </w:p>
        </w:tc>
        <w:tc>
          <w:tcPr>
            <w:tcW w:w="0" w:type="dxa"/>
            <w:vAlign w:val="bottom"/>
          </w:tcPr>
          <w:p>
            <w:pPr>
              <w:spacing w:after="0"/>
              <w:rPr>
                <w:sz w:val="1"/>
                <w:szCs w:val="1"/>
                <w:color w:val="auto"/>
              </w:rPr>
            </w:pPr>
          </w:p>
        </w:tc>
      </w:tr>
      <w:tr>
        <w:trPr>
          <w:trHeight w:val="201"/>
        </w:trPr>
        <w:tc>
          <w:tcPr>
            <w:tcW w:w="5560" w:type="dxa"/>
            <w:vAlign w:val="bottom"/>
          </w:tcPr>
          <w:p>
            <w:pPr>
              <w:ind w:left="20"/>
              <w:spacing w:after="0"/>
              <w:rPr>
                <w:sz w:val="20"/>
                <w:szCs w:val="20"/>
                <w:color w:val="auto"/>
              </w:rPr>
            </w:pPr>
            <w:r>
              <w:rPr>
                <w:rFonts w:ascii="Arial" w:cs="Arial" w:eastAsia="Arial" w:hAnsi="Arial"/>
                <w:sz w:val="17"/>
                <w:szCs w:val="17"/>
                <w:color w:val="auto"/>
                <w:w w:val="92"/>
              </w:rPr>
              <w:t>Property, plant and equipment, net of accumulated depreciation of $24,967 and</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560" w:type="dxa"/>
            <w:vAlign w:val="bottom"/>
          </w:tcPr>
          <w:p>
            <w:pPr>
              <w:ind w:left="160"/>
              <w:spacing w:after="0"/>
              <w:rPr>
                <w:sz w:val="20"/>
                <w:szCs w:val="20"/>
                <w:color w:val="auto"/>
              </w:rPr>
            </w:pPr>
            <w:r>
              <w:rPr>
                <w:rFonts w:ascii="Arial" w:cs="Arial" w:eastAsia="Arial" w:hAnsi="Arial"/>
                <w:sz w:val="17"/>
                <w:szCs w:val="17"/>
                <w:color w:val="auto"/>
              </w:rPr>
              <w:t>$22,556, respectively</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24,838</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24,532</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26,123</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26,123</w:t>
            </w:r>
          </w:p>
        </w:tc>
        <w:tc>
          <w:tcPr>
            <w:tcW w:w="0" w:type="dxa"/>
            <w:vAlign w:val="bottom"/>
          </w:tcPr>
          <w:p>
            <w:pPr>
              <w:spacing w:after="0"/>
              <w:rPr>
                <w:sz w:val="1"/>
                <w:szCs w:val="1"/>
                <w:color w:val="auto"/>
              </w:rPr>
            </w:pPr>
          </w:p>
        </w:tc>
      </w:tr>
      <w:tr>
        <w:trPr>
          <w:trHeight w:val="211"/>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 use rights, net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958</w:t>
            </w:r>
          </w:p>
        </w:tc>
        <w:tc>
          <w:tcPr>
            <w:tcW w:w="0" w:type="dxa"/>
            <w:vAlign w:val="bottom"/>
          </w:tcPr>
          <w:p>
            <w:pPr>
              <w:spacing w:after="0"/>
              <w:rPr>
                <w:sz w:val="1"/>
                <w:szCs w:val="1"/>
                <w:color w:val="auto"/>
              </w:rPr>
            </w:pPr>
          </w:p>
        </w:tc>
      </w:tr>
      <w:tr>
        <w:trPr>
          <w:trHeight w:val="210"/>
        </w:trPr>
        <w:tc>
          <w:tcPr>
            <w:tcW w:w="556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795</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651</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828</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828</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 net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711</w:t>
            </w:r>
          </w:p>
        </w:tc>
        <w:tc>
          <w:tcPr>
            <w:tcW w:w="0" w:type="dxa"/>
            <w:vAlign w:val="bottom"/>
          </w:tcPr>
          <w:p>
            <w:pPr>
              <w:spacing w:after="0"/>
              <w:rPr>
                <w:sz w:val="1"/>
                <w:szCs w:val="1"/>
                <w:color w:val="auto"/>
              </w:rPr>
            </w:pPr>
          </w:p>
        </w:tc>
      </w:tr>
      <w:tr>
        <w:trPr>
          <w:trHeight w:val="26"/>
        </w:trPr>
        <w:tc>
          <w:tcPr>
            <w:tcW w:w="5560" w:type="dxa"/>
            <w:vAlign w:val="bottom"/>
            <w:vMerge w:val="restart"/>
          </w:tcPr>
          <w:p>
            <w:pPr>
              <w:ind w:left="20"/>
              <w:spacing w:after="0"/>
              <w:rPr>
                <w:sz w:val="20"/>
                <w:szCs w:val="20"/>
                <w:color w:val="auto"/>
              </w:rPr>
            </w:pPr>
            <w:r>
              <w:rPr>
                <w:rFonts w:ascii="Arial" w:cs="Arial" w:eastAsia="Arial" w:hAnsi="Arial"/>
                <w:sz w:val="17"/>
                <w:szCs w:val="17"/>
                <w:color w:val="auto"/>
              </w:rPr>
              <w:t>TOTAL ASSETS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6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65,748</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w w:val="84"/>
              </w:rPr>
              <w:t>53,723</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w w:val="84"/>
              </w:rPr>
              <w:t>71,996</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71,996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560" w:type="dxa"/>
            <w:vAlign w:val="bottom"/>
            <w:shd w:val="clear" w:color="auto" w:fill="CCEEFF"/>
          </w:tcPr>
          <w:p>
            <w:pPr>
              <w:ind w:left="980"/>
              <w:spacing w:after="0" w:line="189" w:lineRule="exact"/>
              <w:rPr>
                <w:sz w:val="20"/>
                <w:szCs w:val="20"/>
                <w:color w:val="auto"/>
              </w:rPr>
            </w:pPr>
            <w:r>
              <w:rPr>
                <w:rFonts w:ascii="Arial" w:cs="Arial" w:eastAsia="Arial" w:hAnsi="Arial"/>
                <w:sz w:val="17"/>
                <w:szCs w:val="17"/>
                <w:color w:val="auto"/>
              </w:rPr>
              <w:t>LIABILITIES AND STOCKHOLDERS' EQUITY</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portion of notes payable and 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15,421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18,326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13,838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13,838</w:t>
            </w:r>
          </w:p>
        </w:tc>
        <w:tc>
          <w:tcPr>
            <w:tcW w:w="0" w:type="dxa"/>
            <w:vAlign w:val="bottom"/>
          </w:tcPr>
          <w:p>
            <w:pPr>
              <w:spacing w:after="0"/>
              <w:rPr>
                <w:sz w:val="1"/>
                <w:szCs w:val="1"/>
                <w:color w:val="auto"/>
              </w:rPr>
            </w:pPr>
          </w:p>
        </w:tc>
      </w:tr>
      <w:tr>
        <w:trPr>
          <w:trHeight w:val="210"/>
        </w:trPr>
        <w:tc>
          <w:tcPr>
            <w:tcW w:w="5560" w:type="dxa"/>
            <w:vAlign w:val="bottom"/>
          </w:tcPr>
          <w:p>
            <w:pPr>
              <w:ind w:left="20"/>
              <w:spacing w:after="0"/>
              <w:rPr>
                <w:sz w:val="20"/>
                <w:szCs w:val="20"/>
                <w:color w:val="auto"/>
              </w:rPr>
            </w:pPr>
            <w:r>
              <w:rPr>
                <w:rFonts w:ascii="Arial" w:cs="Arial" w:eastAsia="Arial" w:hAnsi="Arial"/>
                <w:sz w:val="17"/>
                <w:szCs w:val="17"/>
                <w:color w:val="auto"/>
              </w:rPr>
              <w:t>Short-term loan from shareholders</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910</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6,913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7,792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13,149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13,149</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7"/>
                <w:szCs w:val="17"/>
                <w:color w:val="auto"/>
              </w:rPr>
              <w:t>Accrued liabilities</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3,243</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2,658</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2,385</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2,385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current liabilities</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25,577</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29,686</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29,372</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29,372</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7"/>
                <w:szCs w:val="17"/>
                <w:color w:val="auto"/>
              </w:rPr>
              <w:t>Notes payable and long-term debt, less current portion</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9,163</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3,361</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12,084</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12,084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34,740</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33,047</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41,456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41,456</w:t>
            </w:r>
          </w:p>
        </w:tc>
        <w:tc>
          <w:tcPr>
            <w:tcW w:w="0" w:type="dxa"/>
            <w:vAlign w:val="bottom"/>
          </w:tcPr>
          <w:p>
            <w:pPr>
              <w:spacing w:after="0"/>
              <w:rPr>
                <w:sz w:val="1"/>
                <w:szCs w:val="1"/>
                <w:color w:val="auto"/>
              </w:rPr>
            </w:pPr>
          </w:p>
        </w:tc>
      </w:tr>
      <w:tr>
        <w:trPr>
          <w:trHeight w:val="26"/>
        </w:trPr>
        <w:tc>
          <w:tcPr>
            <w:tcW w:w="5560" w:type="dxa"/>
            <w:vAlign w:val="bottom"/>
            <w:vMerge w:val="restart"/>
          </w:tcPr>
          <w:p>
            <w:pPr>
              <w:ind w:left="20"/>
              <w:spacing w:after="0"/>
              <w:rPr>
                <w:sz w:val="20"/>
                <w:szCs w:val="20"/>
                <w:color w:val="auto"/>
              </w:rPr>
            </w:pPr>
            <w:r>
              <w:rPr>
                <w:rFonts w:ascii="Arial" w:cs="Arial" w:eastAsia="Arial" w:hAnsi="Arial"/>
                <w:sz w:val="17"/>
                <w:szCs w:val="17"/>
                <w:color w:val="auto"/>
              </w:rPr>
              <w:t>Stockholders' equity (deficit):</w:t>
            </w: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5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5"/>
              </w:rPr>
              <w:t>Redeemable Convertible Preferred Stock and Convertible Preferred Stock;</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1"/>
              </w:rPr>
              <w:t>172,200 shares authorized; 166,404 shares and 130,224 shares issued and</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6"/>
              </w:rPr>
              <w:t>outstanding at December 31, 2012 and 2011, respectively, no par value;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1"/>
              </w:rPr>
              <w:t>167,279 shares issued and outstanding, actual, at June 30, 2013 $0.001 par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5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5"/>
              </w:rPr>
              <w:t>value; and no shares issued and outstanding pro forma at June 30, 2013.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105,367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94,373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105,614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5560" w:type="dxa"/>
            <w:vAlign w:val="bottom"/>
          </w:tcPr>
          <w:p>
            <w:pPr>
              <w:ind w:left="160"/>
              <w:spacing w:after="0"/>
              <w:rPr>
                <w:sz w:val="20"/>
                <w:szCs w:val="20"/>
                <w:color w:val="auto"/>
              </w:rPr>
            </w:pPr>
            <w:r>
              <w:rPr>
                <w:rFonts w:ascii="Arial" w:cs="Arial" w:eastAsia="Arial" w:hAnsi="Arial"/>
                <w:sz w:val="17"/>
                <w:szCs w:val="17"/>
                <w:color w:val="auto"/>
                <w:w w:val="93"/>
              </w:rPr>
              <w:t>Common Stock; 300,000 shares authorized; 7,978, and 7,954 shares issued</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300"/>
              <w:spacing w:after="0"/>
              <w:rPr>
                <w:sz w:val="20"/>
                <w:szCs w:val="20"/>
                <w:color w:val="auto"/>
              </w:rPr>
            </w:pPr>
            <w:r>
              <w:rPr>
                <w:rFonts w:ascii="Arial" w:cs="Arial" w:eastAsia="Arial" w:hAnsi="Arial"/>
                <w:sz w:val="17"/>
                <w:szCs w:val="17"/>
                <w:color w:val="auto"/>
                <w:w w:val="99"/>
              </w:rPr>
              <w:t>and outstanding at December 31, 2012 and 2011, respectively, no par</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300"/>
              <w:spacing w:after="0"/>
              <w:rPr>
                <w:sz w:val="20"/>
                <w:szCs w:val="20"/>
                <w:color w:val="auto"/>
              </w:rPr>
            </w:pPr>
            <w:r>
              <w:rPr>
                <w:rFonts w:ascii="Arial" w:cs="Arial" w:eastAsia="Arial" w:hAnsi="Arial"/>
                <w:sz w:val="17"/>
                <w:szCs w:val="17"/>
                <w:color w:val="auto"/>
                <w:w w:val="91"/>
              </w:rPr>
              <w:t>value; 8,530 shares issued and outstanding, actual, at June 30, 2013 $0.001</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300"/>
              <w:spacing w:after="0"/>
              <w:rPr>
                <w:sz w:val="20"/>
                <w:szCs w:val="20"/>
                <w:color w:val="auto"/>
              </w:rPr>
            </w:pPr>
            <w:r>
              <w:rPr>
                <w:rFonts w:ascii="Arial" w:cs="Arial" w:eastAsia="Arial" w:hAnsi="Arial"/>
                <w:sz w:val="17"/>
                <w:szCs w:val="17"/>
                <w:color w:val="auto"/>
              </w:rPr>
              <w:t>par value; and 269,816 shares issued and outstanding, pro forma, at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60" w:type="dxa"/>
            <w:vAlign w:val="bottom"/>
          </w:tcPr>
          <w:p>
            <w:pPr>
              <w:ind w:left="300"/>
              <w:spacing w:after="0"/>
              <w:rPr>
                <w:sz w:val="20"/>
                <w:szCs w:val="20"/>
                <w:color w:val="auto"/>
              </w:rPr>
            </w:pPr>
            <w:r>
              <w:rPr>
                <w:rFonts w:ascii="Arial" w:cs="Arial" w:eastAsia="Arial" w:hAnsi="Arial"/>
                <w:sz w:val="17"/>
                <w:szCs w:val="17"/>
                <w:color w:val="auto"/>
              </w:rPr>
              <w:t>June 30, 2013 $0.001 par value.</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1,074</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1,069</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1,185</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106,799</w:t>
            </w:r>
          </w:p>
        </w:tc>
        <w:tc>
          <w:tcPr>
            <w:tcW w:w="0" w:type="dxa"/>
            <w:vAlign w:val="bottom"/>
          </w:tcPr>
          <w:p>
            <w:pPr>
              <w:spacing w:after="0"/>
              <w:rPr>
                <w:sz w:val="1"/>
                <w:szCs w:val="1"/>
                <w:color w:val="auto"/>
              </w:rPr>
            </w:pPr>
          </w:p>
        </w:tc>
      </w:tr>
      <w:tr>
        <w:trPr>
          <w:trHeight w:val="211"/>
        </w:trPr>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4,468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4,234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4,679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4,679</w:t>
            </w:r>
          </w:p>
        </w:tc>
        <w:tc>
          <w:tcPr>
            <w:tcW w:w="0" w:type="dxa"/>
            <w:vAlign w:val="bottom"/>
          </w:tcPr>
          <w:p>
            <w:pPr>
              <w:spacing w:after="0"/>
              <w:rPr>
                <w:sz w:val="1"/>
                <w:szCs w:val="1"/>
                <w:color w:val="auto"/>
              </w:rPr>
            </w:pPr>
          </w:p>
        </w:tc>
      </w:tr>
      <w:tr>
        <w:trPr>
          <w:trHeight w:val="210"/>
        </w:trPr>
        <w:tc>
          <w:tcPr>
            <w:tcW w:w="5560" w:type="dxa"/>
            <w:vAlign w:val="bottom"/>
          </w:tcPr>
          <w:p>
            <w:pPr>
              <w:ind w:left="160"/>
              <w:spacing w:after="0"/>
              <w:rPr>
                <w:sz w:val="20"/>
                <w:szCs w:val="20"/>
                <w:color w:val="auto"/>
              </w:rPr>
            </w:pPr>
            <w:r>
              <w:rPr>
                <w:rFonts w:ascii="Arial" w:cs="Arial" w:eastAsia="Arial" w:hAnsi="Arial"/>
                <w:sz w:val="17"/>
                <w:szCs w:val="17"/>
                <w:color w:val="auto"/>
              </w:rPr>
              <w:t>Accumulated other comprehensive gain</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2,016</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1,972</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2,255</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2,255</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(81,917)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(80,972)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(83,193)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(83,193)</w:t>
            </w:r>
          </w:p>
        </w:tc>
        <w:tc>
          <w:tcPr>
            <w:tcW w:w="0" w:type="dxa"/>
            <w:vAlign w:val="bottom"/>
          </w:tcPr>
          <w:p>
            <w:pPr>
              <w:spacing w:after="0"/>
              <w:rPr>
                <w:sz w:val="1"/>
                <w:szCs w:val="1"/>
                <w:color w:val="auto"/>
              </w:rPr>
            </w:pPr>
          </w:p>
        </w:tc>
      </w:tr>
      <w:tr>
        <w:trPr>
          <w:trHeight w:val="26"/>
        </w:trPr>
        <w:tc>
          <w:tcPr>
            <w:tcW w:w="5560" w:type="dxa"/>
            <w:vAlign w:val="bottom"/>
            <w:vMerge w:val="restart"/>
          </w:tcPr>
          <w:p>
            <w:pPr>
              <w:ind w:left="20"/>
              <w:spacing w:after="0"/>
              <w:rPr>
                <w:sz w:val="20"/>
                <w:szCs w:val="20"/>
                <w:color w:val="auto"/>
              </w:rPr>
            </w:pPr>
            <w:r>
              <w:rPr>
                <w:rFonts w:ascii="Arial" w:cs="Arial" w:eastAsia="Arial" w:hAnsi="Arial"/>
                <w:sz w:val="17"/>
                <w:szCs w:val="17"/>
                <w:color w:val="auto"/>
              </w:rPr>
              <w:t>TOTAL STOCKHOLDERS' EQUITY</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6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31,008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w w:val="84"/>
              </w:rPr>
              <w:t>20,676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w w:val="84"/>
              </w:rPr>
              <w:t>30,540</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30,540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65,748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53,723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71,996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71,996</w:t>
            </w:r>
          </w:p>
        </w:tc>
        <w:tc>
          <w:tcPr>
            <w:tcW w:w="0" w:type="dxa"/>
            <w:vAlign w:val="bottom"/>
          </w:tcPr>
          <w:p>
            <w:pPr>
              <w:spacing w:after="0"/>
              <w:rPr>
                <w:sz w:val="1"/>
                <w:szCs w:val="1"/>
                <w:color w:val="auto"/>
              </w:rPr>
            </w:pPr>
          </w:p>
        </w:tc>
      </w:tr>
      <w:tr>
        <w:trPr>
          <w:trHeight w:val="26"/>
        </w:trPr>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24"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89"/>
              </w:rPr>
              <w:t>Six Months ended</w:t>
            </w:r>
          </w:p>
        </w:tc>
        <w:tc>
          <w:tcPr>
            <w:tcW w:w="0" w:type="dxa"/>
            <w:vAlign w:val="bottom"/>
          </w:tcPr>
          <w:p>
            <w:pPr>
              <w:spacing w:after="0"/>
              <w:rPr>
                <w:sz w:val="1"/>
                <w:szCs w:val="1"/>
                <w:color w:val="auto"/>
              </w:rPr>
            </w:pPr>
          </w:p>
        </w:tc>
      </w:tr>
      <w:tr>
        <w:trPr>
          <w:trHeight w:val="157"/>
        </w:trPr>
        <w:tc>
          <w:tcPr>
            <w:tcW w:w="3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3"/>
                <w:szCs w:val="13"/>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3"/>
                <w:szCs w:val="13"/>
                <w:b w:val="1"/>
                <w:bCs w:val="1"/>
                <w:color w:val="auto"/>
                <w:w w:val="92"/>
              </w:rPr>
              <w:t>June 30,</w:t>
            </w:r>
          </w:p>
        </w:tc>
        <w:tc>
          <w:tcPr>
            <w:tcW w:w="7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3"/>
          </w:tcPr>
          <w:p>
            <w:pPr>
              <w:jc w:val="center"/>
              <w:ind w:left="478"/>
              <w:spacing w:after="0" w:line="138" w:lineRule="exact"/>
              <w:rPr>
                <w:sz w:val="20"/>
                <w:szCs w:val="20"/>
                <w:color w:val="auto"/>
              </w:rPr>
            </w:pPr>
            <w:r>
              <w:rPr>
                <w:rFonts w:ascii="Arial" w:cs="Arial" w:eastAsia="Arial" w:hAnsi="Arial"/>
                <w:sz w:val="13"/>
                <w:szCs w:val="13"/>
                <w:b w:val="1"/>
                <w:bCs w:val="1"/>
                <w:color w:val="auto"/>
                <w:w w:val="90"/>
              </w:rPr>
              <w:t>(unaudited)</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Revenue, net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63,421</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47,840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40,489</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33,914</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28,144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7"/>
                <w:szCs w:val="17"/>
                <w:color w:val="auto"/>
              </w:rPr>
              <w:t>Cost of goods sold</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44,492</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34,468</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27,539</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23,882</w:t>
            </w:r>
          </w:p>
        </w:tc>
        <w:tc>
          <w:tcPr>
            <w:tcW w:w="2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19,331</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18,929</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13,372</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12,950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10,032</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8,813</w:t>
            </w:r>
          </w:p>
        </w:tc>
        <w:tc>
          <w:tcPr>
            <w:tcW w:w="0" w:type="dxa"/>
            <w:vAlign w:val="bottom"/>
          </w:tcPr>
          <w:p>
            <w:pPr>
              <w:spacing w:after="0"/>
              <w:rPr>
                <w:sz w:val="1"/>
                <w:szCs w:val="1"/>
                <w:color w:val="auto"/>
              </w:rPr>
            </w:pPr>
          </w:p>
        </w:tc>
      </w:tr>
      <w:tr>
        <w:trPr>
          <w:trHeight w:val="26"/>
        </w:trPr>
        <w:tc>
          <w:tcPr>
            <w:tcW w:w="3180" w:type="dxa"/>
            <w:vAlign w:val="bottom"/>
            <w:vMerge w:val="restart"/>
          </w:tcPr>
          <w:p>
            <w:pPr>
              <w:spacing w:after="0"/>
              <w:rPr>
                <w:sz w:val="20"/>
                <w:szCs w:val="20"/>
                <w:color w:val="auto"/>
              </w:rPr>
            </w:pPr>
            <w:r>
              <w:rPr>
                <w:rFonts w:ascii="Arial" w:cs="Arial" w:eastAsia="Arial" w:hAnsi="Arial"/>
                <w:sz w:val="17"/>
                <w:szCs w:val="17"/>
                <w:color w:val="auto"/>
              </w:rPr>
              <w:t>Operating expenses</w:t>
            </w: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7,603</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6,451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5,176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3,902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3,284</w:t>
            </w:r>
          </w:p>
        </w:tc>
        <w:tc>
          <w:tcPr>
            <w:tcW w:w="0" w:type="dxa"/>
            <w:vAlign w:val="bottom"/>
          </w:tcPr>
          <w:p>
            <w:pPr>
              <w:spacing w:after="0"/>
              <w:rPr>
                <w:sz w:val="1"/>
                <w:szCs w:val="1"/>
                <w:color w:val="auto"/>
              </w:rPr>
            </w:pPr>
          </w:p>
        </w:tc>
      </w:tr>
      <w:tr>
        <w:trPr>
          <w:trHeight w:val="210"/>
        </w:trPr>
        <w:tc>
          <w:tcPr>
            <w:tcW w:w="3180" w:type="dxa"/>
            <w:vAlign w:val="bottom"/>
          </w:tcPr>
          <w:p>
            <w:pPr>
              <w:ind w:left="180"/>
              <w:spacing w:after="0"/>
              <w:rPr>
                <w:sz w:val="20"/>
                <w:szCs w:val="20"/>
                <w:color w:val="auto"/>
              </w:rPr>
            </w:pPr>
            <w:r>
              <w:rPr>
                <w:rFonts w:ascii="Arial" w:cs="Arial" w:eastAsia="Arial" w:hAnsi="Arial"/>
                <w:sz w:val="17"/>
                <w:szCs w:val="17"/>
                <w:color w:val="auto"/>
              </w:rPr>
              <w:t>Sales and marketing</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3,135</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2,412</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1,993</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1,959</w:t>
            </w:r>
          </w:p>
        </w:tc>
        <w:tc>
          <w:tcPr>
            <w:tcW w:w="2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1,614</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8,012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8,243</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8,382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4,822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3,912</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7"/>
                <w:szCs w:val="17"/>
                <w:color w:val="auto"/>
              </w:rPr>
              <w:t>Asset impairment charges</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492</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18,750</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17,106</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16,043</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10,683</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8,810</w:t>
            </w:r>
          </w:p>
        </w:tc>
        <w:tc>
          <w:tcPr>
            <w:tcW w:w="0" w:type="dxa"/>
            <w:vAlign w:val="bottom"/>
          </w:tcPr>
          <w:p>
            <w:pPr>
              <w:spacing w:after="0"/>
              <w:rPr>
                <w:sz w:val="1"/>
                <w:szCs w:val="1"/>
                <w:color w:val="auto"/>
              </w:rPr>
            </w:pPr>
          </w:p>
        </w:tc>
      </w:tr>
      <w:tr>
        <w:trPr>
          <w:trHeight w:val="26"/>
        </w:trPr>
        <w:tc>
          <w:tcPr>
            <w:tcW w:w="3180" w:type="dxa"/>
            <w:vAlign w:val="bottom"/>
            <w:vMerge w:val="restart"/>
          </w:tcPr>
          <w:p>
            <w:pPr>
              <w:spacing w:after="0"/>
              <w:rPr>
                <w:sz w:val="20"/>
                <w:szCs w:val="20"/>
                <w:color w:val="auto"/>
              </w:rPr>
            </w:pPr>
            <w:r>
              <w:rPr>
                <w:rFonts w:ascii="Arial" w:cs="Arial" w:eastAsia="Arial" w:hAnsi="Arial"/>
                <w:sz w:val="17"/>
                <w:szCs w:val="17"/>
                <w:color w:val="auto"/>
              </w:rPr>
              <w:t>Income (loss) from operations</w:t>
            </w: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8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(3,734)</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(3,093)</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(651)</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(1,381)</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(1,338)</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(906)</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(602)</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(717)</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income (expense), net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6"/>
        </w:trPr>
        <w:tc>
          <w:tcPr>
            <w:tcW w:w="3180" w:type="dxa"/>
            <w:vAlign w:val="bottom"/>
            <w:vMerge w:val="restart"/>
          </w:tcPr>
          <w:p>
            <w:pPr>
              <w:spacing w:after="0"/>
              <w:rPr>
                <w:sz w:val="20"/>
                <w:szCs w:val="20"/>
                <w:color w:val="auto"/>
              </w:rPr>
            </w:pPr>
            <w:r>
              <w:rPr>
                <w:rFonts w:ascii="Arial" w:cs="Arial" w:eastAsia="Arial" w:hAnsi="Arial"/>
                <w:sz w:val="17"/>
                <w:szCs w:val="17"/>
                <w:color w:val="auto"/>
              </w:rPr>
              <w:t>Total other expense</w:t>
            </w: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8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(1,124)</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(1,594)</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(287)</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(625)</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(945)</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(5,328)</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(3,380)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(1,276)</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7"/>
                <w:szCs w:val="17"/>
                <w:color w:val="auto"/>
              </w:rPr>
              <w:t>Income taxes</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(945)</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(5,328)</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(3,380)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(1,276)</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(617)</w:t>
            </w:r>
          </w:p>
        </w:tc>
        <w:tc>
          <w:tcPr>
            <w:tcW w:w="0" w:type="dxa"/>
            <w:vAlign w:val="bottom"/>
          </w:tcPr>
          <w:p>
            <w:pPr>
              <w:spacing w:after="0"/>
              <w:rPr>
                <w:sz w:val="1"/>
                <w:szCs w:val="1"/>
                <w:color w:val="auto"/>
              </w:rPr>
            </w:pPr>
          </w:p>
        </w:tc>
      </w:tr>
      <w:tr>
        <w:trPr>
          <w:trHeight w:val="26"/>
        </w:trPr>
        <w:tc>
          <w:tcPr>
            <w:tcW w:w="3180" w:type="dxa"/>
            <w:vAlign w:val="bottom"/>
            <w:vMerge w:val="restart"/>
          </w:tcPr>
          <w:p>
            <w:pPr>
              <w:spacing w:after="0"/>
              <w:rPr>
                <w:sz w:val="20"/>
                <w:szCs w:val="20"/>
                <w:color w:val="auto"/>
              </w:rPr>
            </w:pPr>
            <w:r>
              <w:rPr>
                <w:rFonts w:ascii="Arial" w:cs="Arial" w:eastAsia="Arial" w:hAnsi="Arial"/>
                <w:sz w:val="17"/>
                <w:szCs w:val="17"/>
                <w:color w:val="auto"/>
              </w:rPr>
              <w:t>Net loss per share—basic and diluted, as</w:t>
            </w: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8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180" w:type="dxa"/>
            <w:vAlign w:val="bottom"/>
          </w:tcPr>
          <w:p>
            <w:pPr>
              <w:ind w:left="180"/>
              <w:spacing w:after="0"/>
              <w:rPr>
                <w:sz w:val="20"/>
                <w:szCs w:val="20"/>
                <w:color w:val="auto"/>
              </w:rPr>
            </w:pPr>
            <w:r>
              <w:rPr>
                <w:rFonts w:ascii="Arial" w:cs="Arial" w:eastAsia="Arial" w:hAnsi="Arial"/>
                <w:sz w:val="17"/>
                <w:szCs w:val="17"/>
                <w:color w:val="auto"/>
              </w:rPr>
              <w:t>revised</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(0.12)</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(0.67)</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(0.44)</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(0.16)</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(0.08)</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w w:val="97"/>
              </w:rPr>
              <w:t>Weighted average shares used to compute</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loss per share, as revised:</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180"/>
              <w:spacing w:after="0"/>
              <w:rPr>
                <w:sz w:val="20"/>
                <w:szCs w:val="20"/>
                <w:color w:val="auto"/>
              </w:rPr>
            </w:pPr>
            <w:r>
              <w:rPr>
                <w:rFonts w:ascii="Arial" w:cs="Arial" w:eastAsia="Arial" w:hAnsi="Arial"/>
                <w:sz w:val="17"/>
                <w:szCs w:val="17"/>
                <w:color w:val="auto"/>
              </w:rPr>
              <w:t>Basic and diluted</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7,967,272</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7,909,736</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7,767,035</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8,031,323</w:t>
            </w:r>
          </w:p>
        </w:tc>
        <w:tc>
          <w:tcPr>
            <w:tcW w:w="2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7,957,574</w:t>
            </w:r>
          </w:p>
        </w:tc>
        <w:tc>
          <w:tcPr>
            <w:tcW w:w="0" w:type="dxa"/>
            <w:vAlign w:val="bottom"/>
          </w:tcPr>
          <w:p>
            <w:pPr>
              <w:spacing w:after="0"/>
              <w:rPr>
                <w:sz w:val="1"/>
                <w:szCs w:val="1"/>
                <w:color w:val="auto"/>
              </w:rPr>
            </w:pPr>
          </w:p>
        </w:tc>
      </w:tr>
      <w:tr>
        <w:trPr>
          <w:trHeight w:val="201"/>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 per share—basic and</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 (unaudited)</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180" w:type="dxa"/>
            <w:vAlign w:val="bottom"/>
          </w:tcPr>
          <w:p>
            <w:pPr>
              <w:spacing w:after="0"/>
              <w:rPr>
                <w:sz w:val="20"/>
                <w:szCs w:val="20"/>
                <w:color w:val="auto"/>
              </w:rPr>
            </w:pPr>
            <w:r>
              <w:rPr>
                <w:rFonts w:ascii="Arial" w:cs="Arial" w:eastAsia="Arial" w:hAnsi="Arial"/>
                <w:sz w:val="17"/>
                <w:szCs w:val="17"/>
                <w:color w:val="auto"/>
                <w:w w:val="97"/>
              </w:rPr>
              <w:t>Weighted average shares used to compute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180" w:type="dxa"/>
            <w:vAlign w:val="bottom"/>
          </w:tcPr>
          <w:p>
            <w:pPr>
              <w:ind w:left="180"/>
              <w:spacing w:after="0"/>
              <w:rPr>
                <w:sz w:val="20"/>
                <w:szCs w:val="20"/>
                <w:color w:val="auto"/>
              </w:rPr>
            </w:pPr>
            <w:r>
              <w:rPr>
                <w:rFonts w:ascii="Arial" w:cs="Arial" w:eastAsia="Arial" w:hAnsi="Arial"/>
                <w:sz w:val="17"/>
                <w:szCs w:val="17"/>
                <w:color w:val="auto"/>
                <w:w w:val="96"/>
              </w:rPr>
              <w:t>pro forma net loss per share (unaudited):</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 and diluted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251,406,466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268,495,142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224"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89"/>
              </w:rPr>
              <w:t>Six Months</w:t>
            </w:r>
          </w:p>
        </w:tc>
      </w:tr>
      <w:tr>
        <w:trPr>
          <w:trHeight w:val="144"/>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left="207"/>
              <w:spacing w:after="0" w:line="144" w:lineRule="exact"/>
              <w:rPr>
                <w:sz w:val="20"/>
                <w:szCs w:val="20"/>
                <w:color w:val="auto"/>
              </w:rPr>
            </w:pPr>
            <w:r>
              <w:rPr>
                <w:rFonts w:ascii="Arial" w:cs="Arial" w:eastAsia="Arial" w:hAnsi="Arial"/>
                <w:sz w:val="13"/>
                <w:szCs w:val="13"/>
                <w:b w:val="1"/>
                <w:bCs w:val="1"/>
                <w:color w:val="auto"/>
                <w:w w:val="88"/>
              </w:rPr>
              <w:t>ended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8"/>
          </w:tcPr>
          <w:p>
            <w:pPr>
              <w:jc w:val="right"/>
              <w:ind w:right="58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820" w:type="dxa"/>
            <w:vAlign w:val="bottom"/>
            <w:gridSpan w:val="3"/>
          </w:tcPr>
          <w:p>
            <w:pPr>
              <w:jc w:val="center"/>
              <w:ind w:left="207"/>
              <w:spacing w:after="0"/>
              <w:rPr>
                <w:sz w:val="20"/>
                <w:szCs w:val="20"/>
                <w:color w:val="auto"/>
              </w:rPr>
            </w:pPr>
            <w:r>
              <w:rPr>
                <w:rFonts w:ascii="Arial" w:cs="Arial" w:eastAsia="Arial" w:hAnsi="Arial"/>
                <w:sz w:val="13"/>
                <w:szCs w:val="13"/>
                <w:b w:val="1"/>
                <w:bCs w:val="1"/>
                <w:color w:val="auto"/>
                <w:w w:val="88"/>
              </w:rPr>
              <w:t>June 30,</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5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3"/>
                <w:szCs w:val="13"/>
                <w:b w:val="1"/>
                <w:bCs w:val="1"/>
                <w:color w:val="auto"/>
                <w:w w:val="96"/>
              </w:rPr>
              <w:t>2012</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3"/>
                <w:szCs w:val="13"/>
                <w:b w:val="1"/>
                <w:bCs w:val="1"/>
                <w:color w:val="auto"/>
              </w:rPr>
              <w:t>2013</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89"/>
              </w:rPr>
              <w:t>2012</w:t>
            </w:r>
          </w:p>
        </w:tc>
        <w:tc>
          <w:tcPr>
            <w:tcW w:w="140" w:type="dxa"/>
            <w:vAlign w:val="bottom"/>
          </w:tcPr>
          <w:p>
            <w:pPr>
              <w:spacing w:after="0"/>
              <w:rPr>
                <w:sz w:val="16"/>
                <w:szCs w:val="16"/>
                <w:color w:val="auto"/>
              </w:rPr>
            </w:pPr>
          </w:p>
        </w:tc>
      </w:tr>
      <w:tr>
        <w:trPr>
          <w:trHeight w:val="137"/>
        </w:trPr>
        <w:tc>
          <w:tcPr>
            <w:tcW w:w="5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5"/>
          </w:tcPr>
          <w:p>
            <w:pPr>
              <w:jc w:val="center"/>
              <w:ind w:right="300"/>
              <w:spacing w:after="0" w:line="138" w:lineRule="exact"/>
              <w:rPr>
                <w:sz w:val="20"/>
                <w:szCs w:val="20"/>
                <w:color w:val="auto"/>
              </w:rPr>
            </w:pPr>
            <w:r>
              <w:rPr>
                <w:rFonts w:ascii="Arial" w:cs="Arial" w:eastAsia="Arial" w:hAnsi="Arial"/>
                <w:sz w:val="13"/>
                <w:szCs w:val="13"/>
                <w:b w:val="1"/>
                <w:bCs w:val="1"/>
                <w:color w:val="auto"/>
                <w:w w:val="93"/>
              </w:rPr>
              <w:t>(unaudited)</w:t>
            </w: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(5,328)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(3,380)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(1,276)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(617)</w:t>
            </w:r>
          </w:p>
        </w:tc>
      </w:tr>
      <w:tr>
        <w:trPr>
          <w:trHeight w:val="216"/>
        </w:trPr>
        <w:tc>
          <w:tcPr>
            <w:tcW w:w="5140" w:type="dxa"/>
            <w:vAlign w:val="bottom"/>
          </w:tcPr>
          <w:p>
            <w:pPr>
              <w:ind w:left="20"/>
              <w:spacing w:after="0"/>
              <w:rPr>
                <w:sz w:val="20"/>
                <w:szCs w:val="20"/>
                <w:color w:val="auto"/>
              </w:rPr>
            </w:pPr>
            <w:r>
              <w:rPr>
                <w:rFonts w:ascii="Arial" w:cs="Arial" w:eastAsia="Arial" w:hAnsi="Arial"/>
                <w:sz w:val="17"/>
                <w:szCs w:val="17"/>
                <w:color w:val="auto"/>
              </w:rPr>
              <w:t>Foreign currency translation adjustment, net of tax of $0, $0 and $0</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434</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238</w:t>
            </w:r>
          </w:p>
        </w:tc>
        <w:tc>
          <w:tcPr>
            <w:tcW w:w="1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(4,894)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(3,376)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(1,038)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(627)</w:t>
            </w:r>
          </w:p>
        </w:tc>
      </w:tr>
      <w:tr>
        <w:trPr>
          <w:trHeight w:val="26"/>
        </w:trPr>
        <w:tc>
          <w:tcPr>
            <w:tcW w:w="5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left="1300" w:right="1620"/>
        <w:spacing w:after="0" w:line="530" w:lineRule="auto"/>
        <w:rPr>
          <w:sz w:val="20"/>
          <w:szCs w:val="20"/>
          <w:color w:val="auto"/>
        </w:rPr>
      </w:pPr>
      <w:r>
        <w:rPr>
          <w:rFonts w:ascii="Arial" w:cs="Arial" w:eastAsia="Arial" w:hAnsi="Arial"/>
          <w:sz w:val="17"/>
          <w:szCs w:val="17"/>
          <w:b w:val="1"/>
          <w:bCs w:val="1"/>
          <w:color w:val="auto"/>
        </w:rPr>
        <w:t>CONSOLIDATED STATEMENTS OF STOCKHOLDERS' EQUITY (DEFICIT) Years ended December 2010, 2011 and 2012 and the six months ended June 30, 2013 (in thousands)</w:t>
      </w:r>
    </w:p>
    <w:p>
      <w:pPr>
        <w:spacing w:after="0" w:line="9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300" w:type="dxa"/>
            <w:vAlign w:val="bottom"/>
          </w:tcPr>
          <w:p>
            <w:pPr>
              <w:spacing w:after="0"/>
              <w:rPr>
                <w:sz w:val="13"/>
                <w:szCs w:val="13"/>
                <w:color w:val="auto"/>
              </w:rPr>
            </w:pPr>
          </w:p>
        </w:tc>
        <w:tc>
          <w:tcPr>
            <w:tcW w:w="1640" w:type="dxa"/>
            <w:vAlign w:val="bottom"/>
            <w:gridSpan w:val="6"/>
          </w:tcPr>
          <w:p>
            <w:pPr>
              <w:jc w:val="right"/>
              <w:ind w:right="460"/>
              <w:spacing w:after="0"/>
              <w:rPr>
                <w:sz w:val="20"/>
                <w:szCs w:val="20"/>
                <w:color w:val="auto"/>
              </w:rPr>
            </w:pPr>
            <w:r>
              <w:rPr>
                <w:rFonts w:ascii="Arial" w:cs="Arial" w:eastAsia="Arial" w:hAnsi="Arial"/>
                <w:sz w:val="13"/>
                <w:szCs w:val="13"/>
                <w:b w:val="1"/>
                <w:bCs w:val="1"/>
                <w:color w:val="auto"/>
              </w:rPr>
              <w:t>Preferred Stock</w:t>
            </w:r>
          </w:p>
        </w:tc>
        <w:tc>
          <w:tcPr>
            <w:tcW w:w="152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Accumulated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center"/>
              <w:ind w:right="200"/>
              <w:spacing w:after="0" w:line="124"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820" w:type="dxa"/>
            <w:vAlign w:val="bottom"/>
            <w:gridSpan w:val="3"/>
          </w:tcPr>
          <w:p>
            <w:pPr>
              <w:ind w:left="40"/>
              <w:spacing w:after="0" w:line="144" w:lineRule="exact"/>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4" w:lineRule="exact"/>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paid-in</w:t>
            </w:r>
          </w:p>
        </w:tc>
        <w:tc>
          <w:tcPr>
            <w:tcW w:w="960" w:type="dxa"/>
            <w:vAlign w:val="bottom"/>
            <w:gridSpan w:val="3"/>
          </w:tcPr>
          <w:p>
            <w:pPr>
              <w:jc w:val="right"/>
              <w:ind w:right="180"/>
              <w:spacing w:after="0" w:line="144" w:lineRule="exact"/>
              <w:rPr>
                <w:sz w:val="20"/>
                <w:szCs w:val="20"/>
                <w:color w:val="auto"/>
              </w:rPr>
            </w:pPr>
            <w:r>
              <w:rPr>
                <w:rFonts w:ascii="Arial" w:cs="Arial" w:eastAsia="Arial" w:hAnsi="Arial"/>
                <w:sz w:val="13"/>
                <w:szCs w:val="13"/>
                <w:b w:val="1"/>
                <w:bCs w:val="1"/>
                <w:color w:val="auto"/>
                <w:w w:val="93"/>
              </w:rPr>
              <w:t>Accumulated</w:t>
            </w:r>
          </w:p>
        </w:tc>
        <w:tc>
          <w:tcPr>
            <w:tcW w:w="104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comprehensive</w:t>
            </w:r>
          </w:p>
        </w:tc>
        <w:tc>
          <w:tcPr>
            <w:tcW w:w="960" w:type="dxa"/>
            <w:vAlign w:val="bottom"/>
            <w:gridSpan w:val="3"/>
          </w:tcPr>
          <w:p>
            <w:pPr>
              <w:jc w:val="right"/>
              <w:ind w:right="180"/>
              <w:spacing w:after="0" w:line="144"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57"/>
        </w:trPr>
        <w:tc>
          <w:tcPr>
            <w:tcW w:w="2300" w:type="dxa"/>
            <w:vAlign w:val="bottom"/>
          </w:tcPr>
          <w:p>
            <w:pPr>
              <w:spacing w:after="0"/>
              <w:rPr>
                <w:sz w:val="13"/>
                <w:szCs w:val="13"/>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shares</w:t>
            </w:r>
          </w:p>
        </w:tc>
        <w:tc>
          <w:tcPr>
            <w:tcW w:w="16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gain</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3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December 31, 2009</w:t>
            </w:r>
          </w:p>
        </w:tc>
        <w:tc>
          <w:tcPr>
            <w:tcW w:w="6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123,547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90,424</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7,763</w:t>
            </w:r>
          </w:p>
        </w:tc>
        <w:tc>
          <w:tcPr>
            <w:tcW w:w="160" w:type="dxa"/>
            <w:vAlign w:val="bottom"/>
            <w:shd w:val="clear" w:color="auto" w:fill="CCEEFF"/>
          </w:tcPr>
          <w:p>
            <w:pPr>
              <w:jc w:val="right"/>
              <w:ind w:right="14"/>
              <w:spacing w:after="0" w:line="138" w:lineRule="exact"/>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1,048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2,891</w:t>
            </w:r>
          </w:p>
        </w:tc>
        <w:tc>
          <w:tcPr>
            <w:tcW w:w="160" w:type="dxa"/>
            <w:vAlign w:val="bottom"/>
            <w:shd w:val="clear" w:color="auto" w:fill="CCEEFF"/>
          </w:tcPr>
          <w:p>
            <w:pPr>
              <w:jc w:val="right"/>
              <w:ind w:right="14"/>
              <w:spacing w:after="0" w:line="138"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(72,264)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1,534</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23,633</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Arial" w:cs="Arial" w:eastAsia="Arial" w:hAnsi="Arial"/>
                <w:sz w:val="13"/>
                <w:szCs w:val="13"/>
                <w:color w:val="auto"/>
              </w:rPr>
              <w:t>Preferred stock issued, net</w:t>
            </w:r>
          </w:p>
        </w:tc>
        <w:tc>
          <w:tcPr>
            <w:tcW w:w="820" w:type="dxa"/>
            <w:vAlign w:val="bottom"/>
            <w:gridSpan w:val="3"/>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Issuance of stock for consultancy</w:t>
            </w: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service</w:t>
            </w:r>
          </w:p>
        </w:tc>
        <w:tc>
          <w:tcPr>
            <w:tcW w:w="820" w:type="dxa"/>
            <w:vAlign w:val="bottom"/>
            <w:gridSpan w:val="3"/>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64</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Arial" w:cs="Arial" w:eastAsia="Arial" w:hAnsi="Arial"/>
                <w:sz w:val="13"/>
                <w:szCs w:val="13"/>
                <w:color w:val="auto"/>
              </w:rPr>
              <w:t>Stock options exercised</w:t>
            </w:r>
          </w:p>
        </w:tc>
        <w:tc>
          <w:tcPr>
            <w:tcW w:w="820" w:type="dxa"/>
            <w:vAlign w:val="bottom"/>
            <w:gridSpan w:val="3"/>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6</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Stock based compensation</w:t>
            </w:r>
          </w:p>
        </w:tc>
        <w:tc>
          <w:tcPr>
            <w:tcW w:w="820" w:type="dxa"/>
            <w:vAlign w:val="bottom"/>
            <w:gridSpan w:val="3"/>
            <w:shd w:val="clear" w:color="auto" w:fill="CCEEFF"/>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780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780</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Arial" w:cs="Arial" w:eastAsia="Arial" w:hAnsi="Arial"/>
                <w:sz w:val="13"/>
                <w:szCs w:val="13"/>
                <w:color w:val="auto"/>
              </w:rPr>
              <w:t>Net loss</w:t>
            </w:r>
          </w:p>
        </w:tc>
        <w:tc>
          <w:tcPr>
            <w:tcW w:w="820" w:type="dxa"/>
            <w:vAlign w:val="bottom"/>
            <w:gridSpan w:val="3"/>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(3,380)</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(3,380)</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9"/>
              </w:rPr>
              <w:t>Foreign currency translation adjustment</w:t>
            </w:r>
          </w:p>
        </w:tc>
        <w:tc>
          <w:tcPr>
            <w:tcW w:w="820" w:type="dxa"/>
            <w:vAlign w:val="bottom"/>
            <w:gridSpan w:val="3"/>
            <w:shd w:val="clear" w:color="auto" w:fill="CCEEFF"/>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6"/>
        </w:trPr>
        <w:tc>
          <w:tcPr>
            <w:tcW w:w="2300" w:type="dxa"/>
            <w:vAlign w:val="bottom"/>
            <w:vMerge w:val="restart"/>
          </w:tcPr>
          <w:p>
            <w:pPr>
              <w:spacing w:after="0"/>
              <w:rPr>
                <w:sz w:val="20"/>
                <w:szCs w:val="20"/>
                <w:color w:val="auto"/>
              </w:rPr>
            </w:pPr>
            <w:r>
              <w:rPr>
                <w:rFonts w:ascii="Arial" w:cs="Arial" w:eastAsia="Arial" w:hAnsi="Arial"/>
                <w:sz w:val="13"/>
                <w:szCs w:val="13"/>
                <w:color w:val="auto"/>
              </w:rPr>
              <w:t>December 31, 2010</w:t>
            </w: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300" w:type="dxa"/>
            <w:vAlign w:val="bottom"/>
            <w:vMerge w:val="continue"/>
          </w:tcPr>
          <w:p>
            <w:pPr>
              <w:spacing w:after="0"/>
              <w:rPr>
                <w:sz w:val="11"/>
                <w:szCs w:val="11"/>
                <w:color w:val="auto"/>
              </w:rPr>
            </w:pPr>
          </w:p>
        </w:tc>
        <w:tc>
          <w:tcPr>
            <w:tcW w:w="6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123,547</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90,424</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7,833</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1,052</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3,671</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(75,644)</w:t>
            </w: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1,538</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21,041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Preferred stock issued, net</w:t>
            </w:r>
          </w:p>
        </w:tc>
        <w:tc>
          <w:tcPr>
            <w:tcW w:w="68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6,677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3,949</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3,949</w:t>
            </w:r>
          </w:p>
        </w:tc>
        <w:tc>
          <w:tcPr>
            <w:tcW w:w="0" w:type="dxa"/>
            <w:vAlign w:val="bottom"/>
          </w:tcPr>
          <w:p>
            <w:pPr>
              <w:spacing w:after="0"/>
              <w:rPr>
                <w:sz w:val="1"/>
                <w:szCs w:val="1"/>
                <w:color w:val="auto"/>
              </w:rPr>
            </w:pPr>
          </w:p>
        </w:tc>
      </w:tr>
      <w:tr>
        <w:trPr>
          <w:trHeight w:val="135"/>
        </w:trPr>
        <w:tc>
          <w:tcPr>
            <w:tcW w:w="2300" w:type="dxa"/>
            <w:vAlign w:val="bottom"/>
          </w:tcPr>
          <w:p>
            <w:pPr>
              <w:spacing w:after="0" w:line="136" w:lineRule="exact"/>
              <w:rPr>
                <w:sz w:val="20"/>
                <w:szCs w:val="20"/>
                <w:color w:val="auto"/>
              </w:rPr>
            </w:pPr>
            <w:r>
              <w:rPr>
                <w:rFonts w:ascii="Arial" w:cs="Arial" w:eastAsia="Arial" w:hAnsi="Arial"/>
                <w:sz w:val="13"/>
                <w:szCs w:val="13"/>
                <w:color w:val="auto"/>
              </w:rPr>
              <w:t>Issuance of stock for consultancy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00" w:type="dxa"/>
            <w:vAlign w:val="bottom"/>
          </w:tcPr>
          <w:p>
            <w:pPr>
              <w:ind w:left="120"/>
              <w:spacing w:after="0"/>
              <w:rPr>
                <w:sz w:val="20"/>
                <w:szCs w:val="20"/>
                <w:color w:val="auto"/>
              </w:rPr>
            </w:pPr>
            <w:r>
              <w:rPr>
                <w:rFonts w:ascii="Arial" w:cs="Arial" w:eastAsia="Arial" w:hAnsi="Arial"/>
                <w:sz w:val="13"/>
                <w:szCs w:val="13"/>
                <w:color w:val="auto"/>
              </w:rPr>
              <w:t>service</w:t>
            </w:r>
          </w:p>
        </w:tc>
        <w:tc>
          <w:tcPr>
            <w:tcW w:w="820" w:type="dxa"/>
            <w:vAlign w:val="bottom"/>
            <w:gridSpan w:val="3"/>
          </w:tcPr>
          <w:p>
            <w:pPr>
              <w:ind w:left="5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40</w:t>
            </w:r>
          </w:p>
        </w:tc>
        <w:tc>
          <w:tcPr>
            <w:tcW w:w="16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Stock options exercised</w:t>
            </w:r>
          </w:p>
        </w:tc>
        <w:tc>
          <w:tcPr>
            <w:tcW w:w="820" w:type="dxa"/>
            <w:vAlign w:val="bottom"/>
            <w:gridSpan w:val="3"/>
            <w:shd w:val="clear" w:color="auto" w:fill="CCEEFF"/>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81</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Arial" w:cs="Arial" w:eastAsia="Arial" w:hAnsi="Arial"/>
                <w:sz w:val="13"/>
                <w:szCs w:val="13"/>
                <w:color w:val="auto"/>
              </w:rPr>
              <w:t>Stock based compensation</w:t>
            </w:r>
          </w:p>
        </w:tc>
        <w:tc>
          <w:tcPr>
            <w:tcW w:w="820" w:type="dxa"/>
            <w:vAlign w:val="bottom"/>
            <w:gridSpan w:val="3"/>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563</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563</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Net loss</w:t>
            </w:r>
          </w:p>
        </w:tc>
        <w:tc>
          <w:tcPr>
            <w:tcW w:w="820" w:type="dxa"/>
            <w:vAlign w:val="bottom"/>
            <w:gridSpan w:val="3"/>
            <w:shd w:val="clear" w:color="auto" w:fill="CCEEFF"/>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(5,328)</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(5,328)</w:t>
            </w:r>
          </w:p>
        </w:tc>
        <w:tc>
          <w:tcPr>
            <w:tcW w:w="0" w:type="dxa"/>
            <w:vAlign w:val="bottom"/>
          </w:tcPr>
          <w:p>
            <w:pPr>
              <w:spacing w:after="0"/>
              <w:rPr>
                <w:sz w:val="1"/>
                <w:szCs w:val="1"/>
                <w:color w:val="auto"/>
              </w:rPr>
            </w:pPr>
          </w:p>
        </w:tc>
      </w:tr>
      <w:tr>
        <w:trPr>
          <w:trHeight w:val="168"/>
        </w:trPr>
        <w:tc>
          <w:tcPr>
            <w:tcW w:w="2300" w:type="dxa"/>
            <w:vAlign w:val="bottom"/>
          </w:tcPr>
          <w:p>
            <w:pPr>
              <w:spacing w:after="0"/>
              <w:rPr>
                <w:sz w:val="20"/>
                <w:szCs w:val="20"/>
                <w:color w:val="auto"/>
              </w:rPr>
            </w:pPr>
            <w:r>
              <w:rPr>
                <w:rFonts w:ascii="Arial" w:cs="Arial" w:eastAsia="Arial" w:hAnsi="Arial"/>
                <w:sz w:val="13"/>
                <w:szCs w:val="13"/>
                <w:color w:val="auto"/>
                <w:w w:val="99"/>
              </w:rPr>
              <w:t>Foreign currency translation adjustment</w:t>
            </w:r>
          </w:p>
        </w:tc>
        <w:tc>
          <w:tcPr>
            <w:tcW w:w="820" w:type="dxa"/>
            <w:vAlign w:val="bottom"/>
            <w:gridSpan w:val="3"/>
          </w:tcPr>
          <w:p>
            <w:pPr>
              <w:ind w:left="5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434</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434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3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December 31, 2011</w:t>
            </w:r>
          </w:p>
        </w:tc>
        <w:tc>
          <w:tcPr>
            <w:tcW w:w="6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130,224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94,373</w:t>
            </w:r>
          </w:p>
        </w:tc>
        <w:tc>
          <w:tcPr>
            <w:tcW w:w="82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7,954</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1,069</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4,234</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(80,972)</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1,972</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20,676</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Arial" w:cs="Arial" w:eastAsia="Arial" w:hAnsi="Arial"/>
                <w:sz w:val="13"/>
                <w:szCs w:val="13"/>
                <w:color w:val="auto"/>
              </w:rPr>
              <w:t>Preferred stock issued, net</w:t>
            </w:r>
          </w:p>
        </w:tc>
        <w:tc>
          <w:tcPr>
            <w:tcW w:w="68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36,180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10,994</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10,994</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Stock options exercised</w:t>
            </w:r>
          </w:p>
        </w:tc>
        <w:tc>
          <w:tcPr>
            <w:tcW w:w="820" w:type="dxa"/>
            <w:vAlign w:val="bottom"/>
            <w:gridSpan w:val="3"/>
            <w:shd w:val="clear" w:color="auto" w:fill="CCEEFF"/>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24</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Arial" w:cs="Arial" w:eastAsia="Arial" w:hAnsi="Arial"/>
                <w:sz w:val="13"/>
                <w:szCs w:val="13"/>
                <w:color w:val="auto"/>
              </w:rPr>
              <w:t>Stock based compensation</w:t>
            </w:r>
          </w:p>
        </w:tc>
        <w:tc>
          <w:tcPr>
            <w:tcW w:w="820" w:type="dxa"/>
            <w:vAlign w:val="bottom"/>
            <w:gridSpan w:val="3"/>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161</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Issuance of warrants</w:t>
            </w:r>
          </w:p>
        </w:tc>
        <w:tc>
          <w:tcPr>
            <w:tcW w:w="820" w:type="dxa"/>
            <w:vAlign w:val="bottom"/>
            <w:gridSpan w:val="3"/>
            <w:shd w:val="clear" w:color="auto" w:fill="CCEEFF"/>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73</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Arial" w:cs="Arial" w:eastAsia="Arial" w:hAnsi="Arial"/>
                <w:sz w:val="13"/>
                <w:szCs w:val="13"/>
                <w:color w:val="auto"/>
              </w:rPr>
              <w:t>Net loss</w:t>
            </w:r>
          </w:p>
        </w:tc>
        <w:tc>
          <w:tcPr>
            <w:tcW w:w="820" w:type="dxa"/>
            <w:vAlign w:val="bottom"/>
            <w:gridSpan w:val="3"/>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(945)</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(945)</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9"/>
              </w:rPr>
              <w:t>Foreign currency translation adjustment</w:t>
            </w:r>
          </w:p>
        </w:tc>
        <w:tc>
          <w:tcPr>
            <w:tcW w:w="820" w:type="dxa"/>
            <w:vAlign w:val="bottom"/>
            <w:gridSpan w:val="3"/>
            <w:shd w:val="clear" w:color="auto" w:fill="CCEEFF"/>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44</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6"/>
        </w:trPr>
        <w:tc>
          <w:tcPr>
            <w:tcW w:w="2300" w:type="dxa"/>
            <w:vAlign w:val="bottom"/>
            <w:vMerge w:val="restart"/>
          </w:tcPr>
          <w:p>
            <w:pPr>
              <w:spacing w:after="0"/>
              <w:rPr>
                <w:sz w:val="20"/>
                <w:szCs w:val="20"/>
                <w:color w:val="auto"/>
              </w:rPr>
            </w:pPr>
            <w:r>
              <w:rPr>
                <w:rFonts w:ascii="Arial" w:cs="Arial" w:eastAsia="Arial" w:hAnsi="Arial"/>
                <w:sz w:val="13"/>
                <w:szCs w:val="13"/>
                <w:color w:val="auto"/>
              </w:rPr>
              <w:t>December 31, 2012</w:t>
            </w: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300" w:type="dxa"/>
            <w:vAlign w:val="bottom"/>
            <w:vMerge w:val="continue"/>
          </w:tcPr>
          <w:p>
            <w:pPr>
              <w:spacing w:after="0"/>
              <w:rPr>
                <w:sz w:val="11"/>
                <w:szCs w:val="11"/>
                <w:color w:val="auto"/>
              </w:rPr>
            </w:pPr>
          </w:p>
        </w:tc>
        <w:tc>
          <w:tcPr>
            <w:tcW w:w="6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166,404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105,367</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7,978</w:t>
            </w:r>
          </w:p>
        </w:tc>
        <w:tc>
          <w:tcPr>
            <w:tcW w:w="160" w:type="dxa"/>
            <w:vAlign w:val="bottom"/>
          </w:tcPr>
          <w:p>
            <w:pPr>
              <w:spacing w:after="0"/>
              <w:rPr>
                <w:sz w:val="11"/>
                <w:szCs w:val="11"/>
                <w:color w:val="auto"/>
              </w:rPr>
            </w:pPr>
          </w:p>
        </w:tc>
        <w:tc>
          <w:tcPr>
            <w:tcW w:w="160" w:type="dxa"/>
            <w:vAlign w:val="bottom"/>
            <w:tcBorders>
              <w:top w:val="single" w:sz="8" w:color="auto"/>
            </w:tcBorders>
          </w:tcPr>
          <w:p>
            <w:pPr>
              <w:jc w:val="right"/>
              <w:ind w:right="14"/>
              <w:spacing w:after="0" w:line="138"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1,074</w:t>
            </w:r>
          </w:p>
        </w:tc>
        <w:tc>
          <w:tcPr>
            <w:tcW w:w="1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4,468</w:t>
            </w:r>
          </w:p>
        </w:tc>
        <w:tc>
          <w:tcPr>
            <w:tcW w:w="160" w:type="dxa"/>
            <w:vAlign w:val="bottom"/>
          </w:tcPr>
          <w:p>
            <w:pPr>
              <w:spacing w:after="0"/>
              <w:rPr>
                <w:sz w:val="11"/>
                <w:szCs w:val="11"/>
                <w:color w:val="auto"/>
              </w:rPr>
            </w:pPr>
          </w:p>
        </w:tc>
        <w:tc>
          <w:tcPr>
            <w:tcW w:w="160" w:type="dxa"/>
            <w:vAlign w:val="bottom"/>
            <w:tcBorders>
              <w:top w:val="single" w:sz="8" w:color="auto"/>
            </w:tcBorders>
          </w:tcPr>
          <w:p>
            <w:pPr>
              <w:jc w:val="right"/>
              <w:ind w:right="14"/>
              <w:spacing w:after="0" w:line="138"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(81,917)</w:t>
            </w:r>
          </w:p>
        </w:tc>
        <w:tc>
          <w:tcPr>
            <w:tcW w:w="16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2,016</w:t>
            </w:r>
          </w:p>
        </w:tc>
        <w:tc>
          <w:tcPr>
            <w:tcW w:w="160" w:type="dxa"/>
            <w:vAlign w:val="bottom"/>
          </w:tcPr>
          <w:p>
            <w:pPr>
              <w:spacing w:after="0"/>
              <w:rPr>
                <w:sz w:val="11"/>
                <w:szCs w:val="11"/>
                <w:color w:val="auto"/>
              </w:rPr>
            </w:pPr>
          </w:p>
        </w:tc>
        <w:tc>
          <w:tcPr>
            <w:tcW w:w="140" w:type="dxa"/>
            <w:vAlign w:val="bottom"/>
            <w:tcBorders>
              <w:top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31,008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Stock options exercised (unaudited)</w:t>
            </w:r>
          </w:p>
        </w:tc>
        <w:tc>
          <w:tcPr>
            <w:tcW w:w="820" w:type="dxa"/>
            <w:vAlign w:val="bottom"/>
            <w:gridSpan w:val="3"/>
            <w:shd w:val="clear" w:color="auto" w:fill="CCEEFF"/>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252</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Arial" w:cs="Arial" w:eastAsia="Arial" w:hAnsi="Arial"/>
                <w:sz w:val="13"/>
                <w:szCs w:val="13"/>
                <w:color w:val="auto"/>
              </w:rPr>
              <w:t>Warrants exercised (unaudited)</w:t>
            </w:r>
          </w:p>
        </w:tc>
        <w:tc>
          <w:tcPr>
            <w:tcW w:w="68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875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248</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300</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60</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Stock based compensation (unaudited)</w:t>
            </w:r>
          </w:p>
        </w:tc>
        <w:tc>
          <w:tcPr>
            <w:tcW w:w="820" w:type="dxa"/>
            <w:vAlign w:val="bottom"/>
            <w:gridSpan w:val="3"/>
            <w:shd w:val="clear" w:color="auto" w:fill="CCEEFF"/>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211</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Arial" w:cs="Arial" w:eastAsia="Arial" w:hAnsi="Arial"/>
                <w:sz w:val="13"/>
                <w:szCs w:val="13"/>
                <w:color w:val="auto"/>
              </w:rPr>
              <w:t>Net loss (unaudited)</w:t>
            </w:r>
          </w:p>
        </w:tc>
        <w:tc>
          <w:tcPr>
            <w:tcW w:w="820" w:type="dxa"/>
            <w:vAlign w:val="bottom"/>
            <w:gridSpan w:val="3"/>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(1,276)</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(1,276)</w:t>
            </w: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9"/>
              </w:rPr>
              <w:t>Foreign currency translation adjustment</w:t>
            </w: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(unaudited)</w:t>
            </w:r>
          </w:p>
        </w:tc>
        <w:tc>
          <w:tcPr>
            <w:tcW w:w="820" w:type="dxa"/>
            <w:vAlign w:val="bottom"/>
            <w:gridSpan w:val="3"/>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239</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26"/>
        </w:trPr>
        <w:tc>
          <w:tcPr>
            <w:tcW w:w="2300" w:type="dxa"/>
            <w:vAlign w:val="bottom"/>
            <w:vMerge w:val="restart"/>
          </w:tcPr>
          <w:p>
            <w:pPr>
              <w:spacing w:after="0"/>
              <w:rPr>
                <w:sz w:val="20"/>
                <w:szCs w:val="20"/>
                <w:color w:val="auto"/>
              </w:rPr>
            </w:pPr>
            <w:r>
              <w:rPr>
                <w:rFonts w:ascii="Arial" w:cs="Arial" w:eastAsia="Arial" w:hAnsi="Arial"/>
                <w:sz w:val="13"/>
                <w:szCs w:val="13"/>
                <w:color w:val="auto"/>
              </w:rPr>
              <w:t>June 30, 2013 (unaudited)</w:t>
            </w: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300" w:type="dxa"/>
            <w:vAlign w:val="bottom"/>
            <w:vMerge w:val="continue"/>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167,279</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105,615</w:t>
            </w:r>
          </w:p>
        </w:tc>
        <w:tc>
          <w:tcPr>
            <w:tcW w:w="1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8,530</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1,184</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4,679</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(83,193)</w:t>
            </w: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2,255</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30,540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89"/>
              </w:rPr>
              <w:t>Six Months ended</w:t>
            </w:r>
          </w:p>
        </w:tc>
        <w:tc>
          <w:tcPr>
            <w:tcW w:w="0" w:type="dxa"/>
            <w:vAlign w:val="bottom"/>
          </w:tcPr>
          <w:p>
            <w:pPr>
              <w:spacing w:after="0"/>
              <w:rPr>
                <w:sz w:val="1"/>
                <w:szCs w:val="1"/>
                <w:color w:val="auto"/>
              </w:rPr>
            </w:pPr>
          </w:p>
        </w:tc>
      </w:tr>
      <w:tr>
        <w:trPr>
          <w:trHeight w:val="157"/>
        </w:trPr>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gridSpan w:val="8"/>
          </w:tcPr>
          <w:p>
            <w:pPr>
              <w:jc w:val="right"/>
              <w:ind w:right="540"/>
              <w:spacing w:after="0"/>
              <w:rPr>
                <w:sz w:val="20"/>
                <w:szCs w:val="20"/>
                <w:color w:val="auto"/>
              </w:rPr>
            </w:pPr>
            <w:r>
              <w:rPr>
                <w:rFonts w:ascii="Arial" w:cs="Arial" w:eastAsia="Arial" w:hAnsi="Arial"/>
                <w:sz w:val="13"/>
                <w:szCs w:val="13"/>
                <w:b w:val="1"/>
                <w:bCs w:val="1"/>
                <w:color w:val="auto"/>
              </w:rPr>
              <w:t>Year ended December 31,</w:t>
            </w:r>
          </w:p>
        </w:tc>
        <w:tc>
          <w:tcPr>
            <w:tcW w:w="140" w:type="dxa"/>
            <w:vAlign w:val="bottom"/>
          </w:tcPr>
          <w:p>
            <w:pPr>
              <w:spacing w:after="0"/>
              <w:rPr>
                <w:sz w:val="13"/>
                <w:szCs w:val="13"/>
                <w:color w:val="auto"/>
              </w:rPr>
            </w:pPr>
          </w:p>
        </w:tc>
        <w:tc>
          <w:tcPr>
            <w:tcW w:w="880" w:type="dxa"/>
            <w:vAlign w:val="bottom"/>
            <w:gridSpan w:val="3"/>
          </w:tcPr>
          <w:p>
            <w:pPr>
              <w:jc w:val="center"/>
              <w:ind w:left="274"/>
              <w:spacing w:after="0"/>
              <w:rPr>
                <w:sz w:val="20"/>
                <w:szCs w:val="20"/>
                <w:color w:val="auto"/>
              </w:rPr>
            </w:pPr>
            <w:r>
              <w:rPr>
                <w:rFonts w:ascii="Arial" w:cs="Arial" w:eastAsia="Arial" w:hAnsi="Arial"/>
                <w:sz w:val="13"/>
                <w:szCs w:val="13"/>
                <w:b w:val="1"/>
                <w:bCs w:val="1"/>
                <w:color w:val="auto"/>
                <w:w w:val="88"/>
              </w:rPr>
              <w:t>June 30,</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1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4"/>
              <w:spacing w:after="0" w:line="138" w:lineRule="exact"/>
              <w:rPr>
                <w:sz w:val="20"/>
                <w:szCs w:val="20"/>
                <w:color w:val="auto"/>
              </w:rPr>
            </w:pPr>
            <w:r>
              <w:rPr>
                <w:rFonts w:ascii="Arial" w:cs="Arial" w:eastAsia="Arial" w:hAnsi="Arial"/>
                <w:sz w:val="13"/>
                <w:szCs w:val="13"/>
                <w:b w:val="1"/>
                <w:bCs w:val="1"/>
                <w:color w:val="auto"/>
              </w:rPr>
              <w:t>2013</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w w:val="96"/>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5"/>
          </w:tcPr>
          <w:p>
            <w:pPr>
              <w:jc w:val="center"/>
              <w:ind w:right="260"/>
              <w:spacing w:after="0" w:line="138" w:lineRule="exact"/>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Operating activities:</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Arial" w:cs="Arial" w:eastAsia="Arial" w:hAnsi="Arial"/>
                <w:sz w:val="13"/>
                <w:szCs w:val="13"/>
                <w:color w:val="auto"/>
              </w:rPr>
              <w:t>Net loss</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(945)</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(5,328)</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(3,380)</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(1,276)</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(617)</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Adjustments to reconcile net loss to net cash used in operating activities:</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20" w:type="dxa"/>
            <w:vAlign w:val="bottom"/>
          </w:tcPr>
          <w:p>
            <w:pPr>
              <w:ind w:left="300"/>
              <w:spacing w:after="0" w:line="144" w:lineRule="exact"/>
              <w:rPr>
                <w:sz w:val="20"/>
                <w:szCs w:val="20"/>
                <w:color w:val="auto"/>
              </w:rPr>
            </w:pPr>
            <w:r>
              <w:rPr>
                <w:rFonts w:ascii="Arial" w:cs="Arial" w:eastAsia="Arial" w:hAnsi="Arial"/>
                <w:sz w:val="13"/>
                <w:szCs w:val="13"/>
                <w:color w:val="auto"/>
              </w:rPr>
              <w:t>Provision for obsolete inventory</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858</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1,579</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648</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422</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300"/>
              <w:spacing w:after="0" w:line="144" w:lineRule="exact"/>
              <w:rPr>
                <w:sz w:val="20"/>
                <w:szCs w:val="20"/>
                <w:color w:val="auto"/>
              </w:rPr>
            </w:pPr>
            <w:r>
              <w:rPr>
                <w:rFonts w:ascii="Arial" w:cs="Arial" w:eastAsia="Arial" w:hAnsi="Arial"/>
                <w:sz w:val="13"/>
                <w:szCs w:val="13"/>
                <w:color w:val="auto"/>
              </w:rPr>
              <w:t>Impairment of long-lived assets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492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120" w:type="dxa"/>
            <w:vAlign w:val="bottom"/>
          </w:tcPr>
          <w:p>
            <w:pPr>
              <w:ind w:left="300"/>
              <w:spacing w:after="0" w:line="144" w:lineRule="exact"/>
              <w:rPr>
                <w:sz w:val="20"/>
                <w:szCs w:val="20"/>
                <w:color w:val="auto"/>
              </w:rPr>
            </w:pPr>
            <w:r>
              <w:rPr>
                <w:rFonts w:ascii="Arial" w:cs="Arial" w:eastAsia="Arial" w:hAnsi="Arial"/>
                <w:sz w:val="13"/>
                <w:szCs w:val="13"/>
                <w:color w:val="auto"/>
              </w:rPr>
              <w:t>Depreciation and amortization</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2,942</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3,112</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3,340</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1,559</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1,477</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300"/>
              <w:spacing w:after="0" w:line="144" w:lineRule="exact"/>
              <w:rPr>
                <w:sz w:val="20"/>
                <w:szCs w:val="20"/>
                <w:color w:val="auto"/>
              </w:rPr>
            </w:pPr>
            <w:r>
              <w:rPr>
                <w:rFonts w:ascii="Arial" w:cs="Arial" w:eastAsia="Arial" w:hAnsi="Arial"/>
                <w:sz w:val="13"/>
                <w:szCs w:val="13"/>
                <w:color w:val="auto"/>
              </w:rPr>
              <w:t>(Gain) loss on disposal of assets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36</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80</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44"/>
        </w:trPr>
        <w:tc>
          <w:tcPr>
            <w:tcW w:w="5120" w:type="dxa"/>
            <w:vAlign w:val="bottom"/>
          </w:tcPr>
          <w:p>
            <w:pPr>
              <w:ind w:left="300"/>
              <w:spacing w:after="0" w:line="144" w:lineRule="exact"/>
              <w:rPr>
                <w:sz w:val="20"/>
                <w:szCs w:val="20"/>
                <w:color w:val="auto"/>
              </w:rPr>
            </w:pPr>
            <w:r>
              <w:rPr>
                <w:rFonts w:ascii="Arial" w:cs="Arial" w:eastAsia="Arial" w:hAnsi="Arial"/>
                <w:sz w:val="13"/>
                <w:szCs w:val="13"/>
                <w:color w:val="auto"/>
              </w:rPr>
              <w:t>Stock-based compensation and warrants expense</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161</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563</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780</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240</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Changes in operating assets and liabilities:</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20" w:type="dxa"/>
            <w:vAlign w:val="bottom"/>
          </w:tcPr>
          <w:p>
            <w:pPr>
              <w:ind w:left="300"/>
              <w:spacing w:after="0" w:line="144" w:lineRule="exact"/>
              <w:rPr>
                <w:sz w:val="20"/>
                <w:szCs w:val="20"/>
                <w:color w:val="auto"/>
              </w:rPr>
            </w:pPr>
            <w:r>
              <w:rPr>
                <w:rFonts w:ascii="Arial" w:cs="Arial" w:eastAsia="Arial" w:hAnsi="Arial"/>
                <w:sz w:val="13"/>
                <w:szCs w:val="13"/>
                <w:color w:val="auto"/>
              </w:rPr>
              <w:t>Accounts receivable</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(1,158)</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(4,498)</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(2,103)</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(415)</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1,129</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300"/>
              <w:spacing w:after="0" w:line="144" w:lineRule="exact"/>
              <w:rPr>
                <w:sz w:val="20"/>
                <w:szCs w:val="20"/>
                <w:color w:val="auto"/>
              </w:rPr>
            </w:pPr>
            <w:r>
              <w:rPr>
                <w:rFonts w:ascii="Arial" w:cs="Arial" w:eastAsia="Arial" w:hAnsi="Arial"/>
                <w:sz w:val="13"/>
                <w:szCs w:val="13"/>
                <w:color w:val="auto"/>
              </w:rPr>
              <w:t>Notes receivable</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(1,034)</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946</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44"/>
        </w:trPr>
        <w:tc>
          <w:tcPr>
            <w:tcW w:w="5120" w:type="dxa"/>
            <w:vAlign w:val="bottom"/>
          </w:tcPr>
          <w:p>
            <w:pPr>
              <w:ind w:left="300"/>
              <w:spacing w:after="0" w:line="144" w:lineRule="exact"/>
              <w:rPr>
                <w:sz w:val="20"/>
                <w:szCs w:val="20"/>
                <w:color w:val="auto"/>
              </w:rPr>
            </w:pPr>
            <w:r>
              <w:rPr>
                <w:rFonts w:ascii="Arial" w:cs="Arial" w:eastAsia="Arial" w:hAnsi="Arial"/>
                <w:sz w:val="13"/>
                <w:szCs w:val="13"/>
                <w:color w:val="auto"/>
              </w:rPr>
              <w:t>Inventory</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(538)</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(1,578)</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(3,674)</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(4,028)</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(2,156)</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300"/>
              <w:spacing w:after="0" w:line="144" w:lineRule="exact"/>
              <w:rPr>
                <w:sz w:val="20"/>
                <w:szCs w:val="20"/>
                <w:color w:val="auto"/>
              </w:rPr>
            </w:pPr>
            <w:r>
              <w:rPr>
                <w:rFonts w:ascii="Arial" w:cs="Arial" w:eastAsia="Arial" w:hAnsi="Arial"/>
                <w:sz w:val="13"/>
                <w:szCs w:val="13"/>
                <w:color w:val="auto"/>
              </w:rPr>
              <w:t>Other current assets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(261)</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473</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(151)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(1,490)</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144"/>
        </w:trPr>
        <w:tc>
          <w:tcPr>
            <w:tcW w:w="5120" w:type="dxa"/>
            <w:vAlign w:val="bottom"/>
          </w:tcPr>
          <w:p>
            <w:pPr>
              <w:ind w:left="300"/>
              <w:spacing w:after="0" w:line="144" w:lineRule="exact"/>
              <w:rPr>
                <w:sz w:val="20"/>
                <w:szCs w:val="20"/>
                <w:color w:val="auto"/>
              </w:rPr>
            </w:pPr>
            <w:r>
              <w:rPr>
                <w:rFonts w:ascii="Arial" w:cs="Arial" w:eastAsia="Arial" w:hAnsi="Arial"/>
                <w:sz w:val="13"/>
                <w:szCs w:val="13"/>
                <w:color w:val="auto"/>
              </w:rPr>
              <w:t>Accounts payable</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(961)</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1,534</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(251)</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6,299</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1,221</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300"/>
              <w:spacing w:after="0" w:line="144" w:lineRule="exact"/>
              <w:rPr>
                <w:sz w:val="20"/>
                <w:szCs w:val="20"/>
                <w:color w:val="auto"/>
              </w:rPr>
            </w:pPr>
            <w:r>
              <w:rPr>
                <w:rFonts w:ascii="Arial" w:cs="Arial" w:eastAsia="Arial" w:hAnsi="Arial"/>
                <w:sz w:val="13"/>
                <w:szCs w:val="13"/>
                <w:color w:val="auto"/>
              </w:rPr>
              <w:t>Accrued liabilities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542</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(62)</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1,101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(750)</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26"/>
        </w:trPr>
        <w:tc>
          <w:tcPr>
            <w:tcW w:w="5120" w:type="dxa"/>
            <w:vAlign w:val="bottom"/>
            <w:vMerge w:val="restart"/>
          </w:tcPr>
          <w:p>
            <w:pPr>
              <w:ind w:left="20"/>
              <w:spacing w:after="0"/>
              <w:rPr>
                <w:sz w:val="20"/>
                <w:szCs w:val="20"/>
                <w:color w:val="auto"/>
              </w:rPr>
            </w:pPr>
            <w:r>
              <w:rPr>
                <w:rFonts w:ascii="Arial" w:cs="Arial" w:eastAsia="Arial" w:hAnsi="Arial"/>
                <w:sz w:val="13"/>
                <w:szCs w:val="13"/>
                <w:color w:val="auto"/>
              </w:rPr>
              <w:t>Net cash used in operating activities</w:t>
            </w: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120" w:type="dxa"/>
            <w:vAlign w:val="bottom"/>
            <w:vMerge w:val="continue"/>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(358)</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(4,125)</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(3,209)</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1,499</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12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Investing activities:</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Arial" w:cs="Arial" w:eastAsia="Arial" w:hAnsi="Arial"/>
                <w:sz w:val="13"/>
                <w:szCs w:val="13"/>
                <w:color w:val="auto"/>
              </w:rPr>
              <w:t>Purchase of property, plant and equipment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(3,178)</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(1,790)</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(3,017)</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(2,966)</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(1,548)</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Proceeds from disposal of equipment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138</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387</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Arial" w:cs="Arial" w:eastAsia="Arial" w:hAnsi="Arial"/>
                <w:sz w:val="13"/>
                <w:szCs w:val="13"/>
                <w:color w:val="auto"/>
              </w:rPr>
              <w:t>Deposit and deferred charges</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(41)</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113</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(549)</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Purchase of intangible assets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(209)</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(167)</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(47)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(67)</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26"/>
        </w:trPr>
        <w:tc>
          <w:tcPr>
            <w:tcW w:w="5120" w:type="dxa"/>
            <w:vAlign w:val="bottom"/>
            <w:vMerge w:val="restart"/>
          </w:tcPr>
          <w:p>
            <w:pPr>
              <w:ind w:left="20"/>
              <w:spacing w:after="0"/>
              <w:rPr>
                <w:sz w:val="20"/>
                <w:szCs w:val="20"/>
                <w:color w:val="auto"/>
              </w:rPr>
            </w:pPr>
            <w:r>
              <w:rPr>
                <w:rFonts w:ascii="Arial" w:cs="Arial" w:eastAsia="Arial" w:hAnsi="Arial"/>
                <w:sz w:val="13"/>
                <w:szCs w:val="13"/>
                <w:color w:val="auto"/>
              </w:rPr>
              <w:t>Net cash used in investing activities</w:t>
            </w: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120" w:type="dxa"/>
            <w:vAlign w:val="bottom"/>
            <w:vMerge w:val="continue"/>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(3,290)</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(1,571)</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(2,914)</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(3,573)</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(1,541)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12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Financing activities:</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Arial" w:cs="Arial" w:eastAsia="Arial" w:hAnsi="Arial"/>
                <w:sz w:val="13"/>
                <w:szCs w:val="13"/>
                <w:color w:val="auto"/>
              </w:rPr>
              <w:t>Proceeds from issuance of notes payable and long-term debt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845</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391</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837</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Principal payments of long-term debt and notes payable</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(707)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(245)</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(434)</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(128)</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Arial" w:cs="Arial" w:eastAsia="Arial" w:hAnsi="Arial"/>
                <w:sz w:val="13"/>
                <w:szCs w:val="13"/>
                <w:color w:val="auto"/>
              </w:rPr>
              <w:t>Proceeds from line of credit borrowings</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19,305</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16,760</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12,385</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17,394</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953</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Repayments from line of credit borrowings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(16,585)</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(15,200)</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(6,233)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(16,141)</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(847)</w:t>
            </w: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Arial" w:cs="Arial" w:eastAsia="Arial" w:hAnsi="Arial"/>
                <w:sz w:val="13"/>
                <w:szCs w:val="13"/>
                <w:color w:val="auto"/>
              </w:rPr>
              <w:t>Proceeds from shareholder loans</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3,200</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Repayments of shareholder loans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(150)</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(1,200)</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(793)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Arial" w:cs="Arial" w:eastAsia="Arial" w:hAnsi="Arial"/>
                <w:sz w:val="13"/>
                <w:szCs w:val="13"/>
                <w:color w:val="auto"/>
              </w:rPr>
              <w:t>(Increase) decrease in restricted cash</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(193)</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(155)</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455</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(570)</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Exercise of stock options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110</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Arial" w:cs="Arial" w:eastAsia="Arial" w:hAnsi="Arial"/>
                <w:sz w:val="13"/>
                <w:szCs w:val="13"/>
                <w:color w:val="auto"/>
              </w:rPr>
              <w:t>Exercise of warrants</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248</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(Increase) decrease in subscriptions receivable</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(3,000)</w:t>
            </w: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Arial" w:cs="Arial" w:eastAsia="Arial" w:hAnsi="Arial"/>
                <w:sz w:val="13"/>
                <w:szCs w:val="13"/>
                <w:color w:val="auto"/>
              </w:rPr>
              <w:t>Common stock issued for consultant services</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Issuance of preferred stock, net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10,234</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2,859</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4,200</w:t>
            </w:r>
          </w:p>
        </w:tc>
        <w:tc>
          <w:tcPr>
            <w:tcW w:w="0" w:type="dxa"/>
            <w:vAlign w:val="bottom"/>
          </w:tcPr>
          <w:p>
            <w:pPr>
              <w:spacing w:after="0"/>
              <w:rPr>
                <w:sz w:val="1"/>
                <w:szCs w:val="1"/>
                <w:color w:val="auto"/>
              </w:rPr>
            </w:pPr>
          </w:p>
        </w:tc>
      </w:tr>
      <w:tr>
        <w:trPr>
          <w:trHeight w:val="26"/>
        </w:trPr>
        <w:tc>
          <w:tcPr>
            <w:tcW w:w="5120" w:type="dxa"/>
            <w:vAlign w:val="bottom"/>
            <w:vMerge w:val="restart"/>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120" w:type="dxa"/>
            <w:vAlign w:val="bottom"/>
            <w:vMerge w:val="continue"/>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12,754</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2,836</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8,975</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913</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1,702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120" w:type="dxa"/>
            <w:vAlign w:val="bottom"/>
            <w:shd w:val="clear" w:color="auto" w:fill="CCEEFF"/>
          </w:tcPr>
          <w:p>
            <w:pPr>
              <w:ind w:left="160"/>
              <w:spacing w:after="0" w:line="140" w:lineRule="exact"/>
              <w:rPr>
                <w:sz w:val="20"/>
                <w:szCs w:val="20"/>
                <w:color w:val="auto"/>
              </w:rPr>
            </w:pPr>
            <w:r>
              <w:rPr>
                <w:rFonts w:ascii="Arial" w:cs="Arial" w:eastAsia="Arial" w:hAnsi="Arial"/>
                <w:sz w:val="13"/>
                <w:szCs w:val="13"/>
                <w:color w:val="auto"/>
              </w:rPr>
              <w:t>Effect of exchange rate changes on cash</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(150)</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136</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(621)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3"/>
                <w:szCs w:val="13"/>
                <w:color w:val="auto"/>
              </w:rPr>
              <w:t>206</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6"/>
        </w:trPr>
        <w:tc>
          <w:tcPr>
            <w:tcW w:w="5120" w:type="dxa"/>
            <w:vAlign w:val="bottom"/>
            <w:vMerge w:val="restart"/>
          </w:tcPr>
          <w:p>
            <w:pPr>
              <w:ind w:left="20"/>
              <w:spacing w:after="0"/>
              <w:rPr>
                <w:sz w:val="20"/>
                <w:szCs w:val="20"/>
                <w:color w:val="auto"/>
              </w:rPr>
            </w:pPr>
            <w:r>
              <w:rPr>
                <w:rFonts w:ascii="Arial" w:cs="Arial" w:eastAsia="Arial" w:hAnsi="Arial"/>
                <w:sz w:val="13"/>
                <w:szCs w:val="13"/>
                <w:color w:val="auto"/>
              </w:rPr>
              <w:t>Net increase (decrease) in cash</w:t>
            </w: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12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8,956</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(2,724)</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2,232</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(955)</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808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Cash and cash equivalents at beginning of year</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1,767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4,492</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2,260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10,723</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1,768</w:t>
            </w:r>
          </w:p>
        </w:tc>
        <w:tc>
          <w:tcPr>
            <w:tcW w:w="0" w:type="dxa"/>
            <w:vAlign w:val="bottom"/>
          </w:tcPr>
          <w:p>
            <w:pPr>
              <w:spacing w:after="0"/>
              <w:rPr>
                <w:sz w:val="1"/>
                <w:szCs w:val="1"/>
                <w:color w:val="auto"/>
              </w:rPr>
            </w:pPr>
          </w:p>
        </w:tc>
      </w:tr>
      <w:tr>
        <w:trPr>
          <w:trHeight w:val="26"/>
        </w:trPr>
        <w:tc>
          <w:tcPr>
            <w:tcW w:w="5120" w:type="dxa"/>
            <w:vAlign w:val="bottom"/>
            <w:vMerge w:val="restart"/>
          </w:tcPr>
          <w:p>
            <w:pPr>
              <w:ind w:left="20"/>
              <w:spacing w:after="0"/>
              <w:rPr>
                <w:sz w:val="20"/>
                <w:szCs w:val="20"/>
                <w:color w:val="auto"/>
              </w:rPr>
            </w:pPr>
            <w:r>
              <w:rPr>
                <w:rFonts w:ascii="Arial" w:cs="Arial" w:eastAsia="Arial" w:hAnsi="Arial"/>
                <w:sz w:val="13"/>
                <w:szCs w:val="13"/>
                <w:color w:val="auto"/>
              </w:rPr>
              <w:t>Cash and cash equivalents at end of year</w:t>
            </w: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120" w:type="dxa"/>
            <w:vAlign w:val="bottom"/>
            <w:vMerge w:val="continue"/>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10,723</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1,768</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4,492</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9,768</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2,576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51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Supplemental disclosure of cash flow information:</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Arial" w:cs="Arial" w:eastAsia="Arial" w:hAnsi="Arial"/>
                <w:sz w:val="13"/>
                <w:szCs w:val="13"/>
                <w:color w:val="auto"/>
              </w:rPr>
              <w:t>Cash paid for:</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300"/>
              <w:spacing w:after="0" w:line="144" w:lineRule="exact"/>
              <w:rPr>
                <w:sz w:val="20"/>
                <w:szCs w:val="20"/>
                <w:color w:val="auto"/>
              </w:rPr>
            </w:pPr>
            <w:r>
              <w:rPr>
                <w:rFonts w:ascii="Arial" w:cs="Arial" w:eastAsia="Arial" w:hAnsi="Arial"/>
                <w:sz w:val="13"/>
                <w:szCs w:val="13"/>
                <w:color w:val="auto"/>
              </w:rPr>
              <w:t>Interest</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1,469</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1,392</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737</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730</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601</w:t>
            </w:r>
          </w:p>
        </w:tc>
        <w:tc>
          <w:tcPr>
            <w:tcW w:w="0" w:type="dxa"/>
            <w:vAlign w:val="bottom"/>
          </w:tcPr>
          <w:p>
            <w:pPr>
              <w:spacing w:after="0"/>
              <w:rPr>
                <w:sz w:val="1"/>
                <w:szCs w:val="1"/>
                <w:color w:val="auto"/>
              </w:rPr>
            </w:pPr>
          </w:p>
        </w:tc>
      </w:tr>
      <w:tr>
        <w:trPr>
          <w:trHeight w:val="144"/>
        </w:trPr>
        <w:tc>
          <w:tcPr>
            <w:tcW w:w="5120" w:type="dxa"/>
            <w:vAlign w:val="bottom"/>
          </w:tcPr>
          <w:p>
            <w:pPr>
              <w:ind w:left="300"/>
              <w:spacing w:after="0" w:line="144" w:lineRule="exact"/>
              <w:rPr>
                <w:sz w:val="20"/>
                <w:szCs w:val="20"/>
                <w:color w:val="auto"/>
              </w:rPr>
            </w:pPr>
            <w:r>
              <w:rPr>
                <w:rFonts w:ascii="Arial" w:cs="Arial" w:eastAsia="Arial" w:hAnsi="Arial"/>
                <w:sz w:val="13"/>
                <w:szCs w:val="13"/>
                <w:color w:val="auto"/>
              </w:rPr>
              <w:t>Income taxes</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Conversion of shareholders' loan to preferred stock</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760</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1,100</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4"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A—ORGANIZATION AND OPERATIONS</w:t>
      </w:r>
    </w:p>
    <w:p>
      <w:pPr>
        <w:spacing w:after="0" w:line="228" w:lineRule="exact"/>
        <w:rPr>
          <w:sz w:val="20"/>
          <w:szCs w:val="20"/>
          <w:color w:val="auto"/>
        </w:rPr>
      </w:pPr>
    </w:p>
    <w:p>
      <w:pPr>
        <w:ind w:right="180" w:firstLine="332"/>
        <w:spacing w:after="0" w:line="265" w:lineRule="auto"/>
        <w:rPr>
          <w:sz w:val="20"/>
          <w:szCs w:val="20"/>
          <w:color w:val="auto"/>
        </w:rPr>
      </w:pPr>
      <w:r>
        <w:rPr>
          <w:rFonts w:ascii="Arial" w:cs="Arial" w:eastAsia="Arial" w:hAnsi="Arial"/>
          <w:sz w:val="17"/>
          <w:szCs w:val="17"/>
          <w:color w:val="auto"/>
        </w:rPr>
        <w:t>Applied Optoelectronics, Inc. ("AOI") (the "Company") was incorporated in the State of Texas on February 28, 1997. The Company is a leading, vertically integrated provider of fiber-optic networking products, primarily for three networking end-markets: cable television, fiber-to-the-home and internet data centers. The Company designs and manufactures a range of optical communications products at varying levels of integration, from components, subassemblies and modules to complete turn-key equipment.</w:t>
      </w:r>
    </w:p>
    <w:p>
      <w:pPr>
        <w:spacing w:after="0" w:line="185"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Prime World International Holdings, Ltd. ("Prime World") is a wholly-owned subsidiary of the Company incorporated in the British Virgin Islands on January 13, 2006. Prime World is the parent company of Global Technology, Inc. ("Global"). Global was established in June 2002 in the People's Republic of China ("PRC") and was acquired by Prime World on March 30, 2006. The Company also operates a division, AOI—Taiwan, which is qualified to do business in Taiwan and primarily manufactures transceivers and performs research and development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B—SUMMARY OF SIGNIFICANT ACCOUNTING POLICIES</w:t>
      </w:r>
    </w:p>
    <w:p>
      <w:pPr>
        <w:spacing w:after="0" w:line="228" w:lineRule="exact"/>
        <w:rPr>
          <w:sz w:val="20"/>
          <w:szCs w:val="20"/>
          <w:color w:val="auto"/>
        </w:rPr>
      </w:pPr>
    </w:p>
    <w:p>
      <w:pPr>
        <w:ind w:left="340" w:hanging="335"/>
        <w:spacing w:after="0"/>
        <w:tabs>
          <w:tab w:leader="none" w:pos="340"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Basis of Presentation</w:t>
      </w:r>
    </w:p>
    <w:p>
      <w:pPr>
        <w:spacing w:after="0" w:line="224" w:lineRule="exact"/>
        <w:rPr>
          <w:sz w:val="20"/>
          <w:szCs w:val="20"/>
          <w:color w:val="auto"/>
        </w:rPr>
      </w:pPr>
    </w:p>
    <w:p>
      <w:pPr>
        <w:ind w:right="100" w:firstLine="338"/>
        <w:spacing w:after="0" w:line="352" w:lineRule="auto"/>
        <w:rPr>
          <w:sz w:val="20"/>
          <w:szCs w:val="20"/>
          <w:color w:val="auto"/>
        </w:rPr>
      </w:pPr>
      <w:r>
        <w:rPr>
          <w:rFonts w:ascii="Arial" w:cs="Arial" w:eastAsia="Arial" w:hAnsi="Arial"/>
          <w:sz w:val="15"/>
          <w:szCs w:val="15"/>
          <w:color w:val="auto"/>
        </w:rPr>
        <w:t>The consolidated financial statements include the accounts of the Company and all of its wholly-owned subsidiaries and are prepared in accordance with accounting principles generally accepted in the United States of America (GAAP). All intercompany balances and transactions have been eliminated in consolidation.</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Unaudited Interim Consolidated Financial Information</w:t>
      </w:r>
    </w:p>
    <w:p>
      <w:pPr>
        <w:spacing w:after="0" w:line="224" w:lineRule="exact"/>
        <w:rPr>
          <w:sz w:val="20"/>
          <w:szCs w:val="20"/>
          <w:color w:val="auto"/>
        </w:rPr>
      </w:pPr>
    </w:p>
    <w:p>
      <w:pPr>
        <w:ind w:right="60" w:firstLine="338"/>
        <w:spacing w:after="0" w:line="280" w:lineRule="auto"/>
        <w:rPr>
          <w:sz w:val="20"/>
          <w:szCs w:val="20"/>
          <w:color w:val="auto"/>
        </w:rPr>
      </w:pPr>
      <w:r>
        <w:rPr>
          <w:rFonts w:ascii="Arial" w:cs="Arial" w:eastAsia="Arial" w:hAnsi="Arial"/>
          <w:sz w:val="16"/>
          <w:szCs w:val="16"/>
          <w:color w:val="auto"/>
        </w:rPr>
        <w:t>The accompanying interim consolidated balance sheet as of June 30, 2013, and the consolidated statements of operations, comprehensive loss, and cash flows for the six months ended June 30, 2013 and 2012 and the consolidated statement of stockholders' equity for the three months ended June 30, 2013 and the related footnote disclosures are unaudited. These unaudited interim consolidated financial statements have been prepared in accordance with GAAP. In management's opinion, the unaudited interim consolidated financial statements have been prepared on the same basis as the audited financial statements and include all adjustments, which include only normal recurring adjustments, necessary for the fair presentation of the Company's statement of financial position as of June 30, 2013 and the Company's consolidated results of operations and cash flows for the six months ended June 30, 2013 and 2012. The results for the three months ended June 30, 2013 are not necessarily indicative of the results expected for the full fiscal year.</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Unaudited Pro Forma Balance Sheet Information</w:t>
      </w:r>
    </w:p>
    <w:p>
      <w:pPr>
        <w:spacing w:after="0" w:line="22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Upon the completion of the Company's initial public offering (the "Offering"), all outstanding convertible preferred stock will automatically convert into shares of the Company's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B—SUMMARY OF SIGNIFICANT ACCOUNTING POLICIES (Continued)</w:t>
      </w:r>
    </w:p>
    <w:p>
      <w:pPr>
        <w:spacing w:after="0" w:line="228"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common stock. The unaudited pro forma balance sheet information gives effect to the conversion of the convertible preferred stock as if such conversion had occurred as of June 30, 2013.</w:t>
      </w:r>
    </w:p>
    <w:p>
      <w:pPr>
        <w:spacing w:after="0" w:line="170" w:lineRule="exact"/>
        <w:rPr>
          <w:sz w:val="20"/>
          <w:szCs w:val="20"/>
          <w:color w:val="auto"/>
        </w:rPr>
      </w:pPr>
    </w:p>
    <w:p>
      <w:pPr>
        <w:ind w:left="340" w:hanging="335"/>
        <w:spacing w:after="0"/>
        <w:tabs>
          <w:tab w:leader="none" w:pos="340" w:val="left"/>
        </w:tabs>
        <w:numPr>
          <w:ilvl w:val="0"/>
          <w:numId w:val="89"/>
        </w:numPr>
        <w:rPr>
          <w:rFonts w:ascii="Arial" w:cs="Arial" w:eastAsia="Arial" w:hAnsi="Arial"/>
          <w:sz w:val="17"/>
          <w:szCs w:val="17"/>
          <w:color w:val="auto"/>
        </w:rPr>
      </w:pPr>
      <w:r>
        <w:rPr>
          <w:rFonts w:ascii="Arial" w:cs="Arial" w:eastAsia="Arial" w:hAnsi="Arial"/>
          <w:sz w:val="17"/>
          <w:szCs w:val="17"/>
          <w:i w:val="1"/>
          <w:iCs w:val="1"/>
          <w:color w:val="auto"/>
        </w:rPr>
        <w:t>Use of Estimates</w:t>
      </w:r>
    </w:p>
    <w:p>
      <w:pPr>
        <w:spacing w:after="0" w:line="224"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relate to, among other things, allowance for doubtful accounts, inventory reserve, stock-based compensation expense, estimated useful lives of property and equipment, and taxes.</w:t>
      </w:r>
    </w:p>
    <w:p>
      <w:pPr>
        <w:spacing w:after="0" w:line="185" w:lineRule="exact"/>
        <w:rPr>
          <w:sz w:val="20"/>
          <w:szCs w:val="20"/>
          <w:color w:val="auto"/>
        </w:rPr>
      </w:pPr>
    </w:p>
    <w:p>
      <w:pPr>
        <w:ind w:left="340" w:hanging="335"/>
        <w:spacing w:after="0"/>
        <w:tabs>
          <w:tab w:leader="none" w:pos="340"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t>Foreign Currency Translation</w:t>
      </w:r>
    </w:p>
    <w:p>
      <w:pPr>
        <w:spacing w:after="0" w:line="224" w:lineRule="exact"/>
        <w:rPr>
          <w:sz w:val="20"/>
          <w:szCs w:val="20"/>
          <w:color w:val="auto"/>
        </w:rPr>
      </w:pPr>
    </w:p>
    <w:p>
      <w:pPr>
        <w:jc w:val="both"/>
        <w:ind w:firstLine="332"/>
        <w:spacing w:after="0" w:line="294" w:lineRule="auto"/>
        <w:rPr>
          <w:sz w:val="20"/>
          <w:szCs w:val="20"/>
          <w:color w:val="auto"/>
        </w:rPr>
      </w:pPr>
      <w:r>
        <w:rPr>
          <w:rFonts w:ascii="Arial" w:cs="Arial" w:eastAsia="Arial" w:hAnsi="Arial"/>
          <w:sz w:val="16"/>
          <w:szCs w:val="16"/>
          <w:color w:val="auto"/>
        </w:rPr>
        <w:t>All assets and liabilities of foreign subsidiaries are translated into U.S. dollars at the exchange rate as of the balance sheet date. Revenue and expense accounts are translated at weighted-average rates for the reporting period. Translation adjustments do not impact the results of operations and are reported as a separate component of stockholders' equity. Foreign currency transaction gains and losses are included in the consolidated statements of operations.</w:t>
      </w:r>
    </w:p>
    <w:p>
      <w:pPr>
        <w:spacing w:after="0" w:line="163" w:lineRule="exact"/>
        <w:rPr>
          <w:sz w:val="20"/>
          <w:szCs w:val="20"/>
          <w:color w:val="auto"/>
        </w:rPr>
      </w:pPr>
    </w:p>
    <w:p>
      <w:pPr>
        <w:ind w:left="340" w:hanging="335"/>
        <w:spacing w:after="0"/>
        <w:tabs>
          <w:tab w:leader="none" w:pos="340" w:val="left"/>
        </w:tabs>
        <w:numPr>
          <w:ilvl w:val="0"/>
          <w:numId w:val="91"/>
        </w:numPr>
        <w:rPr>
          <w:rFonts w:ascii="Arial" w:cs="Arial" w:eastAsia="Arial" w:hAnsi="Arial"/>
          <w:sz w:val="17"/>
          <w:szCs w:val="17"/>
          <w:color w:val="auto"/>
        </w:rPr>
      </w:pPr>
      <w:r>
        <w:rPr>
          <w:rFonts w:ascii="Arial" w:cs="Arial" w:eastAsia="Arial" w:hAnsi="Arial"/>
          <w:sz w:val="17"/>
          <w:szCs w:val="17"/>
          <w:i w:val="1"/>
          <w:iCs w:val="1"/>
          <w:color w:val="auto"/>
        </w:rPr>
        <w:t>Fair Value</w:t>
      </w:r>
    </w:p>
    <w:p>
      <w:pPr>
        <w:spacing w:after="0" w:line="224" w:lineRule="exact"/>
        <w:rPr>
          <w:sz w:val="20"/>
          <w:szCs w:val="20"/>
          <w:color w:val="auto"/>
        </w:rPr>
      </w:pPr>
    </w:p>
    <w:p>
      <w:pPr>
        <w:jc w:val="both"/>
        <w:ind w:right="200" w:firstLine="338"/>
        <w:spacing w:after="0" w:line="294" w:lineRule="auto"/>
        <w:rPr>
          <w:sz w:val="20"/>
          <w:szCs w:val="20"/>
          <w:color w:val="auto"/>
        </w:rPr>
      </w:pPr>
      <w:r>
        <w:rPr>
          <w:rFonts w:ascii="Arial" w:cs="Arial" w:eastAsia="Arial" w:hAnsi="Arial"/>
          <w:sz w:val="16"/>
          <w:szCs w:val="16"/>
          <w:color w:val="auto"/>
        </w:rPr>
        <w:t>The carrying value of cash and cash equivalents, accounts receivable, accounts payable, and note receivable approximate their historical fair values due to their short-term maturities. The carrying value of the debt approximates its fair value due to the short-term nature of the debt since it renews frequently at current interest rates. Management believes that the interest rates in effect at each year end represent the current market rates for similar borrowings.</w:t>
      </w:r>
    </w:p>
    <w:p>
      <w:pPr>
        <w:spacing w:after="0" w:line="163" w:lineRule="exact"/>
        <w:rPr>
          <w:sz w:val="20"/>
          <w:szCs w:val="20"/>
          <w:color w:val="auto"/>
        </w:rPr>
      </w:pPr>
    </w:p>
    <w:p>
      <w:pPr>
        <w:ind w:left="340" w:hanging="335"/>
        <w:spacing w:after="0"/>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i w:val="1"/>
          <w:iCs w:val="1"/>
          <w:color w:val="auto"/>
        </w:rPr>
        <w:t>Cash and Cash Equivalents</w:t>
      </w:r>
    </w:p>
    <w:p>
      <w:pPr>
        <w:spacing w:after="0" w:line="224" w:lineRule="exact"/>
        <w:rPr>
          <w:sz w:val="20"/>
          <w:szCs w:val="20"/>
          <w:color w:val="auto"/>
        </w:rPr>
      </w:pPr>
    </w:p>
    <w:p>
      <w:pPr>
        <w:ind w:right="420" w:firstLine="338"/>
        <w:spacing w:after="0" w:line="282" w:lineRule="auto"/>
        <w:rPr>
          <w:sz w:val="20"/>
          <w:szCs w:val="20"/>
          <w:color w:val="auto"/>
        </w:rPr>
      </w:pPr>
      <w:r>
        <w:rPr>
          <w:rFonts w:ascii="Arial" w:cs="Arial" w:eastAsia="Arial" w:hAnsi="Arial"/>
          <w:sz w:val="17"/>
          <w:szCs w:val="17"/>
          <w:color w:val="auto"/>
        </w:rPr>
        <w:t>The Company considers all highly liquid securities with an original maturity of ninety days or less from the date of purchase to be cash equivalents. Cash in foreign accounts was approximately $1.1 million and $1.4 million at December 31, 2012 and 2011, respectively.</w:t>
      </w:r>
    </w:p>
    <w:p>
      <w:pPr>
        <w:spacing w:after="0" w:line="170" w:lineRule="exact"/>
        <w:rPr>
          <w:sz w:val="20"/>
          <w:szCs w:val="20"/>
          <w:color w:val="auto"/>
        </w:rPr>
      </w:pPr>
    </w:p>
    <w:p>
      <w:pPr>
        <w:ind w:right="160" w:firstLine="338"/>
        <w:spacing w:after="0" w:line="265" w:lineRule="auto"/>
        <w:rPr>
          <w:sz w:val="20"/>
          <w:szCs w:val="20"/>
          <w:color w:val="auto"/>
        </w:rPr>
      </w:pPr>
      <w:r>
        <w:rPr>
          <w:rFonts w:ascii="Arial" w:cs="Arial" w:eastAsia="Arial" w:hAnsi="Arial"/>
          <w:sz w:val="17"/>
          <w:szCs w:val="17"/>
          <w:color w:val="auto"/>
        </w:rPr>
        <w:t>The Company maintains cash and cash equivalents at U.S. financial institutions for which the combined account balances in individual institutions may exceed Federal Deposit Insurance Corporation ("FDIC") insurance coverage and, as a result, there is a concentration of credit risk related to amounts on deposit in excess of FDIC insurance coverage. As of December 31, 2012, approximately $9.4 million of U.S. deposits were not covered by FDIC insurance. The Company has not experienced any losses and believes it is not exposed to any significant risk with such accounts.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B—SUMMARY OF SIGNIFICANT ACCOUNTING POLICIES (Continued)</w:t>
      </w:r>
    </w:p>
    <w:p>
      <w:pPr>
        <w:spacing w:after="0" w:line="228" w:lineRule="exact"/>
        <w:rPr>
          <w:sz w:val="20"/>
          <w:szCs w:val="20"/>
          <w:color w:val="auto"/>
        </w:rPr>
      </w:pPr>
    </w:p>
    <w:p>
      <w:pPr>
        <w:ind w:left="340" w:hanging="335"/>
        <w:spacing w:after="0"/>
        <w:tabs>
          <w:tab w:leader="none" w:pos="340" w:val="left"/>
        </w:tabs>
        <w:numPr>
          <w:ilvl w:val="0"/>
          <w:numId w:val="93"/>
        </w:numPr>
        <w:rPr>
          <w:rFonts w:ascii="Arial" w:cs="Arial" w:eastAsia="Arial" w:hAnsi="Arial"/>
          <w:sz w:val="17"/>
          <w:szCs w:val="17"/>
          <w:color w:val="auto"/>
        </w:rPr>
      </w:pPr>
      <w:r>
        <w:rPr>
          <w:rFonts w:ascii="Arial" w:cs="Arial" w:eastAsia="Arial" w:hAnsi="Arial"/>
          <w:sz w:val="17"/>
          <w:szCs w:val="17"/>
          <w:i w:val="1"/>
          <w:iCs w:val="1"/>
          <w:color w:val="auto"/>
        </w:rPr>
        <w:t>Restricted Cash/Compensating Balances</w:t>
      </w:r>
    </w:p>
    <w:p>
      <w:pPr>
        <w:spacing w:after="0" w:line="224" w:lineRule="exact"/>
        <w:rPr>
          <w:sz w:val="20"/>
          <w:szCs w:val="20"/>
          <w:color w:val="auto"/>
        </w:rPr>
      </w:pPr>
    </w:p>
    <w:p>
      <w:pPr>
        <w:ind w:right="280" w:firstLine="338"/>
        <w:spacing w:after="0" w:line="315" w:lineRule="auto"/>
        <w:rPr>
          <w:sz w:val="20"/>
          <w:szCs w:val="20"/>
          <w:color w:val="auto"/>
        </w:rPr>
      </w:pPr>
      <w:r>
        <w:rPr>
          <w:rFonts w:ascii="Arial" w:cs="Arial" w:eastAsia="Arial" w:hAnsi="Arial"/>
          <w:sz w:val="16"/>
          <w:szCs w:val="16"/>
          <w:color w:val="auto"/>
        </w:rPr>
        <w:t>The Company is required to maintain a minimum balance equal to 30% in 2012 and 10% in 2011 and 2010 of one of its lines of credit with a bank, as well as other restricted cash balances. As of December 31, 2012 and 2011, the amount of restricted cash was $0.5 million and $0.3 million, respectively.</w:t>
      </w:r>
    </w:p>
    <w:p>
      <w:pPr>
        <w:spacing w:after="0" w:line="146" w:lineRule="exact"/>
        <w:rPr>
          <w:sz w:val="20"/>
          <w:szCs w:val="20"/>
          <w:color w:val="auto"/>
        </w:rPr>
      </w:pPr>
    </w:p>
    <w:p>
      <w:pPr>
        <w:ind w:left="340" w:hanging="335"/>
        <w:spacing w:after="0"/>
        <w:tabs>
          <w:tab w:leader="none" w:pos="34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Accounts Receivable/Allowance for Doubtful Accounts</w:t>
      </w:r>
    </w:p>
    <w:p>
      <w:pPr>
        <w:spacing w:after="0" w:line="224" w:lineRule="exact"/>
        <w:rPr>
          <w:sz w:val="20"/>
          <w:szCs w:val="20"/>
          <w:color w:val="auto"/>
        </w:rPr>
      </w:pPr>
    </w:p>
    <w:p>
      <w:pPr>
        <w:ind w:firstLine="338"/>
        <w:spacing w:after="0" w:line="352" w:lineRule="auto"/>
        <w:rPr>
          <w:sz w:val="20"/>
          <w:szCs w:val="20"/>
          <w:color w:val="auto"/>
        </w:rPr>
      </w:pPr>
      <w:r>
        <w:rPr>
          <w:rFonts w:ascii="Arial" w:cs="Arial" w:eastAsia="Arial" w:hAnsi="Arial"/>
          <w:sz w:val="15"/>
          <w:szCs w:val="15"/>
          <w:color w:val="auto"/>
        </w:rPr>
        <w:t>The Company carries its accounts receivable at the net amount that it estimates to be collectible. An allowance for uncollectable accounts is maintained through a charge against operations. The allowance is determined by management review of outstanding amounts per customer, historical payments and the aging of accounts.</w:t>
      </w:r>
    </w:p>
    <w:p>
      <w:pPr>
        <w:spacing w:after="0" w:line="123" w:lineRule="exact"/>
        <w:rPr>
          <w:sz w:val="20"/>
          <w:szCs w:val="20"/>
          <w:color w:val="auto"/>
        </w:rPr>
      </w:pPr>
    </w:p>
    <w:p>
      <w:pPr>
        <w:ind w:left="340" w:hanging="335"/>
        <w:spacing w:after="0"/>
        <w:tabs>
          <w:tab w:leader="none" w:pos="340"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Notes Receivable</w:t>
      </w:r>
    </w:p>
    <w:p>
      <w:pPr>
        <w:spacing w:after="0" w:line="224" w:lineRule="exact"/>
        <w:rPr>
          <w:sz w:val="20"/>
          <w:szCs w:val="20"/>
          <w:color w:val="auto"/>
        </w:rPr>
      </w:pPr>
    </w:p>
    <w:p>
      <w:pPr>
        <w:ind w:right="120" w:firstLine="338"/>
        <w:spacing w:after="0" w:line="282" w:lineRule="auto"/>
        <w:rPr>
          <w:sz w:val="20"/>
          <w:szCs w:val="20"/>
          <w:color w:val="auto"/>
        </w:rPr>
      </w:pPr>
      <w:r>
        <w:rPr>
          <w:rFonts w:ascii="Arial" w:cs="Arial" w:eastAsia="Arial" w:hAnsi="Arial"/>
          <w:sz w:val="17"/>
          <w:szCs w:val="17"/>
          <w:color w:val="auto"/>
        </w:rPr>
        <w:t>The Company carries its notes receivable at face value or discounted value if the note is interest bearing. The maturity date of the notes receivable are all within one year of the original issuance date and are carried at face value.</w:t>
      </w:r>
    </w:p>
    <w:p>
      <w:pPr>
        <w:spacing w:after="0" w:line="170" w:lineRule="exact"/>
        <w:rPr>
          <w:sz w:val="20"/>
          <w:szCs w:val="20"/>
          <w:color w:val="auto"/>
        </w:rPr>
      </w:pPr>
    </w:p>
    <w:p>
      <w:pPr>
        <w:ind w:left="340" w:hanging="335"/>
        <w:spacing w:after="0"/>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Concentration of Credit Risk and Significant Customers</w:t>
      </w:r>
    </w:p>
    <w:p>
      <w:pPr>
        <w:spacing w:after="0" w:line="224" w:lineRule="exact"/>
        <w:rPr>
          <w:sz w:val="20"/>
          <w:szCs w:val="20"/>
          <w:color w:val="auto"/>
        </w:rPr>
      </w:pPr>
    </w:p>
    <w:p>
      <w:pPr>
        <w:ind w:right="580" w:firstLine="341"/>
        <w:spacing w:after="0" w:line="282" w:lineRule="auto"/>
        <w:rPr>
          <w:sz w:val="20"/>
          <w:szCs w:val="20"/>
          <w:color w:val="auto"/>
        </w:rPr>
      </w:pPr>
      <w:r>
        <w:rPr>
          <w:rFonts w:ascii="Arial" w:cs="Arial" w:eastAsia="Arial" w:hAnsi="Arial"/>
          <w:sz w:val="17"/>
          <w:szCs w:val="17"/>
          <w:color w:val="auto"/>
        </w:rPr>
        <w:t>Financial instruments which potentially subject the Company to concentrations of credit risk include cash, cash equivalents and accounts receivable. The Company places all cash and cash equivalents with high-credit quality financial institutions.</w:t>
      </w:r>
    </w:p>
    <w:p>
      <w:pPr>
        <w:spacing w:after="0" w:line="170"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The Company performs ongoing credit valuations of its customers' financial condition whenever deemed necessary and generally does not require deposits or collateral to support customer receivables. The historical amount of losses on uncollectible accounts has been within the Company's estimates. The Company's five largest customers represented an aggregate of 47%, 56% and 60% of total revenue for the years ended December 31, 2012, 2011 and 2010, respectively. The five largest receivable balances for customers represented an aggregate of 58%, and 71% of total accounts receivable at December 31, 2012 and 2011, respectively. For the years ended December 31, 2012 and 2011, Cisco Systems, Inc. and Biogenomics Corp. were the only customers that accounted for more than 10% of the Company's total revenue. In 2012, we earned revenue of $21.2 million and $7.1 million, from Cisco Systems, Inc. and Biogenomics Corp., respectively. In 2011, the Company earned $12.8 million and $5.6 million from Cisco Systems, Inc. and Biogenomics Corp., respectively.</w:t>
      </w:r>
    </w:p>
    <w:p>
      <w:pPr>
        <w:spacing w:after="0" w:line="175" w:lineRule="exact"/>
        <w:rPr>
          <w:sz w:val="20"/>
          <w:szCs w:val="20"/>
          <w:color w:val="auto"/>
        </w:rPr>
      </w:pPr>
    </w:p>
    <w:p>
      <w:pPr>
        <w:ind w:left="300" w:hanging="295"/>
        <w:spacing w:after="0"/>
        <w:tabs>
          <w:tab w:leader="none" w:pos="30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Fair Value Accounting</w:t>
      </w:r>
    </w:p>
    <w:p>
      <w:pPr>
        <w:spacing w:after="0" w:line="224"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The fair value measurement standard defines fair value as the price that would be received to sell an asset or paid to transfer a liability in an orderly transaction between market participants at the measurement date. The standard characterizes inputs used in determining fair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value according to a hierarchy that prioritized inputs based on the degree to which they are observable. The three levels of the fair value hierarchy are as follows:</w:t>
      </w:r>
    </w:p>
    <w:p>
      <w:pPr>
        <w:spacing w:after="0" w:line="23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Level 1—Inputs represent quoted prices in active markets for identical assets or liabilities.</w:t>
      </w:r>
    </w:p>
    <w:p>
      <w:pPr>
        <w:spacing w:after="0" w:line="224" w:lineRule="exact"/>
        <w:rPr>
          <w:sz w:val="20"/>
          <w:szCs w:val="20"/>
          <w:color w:val="auto"/>
        </w:rPr>
      </w:pPr>
    </w:p>
    <w:p>
      <w:pPr>
        <w:ind w:left="520" w:right="200" w:firstLine="341"/>
        <w:spacing w:after="0" w:line="352" w:lineRule="auto"/>
        <w:rPr>
          <w:sz w:val="20"/>
          <w:szCs w:val="20"/>
          <w:color w:val="auto"/>
        </w:rPr>
      </w:pPr>
      <w:r>
        <w:rPr>
          <w:rFonts w:ascii="Arial" w:cs="Arial" w:eastAsia="Arial" w:hAnsi="Arial"/>
          <w:sz w:val="15"/>
          <w:szCs w:val="15"/>
          <w:color w:val="auto"/>
        </w:rPr>
        <w:t>Level 2—Inputs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23" w:lineRule="exact"/>
        <w:rPr>
          <w:sz w:val="20"/>
          <w:szCs w:val="20"/>
          <w:color w:val="auto"/>
        </w:rPr>
      </w:pPr>
    </w:p>
    <w:p>
      <w:pPr>
        <w:ind w:left="520" w:right="520" w:firstLine="341"/>
        <w:spacing w:after="0" w:line="282" w:lineRule="auto"/>
        <w:rPr>
          <w:sz w:val="20"/>
          <w:szCs w:val="20"/>
          <w:color w:val="auto"/>
        </w:rPr>
      </w:pPr>
      <w:r>
        <w:rPr>
          <w:rFonts w:ascii="Arial" w:cs="Arial" w:eastAsia="Arial" w:hAnsi="Arial"/>
          <w:sz w:val="17"/>
          <w:szCs w:val="17"/>
          <w:color w:val="auto"/>
        </w:rPr>
        <w:t>Level 3—Inputs that are not observable from objective sources, such as management's internally developed assumptions used in pricing an asset or liability.</w:t>
      </w:r>
    </w:p>
    <w:p>
      <w:pPr>
        <w:spacing w:after="0" w:line="170" w:lineRule="exact"/>
        <w:rPr>
          <w:sz w:val="20"/>
          <w:szCs w:val="20"/>
          <w:color w:val="auto"/>
        </w:rPr>
      </w:pPr>
    </w:p>
    <w:p>
      <w:pPr>
        <w:ind w:right="60" w:firstLine="332"/>
        <w:spacing w:after="0" w:line="282" w:lineRule="auto"/>
        <w:rPr>
          <w:sz w:val="20"/>
          <w:szCs w:val="20"/>
          <w:color w:val="auto"/>
        </w:rPr>
      </w:pPr>
      <w:r>
        <w:rPr>
          <w:rFonts w:ascii="Arial" w:cs="Arial" w:eastAsia="Arial" w:hAnsi="Arial"/>
          <w:sz w:val="17"/>
          <w:szCs w:val="17"/>
          <w:color w:val="auto"/>
        </w:rPr>
        <w:t>Assets and liabilities that are required to be fair valued on a recurring basis include money market funds, marketable securities, equity instruments and contingent consideration.</w:t>
      </w:r>
    </w:p>
    <w:p>
      <w:pPr>
        <w:spacing w:after="0" w:line="170" w:lineRule="exact"/>
        <w:rPr>
          <w:sz w:val="20"/>
          <w:szCs w:val="20"/>
          <w:color w:val="auto"/>
        </w:rPr>
      </w:pPr>
    </w:p>
    <w:p>
      <w:pPr>
        <w:ind w:right="260" w:firstLine="341"/>
        <w:spacing w:after="0" w:line="282" w:lineRule="auto"/>
        <w:rPr>
          <w:sz w:val="20"/>
          <w:szCs w:val="20"/>
          <w:color w:val="auto"/>
        </w:rPr>
      </w:pPr>
      <w:r>
        <w:rPr>
          <w:rFonts w:ascii="Arial" w:cs="Arial" w:eastAsia="Arial" w:hAnsi="Arial"/>
          <w:sz w:val="17"/>
          <w:szCs w:val="17"/>
          <w:color w:val="auto"/>
        </w:rPr>
        <w:t>Money market funds are valued with Level 1 inputs, using quoted market prices, and are included in cash and cash equivalents on the Company's consolidated balance sheets.</w:t>
      </w:r>
    </w:p>
    <w:p>
      <w:pPr>
        <w:spacing w:after="0" w:line="170" w:lineRule="exact"/>
        <w:rPr>
          <w:sz w:val="20"/>
          <w:szCs w:val="20"/>
          <w:color w:val="auto"/>
        </w:rPr>
      </w:pPr>
    </w:p>
    <w:p>
      <w:pPr>
        <w:ind w:left="300" w:hanging="295"/>
        <w:spacing w:after="0"/>
        <w:tabs>
          <w:tab w:leader="none" w:pos="300"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Inventories</w:t>
      </w:r>
    </w:p>
    <w:p>
      <w:pPr>
        <w:spacing w:after="0" w:line="224"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Inventories are stated at the lower of cost (average-cost method) or market. Work in process and finished goods includes materials, labor and allocated overhead. The Company assesses the valuation of its inventory on a periodic basis and provides write-offs for the value of estimated excess and obsolete inventory based on estimates of future demand.</w:t>
      </w:r>
    </w:p>
    <w:p>
      <w:pPr>
        <w:spacing w:after="0" w:line="179" w:lineRule="exact"/>
        <w:rPr>
          <w:sz w:val="20"/>
          <w:szCs w:val="20"/>
          <w:color w:val="auto"/>
        </w:rPr>
      </w:pPr>
    </w:p>
    <w:p>
      <w:pPr>
        <w:ind w:left="300" w:hanging="295"/>
        <w:spacing w:after="0"/>
        <w:tabs>
          <w:tab w:leader="none" w:pos="300"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Property, Plant and Equipment</w:t>
      </w:r>
    </w:p>
    <w:p>
      <w:pPr>
        <w:spacing w:after="0" w:line="224"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Property, plant and equipment are stated at cost, net of accumulated depreciation and amortization. The Company calculates depreciation using the straight-line method over the following estimated useful lives: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0" w:type="dxa"/>
            <w:vAlign w:val="bottom"/>
            <w:tcBorders>
              <w:bottom w:val="single" w:sz="8" w:color="auto"/>
            </w:tcBorders>
          </w:tcPr>
          <w:p>
            <w:pPr>
              <w:ind w:left="2340"/>
              <w:spacing w:after="0"/>
              <w:rPr>
                <w:sz w:val="20"/>
                <w:szCs w:val="20"/>
                <w:color w:val="auto"/>
              </w:rPr>
            </w:pPr>
            <w:r>
              <w:rPr>
                <w:rFonts w:ascii="Arial" w:cs="Arial" w:eastAsia="Arial" w:hAnsi="Arial"/>
                <w:sz w:val="13"/>
                <w:szCs w:val="13"/>
                <w:b w:val="1"/>
                <w:bCs w:val="1"/>
                <w:color w:val="auto"/>
              </w:rPr>
              <w:t>Useful lives</w:t>
            </w:r>
          </w:p>
        </w:tc>
        <w:tc>
          <w:tcPr>
            <w:tcW w:w="1720" w:type="dxa"/>
            <w:vAlign w:val="bottom"/>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Buildings</w:t>
            </w:r>
          </w:p>
        </w:tc>
        <w:tc>
          <w:tcPr>
            <w:tcW w:w="58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20 - 40 years</w:t>
            </w: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7"/>
                <w:szCs w:val="17"/>
                <w:color w:val="auto"/>
              </w:rPr>
              <w:t>Land improvements</w:t>
            </w:r>
          </w:p>
        </w:tc>
        <w:tc>
          <w:tcPr>
            <w:tcW w:w="5840" w:type="dxa"/>
            <w:vAlign w:val="bottom"/>
            <w:gridSpan w:val="3"/>
          </w:tcPr>
          <w:p>
            <w:pPr>
              <w:ind w:left="340"/>
              <w:spacing w:after="0"/>
              <w:rPr>
                <w:sz w:val="20"/>
                <w:szCs w:val="20"/>
                <w:color w:val="auto"/>
              </w:rPr>
            </w:pPr>
            <w:r>
              <w:rPr>
                <w:rFonts w:ascii="Arial" w:cs="Arial" w:eastAsia="Arial" w:hAnsi="Arial"/>
                <w:sz w:val="17"/>
                <w:szCs w:val="17"/>
                <w:color w:val="auto"/>
              </w:rPr>
              <w:t>10 years</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Machinery and equipment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84"/>
              </w:rPr>
              <w:t>3</w:t>
            </w:r>
          </w:p>
        </w:tc>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- 20 years</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7"/>
                <w:szCs w:val="17"/>
                <w:color w:val="auto"/>
              </w:rPr>
              <w:t>Furniture and fixtures</w:t>
            </w:r>
          </w:p>
        </w:tc>
        <w:tc>
          <w:tcPr>
            <w:tcW w:w="440" w:type="dxa"/>
            <w:vAlign w:val="bottom"/>
            <w:gridSpan w:val="2"/>
          </w:tcPr>
          <w:p>
            <w:pPr>
              <w:ind w:left="340"/>
              <w:spacing w:after="0"/>
              <w:rPr>
                <w:sz w:val="20"/>
                <w:szCs w:val="20"/>
                <w:color w:val="auto"/>
              </w:rPr>
            </w:pPr>
            <w:r>
              <w:rPr>
                <w:rFonts w:ascii="Arial" w:cs="Arial" w:eastAsia="Arial" w:hAnsi="Arial"/>
                <w:sz w:val="17"/>
                <w:szCs w:val="17"/>
                <w:color w:val="auto"/>
                <w:w w:val="84"/>
              </w:rPr>
              <w:t>1</w:t>
            </w:r>
          </w:p>
        </w:tc>
        <w:tc>
          <w:tcPr>
            <w:tcW w:w="5400" w:type="dxa"/>
            <w:vAlign w:val="bottom"/>
          </w:tcPr>
          <w:p>
            <w:pPr>
              <w:ind w:left="20"/>
              <w:spacing w:after="0"/>
              <w:rPr>
                <w:sz w:val="20"/>
                <w:szCs w:val="20"/>
                <w:color w:val="auto"/>
              </w:rPr>
            </w:pPr>
            <w:r>
              <w:rPr>
                <w:rFonts w:ascii="Arial" w:cs="Arial" w:eastAsia="Arial" w:hAnsi="Arial"/>
                <w:sz w:val="17"/>
                <w:szCs w:val="17"/>
                <w:color w:val="auto"/>
              </w:rPr>
              <w:t>- 8 years</w:t>
            </w:r>
          </w:p>
        </w:tc>
        <w:tc>
          <w:tcPr>
            <w:tcW w:w="1720" w:type="dxa"/>
            <w:vAlign w:val="bottom"/>
          </w:tcPr>
          <w:p>
            <w:pPr>
              <w:spacing w:after="0"/>
              <w:rPr>
                <w:sz w:val="18"/>
                <w:szCs w:val="18"/>
                <w:color w:val="auto"/>
              </w:rPr>
            </w:pPr>
          </w:p>
        </w:tc>
      </w:tr>
      <w:tr>
        <w:trPr>
          <w:trHeight w:val="201"/>
        </w:trPr>
        <w:tc>
          <w:tcPr>
            <w:tcW w:w="1720" w:type="dxa"/>
            <w:vAlign w:val="bottom"/>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 and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8"/>
        </w:trPr>
        <w:tc>
          <w:tcPr>
            <w:tcW w:w="1720" w:type="dxa"/>
            <w:vAlign w:val="bottom"/>
          </w:tcPr>
          <w:p>
            <w:pPr>
              <w:spacing w:after="0"/>
              <w:rPr>
                <w:sz w:val="18"/>
                <w:szCs w:val="18"/>
                <w:color w:val="auto"/>
              </w:rPr>
            </w:pPr>
          </w:p>
        </w:tc>
        <w:tc>
          <w:tcPr>
            <w:tcW w:w="2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software</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84"/>
              </w:rPr>
              <w:t>3</w:t>
            </w:r>
          </w:p>
        </w:tc>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- 7 years</w:t>
            </w:r>
          </w:p>
        </w:tc>
        <w:tc>
          <w:tcPr>
            <w:tcW w:w="1720" w:type="dxa"/>
            <w:vAlign w:val="bottom"/>
          </w:tcPr>
          <w:p>
            <w:pPr>
              <w:spacing w:after="0"/>
              <w:rPr>
                <w:sz w:val="18"/>
                <w:szCs w:val="18"/>
                <w:color w:val="auto"/>
              </w:rPr>
            </w:pPr>
          </w:p>
        </w:tc>
      </w:tr>
      <w:tr>
        <w:trPr>
          <w:trHeight w:val="201"/>
        </w:trPr>
        <w:tc>
          <w:tcPr>
            <w:tcW w:w="172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7"/>
                <w:szCs w:val="17"/>
                <w:color w:val="auto"/>
              </w:rPr>
              <w:t>Leasehold improvements</w:t>
            </w:r>
          </w:p>
        </w:tc>
        <w:tc>
          <w:tcPr>
            <w:tcW w:w="5840" w:type="dxa"/>
            <w:vAlign w:val="bottom"/>
            <w:gridSpan w:val="3"/>
          </w:tcPr>
          <w:p>
            <w:pPr>
              <w:ind w:left="340"/>
              <w:spacing w:after="0"/>
              <w:rPr>
                <w:sz w:val="20"/>
                <w:szCs w:val="20"/>
                <w:color w:val="auto"/>
              </w:rPr>
            </w:pPr>
            <w:r>
              <w:rPr>
                <w:rFonts w:ascii="Arial" w:cs="Arial" w:eastAsia="Arial" w:hAnsi="Arial"/>
                <w:sz w:val="17"/>
                <w:szCs w:val="17"/>
                <w:color w:val="auto"/>
              </w:rPr>
              <w:t>The shorter of the life of the applicable lease or the useful life of the</w:t>
            </w:r>
          </w:p>
        </w:tc>
        <w:tc>
          <w:tcPr>
            <w:tcW w:w="172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560" w:type="dxa"/>
            <w:vAlign w:val="bottom"/>
            <w:gridSpan w:val="4"/>
          </w:tcPr>
          <w:p>
            <w:pPr>
              <w:ind w:left="340"/>
              <w:spacing w:after="0"/>
              <w:rPr>
                <w:sz w:val="20"/>
                <w:szCs w:val="20"/>
                <w:color w:val="auto"/>
              </w:rPr>
            </w:pPr>
            <w:r>
              <w:rPr>
                <w:rFonts w:ascii="Arial" w:cs="Arial" w:eastAsia="Arial" w:hAnsi="Arial"/>
                <w:sz w:val="17"/>
                <w:szCs w:val="17"/>
                <w:color w:val="auto"/>
              </w:rPr>
              <w:t>improvement</w:t>
            </w:r>
          </w:p>
        </w:tc>
      </w:tr>
      <w:tr>
        <w:trPr>
          <w:trHeight w:val="212"/>
        </w:trPr>
        <w:tc>
          <w:tcPr>
            <w:tcW w:w="17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Transportation equipment</w:t>
            </w:r>
          </w:p>
        </w:tc>
        <w:tc>
          <w:tcPr>
            <w:tcW w:w="58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5 years</w:t>
            </w:r>
          </w:p>
        </w:tc>
        <w:tc>
          <w:tcPr>
            <w:tcW w:w="1720" w:type="dxa"/>
            <w:vAlign w:val="bottom"/>
          </w:tcPr>
          <w:p>
            <w:pPr>
              <w:spacing w:after="0"/>
              <w:rPr>
                <w:sz w:val="18"/>
                <w:szCs w:val="18"/>
                <w:color w:val="auto"/>
              </w:rPr>
            </w:pPr>
          </w:p>
        </w:tc>
      </w:tr>
      <w:tr>
        <w:trPr>
          <w:trHeight w:val="417"/>
        </w:trPr>
        <w:tc>
          <w:tcPr>
            <w:tcW w:w="17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20" w:type="dxa"/>
            <w:vAlign w:val="bottom"/>
            <w:gridSpan w:val="2"/>
          </w:tcPr>
          <w:p>
            <w:pPr>
              <w:ind w:left="1260"/>
              <w:spacing w:after="0"/>
              <w:rPr>
                <w:sz w:val="20"/>
                <w:szCs w:val="20"/>
                <w:color w:val="auto"/>
              </w:rPr>
            </w:pPr>
            <w:r>
              <w:rPr>
                <w:rFonts w:ascii="Arial" w:cs="Arial" w:eastAsia="Arial" w:hAnsi="Arial"/>
                <w:sz w:val="17"/>
                <w:szCs w:val="17"/>
                <w:color w:val="auto"/>
              </w:rPr>
              <w:t>F-11</w:t>
            </w:r>
          </w:p>
        </w:tc>
      </w:tr>
      <w:tr>
        <w:trPr>
          <w:trHeight w:val="222"/>
        </w:trPr>
        <w:tc>
          <w:tcPr>
            <w:tcW w:w="172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B—SUMMARY OF SIGNIFICANT ACCOUNTING POLICIES (Continued)</w:t>
      </w:r>
    </w:p>
    <w:p>
      <w:pPr>
        <w:spacing w:after="0" w:line="228"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Major improvements are capitalized and expenditures for maintenance and repairs are expensed as incurred. Construction in progress represents property, plant and equipment under construction or being installed. Costs include original cost, installation, construction and other direct costs which include interest on borrowings used to finance the asset. Construction in progress is transferred to the appropriate fixed asset account and depreciation commences when the asset has been substantially completed and placed in service.</w:t>
      </w:r>
    </w:p>
    <w:p>
      <w:pPr>
        <w:spacing w:after="0" w:line="185" w:lineRule="exact"/>
        <w:rPr>
          <w:sz w:val="20"/>
          <w:szCs w:val="20"/>
          <w:color w:val="auto"/>
        </w:rPr>
      </w:pPr>
    </w:p>
    <w:p>
      <w:pPr>
        <w:ind w:right="320" w:firstLine="341"/>
        <w:spacing w:after="0" w:line="270" w:lineRule="auto"/>
        <w:rPr>
          <w:sz w:val="20"/>
          <w:szCs w:val="20"/>
          <w:color w:val="auto"/>
        </w:rPr>
      </w:pPr>
      <w:r>
        <w:rPr>
          <w:rFonts w:ascii="Arial" w:cs="Arial" w:eastAsia="Arial" w:hAnsi="Arial"/>
          <w:sz w:val="17"/>
          <w:szCs w:val="17"/>
          <w:color w:val="auto"/>
        </w:rPr>
        <w:t>Land use rights allow the Company rights for 50 years to certain land in Ningbo, China on which the Company built a facility that included office space, manufacturing operations and employee dormitories. The land use rights are recorded at cost and are amortized on the straight-line basis over the useful life of the related contract. The land use rights expire on March 8, 2054.</w:t>
      </w:r>
    </w:p>
    <w:p>
      <w:pPr>
        <w:spacing w:after="0" w:line="179" w:lineRule="exact"/>
        <w:rPr>
          <w:sz w:val="20"/>
          <w:szCs w:val="20"/>
          <w:color w:val="auto"/>
        </w:rPr>
      </w:pPr>
    </w:p>
    <w:p>
      <w:pPr>
        <w:ind w:left="300" w:hanging="295"/>
        <w:spacing w:after="0"/>
        <w:tabs>
          <w:tab w:leader="none" w:pos="300"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Intangible Assets</w:t>
      </w:r>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Intangible assets consist of intellectual property that is stated at cost less accumulated amortization. As of December 31, 2012, the Company had 103 total patents issued. The costs incurred to obtain such patents have been capitalized and are being amortized over an estimated life of 20 years. The Company periodically evaluates its intangible assets to determine whether events or changes in circumstances indicate that a patent or trademark may not be applicable to the Company's current products or is no longer in use. If such a determination is made, the intangible asset is impaired and the remaining value of the patent or trademark will be expensed at that time.</w:t>
      </w:r>
    </w:p>
    <w:p>
      <w:pPr>
        <w:spacing w:after="0" w:line="187" w:lineRule="exact"/>
        <w:rPr>
          <w:sz w:val="20"/>
          <w:szCs w:val="20"/>
          <w:color w:val="auto"/>
        </w:rPr>
      </w:pPr>
    </w:p>
    <w:p>
      <w:pPr>
        <w:ind w:left="300" w:hanging="295"/>
        <w:spacing w:after="0"/>
        <w:tabs>
          <w:tab w:leader="none" w:pos="300"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Impairment of Long-Lived Assets</w:t>
      </w:r>
    </w:p>
    <w:p>
      <w:pPr>
        <w:spacing w:after="0" w:line="224"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 xml:space="preserve">The Company accounts for impairment of long-lived assets in accordance with Accounting Standards Codification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("ASC 360"). Long-lived assets consist primarily of property, plant and equipment. In accordance with ASC 360, the Company periodically evaluates long-lived assets whenever events or changes in circumstances indicate that the carrying amount of an asset may not be recoverable. The Company obtained appraisals on an asset by asset basis, and will recognize an impairment loss when the sum of the appraised values is less than the carrying amounts of such assets. The appraised values, based on reasonable and supportable assumptions and projections, require subjective judgments. Depending on the assumptions and estimates used, the appraised values projected in the evaluation of long-lived assets can vary within a range of outcomes. The appraisals consider the likelihood of possible outcomes in determining the best estimate for the value of the assets.</w:t>
      </w:r>
    </w:p>
    <w:p>
      <w:pPr>
        <w:spacing w:after="0" w:line="190" w:lineRule="exact"/>
        <w:rPr>
          <w:sz w:val="20"/>
          <w:szCs w:val="20"/>
          <w:color w:val="auto"/>
        </w:rPr>
      </w:pPr>
    </w:p>
    <w:p>
      <w:pPr>
        <w:ind w:right="120" w:firstLine="338"/>
        <w:spacing w:after="0" w:line="282" w:lineRule="auto"/>
        <w:rPr>
          <w:sz w:val="20"/>
          <w:szCs w:val="20"/>
          <w:color w:val="auto"/>
        </w:rPr>
      </w:pPr>
      <w:r>
        <w:rPr>
          <w:rFonts w:ascii="Arial" w:cs="Arial" w:eastAsia="Arial" w:hAnsi="Arial"/>
          <w:sz w:val="17"/>
          <w:szCs w:val="17"/>
          <w:color w:val="auto"/>
        </w:rPr>
        <w:t>The measurement for such an impairment loss is then based on the fair value of the asset as determined by the appraisals. During 2010, the Company recorded a $0.5 million noncash asset impairment charge on equipment with carrying values lower than estimated fair values.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B—SUMMARY OF SIGNIFICANT ACCOUNTING POLICIES (Continued)</w:t>
      </w:r>
    </w:p>
    <w:p>
      <w:pPr>
        <w:spacing w:after="0" w:line="228" w:lineRule="exact"/>
        <w:rPr>
          <w:sz w:val="20"/>
          <w:szCs w:val="20"/>
          <w:color w:val="auto"/>
        </w:rPr>
      </w:pPr>
    </w:p>
    <w:p>
      <w:pPr>
        <w:ind w:left="300" w:hanging="295"/>
        <w:spacing w:after="0"/>
        <w:tabs>
          <w:tab w:leader="none" w:pos="300"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Comprehensive Income</w:t>
      </w:r>
    </w:p>
    <w:p>
      <w:pPr>
        <w:spacing w:after="0" w:line="224" w:lineRule="exact"/>
        <w:rPr>
          <w:sz w:val="20"/>
          <w:szCs w:val="20"/>
          <w:color w:val="auto"/>
        </w:rPr>
      </w:pPr>
    </w:p>
    <w:p>
      <w:pPr>
        <w:ind w:right="120" w:firstLine="332"/>
        <w:spacing w:after="0" w:line="282" w:lineRule="auto"/>
        <w:rPr>
          <w:sz w:val="20"/>
          <w:szCs w:val="20"/>
          <w:color w:val="auto"/>
        </w:rPr>
      </w:pPr>
      <w:r>
        <w:rPr>
          <w:rFonts w:ascii="Arial" w:cs="Arial" w:eastAsia="Arial" w:hAnsi="Arial"/>
          <w:sz w:val="17"/>
          <w:szCs w:val="17"/>
          <w:color w:val="auto"/>
        </w:rPr>
        <w:t xml:space="preserve">ASC 220, </w:t>
      </w:r>
      <w:r>
        <w:rPr>
          <w:rFonts w:ascii="Arial" w:cs="Arial" w:eastAsia="Arial" w:hAnsi="Arial"/>
          <w:sz w:val="17"/>
          <w:szCs w:val="17"/>
          <w:i w:val="1"/>
          <w:iCs w:val="1"/>
          <w:color w:val="auto"/>
        </w:rPr>
        <w:t>Comprehensive Income</w:t>
      </w:r>
      <w:r>
        <w:rPr>
          <w:rFonts w:ascii="Arial" w:cs="Arial" w:eastAsia="Arial" w:hAnsi="Arial"/>
          <w:sz w:val="17"/>
          <w:szCs w:val="17"/>
          <w:color w:val="auto"/>
        </w:rPr>
        <w:t>, ("ASC 220") establishes rules for reporting and display of comprehensive income and its components. ASC 220 requires that unrealized gains and losses on the Company's foreign currency translation adjustments be included in comprehensive income.</w:t>
      </w:r>
    </w:p>
    <w:p>
      <w:pPr>
        <w:spacing w:after="0" w:line="170" w:lineRule="exact"/>
        <w:rPr>
          <w:sz w:val="20"/>
          <w:szCs w:val="20"/>
          <w:color w:val="auto"/>
        </w:rPr>
      </w:pPr>
    </w:p>
    <w:p>
      <w:pPr>
        <w:ind w:left="300" w:hanging="295"/>
        <w:spacing w:after="0"/>
        <w:tabs>
          <w:tab w:leader="none" w:pos="30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Stock-Based Compensation</w:t>
      </w:r>
    </w:p>
    <w:p>
      <w:pPr>
        <w:spacing w:after="0" w:line="224" w:lineRule="exact"/>
        <w:rPr>
          <w:sz w:val="20"/>
          <w:szCs w:val="20"/>
          <w:color w:val="auto"/>
        </w:rPr>
      </w:pPr>
    </w:p>
    <w:p>
      <w:pPr>
        <w:ind w:right="100" w:firstLine="338"/>
        <w:spacing w:after="0" w:line="294" w:lineRule="auto"/>
        <w:rPr>
          <w:sz w:val="20"/>
          <w:szCs w:val="20"/>
          <w:color w:val="auto"/>
        </w:rPr>
      </w:pPr>
      <w:r>
        <w:rPr>
          <w:rFonts w:ascii="Arial" w:cs="Arial" w:eastAsia="Arial" w:hAnsi="Arial"/>
          <w:sz w:val="16"/>
          <w:szCs w:val="16"/>
          <w:color w:val="auto"/>
        </w:rPr>
        <w:t xml:space="preserve">The Company accounts for share-based compensation in accordance with the provisions of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Share-based compensation expense is recognized based on the estimated grant date fair value, net of an estimated forfeiture rate, in order to recognize compensation cost for those shares expected to vest. Compensation cost is recognized on a straight-line basis over the vesting period of the options.</w:t>
      </w:r>
    </w:p>
    <w:p>
      <w:pPr>
        <w:spacing w:after="0" w:line="163" w:lineRule="exact"/>
        <w:rPr>
          <w:sz w:val="20"/>
          <w:szCs w:val="20"/>
          <w:color w:val="auto"/>
        </w:rPr>
      </w:pPr>
    </w:p>
    <w:p>
      <w:pPr>
        <w:ind w:left="300" w:hanging="295"/>
        <w:spacing w:after="0"/>
        <w:tabs>
          <w:tab w:leader="none" w:pos="300"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Revenue Recognition</w:t>
      </w:r>
    </w:p>
    <w:p>
      <w:pPr>
        <w:spacing w:after="0" w:line="224" w:lineRule="exact"/>
        <w:rPr>
          <w:sz w:val="20"/>
          <w:szCs w:val="20"/>
          <w:color w:val="auto"/>
        </w:rPr>
      </w:pPr>
    </w:p>
    <w:p>
      <w:pPr>
        <w:ind w:right="120" w:firstLine="338"/>
        <w:spacing w:after="0" w:line="306" w:lineRule="auto"/>
        <w:rPr>
          <w:sz w:val="20"/>
          <w:szCs w:val="20"/>
          <w:color w:val="auto"/>
        </w:rPr>
      </w:pPr>
      <w:r>
        <w:rPr>
          <w:rFonts w:ascii="Arial" w:cs="Arial" w:eastAsia="Arial" w:hAnsi="Arial"/>
          <w:sz w:val="15"/>
          <w:szCs w:val="15"/>
          <w:color w:val="auto"/>
        </w:rPr>
        <w:t xml:space="preserve">The Company derives revenue from the manufacture and sale of fiber optic networking products. Revenue recognition follows the criteria of ASC 605, </w:t>
      </w:r>
      <w:r>
        <w:rPr>
          <w:rFonts w:ascii="Arial" w:cs="Arial" w:eastAsia="Arial" w:hAnsi="Arial"/>
          <w:sz w:val="15"/>
          <w:szCs w:val="15"/>
          <w:i w:val="1"/>
          <w:iCs w:val="1"/>
          <w:color w:val="auto"/>
        </w:rPr>
        <w:t>Revenue</w:t>
      </w:r>
      <w:r>
        <w:rPr>
          <w:rFonts w:ascii="Arial" w:cs="Arial" w:eastAsia="Arial" w:hAnsi="Arial"/>
          <w:sz w:val="15"/>
          <w:szCs w:val="15"/>
          <w:color w:val="auto"/>
        </w:rPr>
        <w:t xml:space="preserve"> </w:t>
      </w:r>
      <w:r>
        <w:rPr>
          <w:rFonts w:ascii="Arial" w:cs="Arial" w:eastAsia="Arial" w:hAnsi="Arial"/>
          <w:sz w:val="15"/>
          <w:szCs w:val="15"/>
          <w:i w:val="1"/>
          <w:iCs w:val="1"/>
          <w:color w:val="auto"/>
        </w:rPr>
        <w:t>Recognition</w:t>
      </w:r>
      <w:r>
        <w:rPr>
          <w:rFonts w:ascii="Arial" w:cs="Arial" w:eastAsia="Arial" w:hAnsi="Arial"/>
          <w:sz w:val="15"/>
          <w:szCs w:val="15"/>
          <w:color w:val="auto"/>
        </w:rPr>
        <w:t>. Specifically, the Company recognizes revenue when persuasive evidence exists of an arrangement with a customer, usually in the form of a customer</w:t>
      </w:r>
      <w:r>
        <w:rPr>
          <w:rFonts w:ascii="Arial" w:cs="Arial" w:eastAsia="Arial" w:hAnsi="Arial"/>
          <w:sz w:val="15"/>
          <w:szCs w:val="15"/>
          <w:i w:val="1"/>
          <w:iCs w:val="1"/>
          <w:color w:val="auto"/>
        </w:rPr>
        <w:t xml:space="preserve"> </w:t>
      </w:r>
      <w:r>
        <w:rPr>
          <w:rFonts w:ascii="Arial" w:cs="Arial" w:eastAsia="Arial" w:hAnsi="Arial"/>
          <w:sz w:val="15"/>
          <w:szCs w:val="15"/>
          <w:color w:val="auto"/>
        </w:rPr>
        <w:t>purchase order; delivery to a third party carrier has occurred; title and risk of loss have transferred to the customer; the price is fixed or determinable; collectability is reasonably assured and there are no uncertainties with respect to customer acceptance. The Company may offer units (samples) to current and potential customers at no charge for evaluation or qualification purposes. Such sample units are expensed as selling or research and development costs when shipped.</w:t>
      </w:r>
    </w:p>
    <w:p>
      <w:pPr>
        <w:spacing w:after="0" w:line="159" w:lineRule="exact"/>
        <w:rPr>
          <w:sz w:val="20"/>
          <w:szCs w:val="20"/>
          <w:color w:val="auto"/>
        </w:rPr>
      </w:pPr>
    </w:p>
    <w:p>
      <w:pPr>
        <w:ind w:left="300" w:hanging="295"/>
        <w:spacing w:after="0"/>
        <w:tabs>
          <w:tab w:leader="none" w:pos="300"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Advertising Costs</w:t>
      </w:r>
    </w:p>
    <w:p>
      <w:pPr>
        <w:spacing w:after="0" w:line="224" w:lineRule="exact"/>
        <w:rPr>
          <w:sz w:val="20"/>
          <w:szCs w:val="20"/>
          <w:color w:val="auto"/>
        </w:rPr>
      </w:pPr>
    </w:p>
    <w:p>
      <w:pPr>
        <w:ind w:right="140" w:firstLine="332"/>
        <w:spacing w:after="0" w:line="282" w:lineRule="auto"/>
        <w:rPr>
          <w:sz w:val="20"/>
          <w:szCs w:val="20"/>
          <w:color w:val="auto"/>
        </w:rPr>
      </w:pPr>
      <w:r>
        <w:rPr>
          <w:rFonts w:ascii="Arial" w:cs="Arial" w:eastAsia="Arial" w:hAnsi="Arial"/>
          <w:sz w:val="17"/>
          <w:szCs w:val="17"/>
          <w:color w:val="auto"/>
        </w:rPr>
        <w:t>Advertising costs are charged to operations as incurred and amounted to approximately $80,000, $104,000 and $78,000 for the years ended December 31, 2012, 2011 and 2010, respectively.</w:t>
      </w:r>
    </w:p>
    <w:p>
      <w:pPr>
        <w:spacing w:after="0" w:line="170" w:lineRule="exact"/>
        <w:rPr>
          <w:sz w:val="20"/>
          <w:szCs w:val="20"/>
          <w:color w:val="auto"/>
        </w:rPr>
      </w:pPr>
    </w:p>
    <w:p>
      <w:pPr>
        <w:ind w:left="300" w:hanging="295"/>
        <w:spacing w:after="0"/>
        <w:tabs>
          <w:tab w:leader="none" w:pos="30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Research and Development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Research and development costs are charged to operations as incurred.</w:t>
      </w:r>
    </w:p>
    <w:p>
      <w:pPr>
        <w:spacing w:after="0" w:line="224" w:lineRule="exact"/>
        <w:rPr>
          <w:sz w:val="20"/>
          <w:szCs w:val="20"/>
          <w:color w:val="auto"/>
        </w:rPr>
      </w:pPr>
    </w:p>
    <w:p>
      <w:pPr>
        <w:ind w:left="300" w:hanging="295"/>
        <w:spacing w:after="0"/>
        <w:tabs>
          <w:tab w:leader="none" w:pos="300"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Income Taxes</w:t>
      </w:r>
    </w:p>
    <w:p>
      <w:pPr>
        <w:spacing w:after="0" w:line="224"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 xml:space="preserve">The Company accounts for income taxes in accordance with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The liability method is used to account for deferred income taxes. Under the liability method, deferred tax assets and liabilities are measured using the enacted tax rates and laws that will be in effect when the differences are expected to reverse. The realizability 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B—SUMMARY OF SIGNIFICANT ACCOUNTING POLICIES (Continued)</w:t>
      </w:r>
    </w:p>
    <w:p>
      <w:pPr>
        <w:spacing w:after="0" w:line="228"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deferred tax assets are evaluated annually and a valuation allowance is provided if it is unlikely that the deferred tax assets will not give rise to future benefits in the Company's tax returns.</w:t>
      </w:r>
    </w:p>
    <w:p>
      <w:pPr>
        <w:spacing w:after="0" w:line="170"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Uncertain tax provisions are recorded at their net recognizable amount, based on the amount of tax, interest and penalties that management deems is more likely than not to be sustained upon settlement with the tax authorities in the domestic and international jurisdictions in which the Company operates. The Company records tax-related interest and penalties as a component of income tax expense.</w:t>
      </w:r>
    </w:p>
    <w:p>
      <w:pPr>
        <w:spacing w:after="0" w:line="179" w:lineRule="exact"/>
        <w:rPr>
          <w:sz w:val="20"/>
          <w:szCs w:val="20"/>
          <w:color w:val="auto"/>
        </w:rPr>
      </w:pPr>
    </w:p>
    <w:p>
      <w:pPr>
        <w:ind w:left="300" w:hanging="295"/>
        <w:spacing w:after="0"/>
        <w:tabs>
          <w:tab w:leader="none" w:pos="300"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Supplemental Cash Flow Information</w:t>
      </w:r>
    </w:p>
    <w:p>
      <w:pPr>
        <w:spacing w:after="0" w:line="224" w:lineRule="exact"/>
        <w:rPr>
          <w:sz w:val="20"/>
          <w:szCs w:val="20"/>
          <w:color w:val="auto"/>
        </w:rPr>
      </w:pPr>
    </w:p>
    <w:p>
      <w:pPr>
        <w:ind w:right="100" w:firstLine="341"/>
        <w:spacing w:after="0" w:line="352" w:lineRule="auto"/>
        <w:rPr>
          <w:sz w:val="20"/>
          <w:szCs w:val="20"/>
          <w:color w:val="auto"/>
        </w:rPr>
      </w:pPr>
      <w:r>
        <w:rPr>
          <w:rFonts w:ascii="Arial" w:cs="Arial" w:eastAsia="Arial" w:hAnsi="Arial"/>
          <w:sz w:val="15"/>
          <w:szCs w:val="15"/>
          <w:color w:val="auto"/>
        </w:rPr>
        <w:t>During the years ended December 31, 2012 and 2011, $0.8 million and $1.1 million in aggregate principal amount of the convertible shareholder notes was converted by the holders, respectively. Upon conversion, 2,171,428 shares and 1,816,666 shares of Series G Preferred Stock were issued to the holders, respectively.</w:t>
      </w:r>
    </w:p>
    <w:p>
      <w:pPr>
        <w:spacing w:after="0" w:line="123" w:lineRule="exact"/>
        <w:rPr>
          <w:sz w:val="20"/>
          <w:szCs w:val="20"/>
          <w:color w:val="auto"/>
        </w:rPr>
      </w:pPr>
    </w:p>
    <w:p>
      <w:pPr>
        <w:ind w:left="300" w:hanging="295"/>
        <w:spacing w:after="0"/>
        <w:tabs>
          <w:tab w:leader="none" w:pos="30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New Accounting Standards Adopted in this Report</w:t>
      </w:r>
    </w:p>
    <w:p>
      <w:pPr>
        <w:spacing w:after="0" w:line="224" w:lineRule="exact"/>
        <w:rPr>
          <w:sz w:val="20"/>
          <w:szCs w:val="20"/>
          <w:color w:val="auto"/>
        </w:rPr>
      </w:pPr>
    </w:p>
    <w:p>
      <w:pPr>
        <w:ind w:right="60" w:firstLine="338"/>
        <w:spacing w:after="0" w:line="261" w:lineRule="auto"/>
        <w:rPr>
          <w:sz w:val="20"/>
          <w:szCs w:val="20"/>
          <w:color w:val="auto"/>
        </w:rPr>
      </w:pPr>
      <w:r>
        <w:rPr>
          <w:rFonts w:ascii="Arial" w:cs="Arial" w:eastAsia="Arial" w:hAnsi="Arial"/>
          <w:sz w:val="17"/>
          <w:szCs w:val="17"/>
          <w:i w:val="1"/>
          <w:iCs w:val="1"/>
          <w:color w:val="auto"/>
        </w:rPr>
        <w:t xml:space="preserve">ASU 2011-04. </w:t>
      </w:r>
      <w:r>
        <w:rPr>
          <w:rFonts w:ascii="Arial" w:cs="Arial" w:eastAsia="Arial" w:hAnsi="Arial"/>
          <w:sz w:val="17"/>
          <w:szCs w:val="17"/>
          <w:color w:val="auto"/>
        </w:rPr>
        <w:t>In May 2011, the FASB issued ASU 2011-04,</w:t>
      </w:r>
      <w:r>
        <w:rPr>
          <w:rFonts w:ascii="Arial" w:cs="Arial" w:eastAsia="Arial" w:hAnsi="Arial"/>
          <w:sz w:val="17"/>
          <w:szCs w:val="17"/>
          <w:i w:val="1"/>
          <w:iCs w:val="1"/>
          <w:color w:val="auto"/>
        </w:rPr>
        <w:t xml:space="preserve"> Fair Value Measurement </w:t>
      </w:r>
      <w:r>
        <w:rPr>
          <w:rFonts w:ascii="Arial" w:cs="Arial" w:eastAsia="Arial" w:hAnsi="Arial"/>
          <w:sz w:val="17"/>
          <w:szCs w:val="17"/>
          <w:color w:val="auto"/>
        </w:rPr>
        <w:t>(Topic 820):</w:t>
      </w:r>
      <w:r>
        <w:rPr>
          <w:rFonts w:ascii="Arial" w:cs="Arial" w:eastAsia="Arial" w:hAnsi="Arial"/>
          <w:sz w:val="17"/>
          <w:szCs w:val="17"/>
          <w:i w:val="1"/>
          <w:iCs w:val="1"/>
          <w:color w:val="auto"/>
        </w:rPr>
        <w:t xml:space="preserve"> Amendments to Achieve Common Fair Value Measurement and Disclosure Requirements in U.S. GAAP and IFRS</w:t>
      </w:r>
      <w:r>
        <w:rPr>
          <w:rFonts w:ascii="Arial" w:cs="Arial" w:eastAsia="Arial" w:hAnsi="Arial"/>
          <w:sz w:val="17"/>
          <w:szCs w:val="17"/>
          <w:color w:val="auto"/>
        </w:rPr>
        <w:t>. This ASU represents the converged guidance of the FASB and the IASB on measuring fair value and for</w:t>
      </w:r>
      <w:r>
        <w:rPr>
          <w:rFonts w:ascii="Arial" w:cs="Arial" w:eastAsia="Arial" w:hAnsi="Arial"/>
          <w:sz w:val="17"/>
          <w:szCs w:val="17"/>
          <w:i w:val="1"/>
          <w:iCs w:val="1"/>
          <w:color w:val="auto"/>
        </w:rPr>
        <w:t xml:space="preserve"> </w:t>
      </w:r>
      <w:r>
        <w:rPr>
          <w:rFonts w:ascii="Arial" w:cs="Arial" w:eastAsia="Arial" w:hAnsi="Arial"/>
          <w:sz w:val="17"/>
          <w:szCs w:val="17"/>
          <w:color w:val="auto"/>
        </w:rPr>
        <w:t>disclosing information about fair value measurements. The amendments in this ASU clarify the board of directors' intent about the application of existing fair value measurement and disclosure requirements and changes particular principles or requirements for measuring fair value and for disclosing information about fair value measurements. ASU 2011-04 is effective prospectively for interim and annual reporting periods beginning after December 15, 2011. The Company adopted the provisions of ASU 2011-04 on January 1, 2012, and the adoption of this standard did not have a material impact on the Company's financial position, results of operations or cash flows.</w:t>
      </w:r>
    </w:p>
    <w:p>
      <w:pPr>
        <w:spacing w:after="0" w:line="190" w:lineRule="exact"/>
        <w:rPr>
          <w:sz w:val="20"/>
          <w:szCs w:val="20"/>
          <w:color w:val="auto"/>
        </w:rPr>
      </w:pPr>
    </w:p>
    <w:p>
      <w:pPr>
        <w:ind w:firstLine="338"/>
        <w:spacing w:after="0" w:line="279" w:lineRule="auto"/>
        <w:rPr>
          <w:sz w:val="20"/>
          <w:szCs w:val="20"/>
          <w:color w:val="auto"/>
        </w:rPr>
      </w:pPr>
      <w:r>
        <w:rPr>
          <w:rFonts w:ascii="Arial" w:cs="Arial" w:eastAsia="Arial" w:hAnsi="Arial"/>
          <w:sz w:val="16"/>
          <w:szCs w:val="16"/>
          <w:i w:val="1"/>
          <w:iCs w:val="1"/>
          <w:color w:val="auto"/>
        </w:rPr>
        <w:t xml:space="preserve">ASU 2011-05. </w:t>
      </w:r>
      <w:r>
        <w:rPr>
          <w:rFonts w:ascii="Arial" w:cs="Arial" w:eastAsia="Arial" w:hAnsi="Arial"/>
          <w:sz w:val="16"/>
          <w:szCs w:val="16"/>
          <w:color w:val="auto"/>
        </w:rPr>
        <w:t>In June 2011, the FASB issued ASU 2011-05,</w:t>
      </w:r>
      <w:r>
        <w:rPr>
          <w:rFonts w:ascii="Arial" w:cs="Arial" w:eastAsia="Arial" w:hAnsi="Arial"/>
          <w:sz w:val="16"/>
          <w:szCs w:val="16"/>
          <w:i w:val="1"/>
          <w:iCs w:val="1"/>
          <w:color w:val="auto"/>
        </w:rPr>
        <w:t xml:space="preserve"> Comprehensive Income </w:t>
      </w:r>
      <w:r>
        <w:rPr>
          <w:rFonts w:ascii="Arial" w:cs="Arial" w:eastAsia="Arial" w:hAnsi="Arial"/>
          <w:sz w:val="16"/>
          <w:szCs w:val="16"/>
          <w:color w:val="auto"/>
        </w:rPr>
        <w:t>(Topic 220):</w:t>
      </w:r>
      <w:r>
        <w:rPr>
          <w:rFonts w:ascii="Arial" w:cs="Arial" w:eastAsia="Arial" w:hAnsi="Arial"/>
          <w:sz w:val="16"/>
          <w:szCs w:val="16"/>
          <w:i w:val="1"/>
          <w:iCs w:val="1"/>
          <w:color w:val="auto"/>
        </w:rPr>
        <w:t xml:space="preserve"> Presentation of Comprehensive Income</w:t>
      </w:r>
      <w:r>
        <w:rPr>
          <w:rFonts w:ascii="Arial" w:cs="Arial" w:eastAsia="Arial" w:hAnsi="Arial"/>
          <w:sz w:val="16"/>
          <w:szCs w:val="16"/>
          <w:color w:val="auto"/>
        </w:rPr>
        <w:t>. The amendments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ASU allow an entity the option to present the total of comprehensive income, the components of net income, and the components of other comprehensive income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This ASU eliminates the option to present the components of other comprehensive income as part of the statement of changes in stockholders' equity. ASU 2011-05 should be applied retrospectively for interim and annual reporting periods beginning after December 15, 2011 with early adoption permitted. The Company early adopted the provisions of ASU 2011-05 during the fourth quarter of 2011, and the adoption of this standard did not have a material impact on the Company's financial position, results of operations, or cash flows.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B—SUMMARY OF SIGNIFICANT ACCOUNTING POLICIES (Continued)</w:t>
      </w:r>
    </w:p>
    <w:p>
      <w:pPr>
        <w:spacing w:after="0" w:line="228"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7"/>
          <w:szCs w:val="17"/>
          <w:i w:val="1"/>
          <w:iCs w:val="1"/>
          <w:color w:val="auto"/>
        </w:rPr>
        <w:t>ASU 2011-12.</w:t>
      </w:r>
      <w:r>
        <w:rPr>
          <w:sz w:val="20"/>
          <w:szCs w:val="20"/>
          <w:color w:val="auto"/>
        </w:rPr>
        <w:tab/>
      </w:r>
      <w:r>
        <w:rPr>
          <w:rFonts w:ascii="Arial" w:cs="Arial" w:eastAsia="Arial" w:hAnsi="Arial"/>
          <w:sz w:val="15"/>
          <w:szCs w:val="15"/>
          <w:color w:val="auto"/>
        </w:rPr>
        <w:t xml:space="preserve">In December 2011, the FASB issued ASU 2011-12, </w:t>
      </w:r>
      <w:r>
        <w:rPr>
          <w:rFonts w:ascii="Arial" w:cs="Arial" w:eastAsia="Arial" w:hAnsi="Arial"/>
          <w:sz w:val="15"/>
          <w:szCs w:val="15"/>
          <w:i w:val="1"/>
          <w:iCs w:val="1"/>
          <w:color w:val="auto"/>
        </w:rPr>
        <w:t>Deferral of the Effective Date for Amendment to the Presentation of Reclassifications of</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Items Out of Accumulated Other Comprehensive Income </w:t>
      </w:r>
      <w:r>
        <w:rPr>
          <w:rFonts w:ascii="Arial" w:cs="Arial" w:eastAsia="Arial" w:hAnsi="Arial"/>
          <w:sz w:val="15"/>
          <w:szCs w:val="15"/>
          <w:color w:val="auto"/>
        </w:rPr>
        <w:t>(Topic 220):</w:t>
      </w:r>
      <w:r>
        <w:rPr>
          <w:rFonts w:ascii="Arial" w:cs="Arial" w:eastAsia="Arial" w:hAnsi="Arial"/>
          <w:sz w:val="15"/>
          <w:szCs w:val="15"/>
          <w:i w:val="1"/>
          <w:iCs w:val="1"/>
          <w:color w:val="auto"/>
        </w:rPr>
        <w:t xml:space="preserve"> Presentation of Comprehensive Income</w:t>
      </w:r>
      <w:r>
        <w:rPr>
          <w:rFonts w:ascii="Arial" w:cs="Arial" w:eastAsia="Arial" w:hAnsi="Arial"/>
          <w:sz w:val="15"/>
          <w:szCs w:val="15"/>
          <w:color w:val="auto"/>
        </w:rPr>
        <w:t>. This ASU defers the guidance on whether to require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entities to present reclassification adjustments out of accumulated other comprehensive income by component in both the statement where net income is presented and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the statement where other comprehensive income is presented for both interim and annual financial statements. ASU 2011-12 reinstated the requirements for the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presentation of reclassifications that were in place prior to the issuance of ASU 2011-05 and did not change the effective date of ASU 2011-05. ASU 2011-12 should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be applied consistently with ASU 2011-05; accordingly, this ASU is to be applied retrospectively for interim and annual reporting periods beginning after</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December 15, 2011, with early adoption permitted. The Company early adopted the provisions of ASU 2011-12 during the fourth quarter of 2011, and the adoption of</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this standard did not have a material impact on the Company's financial position, results of operations, or cash flows.</w:t>
      </w:r>
    </w:p>
    <w:p>
      <w:pPr>
        <w:spacing w:after="0" w:line="218" w:lineRule="exact"/>
        <w:rPr>
          <w:sz w:val="20"/>
          <w:szCs w:val="20"/>
          <w:color w:val="auto"/>
        </w:rPr>
      </w:pPr>
    </w:p>
    <w:p>
      <w:pPr>
        <w:ind w:left="300" w:hanging="295"/>
        <w:spacing w:after="0"/>
        <w:tabs>
          <w:tab w:leader="none" w:pos="300"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Subsequent Events</w:t>
      </w:r>
    </w:p>
    <w:p>
      <w:pPr>
        <w:spacing w:after="0" w:line="224" w:lineRule="exact"/>
        <w:rPr>
          <w:sz w:val="20"/>
          <w:szCs w:val="20"/>
          <w:color w:val="auto"/>
        </w:rPr>
      </w:pPr>
    </w:p>
    <w:p>
      <w:pPr>
        <w:ind w:right="140" w:firstLine="341"/>
        <w:spacing w:after="0" w:line="265" w:lineRule="auto"/>
        <w:rPr>
          <w:sz w:val="20"/>
          <w:szCs w:val="20"/>
          <w:color w:val="auto"/>
        </w:rPr>
      </w:pPr>
      <w:r>
        <w:rPr>
          <w:rFonts w:ascii="Arial" w:cs="Arial" w:eastAsia="Arial" w:hAnsi="Arial"/>
          <w:sz w:val="17"/>
          <w:szCs w:val="17"/>
          <w:color w:val="auto"/>
        </w:rPr>
        <w:t>For the annual consolidated financial statements as of December 31, 2012 and for each of the three years then ended, the Company evaluated these consolidated financial statements and disclosures for subsequent events through May 21, 2013, the date they were initially available to be issued. For the interim consolidated financial statements as of June 30, 2013 and 2012, and for the three months then ended, subsequent events were evaluated through August 13, 2013, the date the interim annual financial statements were available to be issued.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C—EARNINGS PER SHARE</w:t>
      </w:r>
    </w:p>
    <w:p>
      <w:pPr>
        <w:spacing w:after="0" w:line="228"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Basic net loss per share has been computed using the weighted-average number of shares of common stock outstanding during the period. Pro forma basic and diluted earnings per share includes all common stock and all shares of preferred stock as if converted to common equivalent shares using their conversion rate at the end of each period. Diluted net loss per share has been computed using the weighted-average number of shares of common stock and dilutive potential common shares from options and warrants outstanding during the period. In periods with net losses, normally dilutive shares become anti-dilutive. Therefore, basic and dilutive earnings per share are the same.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C—EARNINGS PER SHARE (Continued)</w:t>
      </w:r>
    </w:p>
    <w:p>
      <w:pPr>
        <w:spacing w:after="0" w:line="228" w:lineRule="exact"/>
        <w:rPr>
          <w:sz w:val="20"/>
          <w:szCs w:val="20"/>
          <w:color w:val="auto"/>
        </w:rPr>
      </w:pPr>
    </w:p>
    <w:p>
      <w:pPr>
        <w:ind w:firstLine="338"/>
        <w:spacing w:after="0" w:line="260" w:lineRule="auto"/>
        <w:rPr>
          <w:sz w:val="20"/>
          <w:szCs w:val="20"/>
          <w:color w:val="auto"/>
        </w:rPr>
      </w:pPr>
      <w:r>
        <w:rPr>
          <w:rFonts w:ascii="Arial" w:cs="Arial" w:eastAsia="Arial" w:hAnsi="Arial"/>
          <w:sz w:val="17"/>
          <w:szCs w:val="17"/>
          <w:color w:val="auto"/>
        </w:rPr>
        <w:t>The financial statements have been revised for the calculation and presentation of basic and diluted loss per share for 2012, 2011 and 2010. The Company's disclosure originally presented basic and diluted loss per share including preferred shares on an "as converted basis" in determining the weighted average shares used for both basic and diluted loss per share. The preferred shares have the right to participate in the Company's earnings and dividends; however, since there is not a contractual obligation for the preferred shareholders to share in the Company's losses, the preferred shares should not be included in loss periods, as their effect is anti-dilutive. The Company has concluded this revised disclosure did not have a material effect on the original financial statements as historical loss per share is not meaningful given the magnitude of outstanding participating preferred shares relative to total equity on an as-if-converted basis. The preferred shares automatically convert to common shares upon consummation of a qualified public offering. For 2012 and the subsequent interim period, the Company has presented both basic and diluted loss per share excluding the preferred shares and also unaudited pro forma loss per share giving effect to the conversion of the preferred shares to common shares.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revised calculation of basic and diluted EPS: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120"/>
              <w:spacing w:after="0" w:line="144" w:lineRule="exact"/>
              <w:rPr>
                <w:sz w:val="20"/>
                <w:szCs w:val="20"/>
                <w:color w:val="auto"/>
              </w:rPr>
            </w:pPr>
            <w:r>
              <w:rPr>
                <w:rFonts w:ascii="Arial" w:cs="Arial" w:eastAsia="Arial" w:hAnsi="Arial"/>
                <w:sz w:val="13"/>
                <w:szCs w:val="13"/>
                <w:b w:val="1"/>
                <w:bCs w:val="1"/>
                <w:color w:val="auto"/>
                <w:w w:val="90"/>
              </w:rPr>
              <w:t>Years ended</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left="247"/>
              <w:spacing w:after="0" w:line="144" w:lineRule="exact"/>
              <w:rPr>
                <w:sz w:val="20"/>
                <w:szCs w:val="20"/>
                <w:color w:val="auto"/>
              </w:rPr>
            </w:pPr>
            <w:r>
              <w:rPr>
                <w:rFonts w:ascii="Arial" w:cs="Arial" w:eastAsia="Arial" w:hAnsi="Arial"/>
                <w:sz w:val="13"/>
                <w:szCs w:val="13"/>
                <w:b w:val="1"/>
                <w:bCs w:val="1"/>
                <w:color w:val="auto"/>
                <w:w w:val="88"/>
              </w:rPr>
              <w:t>ended</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49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6"/>
              </w:rPr>
              <w:t>December 31,</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center"/>
              <w:ind w:left="247"/>
              <w:spacing w:after="0"/>
              <w:rPr>
                <w:sz w:val="20"/>
                <w:szCs w:val="20"/>
                <w:color w:val="auto"/>
              </w:rPr>
            </w:pPr>
            <w:r>
              <w:rPr>
                <w:rFonts w:ascii="Arial" w:cs="Arial" w:eastAsia="Arial" w:hAnsi="Arial"/>
                <w:sz w:val="13"/>
                <w:szCs w:val="13"/>
                <w:b w:val="1"/>
                <w:bCs w:val="1"/>
                <w:color w:val="auto"/>
                <w:w w:val="88"/>
              </w:rPr>
              <w:t>June 30,</w:t>
            </w:r>
          </w:p>
        </w:tc>
        <w:tc>
          <w:tcPr>
            <w:tcW w:w="4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4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03"/>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47"/>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89"/>
              </w:rPr>
              <w:t>2012</w:t>
            </w:r>
          </w:p>
        </w:tc>
        <w:tc>
          <w:tcPr>
            <w:tcW w:w="140" w:type="dxa"/>
            <w:vAlign w:val="bottom"/>
          </w:tcPr>
          <w:p>
            <w:pPr>
              <w:spacing w:after="0"/>
              <w:rPr>
                <w:sz w:val="16"/>
                <w:szCs w:val="16"/>
                <w:color w:val="auto"/>
              </w:rPr>
            </w:pPr>
          </w:p>
        </w:tc>
      </w:tr>
      <w:tr>
        <w:trPr>
          <w:trHeight w:val="137"/>
        </w:trPr>
        <w:tc>
          <w:tcPr>
            <w:tcW w:w="4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gridSpan w:val="9"/>
          </w:tcPr>
          <w:p>
            <w:pPr>
              <w:jc w:val="right"/>
              <w:ind w:right="300"/>
              <w:spacing w:after="0" w:line="138" w:lineRule="exact"/>
              <w:rPr>
                <w:sz w:val="20"/>
                <w:szCs w:val="20"/>
                <w:color w:val="auto"/>
              </w:rPr>
            </w:pPr>
            <w:r>
              <w:rPr>
                <w:rFonts w:ascii="Arial" w:cs="Arial" w:eastAsia="Arial" w:hAnsi="Arial"/>
                <w:sz w:val="13"/>
                <w:szCs w:val="13"/>
                <w:b w:val="1"/>
                <w:bCs w:val="1"/>
                <w:color w:val="auto"/>
                <w:w w:val="89"/>
              </w:rPr>
              <w:t>(in thousands, except per share data)</w:t>
            </w:r>
          </w:p>
        </w:tc>
        <w:tc>
          <w:tcPr>
            <w:tcW w:w="160" w:type="dxa"/>
            <w:vAlign w:val="bottom"/>
          </w:tcPr>
          <w:p>
            <w:pPr>
              <w:spacing w:after="0"/>
              <w:rPr>
                <w:sz w:val="11"/>
                <w:szCs w:val="11"/>
                <w:color w:val="auto"/>
              </w:rPr>
            </w:pPr>
          </w:p>
        </w:tc>
        <w:tc>
          <w:tcPr>
            <w:tcW w:w="1480" w:type="dxa"/>
            <w:vAlign w:val="bottom"/>
            <w:gridSpan w:val="5"/>
          </w:tcPr>
          <w:p>
            <w:pPr>
              <w:jc w:val="center"/>
              <w:ind w:right="300"/>
              <w:spacing w:after="0" w:line="138" w:lineRule="exact"/>
              <w:rPr>
                <w:sz w:val="20"/>
                <w:szCs w:val="20"/>
                <w:color w:val="auto"/>
              </w:rPr>
            </w:pPr>
            <w:r>
              <w:rPr>
                <w:rFonts w:ascii="Arial" w:cs="Arial" w:eastAsia="Arial" w:hAnsi="Arial"/>
                <w:sz w:val="13"/>
                <w:szCs w:val="13"/>
                <w:b w:val="1"/>
                <w:bCs w:val="1"/>
                <w:color w:val="auto"/>
                <w:w w:val="93"/>
              </w:rPr>
              <w:t>(unaudited)</w:t>
            </w:r>
          </w:p>
        </w:tc>
      </w:tr>
      <w:tr>
        <w:trPr>
          <w:trHeight w:val="210"/>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(945)</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(5,328)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(3,380)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(1,276)</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(617)</w:t>
            </w: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49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Denominator:</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0"/>
        </w:trPr>
        <w:tc>
          <w:tcPr>
            <w:tcW w:w="4980" w:type="dxa"/>
            <w:vAlign w:val="bottom"/>
          </w:tcPr>
          <w:p>
            <w:pPr>
              <w:ind w:left="20"/>
              <w:spacing w:after="0"/>
              <w:rPr>
                <w:sz w:val="20"/>
                <w:szCs w:val="20"/>
                <w:color w:val="auto"/>
              </w:rPr>
            </w:pPr>
            <w:r>
              <w:rPr>
                <w:rFonts w:ascii="Arial" w:cs="Arial" w:eastAsia="Arial" w:hAnsi="Arial"/>
                <w:sz w:val="17"/>
                <w:szCs w:val="17"/>
                <w:color w:val="auto"/>
              </w:rPr>
              <w:t>Weighted-average shares used to compute net loss per share:</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 and diluted</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7,967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7,910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7,767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8,031</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7,957</w:t>
            </w:r>
          </w:p>
        </w:tc>
      </w:tr>
      <w:tr>
        <w:trPr>
          <w:trHeight w:val="216"/>
        </w:trPr>
        <w:tc>
          <w:tcPr>
            <w:tcW w:w="4980" w:type="dxa"/>
            <w:vAlign w:val="bottom"/>
          </w:tcPr>
          <w:p>
            <w:pPr>
              <w:ind w:left="20"/>
              <w:spacing w:after="0"/>
              <w:rPr>
                <w:sz w:val="20"/>
                <w:szCs w:val="20"/>
                <w:color w:val="auto"/>
              </w:rPr>
            </w:pPr>
            <w:r>
              <w:rPr>
                <w:rFonts w:ascii="Arial" w:cs="Arial" w:eastAsia="Arial" w:hAnsi="Arial"/>
                <w:sz w:val="17"/>
                <w:szCs w:val="17"/>
                <w:color w:val="auto"/>
              </w:rPr>
              <w:t>Net loss per share—basic and diluted</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(0.12)</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(0.67)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(0.44)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(0.16)</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(2.33)</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 Forma earnings per share (unaudited)</w:t>
      </w:r>
    </w:p>
    <w:p>
      <w:pPr>
        <w:spacing w:after="0" w:line="224"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following unaudited calculation of the numerator and denominator of basic and diluted EPS gives effect to the automatic conversion of all outstanding shares of the Company's convertible preferred stock (using the as if-converted method) into common stock as though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C—EARNINGS PER SHARE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conversion had occurred as of the beginning of the period or the original date of issuance, if later.</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44"/>
        </w:trPr>
        <w:tc>
          <w:tcPr>
            <w:tcW w:w="6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ended</w:t>
            </w:r>
          </w:p>
        </w:tc>
        <w:tc>
          <w:tcPr>
            <w:tcW w:w="0" w:type="dxa"/>
            <w:vAlign w:val="bottom"/>
          </w:tcPr>
          <w:p>
            <w:pPr>
              <w:spacing w:after="0"/>
              <w:rPr>
                <w:sz w:val="1"/>
                <w:szCs w:val="1"/>
                <w:color w:val="auto"/>
              </w:rPr>
            </w:pPr>
          </w:p>
        </w:tc>
      </w:tr>
      <w:tr>
        <w:trPr>
          <w:trHeight w:val="144"/>
        </w:trPr>
        <w:tc>
          <w:tcPr>
            <w:tcW w:w="6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1"/>
              </w:rPr>
              <w:t>Year ended</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144"/>
        </w:trPr>
        <w:tc>
          <w:tcPr>
            <w:tcW w:w="6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2"/>
                <w:szCs w:val="12"/>
                <w:color w:val="auto"/>
              </w:rPr>
            </w:pPr>
          </w:p>
        </w:tc>
        <w:tc>
          <w:tcPr>
            <w:tcW w:w="780" w:type="dxa"/>
            <w:vAlign w:val="bottom"/>
          </w:tcPr>
          <w:p>
            <w:pPr>
              <w:jc w:val="center"/>
              <w:ind w:right="5"/>
              <w:spacing w:after="0" w:line="144" w:lineRule="exact"/>
              <w:rPr>
                <w:sz w:val="20"/>
                <w:szCs w:val="20"/>
                <w:color w:val="auto"/>
              </w:rPr>
            </w:pPr>
            <w:r>
              <w:rPr>
                <w:rFonts w:ascii="Arial" w:cs="Arial" w:eastAsia="Arial" w:hAnsi="Arial"/>
                <w:sz w:val="13"/>
                <w:szCs w:val="13"/>
                <w:b w:val="1"/>
                <w:bCs w:val="1"/>
                <w:color w:val="auto"/>
                <w:w w:val="89"/>
              </w:rPr>
              <w:t>2013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9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5"/>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5"/>
              <w:spacing w:after="0"/>
              <w:rPr>
                <w:sz w:val="20"/>
                <w:szCs w:val="20"/>
                <w:color w:val="auto"/>
              </w:rPr>
            </w:pPr>
            <w:r>
              <w:rPr>
                <w:rFonts w:ascii="Arial" w:cs="Arial" w:eastAsia="Arial" w:hAnsi="Arial"/>
                <w:sz w:val="13"/>
                <w:szCs w:val="13"/>
                <w:b w:val="1"/>
                <w:bCs w:val="1"/>
                <w:color w:val="auto"/>
                <w:w w:val="93"/>
              </w:rPr>
              <w:t>(unaudited)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40" w:type="dxa"/>
            <w:vAlign w:val="bottom"/>
            <w:gridSpan w:val="5"/>
          </w:tcPr>
          <w:p>
            <w:pPr>
              <w:ind w:left="300"/>
              <w:spacing w:after="0" w:line="124" w:lineRule="exact"/>
              <w:rPr>
                <w:sz w:val="20"/>
                <w:szCs w:val="20"/>
                <w:color w:val="auto"/>
              </w:rPr>
            </w:pPr>
            <w:r>
              <w:rPr>
                <w:rFonts w:ascii="Arial" w:cs="Arial" w:eastAsia="Arial" w:hAnsi="Arial"/>
                <w:sz w:val="13"/>
                <w:szCs w:val="13"/>
                <w:b w:val="1"/>
                <w:bCs w:val="1"/>
                <w:color w:val="auto"/>
              </w:rPr>
              <w:t>(in thousands, except</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for per share data)</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(945)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(1,276)</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Number of shares used to compute net loss per share—basic and diluted:</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7,968</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8,031</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Assumed conversion of preferred stock to common stock</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243,438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260,464</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20"/>
              <w:spacing w:after="0"/>
              <w:rPr>
                <w:sz w:val="20"/>
                <w:szCs w:val="20"/>
                <w:color w:val="auto"/>
              </w:rPr>
            </w:pPr>
            <w:r>
              <w:rPr>
                <w:rFonts w:ascii="Arial" w:cs="Arial" w:eastAsia="Arial" w:hAnsi="Arial"/>
                <w:sz w:val="17"/>
                <w:szCs w:val="17"/>
                <w:color w:val="auto"/>
              </w:rPr>
              <w:t>Number of shares used to compute pro forma net loss per share—basic and diluted:</w:t>
            </w: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320"/>
              <w:spacing w:after="0"/>
              <w:rPr>
                <w:sz w:val="20"/>
                <w:szCs w:val="20"/>
                <w:color w:val="auto"/>
              </w:rPr>
            </w:pPr>
            <w:r>
              <w:rPr>
                <w:rFonts w:ascii="Arial" w:cs="Arial" w:eastAsia="Arial" w:hAnsi="Arial"/>
                <w:sz w:val="17"/>
                <w:szCs w:val="17"/>
                <w:color w:val="auto"/>
                <w:w w:val="84"/>
              </w:rPr>
              <w:t>251,406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268,495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Pro forma net loss per share—basic and diluted</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(0.00)</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potentially dilutive securities were excluded from the computation of diluted net loss per share as their effect would have been antidilutive:</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580" w:type="dxa"/>
            <w:vAlign w:val="bottom"/>
          </w:tcPr>
          <w:p>
            <w:pPr>
              <w:spacing w:after="0"/>
              <w:rPr>
                <w:sz w:val="13"/>
                <w:szCs w:val="13"/>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r>
      <w:tr>
        <w:trPr>
          <w:trHeight w:val="137"/>
        </w:trPr>
        <w:tc>
          <w:tcPr>
            <w:tcW w:w="5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Employee stock options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11,324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8,669</w:t>
            </w: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7"/>
                <w:szCs w:val="17"/>
                <w:color w:val="auto"/>
              </w:rPr>
              <w:t>Warrants</w:t>
            </w:r>
          </w:p>
        </w:tc>
        <w:tc>
          <w:tcPr>
            <w:tcW w:w="640" w:type="dxa"/>
            <w:vAlign w:val="bottom"/>
          </w:tcPr>
          <w:p>
            <w:pPr>
              <w:jc w:val="right"/>
              <w:spacing w:after="0"/>
              <w:rPr>
                <w:sz w:val="20"/>
                <w:szCs w:val="20"/>
                <w:color w:val="auto"/>
              </w:rPr>
            </w:pPr>
            <w:r>
              <w:rPr>
                <w:rFonts w:ascii="Arial" w:cs="Arial" w:eastAsia="Arial" w:hAnsi="Arial"/>
                <w:sz w:val="17"/>
                <w:szCs w:val="17"/>
                <w:color w:val="auto"/>
              </w:rPr>
              <w:t>2,868</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3,670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2,186</w:t>
            </w:r>
          </w:p>
        </w:tc>
        <w:tc>
          <w:tcPr>
            <w:tcW w:w="16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15,448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14,994</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10,855</w:t>
            </w:r>
          </w:p>
        </w:tc>
        <w:tc>
          <w:tcPr>
            <w:tcW w:w="160" w:type="dxa"/>
            <w:vAlign w:val="bottom"/>
            <w:shd w:val="clear" w:color="auto" w:fill="CCEEFF"/>
          </w:tcPr>
          <w:p>
            <w:pPr>
              <w:spacing w:after="0"/>
              <w:rPr>
                <w:sz w:val="17"/>
                <w:szCs w:val="17"/>
                <w:color w:val="auto"/>
              </w:rPr>
            </w:pPr>
          </w:p>
        </w:tc>
      </w:tr>
      <w:tr>
        <w:trPr>
          <w:trHeight w:val="26"/>
        </w:trPr>
        <w:tc>
          <w:tcPr>
            <w:tcW w:w="55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D—INVENTORIES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December 31, 2012 and 2011, and at June 30, 2013, inventories 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5"/>
            <w:vMerge w:val="restart"/>
          </w:tcPr>
          <w:p>
            <w:pPr>
              <w:jc w:val="center"/>
              <w:ind w:right="280"/>
              <w:spacing w:after="0"/>
              <w:rPr>
                <w:sz w:val="20"/>
                <w:szCs w:val="20"/>
                <w:color w:val="auto"/>
              </w:rPr>
            </w:pPr>
            <w:r>
              <w:rPr>
                <w:rFonts w:ascii="Arial" w:cs="Arial" w:eastAsia="Arial" w:hAnsi="Arial"/>
                <w:sz w:val="13"/>
                <w:szCs w:val="13"/>
                <w:b w:val="1"/>
                <w:bCs w:val="1"/>
                <w:color w:val="auto"/>
                <w:w w:val="87"/>
              </w:rPr>
              <w:t>Years 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3"/>
          </w:tcPr>
          <w:p>
            <w:pPr>
              <w:jc w:val="center"/>
              <w:ind w:right="1960"/>
              <w:spacing w:after="0"/>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40" w:type="dxa"/>
            <w:vAlign w:val="bottom"/>
            <w:gridSpan w:val="3"/>
          </w:tcPr>
          <w:p>
            <w:pPr>
              <w:jc w:val="center"/>
              <w:ind w:right="1960"/>
              <w:spacing w:after="0" w:line="131"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89"/>
              </w:rPr>
              <w:t>December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gridSpan w:val="3"/>
          </w:tcPr>
          <w:p>
            <w:pPr>
              <w:jc w:val="center"/>
              <w:ind w:right="1980"/>
              <w:spacing w:after="0"/>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124"/>
        </w:trPr>
        <w:tc>
          <w:tcPr>
            <w:tcW w:w="17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26"/>
              <w:spacing w:after="0" w:line="124" w:lineRule="exact"/>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w w:val="93"/>
              </w:rPr>
              <w:t>(unaudited)</w:t>
            </w:r>
          </w:p>
        </w:tc>
        <w:tc>
          <w:tcPr>
            <w:tcW w:w="1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w w:val="89"/>
              </w:rPr>
              <w:t>(in thousands)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Raw materials</w:t>
            </w:r>
          </w:p>
        </w:tc>
        <w:tc>
          <w:tcPr>
            <w:tcW w:w="286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6,488</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7"/>
                <w:szCs w:val="17"/>
                <w:color w:val="auto"/>
              </w:rPr>
              <w:t>Work in process</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4,434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3,628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6,783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2,816</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12,493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12,671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16,087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60" w:type="dxa"/>
            <w:vAlign w:val="bottom"/>
            <w:gridSpan w:val="2"/>
          </w:tcPr>
          <w:p>
            <w:pPr>
              <w:jc w:val="right"/>
              <w:ind w:right="1085"/>
              <w:spacing w:after="0"/>
              <w:rPr>
                <w:sz w:val="20"/>
                <w:szCs w:val="20"/>
                <w:color w:val="auto"/>
              </w:rPr>
            </w:pPr>
            <w:r>
              <w:rPr>
                <w:rFonts w:ascii="Arial" w:cs="Arial" w:eastAsia="Arial" w:hAnsi="Arial"/>
                <w:sz w:val="17"/>
                <w:szCs w:val="17"/>
                <w:color w:val="auto"/>
              </w:rPr>
              <w:t>F-17</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D—INVENTORIES (Continued)</w:t>
      </w:r>
    </w:p>
    <w:p>
      <w:pPr>
        <w:spacing w:after="0" w:line="228" w:lineRule="exact"/>
        <w:rPr>
          <w:sz w:val="20"/>
          <w:szCs w:val="20"/>
          <w:color w:val="auto"/>
        </w:rPr>
      </w:pPr>
    </w:p>
    <w:p>
      <w:pPr>
        <w:ind w:right="540" w:firstLine="341"/>
        <w:spacing w:after="0" w:line="352" w:lineRule="auto"/>
        <w:rPr>
          <w:sz w:val="20"/>
          <w:szCs w:val="20"/>
          <w:color w:val="auto"/>
        </w:rPr>
      </w:pPr>
      <w:r>
        <w:rPr>
          <w:rFonts w:ascii="Arial" w:cs="Arial" w:eastAsia="Arial" w:hAnsi="Arial"/>
          <w:sz w:val="15"/>
          <w:szCs w:val="15"/>
          <w:color w:val="auto"/>
        </w:rPr>
        <w:t>For the years ended December 31, 2012, 2011 and 2010, the lower of cost or market adjustment expensed for inventory was $0.9 million, $1.6 million and $0.6 million, respectively. For the six months ended June 30, 2013, the lower of cost or market adjustment expense for inventory was $0.4 million.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E—PROPERTY, PLANT AND EQUIPMENT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December 31, 2012 and 2011, property, plant and equipment consisted of the following:</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0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ind w:right="98"/>
              <w:spacing w:after="0" w:line="138" w:lineRule="exact"/>
              <w:rPr>
                <w:sz w:val="20"/>
                <w:szCs w:val="20"/>
                <w:color w:val="auto"/>
              </w:rPr>
            </w:pPr>
            <w:r>
              <w:rPr>
                <w:rFonts w:ascii="Arial" w:cs="Arial" w:eastAsia="Arial" w:hAnsi="Arial"/>
                <w:sz w:val="13"/>
                <w:szCs w:val="13"/>
                <w:b w:val="1"/>
                <w:bCs w:val="1"/>
                <w:color w:val="auto"/>
              </w:rPr>
              <w:t>(in</w:t>
            </w:r>
          </w:p>
        </w:tc>
        <w:tc>
          <w:tcPr>
            <w:tcW w:w="940" w:type="dxa"/>
            <w:vAlign w:val="bottom"/>
            <w:gridSpan w:val="3"/>
          </w:tcPr>
          <w:p>
            <w:pPr>
              <w:jc w:val="right"/>
              <w:ind w:right="396"/>
              <w:spacing w:after="0"/>
              <w:rPr>
                <w:sz w:val="20"/>
                <w:szCs w:val="20"/>
                <w:color w:val="auto"/>
              </w:rPr>
            </w:pPr>
            <w:r>
              <w:rPr>
                <w:rFonts w:ascii="Arial" w:cs="Arial" w:eastAsia="Arial" w:hAnsi="Arial"/>
                <w:sz w:val="11"/>
                <w:szCs w:val="11"/>
                <w:b w:val="1"/>
                <w:bCs w:val="1"/>
                <w:color w:val="auto"/>
                <w:w w:val="74"/>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Land improvements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7"/>
                <w:szCs w:val="17"/>
                <w:color w:val="auto"/>
              </w:rPr>
              <w:t>Building and improvements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15,239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15,002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Machinery and equipment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29,977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7"/>
                <w:szCs w:val="17"/>
                <w:color w:val="auto"/>
              </w:rPr>
              <w:t>Furniture and fixtures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 and software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7"/>
                <w:szCs w:val="17"/>
                <w:color w:val="auto"/>
              </w:rPr>
              <w:t>Transportation equipment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49,072</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46,355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180" w:type="dxa"/>
            <w:vAlign w:val="bottom"/>
          </w:tcPr>
          <w:p>
            <w:pPr>
              <w:spacing w:after="0"/>
              <w:rPr>
                <w:sz w:val="18"/>
                <w:szCs w:val="18"/>
                <w:color w:val="auto"/>
              </w:rPr>
            </w:pPr>
          </w:p>
        </w:tc>
        <w:tc>
          <w:tcPr>
            <w:tcW w:w="760" w:type="dxa"/>
            <w:vAlign w:val="bottom"/>
            <w:gridSpan w:val="2"/>
          </w:tcPr>
          <w:p>
            <w:pPr>
              <w:jc w:val="right"/>
              <w:ind w:right="45"/>
              <w:spacing w:after="0"/>
              <w:rPr>
                <w:sz w:val="20"/>
                <w:szCs w:val="20"/>
                <w:color w:val="auto"/>
              </w:rPr>
            </w:pPr>
            <w:r>
              <w:rPr>
                <w:rFonts w:ascii="Arial" w:cs="Arial" w:eastAsia="Arial" w:hAnsi="Arial"/>
                <w:sz w:val="17"/>
                <w:szCs w:val="17"/>
                <w:color w:val="auto"/>
              </w:rPr>
              <w:t>(24,967)</w:t>
            </w: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(22,556)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24,105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23,799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7"/>
                <w:szCs w:val="17"/>
                <w:color w:val="auto"/>
              </w:rPr>
              <w:t>Construction in progress</w:t>
            </w:r>
          </w:p>
        </w:tc>
        <w:tc>
          <w:tcPr>
            <w:tcW w:w="180" w:type="dxa"/>
            <w:vAlign w:val="bottom"/>
          </w:tcPr>
          <w:p>
            <w:pPr>
              <w:spacing w:after="0"/>
              <w:rPr>
                <w:sz w:val="18"/>
                <w:szCs w:val="18"/>
                <w:color w:val="auto"/>
              </w:rPr>
            </w:pPr>
          </w:p>
        </w:tc>
        <w:tc>
          <w:tcPr>
            <w:tcW w:w="76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Land</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80" w:type="dxa"/>
            <w:vAlign w:val="bottom"/>
            <w:vMerge w:val="restart"/>
          </w:tcPr>
          <w:p>
            <w:pPr>
              <w:spacing w:after="0"/>
              <w:rPr>
                <w:sz w:val="20"/>
                <w:szCs w:val="20"/>
                <w:color w:val="auto"/>
              </w:rPr>
            </w:pPr>
            <w:r>
              <w:rPr>
                <w:rFonts w:ascii="Arial" w:cs="Arial" w:eastAsia="Arial" w:hAnsi="Arial"/>
                <w:sz w:val="17"/>
                <w:szCs w:val="17"/>
                <w:color w:val="auto"/>
              </w:rPr>
              <w:t>Property, plant and equipment, net</w:t>
            </w: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80" w:type="dxa"/>
            <w:vAlign w:val="bottom"/>
            <w:vMerge w:val="continue"/>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24,838</w:t>
            </w:r>
          </w:p>
        </w:tc>
        <w:tc>
          <w:tcPr>
            <w:tcW w:w="14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24,532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For the years ended December 31, 2012, 2011 and 2010, depreciation expense of property, plant and equipment was $2.9 million $3.1 million and $3.3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F—INTANGIBLE ASSETS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December 31, 2012 and 2011, intangible assets consisted of the following:</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6"/>
              <w:spacing w:after="0"/>
              <w:rPr>
                <w:sz w:val="20"/>
                <w:szCs w:val="20"/>
                <w:color w:val="auto"/>
              </w:rPr>
            </w:pPr>
            <w:r>
              <w:rPr>
                <w:rFonts w:ascii="Arial" w:cs="Arial" w:eastAsia="Arial" w:hAnsi="Arial"/>
                <w:sz w:val="13"/>
                <w:szCs w:val="13"/>
                <w:b w:val="1"/>
                <w:bCs w:val="1"/>
                <w:color w:val="auto"/>
              </w:rPr>
              <w:t>2012</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24"/>
        </w:trPr>
        <w:tc>
          <w:tcPr>
            <w:tcW w:w="17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83"/>
              <w:spacing w:after="0" w:line="124"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260"/>
              <w:spacing w:after="0" w:line="124" w:lineRule="exact"/>
              <w:rPr>
                <w:sz w:val="20"/>
                <w:szCs w:val="20"/>
                <w:color w:val="auto"/>
              </w:rPr>
            </w:pPr>
            <w:r>
              <w:rPr>
                <w:rFonts w:ascii="Arial" w:cs="Arial" w:eastAsia="Arial" w:hAnsi="Arial"/>
                <w:sz w:val="13"/>
                <w:szCs w:val="13"/>
                <w:b w:val="1"/>
                <w:bCs w:val="1"/>
                <w:color w:val="auto"/>
                <w:w w:val="90"/>
              </w:rPr>
              <w:t>Accumulated</w:t>
            </w:r>
          </w:p>
        </w:tc>
        <w:tc>
          <w:tcPr>
            <w:tcW w:w="100" w:type="dxa"/>
            <w:vAlign w:val="bottom"/>
          </w:tcPr>
          <w:p>
            <w:pPr>
              <w:spacing w:after="0"/>
              <w:rPr>
                <w:sz w:val="10"/>
                <w:szCs w:val="10"/>
                <w:color w:val="auto"/>
              </w:rPr>
            </w:pPr>
          </w:p>
        </w:tc>
        <w:tc>
          <w:tcPr>
            <w:tcW w:w="680" w:type="dxa"/>
            <w:vAlign w:val="bottom"/>
          </w:tcPr>
          <w:p>
            <w:pPr>
              <w:spacing w:after="0" w:line="124" w:lineRule="exact"/>
              <w:rPr>
                <w:sz w:val="20"/>
                <w:szCs w:val="20"/>
                <w:color w:val="auto"/>
              </w:rPr>
            </w:pPr>
            <w:r>
              <w:rPr>
                <w:rFonts w:ascii="Arial" w:cs="Arial" w:eastAsia="Arial" w:hAnsi="Arial"/>
                <w:sz w:val="13"/>
                <w:szCs w:val="13"/>
                <w:b w:val="1"/>
                <w:bCs w:val="1"/>
                <w:color w:val="auto"/>
              </w:rPr>
              <w:t>Intangible</w:t>
            </w:r>
          </w:p>
        </w:tc>
        <w:tc>
          <w:tcPr>
            <w:tcW w:w="1880" w:type="dxa"/>
            <w:vAlign w:val="bottom"/>
            <w:gridSpan w:val="2"/>
          </w:tcPr>
          <w:p>
            <w:pPr>
              <w:spacing w:after="0"/>
              <w:rPr>
                <w:sz w:val="10"/>
                <w:szCs w:val="10"/>
                <w:color w:val="auto"/>
              </w:rPr>
            </w:pPr>
          </w:p>
        </w:tc>
      </w:tr>
      <w:tr>
        <w:trPr>
          <w:trHeight w:val="157"/>
        </w:trPr>
        <w:tc>
          <w:tcPr>
            <w:tcW w:w="17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3"/>
              </w:rPr>
              <w:t>amortization</w:t>
            </w:r>
          </w:p>
        </w:tc>
        <w:tc>
          <w:tcPr>
            <w:tcW w:w="100" w:type="dxa"/>
            <w:vAlign w:val="bottom"/>
          </w:tcPr>
          <w:p>
            <w:pPr>
              <w:spacing w:after="0"/>
              <w:rPr>
                <w:sz w:val="13"/>
                <w:szCs w:val="13"/>
                <w:color w:val="auto"/>
              </w:rPr>
            </w:pPr>
          </w:p>
        </w:tc>
        <w:tc>
          <w:tcPr>
            <w:tcW w:w="2560" w:type="dxa"/>
            <w:vAlign w:val="bottom"/>
            <w:gridSpan w:val="3"/>
          </w:tcPr>
          <w:p>
            <w:pPr>
              <w:ind w:left="20"/>
              <w:spacing w:after="0"/>
              <w:rPr>
                <w:sz w:val="20"/>
                <w:szCs w:val="20"/>
                <w:color w:val="auto"/>
              </w:rPr>
            </w:pPr>
            <w:r>
              <w:rPr>
                <w:rFonts w:ascii="Arial" w:cs="Arial" w:eastAsia="Arial" w:hAnsi="Arial"/>
                <w:sz w:val="13"/>
                <w:szCs w:val="13"/>
                <w:b w:val="1"/>
                <w:bCs w:val="1"/>
                <w:color w:val="auto"/>
              </w:rPr>
              <w:t>assets, net</w:t>
            </w:r>
          </w:p>
        </w:tc>
      </w:tr>
      <w:tr>
        <w:trPr>
          <w:trHeight w:val="137"/>
        </w:trPr>
        <w:tc>
          <w:tcPr>
            <w:tcW w:w="17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93"/>
              </w:rPr>
              <w:t>(in thousands)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210"/>
        </w:trPr>
        <w:tc>
          <w:tcPr>
            <w:tcW w:w="17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Patents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7"/>
                <w:szCs w:val="17"/>
                <w:color w:val="auto"/>
              </w:rPr>
              <w:t>Trademarks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3"/>
        </w:trPr>
        <w:tc>
          <w:tcPr>
            <w:tcW w:w="1720" w:type="dxa"/>
            <w:vAlign w:val="bottom"/>
          </w:tcPr>
          <w:p>
            <w:pPr>
              <w:spacing w:after="0"/>
              <w:rPr>
                <w:sz w:val="17"/>
                <w:szCs w:val="17"/>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Total intangible assets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6"/>
        </w:trPr>
        <w:tc>
          <w:tcPr>
            <w:tcW w:w="1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540" w:type="dxa"/>
            <w:vAlign w:val="bottom"/>
            <w:gridSpan w:val="2"/>
          </w:tcPr>
          <w:p>
            <w:pPr>
              <w:jc w:val="right"/>
              <w:ind w:right="1060"/>
              <w:spacing w:after="0"/>
              <w:rPr>
                <w:sz w:val="20"/>
                <w:szCs w:val="20"/>
                <w:color w:val="auto"/>
              </w:rPr>
            </w:pPr>
            <w:r>
              <w:rPr>
                <w:rFonts w:ascii="Arial" w:cs="Arial" w:eastAsia="Arial" w:hAnsi="Arial"/>
                <w:sz w:val="17"/>
                <w:szCs w:val="17"/>
                <w:color w:val="auto"/>
              </w:rPr>
              <w:t>F-18</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F—INTANGIBLE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6"/>
              <w:spacing w:after="0"/>
              <w:rPr>
                <w:sz w:val="20"/>
                <w:szCs w:val="20"/>
                <w:color w:val="auto"/>
              </w:rPr>
            </w:pPr>
            <w:r>
              <w:rPr>
                <w:rFonts w:ascii="Arial" w:cs="Arial" w:eastAsia="Arial" w:hAnsi="Arial"/>
                <w:sz w:val="13"/>
                <w:szCs w:val="13"/>
                <w:b w:val="1"/>
                <w:bCs w:val="1"/>
                <w:color w:val="auto"/>
              </w:rPr>
              <w:t>2011</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4"/>
        </w:trPr>
        <w:tc>
          <w:tcPr>
            <w:tcW w:w="5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83"/>
              <w:spacing w:after="0" w:line="124"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260"/>
              <w:spacing w:after="0" w:line="124" w:lineRule="exact"/>
              <w:rPr>
                <w:sz w:val="20"/>
                <w:szCs w:val="20"/>
                <w:color w:val="auto"/>
              </w:rPr>
            </w:pPr>
            <w:r>
              <w:rPr>
                <w:rFonts w:ascii="Arial" w:cs="Arial" w:eastAsia="Arial" w:hAnsi="Arial"/>
                <w:sz w:val="13"/>
                <w:szCs w:val="13"/>
                <w:b w:val="1"/>
                <w:bCs w:val="1"/>
                <w:color w:val="auto"/>
                <w:w w:val="90"/>
              </w:rPr>
              <w:t>Accumulated</w:t>
            </w:r>
          </w:p>
        </w:tc>
        <w:tc>
          <w:tcPr>
            <w:tcW w:w="100" w:type="dxa"/>
            <w:vAlign w:val="bottom"/>
          </w:tcPr>
          <w:p>
            <w:pPr>
              <w:spacing w:after="0"/>
              <w:rPr>
                <w:sz w:val="10"/>
                <w:szCs w:val="10"/>
                <w:color w:val="auto"/>
              </w:rPr>
            </w:pPr>
          </w:p>
        </w:tc>
        <w:tc>
          <w:tcPr>
            <w:tcW w:w="680" w:type="dxa"/>
            <w:vAlign w:val="bottom"/>
          </w:tcPr>
          <w:p>
            <w:pPr>
              <w:spacing w:after="0" w:line="124" w:lineRule="exact"/>
              <w:rPr>
                <w:sz w:val="20"/>
                <w:szCs w:val="20"/>
                <w:color w:val="auto"/>
              </w:rPr>
            </w:pPr>
            <w:r>
              <w:rPr>
                <w:rFonts w:ascii="Arial" w:cs="Arial" w:eastAsia="Arial" w:hAnsi="Arial"/>
                <w:sz w:val="13"/>
                <w:szCs w:val="13"/>
                <w:b w:val="1"/>
                <w:bCs w:val="1"/>
                <w:color w:val="auto"/>
              </w:rPr>
              <w:t>Intangible</w:t>
            </w:r>
          </w:p>
        </w:tc>
        <w:tc>
          <w:tcPr>
            <w:tcW w:w="160" w:type="dxa"/>
            <w:vAlign w:val="bottom"/>
          </w:tcPr>
          <w:p>
            <w:pPr>
              <w:spacing w:after="0"/>
              <w:rPr>
                <w:sz w:val="10"/>
                <w:szCs w:val="10"/>
                <w:color w:val="auto"/>
              </w:rPr>
            </w:pPr>
          </w:p>
        </w:tc>
      </w:tr>
      <w:tr>
        <w:trPr>
          <w:trHeight w:val="157"/>
        </w:trPr>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3"/>
              </w:rPr>
              <w:t>amortization</w:t>
            </w:r>
          </w:p>
        </w:tc>
        <w:tc>
          <w:tcPr>
            <w:tcW w:w="10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assets, net</w:t>
            </w:r>
          </w:p>
        </w:tc>
      </w:tr>
      <w:tr>
        <w:trPr>
          <w:trHeight w:val="137"/>
        </w:trPr>
        <w:tc>
          <w:tcPr>
            <w:tcW w:w="5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93"/>
              </w:rPr>
              <w:t>(in thousands)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Patents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w:t>
            </w:r>
          </w:p>
        </w:tc>
        <w:tc>
          <w:tcPr>
            <w:tcW w:w="1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7"/>
                <w:szCs w:val="17"/>
                <w:color w:val="auto"/>
              </w:rPr>
              <w:t>Trademarks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Total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w:t>
            </w:r>
          </w:p>
        </w:tc>
        <w:tc>
          <w:tcPr>
            <w:tcW w:w="160" w:type="dxa"/>
            <w:vAlign w:val="bottom"/>
            <w:shd w:val="clear" w:color="auto" w:fill="CCEEFF"/>
          </w:tcPr>
          <w:p>
            <w:pPr>
              <w:spacing w:after="0"/>
              <w:rPr>
                <w:sz w:val="17"/>
                <w:szCs w:val="17"/>
                <w:color w:val="auto"/>
              </w:rPr>
            </w:pPr>
          </w:p>
        </w:tc>
      </w:tr>
      <w:tr>
        <w:trPr>
          <w:trHeight w:val="26"/>
        </w:trPr>
        <w:tc>
          <w:tcPr>
            <w:tcW w:w="5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For the years ended December 31, 2012, 2011 and 2010, amortization expense for intangible assets, included in general and administrative expenses on the income statement, was $60,000 $46,000 and $41,000, respectively. The remaining weighted average amortization period for intangible assets is approximately 12 years.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700" w:type="dxa"/>
            <w:vAlign w:val="bottom"/>
            <w:gridSpan w:val="2"/>
          </w:tcPr>
          <w:p>
            <w:pPr>
              <w:spacing w:after="0"/>
              <w:rPr>
                <w:sz w:val="20"/>
                <w:szCs w:val="20"/>
                <w:color w:val="auto"/>
              </w:rPr>
            </w:pPr>
            <w:r>
              <w:rPr>
                <w:rFonts w:ascii="Arial" w:cs="Arial" w:eastAsia="Arial" w:hAnsi="Arial"/>
                <w:sz w:val="17"/>
                <w:szCs w:val="17"/>
                <w:color w:val="auto"/>
              </w:rPr>
              <w:t>At December 31, 2012, approximate amortization expense for intangible assets was as follows (in thousands):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8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2014</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2016</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Thereafter</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470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G—FAIR VALUE OF FINANCIAL INSTRUMENTS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presents a summary of the Company's financial instruments measured at fair value on a recurring basis as of June 30, 2013 (unaudited):</w:t>
      </w: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Quoted prices in</w:t>
            </w:r>
          </w:p>
        </w:tc>
        <w:tc>
          <w:tcPr>
            <w:tcW w:w="12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Significant other</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Significant</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1"/>
              </w:rPr>
              <w:t>active markets for</w:t>
            </w:r>
          </w:p>
        </w:tc>
        <w:tc>
          <w:tcPr>
            <w:tcW w:w="120" w:type="dxa"/>
            <w:vAlign w:val="bottom"/>
          </w:tcPr>
          <w:p>
            <w:pPr>
              <w:spacing w:after="0"/>
              <w:rPr>
                <w:sz w:val="12"/>
                <w:szCs w:val="12"/>
                <w:color w:val="auto"/>
              </w:rPr>
            </w:pPr>
          </w:p>
        </w:tc>
        <w:tc>
          <w:tcPr>
            <w:tcW w:w="12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0"/>
              </w:rPr>
              <w:t>observable</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unobservable</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6"/>
              </w:rPr>
              <w:t>identical assets</w:t>
            </w:r>
          </w:p>
        </w:tc>
        <w:tc>
          <w:tcPr>
            <w:tcW w:w="120" w:type="dxa"/>
            <w:vAlign w:val="bottom"/>
          </w:tcPr>
          <w:p>
            <w:pPr>
              <w:spacing w:after="0"/>
              <w:rPr>
                <w:sz w:val="12"/>
                <w:szCs w:val="12"/>
                <w:color w:val="auto"/>
              </w:rPr>
            </w:pPr>
          </w:p>
        </w:tc>
        <w:tc>
          <w:tcPr>
            <w:tcW w:w="12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9"/>
              </w:rPr>
              <w:t>remaining inputs</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inputs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(Level 1)</w:t>
            </w:r>
          </w:p>
        </w:tc>
        <w:tc>
          <w:tcPr>
            <w:tcW w:w="12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(Level 2)</w:t>
            </w:r>
          </w:p>
        </w:tc>
        <w:tc>
          <w:tcPr>
            <w:tcW w:w="10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(Level 3)</w:t>
            </w:r>
          </w:p>
        </w:tc>
        <w:tc>
          <w:tcPr>
            <w:tcW w:w="16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r>
      <w:tr>
        <w:trPr>
          <w:trHeight w:val="137"/>
        </w:trPr>
        <w:tc>
          <w:tcPr>
            <w:tcW w:w="43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432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9,768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9,768</w:t>
            </w:r>
          </w:p>
        </w:tc>
      </w:tr>
      <w:tr>
        <w:trPr>
          <w:trHeight w:val="210"/>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Restricted cash</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1,086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1,086</w:t>
            </w:r>
          </w:p>
        </w:tc>
      </w:tr>
      <w:tr>
        <w:trPr>
          <w:trHeight w:val="216"/>
        </w:trPr>
        <w:tc>
          <w:tcPr>
            <w:tcW w:w="4320" w:type="dxa"/>
            <w:vAlign w:val="bottom"/>
          </w:tcPr>
          <w:p>
            <w:pPr>
              <w:ind w:left="180"/>
              <w:spacing w:after="0"/>
              <w:rPr>
                <w:sz w:val="20"/>
                <w:szCs w:val="20"/>
                <w:color w:val="auto"/>
              </w:rPr>
            </w:pPr>
            <w:r>
              <w:rPr>
                <w:rFonts w:ascii="Arial" w:cs="Arial" w:eastAsia="Arial" w:hAnsi="Arial"/>
                <w:sz w:val="17"/>
                <w:szCs w:val="17"/>
                <w:color w:val="auto"/>
              </w:rPr>
              <w:t>Notes receivable</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89</w:t>
            </w: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10,854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10,943</w:t>
            </w:r>
          </w:p>
        </w:tc>
      </w:tr>
      <w:tr>
        <w:trPr>
          <w:trHeight w:val="26"/>
        </w:trPr>
        <w:tc>
          <w:tcPr>
            <w:tcW w:w="4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980"/>
          </w:cols>
          <w:pgMar w:left="240" w:top="131" w:right="67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G—FAIR VALUE OF FINANCIAL INSTRUMENTS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a summary of the Company's financial instruments measured at fair value on a recurring basis as of December 31, 2012:</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9"/>
              </w:rPr>
              <w:t>Quoted prices in</w:t>
            </w:r>
          </w:p>
        </w:tc>
        <w:tc>
          <w:tcPr>
            <w:tcW w:w="12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Significant other</w:t>
            </w:r>
          </w:p>
        </w:tc>
        <w:tc>
          <w:tcPr>
            <w:tcW w:w="10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Significant</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260"/>
              <w:spacing w:after="0" w:line="144" w:lineRule="exact"/>
              <w:rPr>
                <w:sz w:val="20"/>
                <w:szCs w:val="20"/>
                <w:color w:val="auto"/>
              </w:rPr>
            </w:pPr>
            <w:r>
              <w:rPr>
                <w:rFonts w:ascii="Arial" w:cs="Arial" w:eastAsia="Arial" w:hAnsi="Arial"/>
                <w:sz w:val="13"/>
                <w:szCs w:val="13"/>
                <w:b w:val="1"/>
                <w:bCs w:val="1"/>
                <w:color w:val="auto"/>
                <w:w w:val="91"/>
              </w:rPr>
              <w:t>active markets for</w:t>
            </w:r>
          </w:p>
        </w:tc>
        <w:tc>
          <w:tcPr>
            <w:tcW w:w="120" w:type="dxa"/>
            <w:vAlign w:val="bottom"/>
          </w:tcPr>
          <w:p>
            <w:pPr>
              <w:spacing w:after="0"/>
              <w:rPr>
                <w:sz w:val="12"/>
                <w:szCs w:val="12"/>
                <w:color w:val="auto"/>
              </w:rPr>
            </w:pPr>
          </w:p>
        </w:tc>
        <w:tc>
          <w:tcPr>
            <w:tcW w:w="12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0"/>
              </w:rPr>
              <w:t>observable</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unobservable</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280"/>
              <w:spacing w:after="0" w:line="144" w:lineRule="exact"/>
              <w:rPr>
                <w:sz w:val="20"/>
                <w:szCs w:val="20"/>
                <w:color w:val="auto"/>
              </w:rPr>
            </w:pPr>
            <w:r>
              <w:rPr>
                <w:rFonts w:ascii="Arial" w:cs="Arial" w:eastAsia="Arial" w:hAnsi="Arial"/>
                <w:sz w:val="13"/>
                <w:szCs w:val="13"/>
                <w:b w:val="1"/>
                <w:bCs w:val="1"/>
                <w:color w:val="auto"/>
                <w:w w:val="86"/>
              </w:rPr>
              <w:t>identical assets</w:t>
            </w:r>
          </w:p>
        </w:tc>
        <w:tc>
          <w:tcPr>
            <w:tcW w:w="120" w:type="dxa"/>
            <w:vAlign w:val="bottom"/>
          </w:tcPr>
          <w:p>
            <w:pPr>
              <w:spacing w:after="0"/>
              <w:rPr>
                <w:sz w:val="12"/>
                <w:szCs w:val="12"/>
                <w:color w:val="auto"/>
              </w:rPr>
            </w:pPr>
          </w:p>
        </w:tc>
        <w:tc>
          <w:tcPr>
            <w:tcW w:w="12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9"/>
              </w:rPr>
              <w:t>remaining inputs</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inputs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0"/>
              </w:rPr>
              <w:t>(Level 1)</w:t>
            </w:r>
          </w:p>
        </w:tc>
        <w:tc>
          <w:tcPr>
            <w:tcW w:w="12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(Level 2)</w:t>
            </w:r>
          </w:p>
        </w:tc>
        <w:tc>
          <w:tcPr>
            <w:tcW w:w="10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(Level 3)</w:t>
            </w:r>
          </w:p>
        </w:tc>
        <w:tc>
          <w:tcPr>
            <w:tcW w:w="16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7"/>
        </w:trPr>
        <w:tc>
          <w:tcPr>
            <w:tcW w:w="43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10,723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10,723</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Restricted cash</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503</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7"/>
                <w:szCs w:val="17"/>
                <w:color w:val="auto"/>
              </w:rPr>
              <w:t>Notes receivable</w:t>
            </w:r>
          </w:p>
        </w:tc>
        <w:tc>
          <w:tcPr>
            <w:tcW w:w="12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1,034</w:t>
            </w:r>
          </w:p>
        </w:tc>
        <w:tc>
          <w:tcPr>
            <w:tcW w:w="10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1,034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11,226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12,260</w:t>
            </w:r>
          </w:p>
        </w:tc>
        <w:tc>
          <w:tcPr>
            <w:tcW w:w="0" w:type="dxa"/>
            <w:vAlign w:val="bottom"/>
          </w:tcPr>
          <w:p>
            <w:pPr>
              <w:spacing w:after="0"/>
              <w:rPr>
                <w:sz w:val="1"/>
                <w:szCs w:val="1"/>
                <w:color w:val="auto"/>
              </w:rPr>
            </w:pPr>
          </w:p>
        </w:tc>
      </w:tr>
      <w:tr>
        <w:trPr>
          <w:trHeight w:val="26"/>
        </w:trPr>
        <w:tc>
          <w:tcPr>
            <w:tcW w:w="4320" w:type="dxa"/>
            <w:vAlign w:val="bottom"/>
            <w:vMerge w:val="restart"/>
          </w:tcPr>
          <w:p>
            <w:pPr>
              <w:spacing w:after="0"/>
              <w:rPr>
                <w:sz w:val="20"/>
                <w:szCs w:val="20"/>
                <w:color w:val="auto"/>
              </w:rPr>
            </w:pPr>
            <w:r>
              <w:rPr>
                <w:rFonts w:ascii="Arial" w:cs="Arial" w:eastAsia="Arial" w:hAnsi="Arial"/>
                <w:sz w:val="17"/>
                <w:szCs w:val="17"/>
                <w:color w:val="auto"/>
              </w:rPr>
              <w:t>Liabilities:</w:t>
            </w: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rate swap</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6"/>
        </w:trPr>
        <w:tc>
          <w:tcPr>
            <w:tcW w:w="4320" w:type="dxa"/>
            <w:vAlign w:val="bottom"/>
            <w:vMerge w:val="restart"/>
          </w:tcPr>
          <w:p>
            <w:pPr>
              <w:spacing w:after="0"/>
              <w:rPr>
                <w:sz w:val="20"/>
                <w:szCs w:val="20"/>
                <w:color w:val="auto"/>
              </w:rPr>
            </w:pPr>
            <w:r>
              <w:rPr>
                <w:rFonts w:ascii="Arial" w:cs="Arial" w:eastAsia="Arial" w:hAnsi="Arial"/>
                <w:sz w:val="17"/>
                <w:szCs w:val="17"/>
                <w:color w:val="auto"/>
              </w:rPr>
              <w:t>Total liabilities</w:t>
            </w: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2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ind w:left="70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a summary of the Company's financial instruments measured at fair value on a recurring basis as of December 31, 2011: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Quoted prices in</w:t>
            </w:r>
          </w:p>
        </w:tc>
        <w:tc>
          <w:tcPr>
            <w:tcW w:w="12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Significant other</w:t>
            </w:r>
          </w:p>
        </w:tc>
        <w:tc>
          <w:tcPr>
            <w:tcW w:w="10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Significant</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1"/>
              </w:rPr>
              <w:t>active markets for</w:t>
            </w: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7"/>
              </w:rPr>
              <w:t>observable</w:t>
            </w: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7"/>
              </w:rPr>
              <w:t>unobservable</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4"/>
              </w:rPr>
              <w:t>identical assets</w:t>
            </w: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1"/>
              </w:rPr>
              <w:t>remaining inputs</w:t>
            </w: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7"/>
              </w:rPr>
              <w:t>inputs</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(Level 1)</w:t>
            </w:r>
          </w:p>
        </w:tc>
        <w:tc>
          <w:tcPr>
            <w:tcW w:w="12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(Level 2)</w:t>
            </w:r>
          </w:p>
        </w:tc>
        <w:tc>
          <w:tcPr>
            <w:tcW w:w="10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(Level 3)</w:t>
            </w:r>
          </w:p>
        </w:tc>
        <w:tc>
          <w:tcPr>
            <w:tcW w:w="140" w:type="dxa"/>
            <w:vAlign w:val="bottom"/>
          </w:tcPr>
          <w:p>
            <w:pPr>
              <w:spacing w:after="0"/>
              <w:rPr>
                <w:sz w:val="13"/>
                <w:szCs w:val="13"/>
                <w:color w:val="auto"/>
              </w:rPr>
            </w:pPr>
          </w:p>
        </w:tc>
        <w:tc>
          <w:tcPr>
            <w:tcW w:w="1780" w:type="dxa"/>
            <w:vAlign w:val="bottom"/>
            <w:gridSpan w:val="3"/>
          </w:tcPr>
          <w:p>
            <w:pPr>
              <w:ind w:left="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1340" w:type="dxa"/>
            <w:vAlign w:val="bottom"/>
            <w:gridSpan w:val="2"/>
          </w:tcPr>
          <w:p>
            <w:pPr>
              <w:ind w:left="1240"/>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1,768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1,768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Restricted cash</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00" w:type="dxa"/>
            <w:vAlign w:val="bottom"/>
          </w:tcPr>
          <w:p>
            <w:pPr>
              <w:ind w:left="180"/>
              <w:spacing w:after="0"/>
              <w:rPr>
                <w:sz w:val="20"/>
                <w:szCs w:val="20"/>
                <w:color w:val="auto"/>
              </w:rPr>
            </w:pPr>
            <w:r>
              <w:rPr>
                <w:rFonts w:ascii="Arial" w:cs="Arial" w:eastAsia="Arial" w:hAnsi="Arial"/>
                <w:sz w:val="17"/>
                <w:szCs w:val="17"/>
                <w:color w:val="auto"/>
              </w:rPr>
              <w:t>Notes receivable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2,074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2,074</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200" w:type="dxa"/>
            <w:vAlign w:val="bottom"/>
            <w:vMerge w:val="restart"/>
          </w:tcPr>
          <w:p>
            <w:pPr>
              <w:spacing w:after="0"/>
              <w:rPr>
                <w:sz w:val="20"/>
                <w:szCs w:val="20"/>
                <w:color w:val="auto"/>
              </w:rPr>
            </w:pPr>
            <w:r>
              <w:rPr>
                <w:rFonts w:ascii="Arial" w:cs="Arial" w:eastAsia="Arial" w:hAnsi="Arial"/>
                <w:sz w:val="17"/>
                <w:szCs w:val="17"/>
                <w:color w:val="auto"/>
              </w:rPr>
              <w:t>Liabilities:</w:t>
            </w:r>
          </w:p>
        </w:tc>
        <w:tc>
          <w:tcPr>
            <w:tcW w:w="1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0" w:type="dxa"/>
            <w:vAlign w:val="bottom"/>
            <w:vMerge w:val="continu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tcPr>
          <w:p>
            <w:pPr>
              <w:spacing w:after="0"/>
              <w:rPr>
                <w:sz w:val="16"/>
                <w:szCs w:val="16"/>
                <w:color w:val="auto"/>
              </w:rPr>
            </w:pPr>
          </w:p>
        </w:tc>
        <w:tc>
          <w:tcPr>
            <w:tcW w:w="320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rate swap</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200" w:type="dxa"/>
            <w:vAlign w:val="bottom"/>
            <w:vMerge w:val="restart"/>
          </w:tcPr>
          <w:p>
            <w:pPr>
              <w:spacing w:after="0"/>
              <w:rPr>
                <w:sz w:val="20"/>
                <w:szCs w:val="20"/>
                <w:color w:val="auto"/>
              </w:rPr>
            </w:pPr>
            <w:r>
              <w:rPr>
                <w:rFonts w:ascii="Arial" w:cs="Arial" w:eastAsia="Arial" w:hAnsi="Arial"/>
                <w:sz w:val="17"/>
                <w:szCs w:val="17"/>
                <w:color w:val="auto"/>
              </w:rPr>
              <w:t>Total liabilities</w:t>
            </w:r>
          </w:p>
        </w:tc>
        <w:tc>
          <w:tcPr>
            <w:tcW w:w="134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0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ind w:left="100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ind w:left="70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60" w:type="dxa"/>
            <w:vAlign w:val="bottom"/>
            <w:gridSpan w:val="4"/>
          </w:tcPr>
          <w:p>
            <w:pPr>
              <w:ind w:left="1220"/>
              <w:spacing w:after="0"/>
              <w:rPr>
                <w:sz w:val="20"/>
                <w:szCs w:val="20"/>
                <w:color w:val="auto"/>
              </w:rPr>
            </w:pPr>
            <w:r>
              <w:rPr>
                <w:rFonts w:ascii="Arial" w:cs="Arial" w:eastAsia="Arial" w:hAnsi="Arial"/>
                <w:sz w:val="17"/>
                <w:szCs w:val="17"/>
                <w:color w:val="auto"/>
              </w:rPr>
              <w:t>F-20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H—NOTES PAYABLE AND LONG-TERM DEBT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Notes payable and long-term debt consisted of the following:</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5"/>
          </w:tcPr>
          <w:p>
            <w:pPr>
              <w:ind w:left="280"/>
              <w:spacing w:after="0"/>
              <w:rPr>
                <w:sz w:val="20"/>
                <w:szCs w:val="20"/>
                <w:color w:val="auto"/>
              </w:rPr>
            </w:pPr>
            <w:r>
              <w:rPr>
                <w:rFonts w:ascii="Arial" w:cs="Arial" w:eastAsia="Arial" w:hAnsi="Arial"/>
                <w:sz w:val="13"/>
                <w:szCs w:val="13"/>
                <w:b w:val="1"/>
                <w:bCs w:val="1"/>
                <w:color w:val="auto"/>
              </w:rPr>
              <w:t>December 31,</w:t>
            </w:r>
          </w:p>
        </w:tc>
      </w:tr>
      <w:tr>
        <w:trPr>
          <w:trHeight w:val="190"/>
        </w:trPr>
        <w:tc>
          <w:tcPr>
            <w:tcW w:w="73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6"/>
                <w:szCs w:val="16"/>
                <w:color w:val="auto"/>
              </w:rPr>
            </w:pPr>
          </w:p>
        </w:tc>
      </w:tr>
      <w:tr>
        <w:trPr>
          <w:trHeight w:val="137"/>
        </w:trPr>
        <w:tc>
          <w:tcPr>
            <w:tcW w:w="7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260"/>
              <w:spacing w:after="0" w:line="138" w:lineRule="exact"/>
              <w:rPr>
                <w:sz w:val="20"/>
                <w:szCs w:val="20"/>
                <w:color w:val="auto"/>
              </w:rPr>
            </w:pPr>
            <w:r>
              <w:rPr>
                <w:rFonts w:ascii="Arial" w:cs="Arial" w:eastAsia="Arial" w:hAnsi="Arial"/>
                <w:sz w:val="13"/>
                <w:szCs w:val="13"/>
                <w:b w:val="1"/>
                <w:bCs w:val="1"/>
                <w:color w:val="auto"/>
              </w:rPr>
              <w:t>(in</w:t>
            </w:r>
          </w:p>
        </w:tc>
        <w:tc>
          <w:tcPr>
            <w:tcW w:w="920" w:type="dxa"/>
            <w:vAlign w:val="bottom"/>
            <w:gridSpan w:val="3"/>
          </w:tcPr>
          <w:p>
            <w:pPr>
              <w:jc w:val="right"/>
              <w:ind w:right="336"/>
              <w:spacing w:after="0"/>
              <w:rPr>
                <w:sz w:val="20"/>
                <w:szCs w:val="20"/>
                <w:color w:val="auto"/>
              </w:rPr>
            </w:pPr>
            <w:r>
              <w:rPr>
                <w:rFonts w:ascii="Arial" w:cs="Arial" w:eastAsia="Arial" w:hAnsi="Arial"/>
                <w:sz w:val="12"/>
                <w:szCs w:val="12"/>
                <w:b w:val="1"/>
                <w:bCs w:val="1"/>
                <w:color w:val="auto"/>
                <w:w w:val="74"/>
              </w:rPr>
              <w:t>thousands)</w:t>
            </w:r>
          </w:p>
        </w:tc>
        <w:tc>
          <w:tcPr>
            <w:tcW w:w="140" w:type="dxa"/>
            <w:vAlign w:val="bottom"/>
          </w:tcPr>
          <w:p>
            <w:pPr>
              <w:spacing w:after="0"/>
              <w:rPr>
                <w:sz w:val="11"/>
                <w:szCs w:val="11"/>
                <w:color w:val="auto"/>
              </w:rPr>
            </w:pPr>
          </w:p>
        </w:tc>
      </w:tr>
      <w:tr>
        <w:trPr>
          <w:trHeight w:val="20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Term loan with a U.S. bank with monthly payments of principal and interest at prime plus 1.25% (floor</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8"/>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rate: 4.5%), maturing May 3, 2014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241</w:t>
            </w:r>
          </w:p>
        </w:tc>
      </w:tr>
      <w:tr>
        <w:trPr>
          <w:trHeight w:val="201"/>
        </w:trPr>
        <w:tc>
          <w:tcPr>
            <w:tcW w:w="7320" w:type="dxa"/>
            <w:vAlign w:val="bottom"/>
          </w:tcPr>
          <w:p>
            <w:pPr>
              <w:ind w:left="20"/>
              <w:spacing w:after="0"/>
              <w:rPr>
                <w:sz w:val="20"/>
                <w:szCs w:val="20"/>
                <w:color w:val="auto"/>
              </w:rPr>
            </w:pPr>
            <w:r>
              <w:rPr>
                <w:rFonts w:ascii="Arial" w:cs="Arial" w:eastAsia="Arial" w:hAnsi="Arial"/>
                <w:sz w:val="17"/>
                <w:szCs w:val="17"/>
                <w:color w:val="auto"/>
                <w:w w:val="95"/>
              </w:rPr>
              <w:t>Term loan with a U.S. bank with monthly payments of principal and interest at prime plus 1.25% (floor</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7320" w:type="dxa"/>
            <w:vAlign w:val="bottom"/>
          </w:tcPr>
          <w:p>
            <w:pPr>
              <w:ind w:left="180"/>
              <w:spacing w:after="0"/>
              <w:rPr>
                <w:sz w:val="20"/>
                <w:szCs w:val="20"/>
                <w:color w:val="auto"/>
              </w:rPr>
            </w:pPr>
            <w:r>
              <w:rPr>
                <w:rFonts w:ascii="Arial" w:cs="Arial" w:eastAsia="Arial" w:hAnsi="Arial"/>
                <w:sz w:val="17"/>
                <w:szCs w:val="17"/>
                <w:color w:val="auto"/>
              </w:rPr>
              <w:t>rate: 4.15%) or swap contract (fixed 5%), maturing May 3, 2014</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3,181</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3,287</w:t>
            </w:r>
          </w:p>
        </w:tc>
      </w:tr>
      <w:tr>
        <w:trPr>
          <w:trHeight w:val="202"/>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Revolving line of credit with a U.S. bank up to $10,500,000 with interest at prime plus 1.25% (floor</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8"/>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rate: 4.5%), maturing November 15, 2013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8,637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7,176</w:t>
            </w:r>
          </w:p>
        </w:tc>
      </w:tr>
      <w:tr>
        <w:trPr>
          <w:trHeight w:val="201"/>
        </w:trPr>
        <w:tc>
          <w:tcPr>
            <w:tcW w:w="7320" w:type="dxa"/>
            <w:vAlign w:val="bottom"/>
          </w:tcPr>
          <w:p>
            <w:pPr>
              <w:ind w:left="20"/>
              <w:spacing w:after="0"/>
              <w:rPr>
                <w:sz w:val="20"/>
                <w:szCs w:val="20"/>
                <w:color w:val="auto"/>
              </w:rPr>
            </w:pPr>
            <w:r>
              <w:rPr>
                <w:rFonts w:ascii="Arial" w:cs="Arial" w:eastAsia="Arial" w:hAnsi="Arial"/>
                <w:sz w:val="17"/>
                <w:szCs w:val="17"/>
                <w:color w:val="auto"/>
                <w:w w:val="94"/>
              </w:rPr>
              <w:t>Revolving line of credit with a China bank up to $12,847,421 with interest at 110% of China Prime rate</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which ranged from 3.87% to 7.54% in 2012 with various maturity dates from February 2013 to</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7320" w:type="dxa"/>
            <w:vAlign w:val="bottom"/>
          </w:tcPr>
          <w:p>
            <w:pPr>
              <w:ind w:left="180"/>
              <w:spacing w:after="0"/>
              <w:rPr>
                <w:sz w:val="20"/>
                <w:szCs w:val="20"/>
                <w:color w:val="auto"/>
              </w:rPr>
            </w:pPr>
            <w:r>
              <w:rPr>
                <w:rFonts w:ascii="Arial" w:cs="Arial" w:eastAsia="Arial" w:hAnsi="Arial"/>
                <w:sz w:val="17"/>
                <w:szCs w:val="17"/>
                <w:color w:val="auto"/>
              </w:rPr>
              <w:t>March 2014</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10,668</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9,681</w:t>
            </w:r>
          </w:p>
        </w:tc>
      </w:tr>
      <w:tr>
        <w:trPr>
          <w:trHeight w:val="202"/>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Bank acceptance notes issued to vendors with a zero percent interest rate, a 30% guarantee deposit of</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8"/>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$409, and maturity dates ranging from January 2013 to June 2013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1,521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662</w:t>
            </w:r>
          </w:p>
        </w:tc>
      </w:tr>
      <w:tr>
        <w:trPr>
          <w:trHeight w:val="201"/>
        </w:trPr>
        <w:tc>
          <w:tcPr>
            <w:tcW w:w="7320" w:type="dxa"/>
            <w:vAlign w:val="bottom"/>
          </w:tcPr>
          <w:p>
            <w:pPr>
              <w:ind w:left="20"/>
              <w:spacing w:after="0"/>
              <w:rPr>
                <w:sz w:val="20"/>
                <w:szCs w:val="20"/>
                <w:color w:val="auto"/>
              </w:rPr>
            </w:pPr>
            <w:r>
              <w:rPr>
                <w:rFonts w:ascii="Arial" w:cs="Arial" w:eastAsia="Arial" w:hAnsi="Arial"/>
                <w:sz w:val="17"/>
                <w:szCs w:val="17"/>
                <w:color w:val="auto"/>
                <w:w w:val="95"/>
              </w:rPr>
              <w:t>Revolving line of credit with a China bank up to $1,150,000 with interest at 7.54%, 125% of the China</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7320" w:type="dxa"/>
            <w:vAlign w:val="bottom"/>
          </w:tcPr>
          <w:p>
            <w:pPr>
              <w:ind w:left="180"/>
              <w:spacing w:after="0"/>
              <w:rPr>
                <w:sz w:val="20"/>
                <w:szCs w:val="20"/>
                <w:color w:val="auto"/>
              </w:rPr>
            </w:pPr>
            <w:r>
              <w:rPr>
                <w:rFonts w:ascii="Arial" w:cs="Arial" w:eastAsia="Arial" w:hAnsi="Arial"/>
                <w:sz w:val="17"/>
                <w:szCs w:val="17"/>
                <w:color w:val="auto"/>
              </w:rPr>
              <w:t>Prime rate in 2011</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555</w:t>
            </w:r>
          </w:p>
        </w:tc>
      </w:tr>
      <w:tr>
        <w:trPr>
          <w:trHeight w:val="202"/>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Note payable to a finance company due in monthly installments with 9% interest, maturing October 31,</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8"/>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2013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w:t>
            </w:r>
          </w:p>
        </w:tc>
      </w:tr>
      <w:tr>
        <w:trPr>
          <w:trHeight w:val="201"/>
        </w:trPr>
        <w:tc>
          <w:tcPr>
            <w:tcW w:w="7320" w:type="dxa"/>
            <w:vAlign w:val="bottom"/>
          </w:tcPr>
          <w:p>
            <w:pPr>
              <w:ind w:left="20"/>
              <w:spacing w:after="0"/>
              <w:rPr>
                <w:sz w:val="20"/>
                <w:szCs w:val="20"/>
                <w:color w:val="auto"/>
              </w:rPr>
            </w:pPr>
            <w:r>
              <w:rPr>
                <w:rFonts w:ascii="Arial" w:cs="Arial" w:eastAsia="Arial" w:hAnsi="Arial"/>
                <w:sz w:val="17"/>
                <w:szCs w:val="17"/>
                <w:color w:val="auto"/>
                <w:w w:val="95"/>
              </w:rPr>
              <w:t>Note payable to a finance company due in monthly installments with 3.3% interest, maturing June 20,</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2013</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398</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9"/>
        </w:trPr>
        <w:tc>
          <w:tcPr>
            <w:tcW w:w="7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24,584</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21,687</w:t>
            </w:r>
          </w:p>
        </w:tc>
      </w:tr>
      <w:tr>
        <w:trPr>
          <w:trHeight w:val="417"/>
        </w:trPr>
        <w:tc>
          <w:tcPr>
            <w:tcW w:w="7320" w:type="dxa"/>
            <w:vAlign w:val="bottom"/>
          </w:tcPr>
          <w:p>
            <w:pPr>
              <w:ind w:left="20"/>
              <w:spacing w:after="0"/>
              <w:rPr>
                <w:sz w:val="20"/>
                <w:szCs w:val="20"/>
                <w:color w:val="auto"/>
              </w:rPr>
            </w:pPr>
            <w:r>
              <w:rPr>
                <w:rFonts w:ascii="Arial" w:cs="Arial" w:eastAsia="Arial" w:hAnsi="Arial"/>
                <w:sz w:val="17"/>
                <w:szCs w:val="17"/>
                <w:color w:val="auto"/>
              </w:rPr>
              <w:t>Less current portion</w:t>
            </w:r>
          </w:p>
        </w:tc>
        <w:tc>
          <w:tcPr>
            <w:tcW w:w="18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15,421</w:t>
            </w:r>
          </w:p>
        </w:tc>
        <w:tc>
          <w:tcPr>
            <w:tcW w:w="1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18,326</w:t>
            </w:r>
          </w:p>
        </w:tc>
      </w:tr>
      <w:tr>
        <w:trPr>
          <w:trHeight w:val="29"/>
        </w:trPr>
        <w:tc>
          <w:tcPr>
            <w:tcW w:w="7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 term portion</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9,163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3,361</w:t>
            </w:r>
          </w:p>
        </w:tc>
      </w:tr>
      <w:tr>
        <w:trPr>
          <w:trHeight w:val="26"/>
        </w:trPr>
        <w:tc>
          <w:tcPr>
            <w:tcW w:w="7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20" w:firstLine="338"/>
        <w:spacing w:after="0" w:line="282" w:lineRule="auto"/>
        <w:rPr>
          <w:sz w:val="20"/>
          <w:szCs w:val="20"/>
          <w:color w:val="auto"/>
        </w:rPr>
      </w:pPr>
      <w:r>
        <w:rPr>
          <w:rFonts w:ascii="Arial" w:cs="Arial" w:eastAsia="Arial" w:hAnsi="Arial"/>
          <w:sz w:val="17"/>
          <w:szCs w:val="17"/>
          <w:color w:val="auto"/>
        </w:rPr>
        <w:t>The current portion of long-term debt is the amount payable within one year of the balance sheet date of December 31, 2012. The prime rate of interest was 3.25% on December 31, 2012 and 2011.</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240" w:type="dxa"/>
            <w:vAlign w:val="bottom"/>
            <w:gridSpan w:val="2"/>
          </w:tcPr>
          <w:p>
            <w:pPr>
              <w:jc w:val="right"/>
              <w:ind w:right="135"/>
              <w:spacing w:after="0"/>
              <w:rPr>
                <w:sz w:val="20"/>
                <w:szCs w:val="20"/>
                <w:color w:val="auto"/>
              </w:rPr>
            </w:pPr>
            <w:r>
              <w:rPr>
                <w:rFonts w:ascii="Arial" w:cs="Arial" w:eastAsia="Arial" w:hAnsi="Arial"/>
                <w:sz w:val="17"/>
                <w:szCs w:val="17"/>
                <w:color w:val="auto"/>
                <w:w w:val="90"/>
              </w:rPr>
              <w:t>Maturities of notes payable and long-term debt are as follows for the future years ending December 31(in thousands):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8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vMerge w:val="continue"/>
          </w:tcPr>
          <w:p>
            <w:pPr>
              <w:spacing w:after="0"/>
              <w:rPr>
                <w:sz w:val="18"/>
                <w:szCs w:val="18"/>
                <w:color w:val="auto"/>
              </w:rPr>
            </w:pPr>
          </w:p>
        </w:tc>
        <w:tc>
          <w:tcPr>
            <w:tcW w:w="6860" w:type="dxa"/>
            <w:vAlign w:val="bottom"/>
            <w:shd w:val="clear" w:color="auto" w:fill="CCEEFF"/>
          </w:tcPr>
          <w:p>
            <w:pPr>
              <w:jc w:val="right"/>
              <w:ind w:right="6435"/>
              <w:spacing w:after="0"/>
              <w:rPr>
                <w:sz w:val="20"/>
                <w:szCs w:val="20"/>
                <w:color w:val="auto"/>
              </w:rPr>
            </w:pPr>
            <w:r>
              <w:rPr>
                <w:rFonts w:ascii="Arial" w:cs="Arial" w:eastAsia="Arial" w:hAnsi="Arial"/>
                <w:sz w:val="17"/>
                <w:szCs w:val="17"/>
                <w:color w:val="auto"/>
                <w:w w:val="84"/>
              </w:rPr>
              <w:t>2013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jc w:val="right"/>
              <w:ind w:right="6435"/>
              <w:spacing w:after="0"/>
              <w:rPr>
                <w:sz w:val="20"/>
                <w:szCs w:val="20"/>
                <w:color w:val="auto"/>
              </w:rPr>
            </w:pPr>
            <w:r>
              <w:rPr>
                <w:rFonts w:ascii="Arial" w:cs="Arial" w:eastAsia="Arial" w:hAnsi="Arial"/>
                <w:sz w:val="17"/>
                <w:szCs w:val="17"/>
                <w:color w:val="auto"/>
                <w:w w:val="84"/>
              </w:rPr>
              <w:t>2014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9,163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6860" w:type="dxa"/>
            <w:vAlign w:val="bottom"/>
            <w:shd w:val="clear" w:color="auto" w:fill="CCEEFF"/>
          </w:tcPr>
          <w:p>
            <w:pPr>
              <w:jc w:val="right"/>
              <w:ind w:right="5415"/>
              <w:spacing w:after="0"/>
              <w:rPr>
                <w:sz w:val="20"/>
                <w:szCs w:val="20"/>
                <w:color w:val="auto"/>
              </w:rPr>
            </w:pPr>
            <w:r>
              <w:rPr>
                <w:rFonts w:ascii="Arial" w:cs="Arial" w:eastAsia="Arial" w:hAnsi="Arial"/>
                <w:sz w:val="17"/>
                <w:szCs w:val="17"/>
                <w:color w:val="auto"/>
              </w:rPr>
              <w:t>Total outstanding</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24,584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U.S. bank loans and line of credit agreement require the Company to meet certain financial covenants including a minimum liquidity ratio, minimum quarterly earnings and debt service coverage requirements as well as maximum debt to tangible net worth ratio and reporting requirements. Collateral for the U.S. bank loans and line of credit includes substantially all of</w:t>
      </w:r>
    </w:p>
    <w:p>
      <w:pPr>
        <w:spacing w:after="0" w:line="17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H—NOTES PAYABLE AND LONG-TERM DEBT (Continued)</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the assets of the Company. As of December 31, 2012, the Company was in compliance with all of its financial and operational covenants associated with these loans.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2012, the Company had $4.7 million of unused borrowing capacity.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November 2012, the Company renewed its U.S. revolving line of credit of $10.5 million with the same U.S. bank with a maturity date of November 15, 2013.</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interest rate on this line of credit is the prime rate plus 1.25% or the floor rate 4.5%, whichever is higher.</w:t>
      </w:r>
    </w:p>
    <w:p>
      <w:pPr>
        <w:spacing w:after="0" w:line="218"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In May 2011, the Company entered into an interest rate swap transaction contract for its real estate loan of $3.4 million for a fixed rate of 5% expiring on May 5, 2013. A security deposit of $60,000 was required for this swap contract. On December 31, 2012, the Company would pay $11,000 in additional interest if it terminated such swap contract. The Company determines a mark-to-market valuation of its swap contract each period, and any changes in fair value is recognized in the statement of operations.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issued the following warrants to the same U.S. bank in connection with the renewals of the loan in 2009, 2010 and 2012:</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5"/>
              </w:rPr>
              <w:t>Warrants</w:t>
            </w:r>
          </w:p>
        </w:tc>
        <w:tc>
          <w:tcPr>
            <w:tcW w:w="1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9"/>
              </w:rPr>
              <w:t>Security upon</w:t>
            </w:r>
          </w:p>
        </w:tc>
        <w:tc>
          <w:tcPr>
            <w:tcW w:w="160" w:type="dxa"/>
            <w:vAlign w:val="bottom"/>
          </w:tcPr>
          <w:p>
            <w:pPr>
              <w:spacing w:after="0"/>
              <w:rPr>
                <w:sz w:val="13"/>
                <w:szCs w:val="13"/>
                <w:color w:val="auto"/>
              </w:rPr>
            </w:pPr>
          </w:p>
        </w:tc>
        <w:tc>
          <w:tcPr>
            <w:tcW w:w="1080" w:type="dxa"/>
            <w:vAlign w:val="bottom"/>
          </w:tcPr>
          <w:p>
            <w:pPr>
              <w:jc w:val="right"/>
              <w:ind w:right="74"/>
              <w:spacing w:after="0"/>
              <w:rPr>
                <w:sz w:val="20"/>
                <w:szCs w:val="20"/>
                <w:color w:val="auto"/>
              </w:rPr>
            </w:pPr>
            <w:r>
              <w:rPr>
                <w:rFonts w:ascii="Arial" w:cs="Arial" w:eastAsia="Arial" w:hAnsi="Arial"/>
                <w:sz w:val="13"/>
                <w:szCs w:val="13"/>
                <w:b w:val="1"/>
                <w:bCs w:val="1"/>
                <w:color w:val="auto"/>
              </w:rPr>
              <w:t>Initial exercise</w:t>
            </w:r>
          </w:p>
        </w:tc>
        <w:tc>
          <w:tcPr>
            <w:tcW w:w="16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Expiration</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20"/>
                <w:szCs w:val="20"/>
                <w:color w:val="auto"/>
              </w:rPr>
            </w:pPr>
            <w:r>
              <w:rPr>
                <w:rFonts w:ascii="Arial" w:cs="Arial" w:eastAsia="Arial" w:hAnsi="Arial"/>
                <w:sz w:val="13"/>
                <w:szCs w:val="13"/>
                <w:b w:val="1"/>
                <w:bCs w:val="1"/>
                <w:color w:val="auto"/>
              </w:rPr>
              <w:t>Renewal year</w:t>
            </w:r>
          </w:p>
        </w:tc>
        <w:tc>
          <w:tcPr>
            <w:tcW w:w="27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2"/>
              </w:rPr>
              <w:t>issued</w:t>
            </w:r>
          </w:p>
        </w:tc>
        <w:tc>
          <w:tcPr>
            <w:tcW w:w="1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4"/>
              </w:rPr>
              <w:t>exercise</w:t>
            </w:r>
          </w:p>
        </w:tc>
        <w:tc>
          <w:tcPr>
            <w:tcW w:w="160" w:type="dxa"/>
            <w:vAlign w:val="bottom"/>
          </w:tcPr>
          <w:p>
            <w:pPr>
              <w:spacing w:after="0"/>
              <w:rPr>
                <w:sz w:val="13"/>
                <w:szCs w:val="13"/>
                <w:color w:val="auto"/>
              </w:rPr>
            </w:pPr>
          </w:p>
        </w:tc>
        <w:tc>
          <w:tcPr>
            <w:tcW w:w="1080" w:type="dxa"/>
            <w:vAlign w:val="bottom"/>
          </w:tcPr>
          <w:p>
            <w:pPr>
              <w:jc w:val="right"/>
              <w:ind w:right="334"/>
              <w:spacing w:after="0"/>
              <w:rPr>
                <w:sz w:val="20"/>
                <w:szCs w:val="20"/>
                <w:color w:val="auto"/>
              </w:rPr>
            </w:pPr>
            <w:r>
              <w:rPr>
                <w:rFonts w:ascii="Arial" w:cs="Arial" w:eastAsia="Arial" w:hAnsi="Arial"/>
                <w:sz w:val="13"/>
                <w:szCs w:val="13"/>
                <w:b w:val="1"/>
                <w:bCs w:val="1"/>
                <w:color w:val="auto"/>
              </w:rPr>
              <w:t>price</w:t>
            </w:r>
          </w:p>
        </w:tc>
        <w:tc>
          <w:tcPr>
            <w:tcW w:w="16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date</w:t>
            </w:r>
          </w:p>
        </w:tc>
        <w:tc>
          <w:tcPr>
            <w:tcW w:w="0" w:type="dxa"/>
            <w:vAlign w:val="bottom"/>
          </w:tcPr>
          <w:p>
            <w:pPr>
              <w:spacing w:after="0"/>
              <w:rPr>
                <w:sz w:val="1"/>
                <w:szCs w:val="1"/>
                <w:color w:val="auto"/>
              </w:rPr>
            </w:pPr>
          </w:p>
        </w:tc>
      </w:tr>
      <w:tr>
        <w:trPr>
          <w:trHeight w:val="124"/>
        </w:trPr>
        <w:tc>
          <w:tcPr>
            <w:tcW w:w="900" w:type="dxa"/>
            <w:vAlign w:val="bottom"/>
            <w:tcBorders>
              <w:top w:val="single" w:sz="8" w:color="auto"/>
            </w:tcBorders>
          </w:tcPr>
          <w:p>
            <w:pPr>
              <w:spacing w:after="0"/>
              <w:rPr>
                <w:sz w:val="10"/>
                <w:szCs w:val="10"/>
                <w:color w:val="auto"/>
              </w:rPr>
            </w:pPr>
          </w:p>
        </w:tc>
        <w:tc>
          <w:tcPr>
            <w:tcW w:w="2700" w:type="dxa"/>
            <w:vAlign w:val="bottom"/>
          </w:tcPr>
          <w:p>
            <w:pPr>
              <w:spacing w:after="0"/>
              <w:rPr>
                <w:sz w:val="10"/>
                <w:szCs w:val="10"/>
                <w:color w:val="auto"/>
              </w:rPr>
            </w:pPr>
          </w:p>
        </w:tc>
        <w:tc>
          <w:tcPr>
            <w:tcW w:w="8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87"/>
              </w:rPr>
              <w:t>(shares in</w:t>
            </w:r>
          </w:p>
        </w:tc>
        <w:tc>
          <w:tcPr>
            <w:tcW w:w="16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8"/>
              </w:rPr>
              <w:t>thousands)</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0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Preferred F</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6/30/2014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2010</w:t>
            </w:r>
          </w:p>
        </w:tc>
        <w:tc>
          <w:tcPr>
            <w:tcW w:w="3520" w:type="dxa"/>
            <w:vAlign w:val="bottom"/>
            <w:gridSpan w:val="2"/>
          </w:tcPr>
          <w:p>
            <w:pPr>
              <w:jc w:val="right"/>
              <w:spacing w:after="0"/>
              <w:rPr>
                <w:sz w:val="20"/>
                <w:szCs w:val="20"/>
                <w:color w:val="auto"/>
              </w:rPr>
            </w:pPr>
            <w:r>
              <w:rPr>
                <w:rFonts w:ascii="Arial" w:cs="Arial" w:eastAsia="Arial" w:hAnsi="Arial"/>
                <w:sz w:val="17"/>
                <w:szCs w:val="17"/>
                <w:color w:val="auto"/>
              </w:rPr>
              <w:t>250</w:t>
            </w:r>
          </w:p>
        </w:tc>
        <w:tc>
          <w:tcPr>
            <w:tcW w:w="1100" w:type="dxa"/>
            <w:vAlign w:val="bottom"/>
            <w:gridSpan w:val="2"/>
          </w:tcPr>
          <w:p>
            <w:pPr>
              <w:ind w:left="160"/>
              <w:spacing w:after="0"/>
              <w:rPr>
                <w:sz w:val="20"/>
                <w:szCs w:val="20"/>
                <w:color w:val="auto"/>
              </w:rPr>
            </w:pPr>
            <w:r>
              <w:rPr>
                <w:rFonts w:ascii="Arial" w:cs="Arial" w:eastAsia="Arial" w:hAnsi="Arial"/>
                <w:sz w:val="17"/>
                <w:szCs w:val="17"/>
                <w:color w:val="auto"/>
              </w:rPr>
              <w:t>Preferred F</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0.60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5/3/2013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Preferred G</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11/2/2017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0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3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0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20" w:firstLine="338"/>
        <w:spacing w:after="0" w:line="282" w:lineRule="auto"/>
        <w:rPr>
          <w:sz w:val="20"/>
          <w:szCs w:val="20"/>
          <w:color w:val="auto"/>
        </w:rPr>
      </w:pPr>
      <w:r>
        <w:rPr>
          <w:rFonts w:ascii="Arial" w:cs="Arial" w:eastAsia="Arial" w:hAnsi="Arial"/>
          <w:sz w:val="17"/>
          <w:szCs w:val="17"/>
          <w:color w:val="auto"/>
        </w:rPr>
        <w:t>The Company estimated the fair value of these warrants at the date of the grant using the Black-Scholes option-pricing model and records the expense over the vesting period of the warrants using the following assumptions: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Expected</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Risk free</w:t>
            </w: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Expected</w:t>
            </w:r>
          </w:p>
        </w:tc>
        <w:tc>
          <w:tcPr>
            <w:tcW w:w="0" w:type="dxa"/>
            <w:vAlign w:val="bottom"/>
          </w:tcPr>
          <w:p>
            <w:pPr>
              <w:spacing w:after="0"/>
              <w:rPr>
                <w:sz w:val="1"/>
                <w:szCs w:val="1"/>
                <w:color w:val="auto"/>
              </w:rPr>
            </w:pPr>
          </w:p>
        </w:tc>
      </w:tr>
      <w:tr>
        <w:trPr>
          <w:trHeight w:val="157"/>
        </w:trPr>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Issue date</w:t>
            </w:r>
          </w:p>
        </w:tc>
        <w:tc>
          <w:tcPr>
            <w:tcW w:w="436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volatility</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interest rate</w:t>
            </w: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term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4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2.54%</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2010</w:t>
            </w:r>
          </w:p>
        </w:tc>
        <w:tc>
          <w:tcPr>
            <w:tcW w:w="5200" w:type="dxa"/>
            <w:vAlign w:val="bottom"/>
            <w:gridSpan w:val="3"/>
          </w:tcPr>
          <w:p>
            <w:pPr>
              <w:jc w:val="right"/>
              <w:spacing w:after="0"/>
              <w:rPr>
                <w:sz w:val="20"/>
                <w:szCs w:val="20"/>
                <w:color w:val="auto"/>
              </w:rPr>
            </w:pPr>
            <w:r>
              <w:rPr>
                <w:rFonts w:ascii="Arial" w:cs="Arial" w:eastAsia="Arial" w:hAnsi="Arial"/>
                <w:sz w:val="17"/>
                <w:szCs w:val="17"/>
                <w:color w:val="auto"/>
              </w:rPr>
              <w:t>70%</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3.66%</w:t>
            </w:r>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5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0.73%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40" w:firstLine="332"/>
        <w:spacing w:after="0" w:line="282" w:lineRule="auto"/>
        <w:rPr>
          <w:sz w:val="20"/>
          <w:szCs w:val="20"/>
          <w:color w:val="auto"/>
        </w:rPr>
      </w:pPr>
      <w:r>
        <w:rPr>
          <w:rFonts w:ascii="Arial" w:cs="Arial" w:eastAsia="Arial" w:hAnsi="Arial"/>
          <w:sz w:val="17"/>
          <w:szCs w:val="17"/>
          <w:color w:val="auto"/>
        </w:rPr>
        <w:t>As of December 31, 2012, the market value of the warrants amounted to $33,431, of which $8,707 was recorded as interest expense in 2012, representing the expense for the periods 2009 through 2012. No warrants were exercised during 2012, 2011 and 2010.</w:t>
      </w:r>
    </w:p>
    <w:p>
      <w:pPr>
        <w:spacing w:after="0" w:line="170" w:lineRule="exact"/>
        <w:rPr>
          <w:sz w:val="20"/>
          <w:szCs w:val="20"/>
          <w:color w:val="auto"/>
        </w:rPr>
      </w:pPr>
    </w:p>
    <w:p>
      <w:pPr>
        <w:ind w:right="220" w:firstLine="338"/>
        <w:spacing w:after="0" w:line="352" w:lineRule="auto"/>
        <w:rPr>
          <w:sz w:val="20"/>
          <w:szCs w:val="20"/>
          <w:color w:val="auto"/>
        </w:rPr>
      </w:pPr>
      <w:r>
        <w:rPr>
          <w:rFonts w:ascii="Arial" w:cs="Arial" w:eastAsia="Arial" w:hAnsi="Arial"/>
          <w:sz w:val="15"/>
          <w:szCs w:val="15"/>
          <w:color w:val="auto"/>
        </w:rPr>
        <w:t>The Company estimated the fair value of these warrants at the date of the grant using the Black-Scholes option-pricing model and records the expense over the life of the warrants. As of December 31, 2012, the market value of the warrants amounted to $33,431, of which $8,707 was recorded as warrant expenses.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H—NOTES PAYABLE AND LONG-TERM DEBT (Continued)</w:t>
      </w:r>
    </w:p>
    <w:p>
      <w:pPr>
        <w:spacing w:after="0" w:line="228" w:lineRule="exact"/>
        <w:rPr>
          <w:sz w:val="20"/>
          <w:szCs w:val="20"/>
          <w:color w:val="auto"/>
        </w:rPr>
      </w:pPr>
    </w:p>
    <w:p>
      <w:pPr>
        <w:ind w:right="100" w:firstLine="338"/>
        <w:spacing w:after="0" w:line="270" w:lineRule="auto"/>
        <w:rPr>
          <w:sz w:val="20"/>
          <w:szCs w:val="20"/>
          <w:color w:val="auto"/>
        </w:rPr>
      </w:pPr>
      <w:r>
        <w:rPr>
          <w:rFonts w:ascii="Arial" w:cs="Arial" w:eastAsia="Arial" w:hAnsi="Arial"/>
          <w:sz w:val="17"/>
          <w:szCs w:val="17"/>
          <w:color w:val="auto"/>
        </w:rPr>
        <w:t>The Company, through its China subsidiary, established a bank line of credit for $11.8 million and $1.1 million with a China Bank as of December 31, 2012. The interest rate for this line of credit varies between 110% and 125% of the China prime rate. This credit line is a revolving line that is renewable by its anniversary. Collateral for the loans includes the land use rights, building and equipment located in China.</w:t>
      </w:r>
    </w:p>
    <w:p>
      <w:pPr>
        <w:spacing w:after="0" w:line="179" w:lineRule="exact"/>
        <w:rPr>
          <w:sz w:val="20"/>
          <w:szCs w:val="20"/>
          <w:color w:val="auto"/>
        </w:rPr>
      </w:pPr>
    </w:p>
    <w:p>
      <w:pPr>
        <w:ind w:right="120" w:firstLine="338"/>
        <w:spacing w:after="0" w:line="270" w:lineRule="auto"/>
        <w:rPr>
          <w:sz w:val="20"/>
          <w:szCs w:val="20"/>
          <w:color w:val="auto"/>
        </w:rPr>
      </w:pPr>
      <w:r>
        <w:rPr>
          <w:rFonts w:ascii="Arial" w:cs="Arial" w:eastAsia="Arial" w:hAnsi="Arial"/>
          <w:sz w:val="17"/>
          <w:szCs w:val="17"/>
          <w:color w:val="auto"/>
        </w:rPr>
        <w:t>The Company entered into a 12-month equipment financing agreement of $0.9 million with a Taiwan bank during 2012. The financing agreement required equipment collateral and a compensation deposit of $50,000 that is included in restricted cash. The agreement requires monthly installment payments over 12 months and ends in June 2013. The financing agreement bears interest at the rate of 3.375%.</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I—SHORT-TERM LOAN WITH SHAREHOLDERS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2010, the Company borrowed $3.2 million from 12 shareholders under the terms of unsecured promissory note agreements. These notes bore an interest rate of</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6% with maturity dates of 18 months from the effective dates of the notes originally maturing on October 21, 2011, but extended to December 31, 2012. The note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holders were also issued warrants that expire by April 23, 2020, to purchase 1,536,000 shares of the Company's Series F Preferred Stock, with an exercise price of</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$0.25 per share. As part of the loan maturity date extension, additional warrants to purchase 182,442 shares of the Company's Series G Preferred Stock were issued in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2011 with an exercise price of $0.60 per share that expire on April 23, 2020.</w:t>
      </w:r>
    </w:p>
    <w:p>
      <w:pPr>
        <w:spacing w:after="0" w:line="218"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In 2011, two of the note holders converted their respective notes into shares of Series G Preferred Stock and four of the notes were repaid in full. In 2012, five of the remaining note holders converted their respective notes into shares of Series G Preferred Stock and one of the notes was repaid. As of December 31, 2012, all principal and interest related to these notes had been fully satisfied.</w:t>
      </w:r>
    </w:p>
    <w:p>
      <w:pPr>
        <w:spacing w:after="0" w:line="179" w:lineRule="exact"/>
        <w:rPr>
          <w:sz w:val="20"/>
          <w:szCs w:val="20"/>
          <w:color w:val="auto"/>
        </w:rPr>
      </w:pPr>
    </w:p>
    <w:p>
      <w:pPr>
        <w:ind w:right="240" w:firstLine="338"/>
        <w:spacing w:after="0" w:line="282" w:lineRule="auto"/>
        <w:rPr>
          <w:sz w:val="20"/>
          <w:szCs w:val="20"/>
          <w:color w:val="auto"/>
        </w:rPr>
      </w:pPr>
      <w:r>
        <w:rPr>
          <w:rFonts w:ascii="Arial" w:cs="Arial" w:eastAsia="Arial" w:hAnsi="Arial"/>
          <w:sz w:val="17"/>
          <w:szCs w:val="17"/>
          <w:color w:val="auto"/>
        </w:rPr>
        <w:t>The Company estimated the fair value of these warrants at the date of the grant using the Black-Scholes option-pricing model and records the expense over the life of the warrants using the following assumptions: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Expected</w:t>
            </w: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Risk free</w:t>
            </w:r>
          </w:p>
        </w:tc>
        <w:tc>
          <w:tcPr>
            <w:tcW w:w="2760" w:type="dxa"/>
            <w:vAlign w:val="bottom"/>
            <w:gridSpan w:val="3"/>
          </w:tcPr>
          <w:p>
            <w:pPr>
              <w:ind w:left="180"/>
              <w:spacing w:after="0"/>
              <w:rPr>
                <w:sz w:val="20"/>
                <w:szCs w:val="20"/>
                <w:color w:val="auto"/>
              </w:rPr>
            </w:pPr>
            <w:r>
              <w:rPr>
                <w:rFonts w:ascii="Arial" w:cs="Arial" w:eastAsia="Arial" w:hAnsi="Arial"/>
                <w:sz w:val="13"/>
                <w:szCs w:val="13"/>
                <w:b w:val="1"/>
                <w:bCs w:val="1"/>
                <w:color w:val="auto"/>
              </w:rPr>
              <w:t>Expected</w:t>
            </w:r>
          </w:p>
        </w:tc>
      </w:tr>
      <w:tr>
        <w:trPr>
          <w:trHeight w:val="157"/>
        </w:trPr>
        <w:tc>
          <w:tcPr>
            <w:tcW w:w="1720" w:type="dxa"/>
            <w:vAlign w:val="bottom"/>
          </w:tcPr>
          <w:p>
            <w:pPr>
              <w:spacing w:after="0"/>
              <w:rPr>
                <w:sz w:val="13"/>
                <w:szCs w:val="13"/>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Issue date</w:t>
            </w:r>
          </w:p>
        </w:tc>
        <w:tc>
          <w:tcPr>
            <w:tcW w:w="4360" w:type="dxa"/>
            <w:vAlign w:val="bottom"/>
          </w:tcPr>
          <w:p>
            <w:pPr>
              <w:spacing w:after="0"/>
              <w:rPr>
                <w:sz w:val="13"/>
                <w:szCs w:val="13"/>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volatility</w:t>
            </w:r>
          </w:p>
        </w:tc>
        <w:tc>
          <w:tcPr>
            <w:tcW w:w="1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interest rate</w:t>
            </w:r>
          </w:p>
        </w:tc>
        <w:tc>
          <w:tcPr>
            <w:tcW w:w="160" w:type="dxa"/>
            <w:vAlign w:val="bottom"/>
          </w:tcPr>
          <w:p>
            <w:pPr>
              <w:spacing w:after="0"/>
              <w:rPr>
                <w:sz w:val="13"/>
                <w:szCs w:val="13"/>
                <w:color w:val="auto"/>
              </w:rPr>
            </w:pPr>
          </w:p>
        </w:tc>
        <w:tc>
          <w:tcPr>
            <w:tcW w:w="88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term (years)</w:t>
            </w:r>
          </w:p>
        </w:tc>
        <w:tc>
          <w:tcPr>
            <w:tcW w:w="1880" w:type="dxa"/>
            <w:vAlign w:val="bottom"/>
            <w:gridSpan w:val="2"/>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5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3.66%</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7"/>
                <w:szCs w:val="17"/>
                <w:color w:val="auto"/>
              </w:rPr>
              <w:t>2011</w:t>
            </w:r>
          </w:p>
        </w:tc>
        <w:tc>
          <w:tcPr>
            <w:tcW w:w="5200" w:type="dxa"/>
            <w:vAlign w:val="bottom"/>
            <w:gridSpan w:val="3"/>
          </w:tcPr>
          <w:p>
            <w:pPr>
              <w:jc w:val="right"/>
              <w:spacing w:after="0"/>
              <w:rPr>
                <w:sz w:val="20"/>
                <w:szCs w:val="20"/>
                <w:color w:val="auto"/>
              </w:rPr>
            </w:pPr>
            <w:r>
              <w:rPr>
                <w:rFonts w:ascii="Arial" w:cs="Arial" w:eastAsia="Arial" w:hAnsi="Arial"/>
                <w:sz w:val="17"/>
                <w:szCs w:val="17"/>
                <w:color w:val="auto"/>
              </w:rPr>
              <w:t>70%</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0.83%</w:t>
            </w:r>
          </w:p>
        </w:tc>
        <w:tc>
          <w:tcPr>
            <w:tcW w:w="88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11"/>
        </w:trPr>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0" w:type="dxa"/>
            <w:vAlign w:val="bottom"/>
            <w:gridSpan w:val="3"/>
          </w:tcPr>
          <w:p>
            <w:pPr>
              <w:jc w:val="right"/>
              <w:ind w:right="1720"/>
              <w:spacing w:after="0"/>
              <w:rPr>
                <w:sz w:val="20"/>
                <w:szCs w:val="20"/>
                <w:color w:val="auto"/>
              </w:rPr>
            </w:pPr>
            <w:r>
              <w:rPr>
                <w:rFonts w:ascii="Arial" w:cs="Arial" w:eastAsia="Arial" w:hAnsi="Arial"/>
                <w:sz w:val="17"/>
                <w:szCs w:val="17"/>
                <w:color w:val="auto"/>
              </w:rPr>
              <w:t>F-23</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I—SHORT-TERM LOAN WITH SHAREHOLDERS (Continued)</w:t>
      </w:r>
    </w:p>
    <w:p>
      <w:pPr>
        <w:spacing w:after="0" w:line="228" w:lineRule="exact"/>
        <w:rPr>
          <w:sz w:val="20"/>
          <w:szCs w:val="20"/>
          <w:color w:val="auto"/>
        </w:rPr>
      </w:pPr>
    </w:p>
    <w:p>
      <w:pPr>
        <w:ind w:right="280" w:firstLine="332"/>
        <w:spacing w:after="0" w:line="282" w:lineRule="auto"/>
        <w:rPr>
          <w:sz w:val="20"/>
          <w:szCs w:val="20"/>
          <w:color w:val="auto"/>
        </w:rPr>
      </w:pPr>
      <w:r>
        <w:rPr>
          <w:rFonts w:ascii="Arial" w:cs="Arial" w:eastAsia="Arial" w:hAnsi="Arial"/>
          <w:sz w:val="17"/>
          <w:szCs w:val="17"/>
          <w:color w:val="auto"/>
        </w:rPr>
        <w:t>As of December 31, 2012, the market value of the warrants amounted to $59,085, of which $11,422 was recorded as interest expense in 2012, representing the expense for the periods 2010 through 2012. No warrants were exercised during 2010, 2011 and 2012.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J—ACCRUED LIABILITIES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liabilities consisted of the following as of December 31:</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3"/>
                <w:szCs w:val="13"/>
                <w:b w:val="1"/>
                <w:bCs w:val="1"/>
                <w:color w:val="auto"/>
                <w:w w:val="96"/>
              </w:rPr>
              <w:t>2012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ind w:right="77"/>
              <w:spacing w:after="0" w:line="138" w:lineRule="exact"/>
              <w:rPr>
                <w:sz w:val="20"/>
                <w:szCs w:val="20"/>
                <w:color w:val="auto"/>
              </w:rPr>
            </w:pPr>
            <w:r>
              <w:rPr>
                <w:rFonts w:ascii="Arial" w:cs="Arial" w:eastAsia="Arial" w:hAnsi="Arial"/>
                <w:sz w:val="13"/>
                <w:szCs w:val="13"/>
                <w:b w:val="1"/>
                <w:bCs w:val="1"/>
                <w:color w:val="auto"/>
                <w:w w:val="87"/>
              </w:rPr>
              <w:t>(in</w:t>
            </w:r>
          </w:p>
        </w:tc>
        <w:tc>
          <w:tcPr>
            <w:tcW w:w="800" w:type="dxa"/>
            <w:vAlign w:val="bottom"/>
            <w:gridSpan w:val="5"/>
          </w:tcPr>
          <w:p>
            <w:pPr>
              <w:jc w:val="right"/>
              <w:ind w:right="236"/>
              <w:spacing w:after="0"/>
              <w:rPr>
                <w:sz w:val="20"/>
                <w:szCs w:val="20"/>
                <w:color w:val="auto"/>
              </w:rPr>
            </w:pPr>
            <w:r>
              <w:rPr>
                <w:rFonts w:ascii="Arial" w:cs="Arial" w:eastAsia="Arial" w:hAnsi="Arial"/>
                <w:sz w:val="12"/>
                <w:szCs w:val="12"/>
                <w:b w:val="1"/>
                <w:bCs w:val="1"/>
                <w:color w:val="auto"/>
                <w:w w:val="71"/>
              </w:rPr>
              <w:t>thousands)</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Accrued payroll</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1,367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Accrued employee benefits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429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452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Accrued property taxes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Accrued interest</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188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Accrued construction expenses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Advanced payments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Accrued commission</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Accrued professional fees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Accrued other</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5"/>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3,243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2,658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NOTE K—OTHER INCOME AND EXPENSE</w:t>
            </w: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continu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460" w:type="dxa"/>
            <w:vAlign w:val="bottom"/>
            <w:gridSpan w:val="2"/>
            <w:vMerge w:val="continue"/>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460" w:type="dxa"/>
            <w:vAlign w:val="bottom"/>
            <w:gridSpan w:val="2"/>
          </w:tcPr>
          <w:p>
            <w:pPr>
              <w:ind w:left="340"/>
              <w:spacing w:after="0"/>
              <w:rPr>
                <w:sz w:val="20"/>
                <w:szCs w:val="20"/>
                <w:color w:val="auto"/>
              </w:rPr>
            </w:pPr>
            <w:r>
              <w:rPr>
                <w:rFonts w:ascii="Arial" w:cs="Arial" w:eastAsia="Arial" w:hAnsi="Arial"/>
                <w:sz w:val="17"/>
                <w:szCs w:val="17"/>
                <w:color w:val="auto"/>
                <w:w w:val="92"/>
              </w:rPr>
              <w:t>Other income and expense consisted of the following as of December 31:</w:t>
            </w: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2012</w:t>
            </w:r>
          </w:p>
        </w:tc>
        <w:tc>
          <w:tcPr>
            <w:tcW w:w="60" w:type="dxa"/>
            <w:vAlign w:val="bottom"/>
            <w:tcBorders>
              <w:bottom w:val="single" w:sz="8" w:color="auto"/>
            </w:tcBorders>
          </w:tcPr>
          <w:p>
            <w:pPr>
              <w:spacing w:after="0"/>
              <w:rPr>
                <w:sz w:val="24"/>
                <w:szCs w:val="24"/>
                <w:color w:val="auto"/>
              </w:rPr>
            </w:pPr>
          </w:p>
        </w:tc>
        <w:tc>
          <w:tcPr>
            <w:tcW w:w="1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w w:val="74"/>
              </w:rPr>
              <w:t>(in</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2011</w:t>
            </w: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56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77"/>
              </w:rPr>
              <w:t>thousands)</w:t>
            </w:r>
          </w:p>
        </w:tc>
        <w:tc>
          <w:tcPr>
            <w:tcW w:w="1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Unrealized foreign exchange gain (loss)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217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15"/>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406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Realized foreign exchange gain (loss)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Government subsidy income</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71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Other non-operating gain</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Gain (loss) on disposal of assets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15"/>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4"/>
            <w:shd w:val="clear" w:color="auto" w:fill="CCEEFF"/>
          </w:tcPr>
          <w:p>
            <w:pPr>
              <w:jc w:val="right"/>
              <w:ind w:right="15"/>
              <w:spacing w:after="0"/>
              <w:rPr>
                <w:sz w:val="20"/>
                <w:szCs w:val="20"/>
                <w:color w:val="auto"/>
              </w:rPr>
            </w:pPr>
            <w:r>
              <w:rPr>
                <w:rFonts w:ascii="Arial" w:cs="Arial" w:eastAsia="Arial" w:hAnsi="Arial"/>
                <w:sz w:val="17"/>
                <w:szCs w:val="17"/>
                <w:color w:val="auto"/>
              </w:rPr>
              <w:t>(256)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300" w:type="dxa"/>
            <w:vAlign w:val="bottom"/>
            <w:gridSpan w:val="2"/>
          </w:tcPr>
          <w:p>
            <w:pPr>
              <w:jc w:val="right"/>
              <w:ind w:right="1880"/>
              <w:spacing w:after="0"/>
              <w:rPr>
                <w:sz w:val="20"/>
                <w:szCs w:val="20"/>
                <w:color w:val="auto"/>
              </w:rPr>
            </w:pPr>
            <w:r>
              <w:rPr>
                <w:rFonts w:ascii="Arial" w:cs="Arial" w:eastAsia="Arial" w:hAnsi="Arial"/>
                <w:sz w:val="17"/>
                <w:szCs w:val="17"/>
                <w:color w:val="auto"/>
              </w:rPr>
              <w:t>F-24</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L—INCOME TAXES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sources of our income or loss from operations before income taxes were as follows: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660" w:type="dxa"/>
            <w:vAlign w:val="bottom"/>
          </w:tcPr>
          <w:p>
            <w:pPr>
              <w:spacing w:after="0"/>
              <w:rPr>
                <w:sz w:val="13"/>
                <w:szCs w:val="13"/>
                <w:color w:val="auto"/>
              </w:rPr>
            </w:pPr>
          </w:p>
        </w:tc>
        <w:tc>
          <w:tcPr>
            <w:tcW w:w="15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9"/>
              </w:rPr>
              <w:t>Year Ended</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5660" w:type="dxa"/>
            <w:vAlign w:val="bottom"/>
          </w:tcPr>
          <w:p>
            <w:pPr>
              <w:spacing w:after="0"/>
              <w:rPr>
                <w:sz w:val="13"/>
                <w:szCs w:val="13"/>
                <w:color w:val="auto"/>
              </w:rPr>
            </w:pPr>
          </w:p>
        </w:tc>
        <w:tc>
          <w:tcPr>
            <w:tcW w:w="15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9"/>
              </w:rPr>
              <w:t>December 31,</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566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6"/>
                <w:szCs w:val="16"/>
                <w:color w:val="auto"/>
              </w:rPr>
            </w:pPr>
          </w:p>
        </w:tc>
      </w:tr>
      <w:tr>
        <w:trPr>
          <w:trHeight w:val="203"/>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(3,077)</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(3,513)</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(2,144)</w:t>
            </w:r>
          </w:p>
        </w:tc>
      </w:tr>
      <w:tr>
        <w:trPr>
          <w:trHeight w:val="216"/>
        </w:trPr>
        <w:tc>
          <w:tcPr>
            <w:tcW w:w="5660" w:type="dxa"/>
            <w:vAlign w:val="bottom"/>
          </w:tcPr>
          <w:p>
            <w:pPr>
              <w:spacing w:after="0"/>
              <w:rPr>
                <w:sz w:val="20"/>
                <w:szCs w:val="20"/>
                <w:color w:val="auto"/>
              </w:rPr>
            </w:pPr>
            <w:r>
              <w:rPr>
                <w:rFonts w:ascii="Arial" w:cs="Arial" w:eastAsia="Arial" w:hAnsi="Arial"/>
                <w:sz w:val="17"/>
                <w:szCs w:val="17"/>
                <w:color w:val="auto"/>
              </w:rPr>
              <w:t>Foreign (loss) income</w:t>
            </w:r>
          </w:p>
        </w:tc>
        <w:tc>
          <w:tcPr>
            <w:tcW w:w="620" w:type="dxa"/>
            <w:vAlign w:val="bottom"/>
          </w:tcPr>
          <w:p>
            <w:pPr>
              <w:jc w:val="right"/>
              <w:spacing w:after="0"/>
              <w:rPr>
                <w:sz w:val="20"/>
                <w:szCs w:val="20"/>
                <w:color w:val="auto"/>
              </w:rPr>
            </w:pPr>
            <w:r>
              <w:rPr>
                <w:rFonts w:ascii="Arial" w:cs="Arial" w:eastAsia="Arial" w:hAnsi="Arial"/>
                <w:sz w:val="17"/>
                <w:szCs w:val="17"/>
                <w:color w:val="auto"/>
              </w:rPr>
              <w:t>2,132</w:t>
            </w:r>
          </w:p>
        </w:tc>
        <w:tc>
          <w:tcPr>
            <w:tcW w:w="16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7"/>
                <w:szCs w:val="17"/>
                <w:color w:val="auto"/>
              </w:rPr>
              <w:t>(1,815)</w:t>
            </w:r>
          </w:p>
        </w:tc>
        <w:tc>
          <w:tcPr>
            <w:tcW w:w="760" w:type="dxa"/>
            <w:vAlign w:val="bottom"/>
            <w:gridSpan w:val="2"/>
          </w:tcPr>
          <w:p>
            <w:pPr>
              <w:ind w:left="160"/>
              <w:spacing w:after="0"/>
              <w:rPr>
                <w:sz w:val="20"/>
                <w:szCs w:val="20"/>
                <w:color w:val="auto"/>
              </w:rPr>
            </w:pPr>
            <w:r>
              <w:rPr>
                <w:rFonts w:ascii="Arial" w:cs="Arial" w:eastAsia="Arial" w:hAnsi="Arial"/>
                <w:sz w:val="17"/>
                <w:szCs w:val="17"/>
                <w:color w:val="auto"/>
              </w:rPr>
              <w:t>(1,236)</w:t>
            </w:r>
          </w:p>
        </w:tc>
      </w:tr>
      <w:tr>
        <w:trPr>
          <w:trHeight w:val="20"/>
        </w:trPr>
        <w:tc>
          <w:tcPr>
            <w:tcW w:w="5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Total Income (loss)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(945)</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(5,328)</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(3,380)</w:t>
            </w:r>
          </w:p>
        </w:tc>
      </w:tr>
      <w:tr>
        <w:trPr>
          <w:trHeight w:val="26"/>
        </w:trPr>
        <w:tc>
          <w:tcPr>
            <w:tcW w:w="56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280" w:firstLine="341"/>
        <w:spacing w:after="0" w:line="270" w:lineRule="auto"/>
        <w:rPr>
          <w:sz w:val="20"/>
          <w:szCs w:val="20"/>
          <w:color w:val="auto"/>
        </w:rPr>
      </w:pPr>
      <w:r>
        <w:rPr>
          <w:rFonts w:ascii="Arial" w:cs="Arial" w:eastAsia="Arial" w:hAnsi="Arial"/>
          <w:sz w:val="17"/>
          <w:szCs w:val="17"/>
          <w:color w:val="auto"/>
        </w:rPr>
        <w:t>Deferred income tax assets and liabilities result principally from net operating losses, different methods of recognizing depreciation, reserve for doubtful accounts, inventory reserves for obsolescence and accrued vacation, together with timing differences between book and tax reporting. At December 31, the net deferred tax assets and liabilities are comprised of the following approximate amounts:</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0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r>
      <w:tr>
        <w:trPr>
          <w:trHeight w:val="137"/>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ind w:right="98"/>
              <w:spacing w:after="0" w:line="138" w:lineRule="exact"/>
              <w:rPr>
                <w:sz w:val="20"/>
                <w:szCs w:val="20"/>
                <w:color w:val="auto"/>
              </w:rPr>
            </w:pPr>
            <w:r>
              <w:rPr>
                <w:rFonts w:ascii="Arial" w:cs="Arial" w:eastAsia="Arial" w:hAnsi="Arial"/>
                <w:sz w:val="13"/>
                <w:szCs w:val="13"/>
                <w:b w:val="1"/>
                <w:bCs w:val="1"/>
                <w:color w:val="auto"/>
              </w:rPr>
              <w:t>(in</w:t>
            </w:r>
          </w:p>
        </w:tc>
        <w:tc>
          <w:tcPr>
            <w:tcW w:w="940" w:type="dxa"/>
            <w:vAlign w:val="bottom"/>
            <w:gridSpan w:val="3"/>
          </w:tcPr>
          <w:p>
            <w:pPr>
              <w:jc w:val="right"/>
              <w:ind w:right="397"/>
              <w:spacing w:after="0"/>
              <w:rPr>
                <w:sz w:val="20"/>
                <w:szCs w:val="20"/>
                <w:color w:val="auto"/>
              </w:rPr>
            </w:pPr>
            <w:r>
              <w:rPr>
                <w:rFonts w:ascii="Arial" w:cs="Arial" w:eastAsia="Arial" w:hAnsi="Arial"/>
                <w:sz w:val="11"/>
                <w:szCs w:val="11"/>
                <w:b w:val="1"/>
                <w:bCs w:val="1"/>
                <w:color w:val="auto"/>
                <w:w w:val="74"/>
              </w:rPr>
              <w:t>thousands)</w:t>
            </w:r>
          </w:p>
        </w:tc>
        <w:tc>
          <w:tcPr>
            <w:tcW w:w="160" w:type="dxa"/>
            <w:vAlign w:val="bottom"/>
          </w:tcPr>
          <w:p>
            <w:pPr>
              <w:spacing w:after="0"/>
              <w:rPr>
                <w:sz w:val="11"/>
                <w:szCs w:val="1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NOL carryforward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22,673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21,797</w:t>
            </w:r>
          </w:p>
        </w:tc>
        <w:tc>
          <w:tcPr>
            <w:tcW w:w="160" w:type="dxa"/>
            <w:vAlign w:val="bottom"/>
            <w:shd w:val="clear" w:color="auto" w:fill="CCEEFF"/>
          </w:tcPr>
          <w:p>
            <w:pPr>
              <w:spacing w:after="0"/>
              <w:rPr>
                <w:sz w:val="18"/>
                <w:szCs w:val="18"/>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7"/>
                <w:szCs w:val="17"/>
                <w:color w:val="auto"/>
              </w:rPr>
              <w:t>Inventory reserves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389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305</w:t>
            </w:r>
          </w:p>
        </w:tc>
        <w:tc>
          <w:tcPr>
            <w:tcW w:w="160" w:type="dxa"/>
            <w:vAlign w:val="bottom"/>
          </w:tcPr>
          <w:p>
            <w:pPr>
              <w:spacing w:after="0"/>
              <w:rPr>
                <w:sz w:val="18"/>
                <w:szCs w:val="18"/>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Stock compensation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080" w:type="dxa"/>
            <w:vAlign w:val="bottom"/>
          </w:tcPr>
          <w:p>
            <w:pPr>
              <w:spacing w:after="0"/>
              <w:rPr>
                <w:sz w:val="20"/>
                <w:szCs w:val="20"/>
                <w:color w:val="auto"/>
              </w:rPr>
            </w:pPr>
            <w:r>
              <w:rPr>
                <w:rFonts w:ascii="Arial" w:cs="Arial" w:eastAsia="Arial" w:hAnsi="Arial"/>
                <w:sz w:val="17"/>
                <w:szCs w:val="17"/>
                <w:color w:val="auto"/>
              </w:rPr>
              <w:t>Fixed assets and intangibles</w:t>
            </w:r>
          </w:p>
        </w:tc>
        <w:tc>
          <w:tcPr>
            <w:tcW w:w="180" w:type="dxa"/>
            <w:vAlign w:val="bottom"/>
          </w:tcPr>
          <w:p>
            <w:pPr>
              <w:spacing w:after="0"/>
              <w:rPr>
                <w:sz w:val="18"/>
                <w:szCs w:val="18"/>
                <w:color w:val="auto"/>
              </w:rPr>
            </w:pPr>
          </w:p>
        </w:tc>
        <w:tc>
          <w:tcPr>
            <w:tcW w:w="760" w:type="dxa"/>
            <w:vAlign w:val="bottom"/>
            <w:gridSpan w:val="2"/>
          </w:tcPr>
          <w:p>
            <w:pPr>
              <w:jc w:val="right"/>
              <w:ind w:right="45"/>
              <w:spacing w:after="0"/>
              <w:rPr>
                <w:sz w:val="20"/>
                <w:szCs w:val="20"/>
                <w:color w:val="auto"/>
              </w:rPr>
            </w:pPr>
            <w:r>
              <w:rPr>
                <w:rFonts w:ascii="Arial" w:cs="Arial" w:eastAsia="Arial" w:hAnsi="Arial"/>
                <w:sz w:val="17"/>
                <w:szCs w:val="17"/>
                <w:color w:val="auto"/>
              </w:rPr>
              <w:t>(1,582)</w:t>
            </w: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(1,664)</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Impairment loss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(614)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(614)</w:t>
            </w:r>
          </w:p>
        </w:tc>
      </w:tr>
      <w:tr>
        <w:trPr>
          <w:trHeight w:val="216"/>
        </w:trPr>
        <w:tc>
          <w:tcPr>
            <w:tcW w:w="6080" w:type="dxa"/>
            <w:vAlign w:val="bottom"/>
          </w:tcPr>
          <w:p>
            <w:pPr>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276</w:t>
            </w:r>
          </w:p>
        </w:tc>
        <w:tc>
          <w:tcPr>
            <w:tcW w:w="16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20,099</w:t>
            </w:r>
          </w:p>
        </w:tc>
        <w:tc>
          <w:tcPr>
            <w:tcW w:w="160" w:type="dxa"/>
            <w:vAlign w:val="bottom"/>
            <w:shd w:val="clear" w:color="auto" w:fill="CCEEFF"/>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180" w:type="dxa"/>
            <w:vAlign w:val="bottom"/>
          </w:tcPr>
          <w:p>
            <w:pPr>
              <w:spacing w:after="0"/>
              <w:rPr>
                <w:sz w:val="18"/>
                <w:szCs w:val="18"/>
                <w:color w:val="auto"/>
              </w:rPr>
            </w:pPr>
          </w:p>
        </w:tc>
        <w:tc>
          <w:tcPr>
            <w:tcW w:w="760" w:type="dxa"/>
            <w:vAlign w:val="bottom"/>
            <w:gridSpan w:val="2"/>
          </w:tcPr>
          <w:p>
            <w:pPr>
              <w:jc w:val="right"/>
              <w:ind w:right="45"/>
              <w:spacing w:after="0"/>
              <w:rPr>
                <w:sz w:val="20"/>
                <w:szCs w:val="20"/>
                <w:color w:val="auto"/>
              </w:rPr>
            </w:pPr>
            <w:r>
              <w:rPr>
                <w:rFonts w:ascii="Arial" w:cs="Arial" w:eastAsia="Arial" w:hAnsi="Arial"/>
                <w:sz w:val="17"/>
                <w:szCs w:val="17"/>
                <w:color w:val="auto"/>
              </w:rPr>
              <w:t>(21,644)</w:t>
            </w: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(20,099)</w:t>
            </w: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 net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6"/>
        </w:trPr>
        <w:tc>
          <w:tcPr>
            <w:tcW w:w="6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valuation allowance was established to reduce the deferred tax asset for the amounts that will more likely than not be realized. This reduction is primarily necessary due to the uncertainty of the Company's ability to utilize all of the net operating loss carry forwards. The valuation allowance increased approximately $1.5 million, $0.8 million and $0.5 million in 2012, 2011 and 2010, respectively.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2012 and 2011, and for the periods then ended, the Company had no uncertain tax positions.</w:t>
      </w:r>
    </w:p>
    <w:p>
      <w:pPr>
        <w:spacing w:after="0" w:line="224" w:lineRule="exact"/>
        <w:rPr>
          <w:sz w:val="20"/>
          <w:szCs w:val="20"/>
          <w:color w:val="auto"/>
        </w:rPr>
      </w:pPr>
    </w:p>
    <w:p>
      <w:pPr>
        <w:ind w:firstLine="338"/>
        <w:spacing w:after="0" w:line="322" w:lineRule="auto"/>
        <w:rPr>
          <w:sz w:val="20"/>
          <w:szCs w:val="20"/>
          <w:color w:val="auto"/>
        </w:rPr>
      </w:pPr>
      <w:r>
        <w:rPr>
          <w:rFonts w:ascii="Arial" w:cs="Arial" w:eastAsia="Arial" w:hAnsi="Arial"/>
          <w:sz w:val="15"/>
          <w:szCs w:val="15"/>
          <w:color w:val="auto"/>
        </w:rPr>
        <w:t>The Company has a U.S. net operating loss carry forward of approximately $66.7 million, which expires between 2020 and 2032. The Company also has U.S. research and development tax credits of $1.5 million which expire between 2024 and 2032. The Company has a net operating loss carry-forward from its China operations of approximately $5.4 million, which expires between 2013 and 2016. Utilization of net operating losses and tax credit carry-forwards</w:t>
      </w:r>
    </w:p>
    <w:p>
      <w:pPr>
        <w:spacing w:after="0" w:line="145"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L—INCOME TAXES (Continued)</w:t>
      </w:r>
    </w:p>
    <w:p>
      <w:pPr>
        <w:spacing w:after="0" w:line="228"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are subject to a substantial annual limitation due to the ownership change limitations set forth in Internal Revenue Code Section 382. Based upon analysis performed with respect to Section 382 of the Internal Revenue Code, approximately $21.6 million of the total available U.S. net operating loss carry forwards will not be available for utilization as an offset to taxable income in future periods. Because of changes in control that are deemed to have occurred under Section 382, the Company's net operating loss carry forward available in calendar year 2013 to shelter taxable income was limited to $38.8 million at December 31, 2012, with an additional $3.7 million becoming available between 2013 and 2025. The additional $3.7 million is subject to an annual limitation of the $0.3 million. Additional ownership changes could result in the expiration of the net operating loss and tax credit carry-forwards before utilization.</w:t>
      </w:r>
    </w:p>
    <w:p>
      <w:pPr>
        <w:spacing w:after="0" w:line="176"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The Company files income tax returns in the U.S federal jurisdiction and various states and foreign jurisdictions. As of December 31, 2012, the Company's federal returns for the year ended December 31, 2009 through the current period are still open to examination. In addition, all of the net operating losses and research and development credit carry-forwards that may be utilized in future years are still subject to examination. The Company is not currently subject to U.S. federal, state and local, or non-U.S. income tax examinations by any tax authorities.</w:t>
      </w:r>
    </w:p>
    <w:p>
      <w:pPr>
        <w:spacing w:after="0" w:line="185" w:lineRule="exact"/>
        <w:rPr>
          <w:sz w:val="20"/>
          <w:szCs w:val="20"/>
          <w:color w:val="auto"/>
        </w:rPr>
      </w:pPr>
    </w:p>
    <w:p>
      <w:pPr>
        <w:ind w:right="240" w:firstLine="332"/>
        <w:spacing w:after="0" w:line="282" w:lineRule="auto"/>
        <w:rPr>
          <w:sz w:val="20"/>
          <w:szCs w:val="20"/>
          <w:color w:val="auto"/>
        </w:rPr>
      </w:pPr>
      <w:r>
        <w:rPr>
          <w:rFonts w:ascii="Arial" w:cs="Arial" w:eastAsia="Arial" w:hAnsi="Arial"/>
          <w:sz w:val="17"/>
          <w:szCs w:val="17"/>
          <w:color w:val="auto"/>
        </w:rPr>
        <w:t>A reconciliation of the U.S. federal income tax rate of 34% for the years ended December 31, 2012, 2011 and 2010 to the Company's effective income tax rate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4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r>
      <w:tr>
        <w:trPr>
          <w:trHeight w:val="137"/>
        </w:trPr>
        <w:tc>
          <w:tcPr>
            <w:tcW w:w="5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75"/>
              </w:rPr>
              <w:t>(in thousands)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Expected (benefit) taxes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(1,158)</w:t>
            </w:r>
          </w:p>
        </w:tc>
      </w:tr>
      <w:tr>
        <w:trPr>
          <w:trHeight w:val="210"/>
        </w:trPr>
        <w:tc>
          <w:tcPr>
            <w:tcW w:w="5480" w:type="dxa"/>
            <w:vAlign w:val="bottom"/>
          </w:tcPr>
          <w:p>
            <w:pPr>
              <w:spacing w:after="0"/>
              <w:rPr>
                <w:sz w:val="20"/>
                <w:szCs w:val="20"/>
                <w:color w:val="auto"/>
              </w:rPr>
            </w:pPr>
            <w:r>
              <w:rPr>
                <w:rFonts w:ascii="Arial" w:cs="Arial" w:eastAsia="Arial" w:hAnsi="Arial"/>
                <w:sz w:val="17"/>
                <w:szCs w:val="17"/>
                <w:color w:val="auto"/>
              </w:rPr>
              <w:t>Non-deductible expenses</w:t>
            </w: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(760)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534</w:t>
            </w:r>
          </w:p>
        </w:tc>
        <w:tc>
          <w:tcPr>
            <w:tcW w:w="160" w:type="dxa"/>
            <w:vAlign w:val="bottom"/>
          </w:tcPr>
          <w:p>
            <w:pPr>
              <w:spacing w:after="0"/>
              <w:rPr>
                <w:sz w:val="18"/>
                <w:szCs w:val="18"/>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Increase in valuation allowance</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w:t>
            </w:r>
          </w:p>
        </w:tc>
        <w:tc>
          <w:tcPr>
            <w:tcW w:w="16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7"/>
                <w:szCs w:val="17"/>
                <w:color w:val="auto"/>
              </w:rPr>
              <w:t>Non-qualified stock options and other, net</w:t>
            </w: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(492)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101</w:t>
            </w:r>
          </w:p>
        </w:tc>
        <w:tc>
          <w:tcPr>
            <w:tcW w:w="16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Tax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6"/>
        </w:trPr>
        <w:tc>
          <w:tcPr>
            <w:tcW w:w="5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wholly owned subsidiary, Prime World is a tax-exempt entity under the Income Tax Code of the British Virgin Islands.</w:t>
      </w:r>
    </w:p>
    <w:p>
      <w:pPr>
        <w:spacing w:after="0" w:line="224"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 Company's wholly owned subsidiary, Global has enjoyed preferential tax concessions in China as a "high-tech enterprise." Pursuant to China's State Council's Regulations on Encouraging Investment in and Development, Global is entitled to full exemption from China's Foreign Enterprise Income Tax, or FEIT, for the first two years and a 50% reduction for the next three years, commencing from the first profit making year after offsetting all tax losses carried forward from the previous five years. In March 2007, China enacted the PRC Enterprise Income Tax Law, or EIT Law, under which, effective January 1, 2008, China adopted a uniform income tax rate of 25% for all enterprises (including foreign-invested enterprises) and cancelled several tax incentives enjoyed previously by foreign-invested enterprises. For foreign-invested enterprises like Global that were established before the promulgation of the EIT Law, a five-year transition period is provided during which reduced income tax rates will apply but will</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L—INCOME TAXES (Continued)</w:t>
      </w:r>
    </w:p>
    <w:p>
      <w:pPr>
        <w:spacing w:after="0" w:line="228"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gradually be phased out. The Chinese government has not yet announced implementation measures for the transitional policy concerning such preferential tax rates, so the Company is unable at this time to estimate the financial impact of the new tax law on Global.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M—STOCK-BASED COMPENSATION</w:t>
      </w:r>
    </w:p>
    <w:p>
      <w:pPr>
        <w:spacing w:after="0" w:line="228" w:lineRule="exact"/>
        <w:rPr>
          <w:sz w:val="20"/>
          <w:szCs w:val="20"/>
          <w:color w:val="auto"/>
        </w:rPr>
      </w:pPr>
    </w:p>
    <w:p>
      <w:pPr>
        <w:ind w:right="240" w:firstLine="338"/>
        <w:spacing w:after="0" w:line="270" w:lineRule="auto"/>
        <w:rPr>
          <w:sz w:val="20"/>
          <w:szCs w:val="20"/>
          <w:color w:val="auto"/>
        </w:rPr>
      </w:pPr>
      <w:r>
        <w:rPr>
          <w:rFonts w:ascii="Arial" w:cs="Arial" w:eastAsia="Arial" w:hAnsi="Arial"/>
          <w:sz w:val="17"/>
          <w:szCs w:val="17"/>
          <w:color w:val="auto"/>
        </w:rPr>
        <w:t>The Company issues stock options to employees, consultants and non-employee directors. There are four incentive share plans that have been approved by the board of directors: the 1998 Incentive Share Plan, the 2000 Incentive Share Plan, the 2004 Incentive Share Plan and the 2006 Incentive Share Plan. Stock option awards for each of the four plans generally vest over a four year period and have a maximum term of ten years.</w:t>
      </w:r>
    </w:p>
    <w:p>
      <w:pPr>
        <w:spacing w:after="0" w:line="179" w:lineRule="exact"/>
        <w:rPr>
          <w:sz w:val="20"/>
          <w:szCs w:val="20"/>
          <w:color w:val="auto"/>
        </w:rPr>
      </w:pPr>
    </w:p>
    <w:p>
      <w:pPr>
        <w:jc w:val="both"/>
        <w:ind w:right="320" w:firstLine="341"/>
        <w:spacing w:after="0" w:line="270" w:lineRule="auto"/>
        <w:rPr>
          <w:sz w:val="20"/>
          <w:szCs w:val="20"/>
          <w:color w:val="auto"/>
        </w:rPr>
      </w:pPr>
      <w:r>
        <w:rPr>
          <w:rFonts w:ascii="Arial" w:cs="Arial" w:eastAsia="Arial" w:hAnsi="Arial"/>
          <w:sz w:val="17"/>
          <w:szCs w:val="17"/>
          <w:color w:val="auto"/>
        </w:rPr>
        <w:t>Stock options under these plans have been granted at the fair market value on the date of the grant. Nonqualified and Incentive Stock Options may be granted from each of these plans. The fair market value of the Company's stock has been historically determined by the board of directors and beginning in 2007, with the assistance of a third party valuation specialist.</w:t>
      </w:r>
    </w:p>
    <w:p>
      <w:pPr>
        <w:spacing w:after="0" w:line="179" w:lineRule="exact"/>
        <w:rPr>
          <w:sz w:val="20"/>
          <w:szCs w:val="20"/>
          <w:color w:val="auto"/>
        </w:rPr>
      </w:pPr>
    </w:p>
    <w:p>
      <w:pPr>
        <w:ind w:right="20" w:firstLine="338"/>
        <w:spacing w:after="0" w:line="270" w:lineRule="auto"/>
        <w:rPr>
          <w:sz w:val="20"/>
          <w:szCs w:val="20"/>
          <w:color w:val="auto"/>
        </w:rPr>
      </w:pPr>
      <w:r>
        <w:rPr>
          <w:rFonts w:ascii="Arial" w:cs="Arial" w:eastAsia="Arial" w:hAnsi="Arial"/>
          <w:sz w:val="17"/>
          <w:szCs w:val="17"/>
          <w:color w:val="auto"/>
        </w:rPr>
        <w:t>The 1998 Incentive Share Plan provides for awards of Stock Options, Stock Appreciation Rights, Restricted Stock, Performance Awards or Other Awards. Initially 2,000,000 shares of common stock were reserved for issuance under such plan and such amount was amended to 2,080,000 in June 2001. As of December 31, 2012, 115,850 shares were outstanding under this plan and there were no shares available to issue under this plan.</w:t>
      </w:r>
    </w:p>
    <w:p>
      <w:pPr>
        <w:spacing w:after="0" w:line="179"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2000 Incentive Share Plan provides for awards of Stock Options, Stock Appreciation Rights, Restricted Stock, Performance Awards or Other Awards. Upon approval 3,604,100 shares of common stock were reserved for issuance under the plan. As of December 31, 2012, 632,586 shares were outstanding under this plan and there were no shares available to issue under this plan.</w:t>
      </w:r>
    </w:p>
    <w:p>
      <w:pPr>
        <w:spacing w:after="0" w:line="179" w:lineRule="exact"/>
        <w:rPr>
          <w:sz w:val="20"/>
          <w:szCs w:val="20"/>
          <w:color w:val="auto"/>
        </w:rPr>
      </w:pPr>
    </w:p>
    <w:p>
      <w:pPr>
        <w:ind w:right="120" w:firstLine="338"/>
        <w:spacing w:after="0" w:line="270" w:lineRule="auto"/>
        <w:rPr>
          <w:sz w:val="20"/>
          <w:szCs w:val="20"/>
          <w:color w:val="auto"/>
        </w:rPr>
      </w:pPr>
      <w:r>
        <w:rPr>
          <w:rFonts w:ascii="Arial" w:cs="Arial" w:eastAsia="Arial" w:hAnsi="Arial"/>
          <w:sz w:val="17"/>
          <w:szCs w:val="17"/>
          <w:color w:val="auto"/>
        </w:rPr>
        <w:t>The 2004 Incentive Share Plan provides for awards of Stock Options, Stock Appreciation Rights, Restricted Stock, Performance Awards or Other Awards. Upon approval, 1,500,000 shares of common stock were reserved for issuance under the plan. As of December 31, 2012, 771,170 shares were outstanding under this plan and there were no shares available to issue under this plan.</w:t>
      </w:r>
    </w:p>
    <w:p>
      <w:pPr>
        <w:spacing w:after="0" w:line="179" w:lineRule="exact"/>
        <w:rPr>
          <w:sz w:val="20"/>
          <w:szCs w:val="20"/>
          <w:color w:val="auto"/>
        </w:rPr>
      </w:pPr>
    </w:p>
    <w:p>
      <w:pPr>
        <w:ind w:right="40" w:firstLine="338"/>
        <w:spacing w:after="0" w:line="287" w:lineRule="auto"/>
        <w:rPr>
          <w:sz w:val="20"/>
          <w:szCs w:val="20"/>
          <w:color w:val="auto"/>
        </w:rPr>
      </w:pPr>
      <w:r>
        <w:rPr>
          <w:rFonts w:ascii="Arial" w:cs="Arial" w:eastAsia="Arial" w:hAnsi="Arial"/>
          <w:sz w:val="16"/>
          <w:szCs w:val="16"/>
          <w:color w:val="auto"/>
        </w:rPr>
        <w:t>The 2006 Incentive Share Plan provides for awards of Stock Options, Stock Appreciation Rights, Restricted Stock, Performance Awards or Other Awards. Initially 1,500,000 shares of common stock were reserved for issuance under the plan. In June 2008, the number of shares of common stock reserved for issuance under this plan was increased to 14,000,000. The plan was again amended to increase the reserved shares to 30,000,000 in November 2012. As of December 31, 2012, 11,060,044 shares were outstanding under this plan and there were 18,714,408 shares available to issue under this plan.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M—STOCK-BASED COMPENSATION (Continued)</w:t>
      </w:r>
    </w:p>
    <w:p>
      <w:pPr>
        <w:spacing w:after="0" w:line="228" w:lineRule="exact"/>
        <w:rPr>
          <w:sz w:val="20"/>
          <w:szCs w:val="20"/>
          <w:color w:val="auto"/>
        </w:rPr>
      </w:pPr>
    </w:p>
    <w:p>
      <w:pPr>
        <w:ind w:right="520" w:firstLine="338"/>
        <w:spacing w:after="0" w:line="282" w:lineRule="auto"/>
        <w:rPr>
          <w:sz w:val="20"/>
          <w:szCs w:val="20"/>
          <w:color w:val="auto"/>
        </w:rPr>
      </w:pPr>
      <w:r>
        <w:rPr>
          <w:rFonts w:ascii="Arial" w:cs="Arial" w:eastAsia="Arial" w:hAnsi="Arial"/>
          <w:sz w:val="17"/>
          <w:szCs w:val="17"/>
          <w:color w:val="auto"/>
        </w:rPr>
        <w:t>The Company estimates the fair value of employee stock options at the date of the grant using the Black-Scholes option-pricing model with the following assumptions: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000" w:type="dxa"/>
            <w:vAlign w:val="bottom"/>
          </w:tcPr>
          <w:p>
            <w:pPr>
              <w:spacing w:after="0"/>
              <w:rPr>
                <w:sz w:val="13"/>
                <w:szCs w:val="13"/>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2012</w:t>
            </w:r>
          </w:p>
        </w:tc>
        <w:tc>
          <w:tcPr>
            <w:tcW w:w="220" w:type="dxa"/>
            <w:vAlign w:val="bottom"/>
          </w:tcPr>
          <w:p>
            <w:pPr>
              <w:spacing w:after="0"/>
              <w:rPr>
                <w:sz w:val="13"/>
                <w:szCs w:val="13"/>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2011</w:t>
            </w:r>
          </w:p>
        </w:tc>
        <w:tc>
          <w:tcPr>
            <w:tcW w:w="22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r>
      <w:tr>
        <w:trPr>
          <w:trHeight w:val="203"/>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10"/>
        </w:trPr>
        <w:tc>
          <w:tcPr>
            <w:tcW w:w="6000" w:type="dxa"/>
            <w:vAlign w:val="bottom"/>
          </w:tcPr>
          <w:p>
            <w:pPr>
              <w:spacing w:after="0"/>
              <w:rPr>
                <w:sz w:val="20"/>
                <w:szCs w:val="20"/>
                <w:color w:val="auto"/>
              </w:rPr>
            </w:pPr>
            <w:r>
              <w:rPr>
                <w:rFonts w:ascii="Arial" w:cs="Arial" w:eastAsia="Arial" w:hAnsi="Arial"/>
                <w:sz w:val="17"/>
                <w:szCs w:val="17"/>
                <w:color w:val="auto"/>
              </w:rPr>
              <w:t>Risk free interest rate</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1.01%</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2.32%</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1.72%</w:t>
            </w: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Expected term (years)</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60" w:type="dxa"/>
            <w:vAlign w:val="bottom"/>
            <w:shd w:val="clear" w:color="auto" w:fill="CCEEFF"/>
          </w:tcPr>
          <w:p>
            <w:pPr>
              <w:spacing w:after="0"/>
              <w:rPr>
                <w:sz w:val="18"/>
                <w:szCs w:val="18"/>
                <w:color w:val="auto"/>
              </w:rPr>
            </w:pPr>
          </w:p>
        </w:tc>
      </w:tr>
      <w:tr>
        <w:trPr>
          <w:trHeight w:val="210"/>
        </w:trPr>
        <w:tc>
          <w:tcPr>
            <w:tcW w:w="600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Estimated forfeitures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r>
    </w:tbl>
    <w:p>
      <w:pPr>
        <w:spacing w:after="0" w:line="201" w:lineRule="exact"/>
        <w:rPr>
          <w:sz w:val="20"/>
          <w:szCs w:val="20"/>
          <w:color w:val="auto"/>
        </w:rPr>
      </w:pPr>
    </w:p>
    <w:p>
      <w:pPr>
        <w:ind w:firstLine="332"/>
        <w:spacing w:after="0" w:line="283" w:lineRule="auto"/>
        <w:rPr>
          <w:sz w:val="20"/>
          <w:szCs w:val="20"/>
          <w:color w:val="auto"/>
        </w:rPr>
      </w:pPr>
      <w:r>
        <w:rPr>
          <w:rFonts w:ascii="Arial" w:cs="Arial" w:eastAsia="Arial" w:hAnsi="Arial"/>
          <w:sz w:val="16"/>
          <w:szCs w:val="16"/>
          <w:color w:val="auto"/>
        </w:rPr>
        <w:t>As there has been no market for the Company's common stock, the expected volatility for options granted to date was derived from an analysis of reported data for a peer group of companies that issued options with similar terms. The expected volatility has been determined using an average of the expected volatility reported by this peer group of companies. The Company uses a risk free interest rate based on the 10-year Treasury as reported during the period. The expected term of options has been determined utilizing the simplified method which calculates a simple average based on vesting period and option life. The Company does not anticipate paying dividends in the near future. Estimated forfeitures are based on historical experience and future work force projections.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Employee stock-based compensation expenses recognized for the years ended December 31, were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9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w w:val="89"/>
              </w:rPr>
              <w:t>2012</w:t>
            </w:r>
          </w:p>
        </w:tc>
        <w:tc>
          <w:tcPr>
            <w:tcW w:w="140" w:type="dxa"/>
            <w:vAlign w:val="bottom"/>
            <w:vMerge w:val="restart"/>
          </w:tcPr>
          <w:p>
            <w:pPr>
              <w:spacing w:after="0"/>
              <w:rPr>
                <w:sz w:val="20"/>
                <w:szCs w:val="20"/>
                <w:color w:val="auto"/>
              </w:rPr>
            </w:pPr>
            <w:r>
              <w:rPr>
                <w:rFonts w:ascii="Arial" w:cs="Arial" w:eastAsia="Arial" w:hAnsi="Arial"/>
                <w:sz w:val="13"/>
                <w:szCs w:val="13"/>
                <w:b w:val="1"/>
                <w:bCs w:val="1"/>
                <w:color w:val="auto"/>
                <w:w w:val="75"/>
              </w:rPr>
              <w:t>(in</w:t>
            </w: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52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71"/>
              </w:rPr>
              <w:t>thousands)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Cost of sales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Total employee stock-based compensation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9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Options have been granted to the Company's employees under the four incentive plans and generally become exercisable as to 25% of the shares on the first anniversary date following the date of grant and semi-annually thereafter. All options expire ten years after the date of grant. The Company has outstanding options to purchase 2,533,240 shares under the 1998 plan; 3,778,267 shares under the 2000 plan; 2,229,545 shares under the 2004 plan; and 16,985,327 shares under the 2006 plan.</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M—STOCK-BASED COMPENSATION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option activity: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3"/>
          </w:tcPr>
          <w:p>
            <w:pPr>
              <w:jc w:val="center"/>
              <w:ind w:right="1420"/>
              <w:spacing w:after="0"/>
              <w:rPr>
                <w:sz w:val="20"/>
                <w:szCs w:val="20"/>
                <w:color w:val="auto"/>
              </w:rPr>
            </w:pPr>
            <w:r>
              <w:rPr>
                <w:rFonts w:ascii="Arial" w:cs="Arial" w:eastAsia="Arial" w:hAnsi="Arial"/>
                <w:sz w:val="13"/>
                <w:szCs w:val="13"/>
                <w:b w:val="1"/>
                <w:bCs w:val="1"/>
                <w:color w:val="auto"/>
                <w:w w:val="92"/>
              </w:rPr>
              <w:t>Weighted</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80" w:type="dxa"/>
            <w:vAlign w:val="bottom"/>
            <w:gridSpan w:val="2"/>
          </w:tcPr>
          <w:p>
            <w:pPr>
              <w:jc w:val="right"/>
              <w:ind w:right="260"/>
              <w:spacing w:after="0" w:line="144" w:lineRule="exact"/>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2"/>
                <w:szCs w:val="12"/>
                <w:color w:val="auto"/>
              </w:rPr>
            </w:pPr>
          </w:p>
        </w:tc>
        <w:tc>
          <w:tcPr>
            <w:tcW w:w="110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89"/>
              </w:rPr>
              <w:t>Exercise</w:t>
            </w:r>
          </w:p>
        </w:tc>
        <w:tc>
          <w:tcPr>
            <w:tcW w:w="120" w:type="dxa"/>
            <w:vAlign w:val="bottom"/>
          </w:tcPr>
          <w:p>
            <w:pPr>
              <w:spacing w:after="0"/>
              <w:rPr>
                <w:sz w:val="12"/>
                <w:szCs w:val="12"/>
                <w:color w:val="auto"/>
              </w:rPr>
            </w:pPr>
          </w:p>
        </w:tc>
        <w:tc>
          <w:tcPr>
            <w:tcW w:w="2200" w:type="dxa"/>
            <w:vAlign w:val="bottom"/>
            <w:gridSpan w:val="3"/>
          </w:tcPr>
          <w:p>
            <w:pPr>
              <w:jc w:val="center"/>
              <w:ind w:right="1400"/>
              <w:spacing w:after="0" w:line="144"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2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9"/>
              </w:rPr>
              <w:t>price</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7"/>
              </w:rPr>
              <w:t>exercise price</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600" w:type="dxa"/>
            <w:vAlign w:val="bottom"/>
            <w:gridSpan w:val="9"/>
          </w:tcPr>
          <w:p>
            <w:pPr>
              <w:ind w:left="740"/>
              <w:spacing w:after="0" w:line="138" w:lineRule="exact"/>
              <w:rPr>
                <w:sz w:val="20"/>
                <w:szCs w:val="20"/>
                <w:color w:val="auto"/>
              </w:rPr>
            </w:pPr>
            <w:r>
              <w:rPr>
                <w:rFonts w:ascii="Arial" w:cs="Arial" w:eastAsia="Arial" w:hAnsi="Arial"/>
                <w:sz w:val="13"/>
                <w:szCs w:val="13"/>
                <w:b w:val="1"/>
                <w:bCs w:val="1"/>
                <w:color w:val="auto"/>
              </w:rPr>
              <w:t>(in thousands, except price data)</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January 1, 2010</w:t>
            </w:r>
          </w:p>
        </w:tc>
        <w:tc>
          <w:tcPr>
            <w:tcW w:w="28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4,845</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0.10 - $1.88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0.1927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7"/>
                <w:szCs w:val="17"/>
                <w:color w:val="auto"/>
              </w:rPr>
              <w:t>Granted</w:t>
            </w:r>
          </w:p>
        </w:tc>
        <w:tc>
          <w:tcPr>
            <w:tcW w:w="2800" w:type="dxa"/>
            <w:vAlign w:val="bottom"/>
            <w:gridSpan w:val="3"/>
          </w:tcPr>
          <w:p>
            <w:pPr>
              <w:jc w:val="right"/>
              <w:ind w:right="160"/>
              <w:spacing w:after="0"/>
              <w:rPr>
                <w:sz w:val="20"/>
                <w:szCs w:val="20"/>
                <w:color w:val="auto"/>
              </w:rPr>
            </w:pPr>
            <w:r>
              <w:rPr>
                <w:rFonts w:ascii="Arial" w:cs="Arial" w:eastAsia="Arial" w:hAnsi="Arial"/>
                <w:sz w:val="17"/>
                <w:szCs w:val="17"/>
                <w:color w:val="auto"/>
              </w:rPr>
              <w:t>4,030</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0.20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0.2000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7"/>
                <w:szCs w:val="17"/>
                <w:color w:val="auto"/>
              </w:rPr>
              <w:t>Forfeited</w:t>
            </w:r>
          </w:p>
        </w:tc>
        <w:tc>
          <w:tcPr>
            <w:tcW w:w="2800" w:type="dxa"/>
            <w:vAlign w:val="bottom"/>
            <w:gridSpan w:val="3"/>
          </w:tcPr>
          <w:p>
            <w:pPr>
              <w:jc w:val="right"/>
              <w:ind w:right="100"/>
              <w:spacing w:after="0"/>
              <w:rPr>
                <w:sz w:val="20"/>
                <w:szCs w:val="20"/>
                <w:color w:val="auto"/>
              </w:rPr>
            </w:pPr>
            <w:r>
              <w:rPr>
                <w:rFonts w:ascii="Arial" w:cs="Arial" w:eastAsia="Arial" w:hAnsi="Arial"/>
                <w:sz w:val="17"/>
                <w:szCs w:val="17"/>
                <w:color w:val="auto"/>
              </w:rPr>
              <w:t>(100)</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0.20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0.2000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Expired</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0.15 - 1.88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0.1946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Arial" w:cs="Arial" w:eastAsia="Arial" w:hAnsi="Arial"/>
                <w:sz w:val="17"/>
                <w:szCs w:val="17"/>
                <w:color w:val="auto"/>
              </w:rPr>
              <w:t>Outstanding, December 31, 2010</w:t>
            </w:r>
          </w:p>
        </w:tc>
        <w:tc>
          <w:tcPr>
            <w:tcW w:w="28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0.10 - 0.25</w:t>
            </w:r>
          </w:p>
        </w:tc>
        <w:tc>
          <w:tcPr>
            <w:tcW w:w="120" w:type="dxa"/>
            <w:vAlign w:val="bottom"/>
          </w:tcPr>
          <w:p>
            <w:pPr>
              <w:spacing w:after="0"/>
              <w:rPr>
                <w:sz w:val="2"/>
                <w:szCs w:val="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0.1946</w:t>
            </w: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86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8,669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Exercisable, December 31, 2010</w:t>
            </w:r>
          </w:p>
        </w:tc>
        <w:tc>
          <w:tcPr>
            <w:tcW w:w="28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4,050</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0.10 - 0.25</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0.1885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Arial" w:cs="Arial" w:eastAsia="Arial" w:hAnsi="Arial"/>
                <w:sz w:val="17"/>
                <w:szCs w:val="17"/>
                <w:color w:val="auto"/>
              </w:rPr>
              <w:t>Granted</w:t>
            </w:r>
          </w:p>
        </w:tc>
        <w:tc>
          <w:tcPr>
            <w:tcW w:w="28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0.20</w:t>
            </w:r>
          </w:p>
        </w:tc>
        <w:tc>
          <w:tcPr>
            <w:tcW w:w="120" w:type="dxa"/>
            <w:vAlign w:val="bottom"/>
          </w:tcPr>
          <w:p>
            <w:pPr>
              <w:spacing w:after="0"/>
              <w:rPr>
                <w:sz w:val="2"/>
                <w:szCs w:val="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0.2000</w:t>
            </w: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86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3,715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0.10 - 0.20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7"/>
                <w:szCs w:val="17"/>
                <w:color w:val="auto"/>
              </w:rPr>
              <w:t>Forfeited</w:t>
            </w:r>
          </w:p>
        </w:tc>
        <w:tc>
          <w:tcPr>
            <w:tcW w:w="2800" w:type="dxa"/>
            <w:vAlign w:val="bottom"/>
            <w:gridSpan w:val="3"/>
          </w:tcPr>
          <w:p>
            <w:pPr>
              <w:jc w:val="right"/>
              <w:ind w:right="100"/>
              <w:spacing w:after="0"/>
              <w:rPr>
                <w:sz w:val="20"/>
                <w:szCs w:val="20"/>
                <w:color w:val="auto"/>
              </w:rPr>
            </w:pPr>
            <w:r>
              <w:rPr>
                <w:rFonts w:ascii="Arial" w:cs="Arial" w:eastAsia="Arial" w:hAnsi="Arial"/>
                <w:sz w:val="17"/>
                <w:szCs w:val="17"/>
                <w:color w:val="auto"/>
              </w:rPr>
              <w:t>(756)</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0.20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0.2000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Expired</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(223)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0.15 - 0.20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0.1991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Arial" w:cs="Arial" w:eastAsia="Arial" w:hAnsi="Arial"/>
                <w:sz w:val="17"/>
                <w:szCs w:val="17"/>
                <w:color w:val="auto"/>
              </w:rPr>
              <w:t>Outstanding, December 31, 2011</w:t>
            </w:r>
          </w:p>
        </w:tc>
        <w:tc>
          <w:tcPr>
            <w:tcW w:w="28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0.10 - 0.25</w:t>
            </w:r>
          </w:p>
        </w:tc>
        <w:tc>
          <w:tcPr>
            <w:tcW w:w="120" w:type="dxa"/>
            <w:vAlign w:val="bottom"/>
          </w:tcPr>
          <w:p>
            <w:pPr>
              <w:spacing w:after="0"/>
              <w:rPr>
                <w:sz w:val="2"/>
                <w:szCs w:val="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0.1959</w:t>
            </w: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86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11,324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3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Exercisable, December 31, 2011</w:t>
            </w:r>
          </w:p>
        </w:tc>
        <w:tc>
          <w:tcPr>
            <w:tcW w:w="280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5,417</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0.10 - 0.25</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0.1915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7"/>
                <w:szCs w:val="17"/>
                <w:color w:val="auto"/>
              </w:rPr>
              <w:t>Granted</w:t>
            </w:r>
          </w:p>
        </w:tc>
        <w:tc>
          <w:tcPr>
            <w:tcW w:w="2800" w:type="dxa"/>
            <w:vAlign w:val="bottom"/>
            <w:gridSpan w:val="3"/>
          </w:tcPr>
          <w:p>
            <w:pPr>
              <w:jc w:val="right"/>
              <w:ind w:right="160"/>
              <w:spacing w:after="0"/>
              <w:rPr>
                <w:sz w:val="20"/>
                <w:szCs w:val="20"/>
                <w:color w:val="auto"/>
              </w:rPr>
            </w:pPr>
            <w:r>
              <w:rPr>
                <w:rFonts w:ascii="Arial" w:cs="Arial" w:eastAsia="Arial" w:hAnsi="Arial"/>
                <w:sz w:val="17"/>
                <w:szCs w:val="17"/>
                <w:color w:val="auto"/>
              </w:rPr>
              <w:t>2,647</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0.20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0.2000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0.20 - 0.25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0.2097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7"/>
                <w:szCs w:val="17"/>
                <w:color w:val="auto"/>
              </w:rPr>
              <w:t>Forfeited</w:t>
            </w:r>
          </w:p>
        </w:tc>
        <w:tc>
          <w:tcPr>
            <w:tcW w:w="2800" w:type="dxa"/>
            <w:vAlign w:val="bottom"/>
            <w:gridSpan w:val="3"/>
          </w:tcPr>
          <w:p>
            <w:pPr>
              <w:jc w:val="right"/>
              <w:ind w:right="100"/>
              <w:spacing w:after="0"/>
              <w:rPr>
                <w:sz w:val="20"/>
                <w:szCs w:val="20"/>
                <w:color w:val="auto"/>
              </w:rPr>
            </w:pPr>
            <w:r>
              <w:rPr>
                <w:rFonts w:ascii="Arial" w:cs="Arial" w:eastAsia="Arial" w:hAnsi="Arial"/>
                <w:sz w:val="17"/>
                <w:szCs w:val="17"/>
                <w:color w:val="auto"/>
              </w:rPr>
              <w:t>(575)</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0.20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0.2000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Expired</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(793)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0.10 - 0.25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0.1767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Arial" w:cs="Arial" w:eastAsia="Arial" w:hAnsi="Arial"/>
                <w:sz w:val="17"/>
                <w:szCs w:val="17"/>
                <w:color w:val="auto"/>
              </w:rPr>
              <w:t>Outstanding, December 31, 2012</w:t>
            </w:r>
          </w:p>
        </w:tc>
        <w:tc>
          <w:tcPr>
            <w:tcW w:w="28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0.10 - 0.25</w:t>
            </w:r>
          </w:p>
        </w:tc>
        <w:tc>
          <w:tcPr>
            <w:tcW w:w="120" w:type="dxa"/>
            <w:vAlign w:val="bottom"/>
          </w:tcPr>
          <w:p>
            <w:pPr>
              <w:spacing w:after="0"/>
              <w:rPr>
                <w:sz w:val="2"/>
                <w:szCs w:val="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0.1978</w:t>
            </w: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86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12,580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3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Exercisable, December 31, 2012</w:t>
            </w:r>
          </w:p>
        </w:tc>
        <w:tc>
          <w:tcPr>
            <w:tcW w:w="280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7,006</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0.10 - 0.25</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0.1960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Arial" w:cs="Arial" w:eastAsia="Arial" w:hAnsi="Arial"/>
                <w:sz w:val="17"/>
                <w:szCs w:val="17"/>
                <w:color w:val="auto"/>
              </w:rPr>
              <w:t>Vested and expected to vest, December 31, 2012</w:t>
            </w:r>
          </w:p>
        </w:tc>
        <w:tc>
          <w:tcPr>
            <w:tcW w:w="18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0.10 - 0.25</w:t>
            </w:r>
          </w:p>
        </w:tc>
        <w:tc>
          <w:tcPr>
            <w:tcW w:w="120" w:type="dxa"/>
            <w:vAlign w:val="bottom"/>
          </w:tcPr>
          <w:p>
            <w:pPr>
              <w:spacing w:after="0"/>
              <w:rPr>
                <w:sz w:val="2"/>
                <w:szCs w:val="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0.1977</w:t>
            </w: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vMerge w:val="continue"/>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3860" w:type="dxa"/>
            <w:vAlign w:val="bottom"/>
            <w:vMerge w:val="continue"/>
          </w:tcPr>
          <w:p>
            <w:pPr>
              <w:spacing w:after="0"/>
              <w:rPr>
                <w:sz w:val="16"/>
                <w:szCs w:val="16"/>
                <w:color w:val="auto"/>
              </w:rPr>
            </w:pPr>
          </w:p>
        </w:tc>
        <w:tc>
          <w:tcPr>
            <w:tcW w:w="182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11,891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3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Granted (unaudited)</w:t>
            </w:r>
          </w:p>
        </w:tc>
        <w:tc>
          <w:tcPr>
            <w:tcW w:w="280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10,143</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0.25 - 0.30</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0.2505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7"/>
                <w:szCs w:val="17"/>
                <w:color w:val="auto"/>
              </w:rPr>
              <w:t>Exercised (unaudited)</w:t>
            </w:r>
          </w:p>
        </w:tc>
        <w:tc>
          <w:tcPr>
            <w:tcW w:w="2800" w:type="dxa"/>
            <w:vAlign w:val="bottom"/>
            <w:gridSpan w:val="3"/>
          </w:tcPr>
          <w:p>
            <w:pPr>
              <w:jc w:val="right"/>
              <w:ind w:right="100"/>
              <w:spacing w:after="0"/>
              <w:rPr>
                <w:sz w:val="20"/>
                <w:szCs w:val="20"/>
                <w:color w:val="auto"/>
              </w:rPr>
            </w:pPr>
            <w:r>
              <w:rPr>
                <w:rFonts w:ascii="Arial" w:cs="Arial" w:eastAsia="Arial" w:hAnsi="Arial"/>
                <w:sz w:val="17"/>
                <w:szCs w:val="17"/>
                <w:color w:val="auto"/>
              </w:rPr>
              <w:t>(252)</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0.20 - 0.25</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0.20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Forfeited (unaudited)</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(260)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0.20 - 0.25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0.2149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7"/>
                <w:szCs w:val="17"/>
                <w:color w:val="auto"/>
              </w:rPr>
              <w:t>Expired (unaudited)</w:t>
            </w:r>
          </w:p>
        </w:tc>
        <w:tc>
          <w:tcPr>
            <w:tcW w:w="2800" w:type="dxa"/>
            <w:vAlign w:val="bottom"/>
            <w:gridSpan w:val="3"/>
          </w:tcPr>
          <w:p>
            <w:pPr>
              <w:jc w:val="right"/>
              <w:ind w:right="100"/>
              <w:spacing w:after="0"/>
              <w:rPr>
                <w:sz w:val="20"/>
                <w:szCs w:val="20"/>
                <w:color w:val="auto"/>
              </w:rPr>
            </w:pPr>
            <w:r>
              <w:rPr>
                <w:rFonts w:ascii="Arial" w:cs="Arial" w:eastAsia="Arial" w:hAnsi="Arial"/>
                <w:sz w:val="17"/>
                <w:szCs w:val="17"/>
                <w:color w:val="auto"/>
              </w:rPr>
              <w:t>(127)</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0.20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0.1994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June 30, 2013 (unaudited)</w:t>
            </w:r>
          </w:p>
        </w:tc>
        <w:tc>
          <w:tcPr>
            <w:tcW w:w="28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22,083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0.10 - 0.30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0.2218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1140" w:type="dxa"/>
            <w:vAlign w:val="bottom"/>
          </w:tcPr>
          <w:p>
            <w:pPr>
              <w:spacing w:after="0"/>
              <w:rPr>
                <w:sz w:val="24"/>
                <w:szCs w:val="24"/>
                <w:color w:val="auto"/>
              </w:rPr>
            </w:pPr>
          </w:p>
        </w:tc>
        <w:tc>
          <w:tcPr>
            <w:tcW w:w="3860" w:type="dxa"/>
            <w:vAlign w:val="bottom"/>
          </w:tcPr>
          <w:p>
            <w:pPr>
              <w:ind w:left="20"/>
              <w:spacing w:after="0"/>
              <w:rPr>
                <w:sz w:val="20"/>
                <w:szCs w:val="20"/>
                <w:color w:val="auto"/>
              </w:rPr>
            </w:pPr>
            <w:r>
              <w:rPr>
                <w:rFonts w:ascii="Arial" w:cs="Arial" w:eastAsia="Arial" w:hAnsi="Arial"/>
                <w:sz w:val="17"/>
                <w:szCs w:val="17"/>
                <w:color w:val="auto"/>
              </w:rPr>
              <w:t>Exercisable, June 30, 2013 (unaudited)</w:t>
            </w:r>
          </w:p>
        </w:tc>
        <w:tc>
          <w:tcPr>
            <w:tcW w:w="2800" w:type="dxa"/>
            <w:vAlign w:val="bottom"/>
            <w:gridSpan w:val="3"/>
          </w:tcPr>
          <w:p>
            <w:pPr>
              <w:jc w:val="right"/>
              <w:ind w:right="160"/>
              <w:spacing w:after="0"/>
              <w:rPr>
                <w:sz w:val="20"/>
                <w:szCs w:val="20"/>
                <w:color w:val="auto"/>
              </w:rPr>
            </w:pPr>
            <w:r>
              <w:rPr>
                <w:rFonts w:ascii="Arial" w:cs="Arial" w:eastAsia="Arial" w:hAnsi="Arial"/>
                <w:sz w:val="17"/>
                <w:szCs w:val="17"/>
                <w:color w:val="auto"/>
              </w:rPr>
              <w:t>7,909</w:t>
            </w:r>
          </w:p>
        </w:tc>
        <w:tc>
          <w:tcPr>
            <w:tcW w:w="2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0.10 - 0.25</w:t>
            </w: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0.1965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3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Vested and expected to vest (unaudited)</w:t>
            </w:r>
          </w:p>
        </w:tc>
        <w:tc>
          <w:tcPr>
            <w:tcW w:w="280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19,934</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0.10 - 0.30</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0.2198</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00" w:type="dxa"/>
            <w:vAlign w:val="bottom"/>
            <w:gridSpan w:val="3"/>
          </w:tcPr>
          <w:p>
            <w:pPr>
              <w:jc w:val="right"/>
              <w:ind w:right="1920"/>
              <w:spacing w:after="0"/>
              <w:rPr>
                <w:sz w:val="20"/>
                <w:szCs w:val="20"/>
                <w:color w:val="auto"/>
              </w:rPr>
            </w:pPr>
            <w:r>
              <w:rPr>
                <w:rFonts w:ascii="Arial" w:cs="Arial" w:eastAsia="Arial" w:hAnsi="Arial"/>
                <w:sz w:val="17"/>
                <w:szCs w:val="17"/>
                <w:color w:val="auto"/>
              </w:rPr>
              <w:t>F-29</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M—STOCK-BASED COMPENSATION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information about the options outstanding at December 31, 2012:</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Weighted</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Weighted</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4"/>
        </w:trPr>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average</w:t>
            </w:r>
          </w:p>
        </w:tc>
        <w:tc>
          <w:tcPr>
            <w:tcW w:w="740" w:type="dxa"/>
            <w:vAlign w:val="bottom"/>
            <w:gridSpan w:val="3"/>
          </w:tcPr>
          <w:p>
            <w:pPr>
              <w:jc w:val="center"/>
              <w:ind w:right="40"/>
              <w:spacing w:after="0" w:line="144" w:lineRule="exact"/>
              <w:rPr>
                <w:sz w:val="20"/>
                <w:szCs w:val="20"/>
                <w:color w:val="auto"/>
              </w:rPr>
            </w:pPr>
            <w:r>
              <w:rPr>
                <w:rFonts w:ascii="Arial" w:cs="Arial" w:eastAsia="Arial" w:hAnsi="Arial"/>
                <w:sz w:val="13"/>
                <w:szCs w:val="13"/>
                <w:b w:val="1"/>
                <w:bCs w:val="1"/>
                <w:color w:val="auto"/>
                <w:w w:val="92"/>
              </w:rPr>
              <w:t>Weighted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average</w:t>
            </w:r>
          </w:p>
        </w:tc>
        <w:tc>
          <w:tcPr>
            <w:tcW w:w="86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Weighted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2"/>
              </w:rPr>
              <w:t>Number of</w:t>
            </w:r>
          </w:p>
        </w:tc>
        <w:tc>
          <w:tcPr>
            <w:tcW w:w="10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remaining</w:t>
            </w:r>
          </w:p>
        </w:tc>
        <w:tc>
          <w:tcPr>
            <w:tcW w:w="120" w:type="dxa"/>
            <w:vAlign w:val="bottom"/>
          </w:tcPr>
          <w:p>
            <w:pPr>
              <w:spacing w:after="0"/>
              <w:rPr>
                <w:sz w:val="12"/>
                <w:szCs w:val="12"/>
                <w:color w:val="auto"/>
              </w:rPr>
            </w:pPr>
          </w:p>
        </w:tc>
        <w:tc>
          <w:tcPr>
            <w:tcW w:w="6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2"/>
                <w:szCs w:val="12"/>
                <w:color w:val="auto"/>
              </w:rPr>
            </w:pPr>
          </w:p>
        </w:tc>
        <w:tc>
          <w:tcPr>
            <w:tcW w:w="880" w:type="dxa"/>
            <w:vAlign w:val="bottom"/>
            <w:gridSpan w:val="3"/>
          </w:tcPr>
          <w:p>
            <w:pPr>
              <w:jc w:val="center"/>
              <w:ind w:right="94"/>
              <w:spacing w:after="0" w:line="144" w:lineRule="exact"/>
              <w:rPr>
                <w:sz w:val="20"/>
                <w:szCs w:val="20"/>
                <w:color w:val="auto"/>
              </w:rPr>
            </w:pPr>
            <w:r>
              <w:rPr>
                <w:rFonts w:ascii="Arial" w:cs="Arial" w:eastAsia="Arial" w:hAnsi="Arial"/>
                <w:sz w:val="13"/>
                <w:szCs w:val="13"/>
                <w:b w:val="1"/>
                <w:bCs w:val="1"/>
                <w:color w:val="auto"/>
                <w:w w:val="87"/>
              </w:rPr>
              <w:t>Aggregate</w:t>
            </w:r>
          </w:p>
        </w:tc>
        <w:tc>
          <w:tcPr>
            <w:tcW w:w="9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Number of</w:t>
            </w: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remaining</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average</w:t>
            </w:r>
          </w:p>
        </w:tc>
        <w:tc>
          <w:tcPr>
            <w:tcW w:w="90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Aggregate</w:t>
            </w:r>
          </w:p>
        </w:tc>
      </w:tr>
      <w:tr>
        <w:trPr>
          <w:trHeight w:val="144"/>
        </w:trPr>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5"/>
              </w:rPr>
              <w:t>shares</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contractual</w:t>
            </w:r>
          </w:p>
        </w:tc>
        <w:tc>
          <w:tcPr>
            <w:tcW w:w="120" w:type="dxa"/>
            <w:vAlign w:val="bottom"/>
          </w:tcPr>
          <w:p>
            <w:pPr>
              <w:spacing w:after="0"/>
              <w:rPr>
                <w:sz w:val="12"/>
                <w:szCs w:val="12"/>
                <w:color w:val="auto"/>
              </w:rPr>
            </w:pPr>
          </w:p>
        </w:tc>
        <w:tc>
          <w:tcPr>
            <w:tcW w:w="6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exercise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94"/>
              <w:spacing w:after="0" w:line="144" w:lineRule="exact"/>
              <w:rPr>
                <w:sz w:val="20"/>
                <w:szCs w:val="20"/>
                <w:color w:val="auto"/>
              </w:rPr>
            </w:pPr>
            <w:r>
              <w:rPr>
                <w:rFonts w:ascii="Arial" w:cs="Arial" w:eastAsia="Arial" w:hAnsi="Arial"/>
                <w:sz w:val="13"/>
                <w:szCs w:val="13"/>
                <w:b w:val="1"/>
                <w:bCs w:val="1"/>
                <w:color w:val="auto"/>
                <w:w w:val="94"/>
              </w:rPr>
              <w:t>intrinsic</w:t>
            </w:r>
          </w:p>
        </w:tc>
        <w:tc>
          <w:tcPr>
            <w:tcW w:w="9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5"/>
              </w:rPr>
              <w:t>shares</w:t>
            </w:r>
          </w:p>
        </w:tc>
        <w:tc>
          <w:tcPr>
            <w:tcW w:w="10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contractual</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4"/>
              </w:rPr>
              <w:t>exercise</w:t>
            </w:r>
          </w:p>
        </w:tc>
        <w:tc>
          <w:tcPr>
            <w:tcW w:w="120" w:type="dxa"/>
            <w:vAlign w:val="bottom"/>
          </w:tcPr>
          <w:p>
            <w:pPr>
              <w:spacing w:after="0"/>
              <w:rPr>
                <w:sz w:val="12"/>
                <w:szCs w:val="12"/>
                <w:color w:val="auto"/>
              </w:rPr>
            </w:pPr>
          </w:p>
        </w:tc>
        <w:tc>
          <w:tcPr>
            <w:tcW w:w="7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4"/>
              </w:rPr>
              <w:t>intrinsic</w:t>
            </w:r>
          </w:p>
        </w:tc>
      </w:tr>
      <w:tr>
        <w:trPr>
          <w:trHeight w:val="15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Range of exercise prices</w:t>
            </w:r>
          </w:p>
        </w:tc>
        <w:tc>
          <w:tcPr>
            <w:tcW w:w="12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outstanding</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life (years)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w w:val="96"/>
              </w:rPr>
              <w:t>price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
              <w:spacing w:after="0"/>
              <w:rPr>
                <w:sz w:val="20"/>
                <w:szCs w:val="20"/>
                <w:color w:val="auto"/>
              </w:rPr>
            </w:pPr>
            <w:r>
              <w:rPr>
                <w:rFonts w:ascii="Arial" w:cs="Arial" w:eastAsia="Arial" w:hAnsi="Arial"/>
                <w:sz w:val="13"/>
                <w:szCs w:val="13"/>
                <w:b w:val="1"/>
                <w:bCs w:val="1"/>
                <w:color w:val="auto"/>
                <w:w w:val="90"/>
              </w:rPr>
              <w:t>value</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exercisable</w:t>
            </w:r>
          </w:p>
        </w:tc>
        <w:tc>
          <w:tcPr>
            <w:tcW w:w="14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life (years)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b w:val="1"/>
                <w:bCs w:val="1"/>
                <w:color w:val="auto"/>
                <w:w w:val="89"/>
              </w:rPr>
              <w:t>price</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90"/>
              </w:rPr>
              <w:t>value</w:t>
            </w:r>
          </w:p>
        </w:tc>
        <w:tc>
          <w:tcPr>
            <w:tcW w:w="140" w:type="dxa"/>
            <w:vAlign w:val="bottom"/>
          </w:tcPr>
          <w:p>
            <w:pPr>
              <w:spacing w:after="0"/>
              <w:rPr>
                <w:sz w:val="13"/>
                <w:szCs w:val="13"/>
                <w:color w:val="auto"/>
              </w:rPr>
            </w:pPr>
          </w:p>
        </w:tc>
      </w:tr>
      <w:tr>
        <w:trPr>
          <w:trHeight w:val="137"/>
        </w:trPr>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tcPr>
          <w:p>
            <w:pPr>
              <w:ind w:left="40"/>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100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88"/>
              </w:rPr>
              <w:t>except price data)</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$0.10</w:t>
            </w:r>
          </w:p>
        </w:tc>
        <w:tc>
          <w:tcPr>
            <w:tcW w:w="1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$0.165</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556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0.135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w:t>
            </w:r>
          </w:p>
        </w:tc>
      </w:tr>
      <w:tr>
        <w:trPr>
          <w:trHeight w:val="216"/>
        </w:trPr>
        <w:tc>
          <w:tcPr>
            <w:tcW w:w="420" w:type="dxa"/>
            <w:vAlign w:val="bottom"/>
          </w:tcPr>
          <w:p>
            <w:pPr>
              <w:jc w:val="right"/>
              <w:spacing w:after="0"/>
              <w:rPr>
                <w:sz w:val="20"/>
                <w:szCs w:val="20"/>
                <w:color w:val="auto"/>
              </w:rPr>
            </w:pPr>
            <w:r>
              <w:rPr>
                <w:rFonts w:ascii="Arial" w:cs="Arial" w:eastAsia="Arial" w:hAnsi="Arial"/>
                <w:sz w:val="17"/>
                <w:szCs w:val="17"/>
                <w:color w:val="auto"/>
              </w:rPr>
              <w:t>0.20</w:t>
            </w:r>
          </w:p>
        </w:tc>
        <w:tc>
          <w:tcPr>
            <w:tcW w:w="1200" w:type="dxa"/>
            <w:vAlign w:val="bottom"/>
          </w:tcPr>
          <w:p>
            <w:pPr>
              <w:ind w:left="20"/>
              <w:spacing w:after="0"/>
              <w:rPr>
                <w:sz w:val="20"/>
                <w:szCs w:val="20"/>
                <w:color w:val="auto"/>
              </w:rPr>
            </w:pPr>
            <w:r>
              <w:rPr>
                <w:rFonts w:ascii="Arial" w:cs="Arial" w:eastAsia="Arial" w:hAnsi="Arial"/>
                <w:sz w:val="17"/>
                <w:szCs w:val="17"/>
                <w:color w:val="auto"/>
              </w:rPr>
              <w:t>-  0.25</w:t>
            </w: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12,023</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7.68</w:t>
            </w: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0.201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rPr>
              <w:t>593</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6,450</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6.92</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0.201</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314</w:t>
            </w:r>
          </w:p>
        </w:tc>
      </w:tr>
      <w:tr>
        <w:trPr>
          <w:trHeight w:val="20"/>
        </w:trPr>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12,579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657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7,006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0.196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378</w:t>
            </w:r>
          </w:p>
        </w:tc>
      </w:tr>
      <w:tr>
        <w:trPr>
          <w:trHeight w:val="26"/>
        </w:trPr>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firstLine="332"/>
        <w:spacing w:after="0" w:line="282" w:lineRule="auto"/>
        <w:rPr>
          <w:sz w:val="20"/>
          <w:szCs w:val="20"/>
          <w:color w:val="auto"/>
        </w:rPr>
      </w:pPr>
      <w:r>
        <w:rPr>
          <w:rFonts w:ascii="Arial" w:cs="Arial" w:eastAsia="Arial" w:hAnsi="Arial"/>
          <w:sz w:val="17"/>
          <w:szCs w:val="17"/>
          <w:color w:val="auto"/>
        </w:rPr>
        <w:t>As of December 31, 2012, total compensation cost related to unvested stock options not yet recognized was $0.4 million, which is expected to be expensed over a weighted-average period of 3.25 years.</w:t>
      </w:r>
    </w:p>
    <w:p>
      <w:pPr>
        <w:spacing w:after="0" w:line="170" w:lineRule="exact"/>
        <w:rPr>
          <w:sz w:val="20"/>
          <w:szCs w:val="20"/>
          <w:color w:val="auto"/>
        </w:rPr>
      </w:pPr>
    </w:p>
    <w:p>
      <w:pPr>
        <w:ind w:right="420" w:firstLine="332"/>
        <w:spacing w:after="0" w:line="282" w:lineRule="auto"/>
        <w:rPr>
          <w:sz w:val="20"/>
          <w:szCs w:val="20"/>
          <w:color w:val="auto"/>
        </w:rPr>
      </w:pPr>
      <w:r>
        <w:rPr>
          <w:rFonts w:ascii="Arial" w:cs="Arial" w:eastAsia="Arial" w:hAnsi="Arial"/>
          <w:sz w:val="17"/>
          <w:szCs w:val="17"/>
          <w:color w:val="auto"/>
        </w:rPr>
        <w:t>As of June 30, 2013, total compensation cost related to unvested stock options not yet recognized was $1.7 million, which is expected to be expensed over a weighted-average period of 3.38 years.</w:t>
      </w:r>
    </w:p>
    <w:p>
      <w:pPr>
        <w:spacing w:after="0" w:line="170" w:lineRule="exact"/>
        <w:rPr>
          <w:sz w:val="20"/>
          <w:szCs w:val="20"/>
          <w:color w:val="auto"/>
        </w:rPr>
      </w:pPr>
    </w:p>
    <w:p>
      <w:pPr>
        <w:ind w:right="60" w:firstLine="338"/>
        <w:spacing w:after="0" w:line="282" w:lineRule="auto"/>
        <w:rPr>
          <w:sz w:val="20"/>
          <w:szCs w:val="20"/>
          <w:color w:val="auto"/>
        </w:rPr>
      </w:pPr>
      <w:r>
        <w:rPr>
          <w:rFonts w:ascii="Arial" w:cs="Arial" w:eastAsia="Arial" w:hAnsi="Arial"/>
          <w:sz w:val="17"/>
          <w:szCs w:val="17"/>
          <w:color w:val="auto"/>
        </w:rPr>
        <w:t>The aggregate intrinsic value of options outstanding and options exercisable as of December 31, 2012 and December 31, 2011 was $0.7 million and $0.4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number and weighted average fair value of options granted in 2012, 2011 and 2010 is as follows:</w:t>
      </w:r>
    </w:p>
    <w:p>
      <w:pPr>
        <w:spacing w:after="0" w:line="220" w:lineRule="exact"/>
        <w:rPr>
          <w:sz w:val="20"/>
          <w:szCs w:val="20"/>
          <w:color w:val="auto"/>
        </w:rPr>
      </w:pPr>
    </w:p>
    <w:tbl>
      <w:tblPr>
        <w:tblLayout w:type="fixed"/>
        <w:tblInd w:w="1940" w:type="dxa"/>
        <w:tblCellMar>
          <w:top w:w="0" w:type="dxa"/>
          <w:left w:w="0" w:type="dxa"/>
          <w:bottom w:w="0" w:type="dxa"/>
          <w:right w:w="0" w:type="dxa"/>
        </w:tblCellMar>
      </w:tblPr>
      <w:tr>
        <w:trPr>
          <w:trHeight w:val="157"/>
        </w:trPr>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930"/>
              <w:spacing w:after="0"/>
              <w:rPr>
                <w:sz w:val="20"/>
                <w:szCs w:val="20"/>
                <w:color w:val="auto"/>
              </w:rPr>
            </w:pPr>
            <w:r>
              <w:rPr>
                <w:rFonts w:ascii="Arial" w:cs="Arial" w:eastAsia="Arial" w:hAnsi="Arial"/>
                <w:sz w:val="13"/>
                <w:szCs w:val="13"/>
                <w:b w:val="1"/>
                <w:bCs w:val="1"/>
                <w:color w:val="auto"/>
                <w:w w:val="96"/>
              </w:rPr>
              <w:t>2012</w:t>
            </w:r>
          </w:p>
        </w:tc>
        <w:tc>
          <w:tcPr>
            <w:tcW w:w="1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950"/>
              <w:spacing w:after="0"/>
              <w:rPr>
                <w:sz w:val="20"/>
                <w:szCs w:val="20"/>
                <w:color w:val="auto"/>
              </w:rPr>
            </w:pPr>
            <w:r>
              <w:rPr>
                <w:rFonts w:ascii="Arial" w:cs="Arial" w:eastAsia="Arial" w:hAnsi="Arial"/>
                <w:sz w:val="13"/>
                <w:szCs w:val="13"/>
                <w:b w:val="1"/>
                <w:bCs w:val="1"/>
                <w:color w:val="auto"/>
                <w:w w:val="96"/>
              </w:rPr>
              <w:t>2011</w:t>
            </w:r>
          </w:p>
        </w:tc>
        <w:tc>
          <w:tcPr>
            <w:tcW w:w="1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930"/>
              <w:spacing w:after="0"/>
              <w:rPr>
                <w:sz w:val="20"/>
                <w:szCs w:val="20"/>
                <w:color w:val="auto"/>
              </w:rPr>
            </w:pPr>
            <w:r>
              <w:rPr>
                <w:rFonts w:ascii="Arial" w:cs="Arial" w:eastAsia="Arial" w:hAnsi="Arial"/>
                <w:sz w:val="13"/>
                <w:szCs w:val="13"/>
                <w:b w:val="1"/>
                <w:bCs w:val="1"/>
                <w:color w:val="auto"/>
                <w:w w:val="96"/>
              </w:rPr>
              <w:t>2010</w:t>
            </w:r>
          </w:p>
        </w:tc>
        <w:tc>
          <w:tcPr>
            <w:tcW w:w="200" w:type="dxa"/>
            <w:vAlign w:val="bottom"/>
          </w:tcPr>
          <w:p>
            <w:pPr>
              <w:spacing w:after="0"/>
              <w:rPr>
                <w:sz w:val="13"/>
                <w:szCs w:val="13"/>
                <w:color w:val="auto"/>
              </w:rPr>
            </w:pPr>
          </w:p>
        </w:tc>
      </w:tr>
      <w:tr>
        <w:trPr>
          <w:trHeight w:val="124"/>
        </w:trPr>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jc w:val="center"/>
              <w:ind w:right="70"/>
              <w:spacing w:after="0" w:line="124" w:lineRule="exact"/>
              <w:rPr>
                <w:sz w:val="20"/>
                <w:szCs w:val="20"/>
                <w:color w:val="auto"/>
              </w:rPr>
            </w:pPr>
            <w:r>
              <w:rPr>
                <w:rFonts w:ascii="Arial" w:cs="Arial" w:eastAsia="Arial" w:hAnsi="Arial"/>
                <w:sz w:val="13"/>
                <w:szCs w:val="13"/>
                <w:b w:val="1"/>
                <w:bCs w:val="1"/>
                <w:color w:val="auto"/>
                <w:w w:val="89"/>
              </w:rPr>
              <w:t>Weighted average</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jc w:val="center"/>
              <w:ind w:right="90"/>
              <w:spacing w:after="0" w:line="124" w:lineRule="exact"/>
              <w:rPr>
                <w:sz w:val="20"/>
                <w:szCs w:val="20"/>
                <w:color w:val="auto"/>
              </w:rPr>
            </w:pPr>
            <w:r>
              <w:rPr>
                <w:rFonts w:ascii="Arial" w:cs="Arial" w:eastAsia="Arial" w:hAnsi="Arial"/>
                <w:sz w:val="13"/>
                <w:szCs w:val="13"/>
                <w:b w:val="1"/>
                <w:bCs w:val="1"/>
                <w:color w:val="auto"/>
                <w:w w:val="89"/>
              </w:rPr>
              <w:t>Weighted average</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jc w:val="center"/>
              <w:ind w:right="70"/>
              <w:spacing w:after="0" w:line="124" w:lineRule="exact"/>
              <w:rPr>
                <w:sz w:val="20"/>
                <w:szCs w:val="20"/>
                <w:color w:val="auto"/>
              </w:rPr>
            </w:pPr>
            <w:r>
              <w:rPr>
                <w:rFonts w:ascii="Arial" w:cs="Arial" w:eastAsia="Arial" w:hAnsi="Arial"/>
                <w:sz w:val="13"/>
                <w:szCs w:val="13"/>
                <w:b w:val="1"/>
                <w:bCs w:val="1"/>
                <w:color w:val="auto"/>
                <w:w w:val="89"/>
              </w:rPr>
              <w:t>Weighted average</w:t>
            </w:r>
          </w:p>
        </w:tc>
        <w:tc>
          <w:tcPr>
            <w:tcW w:w="200" w:type="dxa"/>
            <w:vAlign w:val="bottom"/>
          </w:tcPr>
          <w:p>
            <w:pPr>
              <w:spacing w:after="0"/>
              <w:rPr>
                <w:sz w:val="10"/>
                <w:szCs w:val="10"/>
                <w:color w:val="auto"/>
              </w:rPr>
            </w:pPr>
          </w:p>
        </w:tc>
      </w:tr>
      <w:tr>
        <w:trPr>
          <w:trHeight w:val="157"/>
        </w:trPr>
        <w:tc>
          <w:tcPr>
            <w:tcW w:w="64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4"/>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4"/>
              </w:rPr>
              <w:t>fair value</w:t>
            </w:r>
          </w:p>
        </w:tc>
        <w:tc>
          <w:tcPr>
            <w:tcW w:w="180" w:type="dxa"/>
            <w:vAlign w:val="bottom"/>
          </w:tcPr>
          <w:p>
            <w:pPr>
              <w:spacing w:after="0"/>
              <w:rPr>
                <w:sz w:val="13"/>
                <w:szCs w:val="13"/>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4"/>
              </w:rPr>
              <w:t>fair value</w:t>
            </w:r>
          </w:p>
        </w:tc>
        <w:tc>
          <w:tcPr>
            <w:tcW w:w="200" w:type="dxa"/>
            <w:vAlign w:val="bottom"/>
          </w:tcPr>
          <w:p>
            <w:pPr>
              <w:spacing w:after="0"/>
              <w:rPr>
                <w:sz w:val="13"/>
                <w:szCs w:val="13"/>
                <w:color w:val="auto"/>
              </w:rPr>
            </w:pPr>
          </w:p>
        </w:tc>
      </w:tr>
      <w:tr>
        <w:trPr>
          <w:trHeight w:val="137"/>
        </w:trPr>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3"/>
          </w:tcPr>
          <w:p>
            <w:pPr>
              <w:jc w:val="right"/>
              <w:ind w:right="470"/>
              <w:spacing w:after="0" w:line="138" w:lineRule="exact"/>
              <w:rPr>
                <w:sz w:val="20"/>
                <w:szCs w:val="20"/>
                <w:color w:val="auto"/>
              </w:rPr>
            </w:pPr>
            <w:r>
              <w:rPr>
                <w:rFonts w:ascii="Arial" w:cs="Arial" w:eastAsia="Arial" w:hAnsi="Arial"/>
                <w:sz w:val="13"/>
                <w:szCs w:val="13"/>
                <w:b w:val="1"/>
                <w:bCs w:val="1"/>
                <w:color w:val="auto"/>
                <w:w w:val="79"/>
              </w:rPr>
              <w:t>(shares in thousands)</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0"/>
        </w:trPr>
        <w:tc>
          <w:tcPr>
            <w:tcW w:w="640" w:type="dxa"/>
            <w:vAlign w:val="bottom"/>
            <w:shd w:val="clear" w:color="auto" w:fill="CCEEFF"/>
          </w:tcPr>
          <w:p>
            <w:pPr>
              <w:jc w:val="right"/>
              <w:ind w:right="65"/>
              <w:spacing w:after="0"/>
              <w:rPr>
                <w:sz w:val="20"/>
                <w:szCs w:val="20"/>
                <w:color w:val="auto"/>
              </w:rPr>
            </w:pPr>
            <w:r>
              <w:rPr>
                <w:rFonts w:ascii="Arial" w:cs="Arial" w:eastAsia="Arial" w:hAnsi="Arial"/>
                <w:sz w:val="17"/>
                <w:szCs w:val="17"/>
                <w:color w:val="auto"/>
              </w:rPr>
              <w:t>2,647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0.1642</w:t>
            </w:r>
          </w:p>
        </w:tc>
        <w:tc>
          <w:tcPr>
            <w:tcW w:w="84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3,715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0.0131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4,030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0.0144</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N—STOCKHOLDERS' EQUITY</w:t>
      </w:r>
    </w:p>
    <w:p>
      <w:pPr>
        <w:spacing w:after="0" w:line="228" w:lineRule="exact"/>
        <w:rPr>
          <w:sz w:val="20"/>
          <w:szCs w:val="20"/>
          <w:color w:val="auto"/>
        </w:rPr>
      </w:pPr>
    </w:p>
    <w:p>
      <w:pPr>
        <w:ind w:left="340" w:hanging="335"/>
        <w:spacing w:after="0"/>
        <w:tabs>
          <w:tab w:leader="none" w:pos="34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Common Stock</w:t>
      </w:r>
    </w:p>
    <w:p>
      <w:pPr>
        <w:spacing w:after="0" w:line="224"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Company has authorized the issuance of up to 300,000,000 shares of common stock, all of which have been designated voting common stock, under its Tenth Amended and Restated Articles of Incorporation (the "Restated Articles").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N—STOCKHOLDERS' EQUITY (Continued)</w:t>
      </w:r>
    </w:p>
    <w:p>
      <w:pPr>
        <w:spacing w:after="0" w:line="228" w:lineRule="exact"/>
        <w:rPr>
          <w:sz w:val="20"/>
          <w:szCs w:val="20"/>
          <w:color w:val="auto"/>
        </w:rPr>
      </w:pPr>
    </w:p>
    <w:p>
      <w:pPr>
        <w:ind w:left="340" w:hanging="335"/>
        <w:spacing w:after="0"/>
        <w:tabs>
          <w:tab w:leader="none" w:pos="340"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Convertible Preferred Stock</w:t>
      </w:r>
    </w:p>
    <w:p>
      <w:pPr>
        <w:spacing w:after="0" w:line="224"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The Company has authorized the issuance of up to 200,000,000 shares of preferred stock under the Company's Restated Articles. The number of authorized, and issued shares and the conversion rate from a preferred share into a common share by series is as follows: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080" w:type="dxa"/>
            <w:vAlign w:val="bottom"/>
          </w:tcPr>
          <w:p>
            <w:pPr>
              <w:spacing w:after="0"/>
              <w:rPr>
                <w:sz w:val="13"/>
                <w:szCs w:val="13"/>
                <w:color w:val="auto"/>
              </w:rPr>
            </w:pPr>
          </w:p>
        </w:tc>
        <w:tc>
          <w:tcPr>
            <w:tcW w:w="860" w:type="dxa"/>
            <w:vAlign w:val="bottom"/>
          </w:tcPr>
          <w:p>
            <w:pPr>
              <w:jc w:val="right"/>
              <w:ind w:right="41"/>
              <w:spacing w:after="0"/>
              <w:rPr>
                <w:sz w:val="20"/>
                <w:szCs w:val="20"/>
                <w:color w:val="auto"/>
              </w:rPr>
            </w:pPr>
            <w:r>
              <w:rPr>
                <w:rFonts w:ascii="Arial" w:cs="Arial" w:eastAsia="Arial" w:hAnsi="Arial"/>
                <w:sz w:val="13"/>
                <w:szCs w:val="13"/>
                <w:b w:val="1"/>
                <w:bCs w:val="1"/>
                <w:color w:val="auto"/>
              </w:rPr>
              <w:t>Authorized</w:t>
            </w:r>
          </w:p>
        </w:tc>
        <w:tc>
          <w:tcPr>
            <w:tcW w:w="140" w:type="dxa"/>
            <w:vAlign w:val="bottom"/>
          </w:tcPr>
          <w:p>
            <w:pPr>
              <w:spacing w:after="0"/>
              <w:rPr>
                <w:sz w:val="13"/>
                <w:szCs w:val="13"/>
                <w:color w:val="auto"/>
              </w:rPr>
            </w:pPr>
          </w:p>
        </w:tc>
        <w:tc>
          <w:tcPr>
            <w:tcW w:w="760" w:type="dxa"/>
            <w:vAlign w:val="bottom"/>
          </w:tcPr>
          <w:p>
            <w:pPr>
              <w:jc w:val="right"/>
              <w:ind w:right="134"/>
              <w:spacing w:after="0"/>
              <w:rPr>
                <w:sz w:val="20"/>
                <w:szCs w:val="20"/>
                <w:color w:val="auto"/>
              </w:rPr>
            </w:pPr>
            <w:r>
              <w:rPr>
                <w:rFonts w:ascii="Arial" w:cs="Arial" w:eastAsia="Arial" w:hAnsi="Arial"/>
                <w:sz w:val="13"/>
                <w:szCs w:val="13"/>
                <w:b w:val="1"/>
                <w:bCs w:val="1"/>
                <w:color w:val="auto"/>
              </w:rPr>
              <w:t>Issued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79"/>
              <w:spacing w:after="0"/>
              <w:rPr>
                <w:sz w:val="20"/>
                <w:szCs w:val="20"/>
                <w:color w:val="auto"/>
              </w:rPr>
            </w:pPr>
            <w:r>
              <w:rPr>
                <w:rFonts w:ascii="Arial" w:cs="Arial" w:eastAsia="Arial" w:hAnsi="Arial"/>
                <w:sz w:val="13"/>
                <w:szCs w:val="13"/>
                <w:b w:val="1"/>
                <w:bCs w:val="1"/>
                <w:color w:val="auto"/>
                <w:w w:val="97"/>
              </w:rPr>
              <w:t>Carrying</w:t>
            </w:r>
          </w:p>
        </w:tc>
        <w:tc>
          <w:tcPr>
            <w:tcW w:w="16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Arial" w:cs="Arial" w:eastAsia="Arial" w:hAnsi="Arial"/>
                <w:sz w:val="13"/>
                <w:szCs w:val="13"/>
                <w:b w:val="1"/>
                <w:bCs w:val="1"/>
                <w:color w:val="auto"/>
              </w:rPr>
              <w:t>Conversion</w:t>
            </w:r>
          </w:p>
        </w:tc>
      </w:tr>
      <w:tr>
        <w:trPr>
          <w:trHeight w:val="157"/>
        </w:trPr>
        <w:tc>
          <w:tcPr>
            <w:tcW w:w="4080" w:type="dxa"/>
            <w:vAlign w:val="bottom"/>
          </w:tcPr>
          <w:p>
            <w:pPr>
              <w:spacing w:after="0"/>
              <w:rPr>
                <w:sz w:val="13"/>
                <w:szCs w:val="13"/>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value</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rate</w:t>
            </w:r>
          </w:p>
        </w:tc>
        <w:tc>
          <w:tcPr>
            <w:tcW w:w="160" w:type="dxa"/>
            <w:vAlign w:val="bottom"/>
          </w:tcPr>
          <w:p>
            <w:pPr>
              <w:spacing w:after="0"/>
              <w:rPr>
                <w:sz w:val="13"/>
                <w:szCs w:val="13"/>
                <w:color w:val="auto"/>
              </w:rPr>
            </w:pPr>
          </w:p>
        </w:tc>
      </w:tr>
      <w:tr>
        <w:trPr>
          <w:trHeight w:val="137"/>
        </w:trPr>
        <w:tc>
          <w:tcPr>
            <w:tcW w:w="4080" w:type="dxa"/>
            <w:vAlign w:val="bottom"/>
          </w:tcPr>
          <w:p>
            <w:pPr>
              <w:spacing w:after="0"/>
              <w:rPr>
                <w:sz w:val="11"/>
                <w:szCs w:val="11"/>
                <w:color w:val="auto"/>
              </w:rPr>
            </w:pPr>
          </w:p>
        </w:tc>
        <w:tc>
          <w:tcPr>
            <w:tcW w:w="8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(in</w:t>
            </w:r>
          </w:p>
        </w:tc>
        <w:tc>
          <w:tcPr>
            <w:tcW w:w="140" w:type="dxa"/>
            <w:vAlign w:val="bottom"/>
          </w:tcPr>
          <w:p>
            <w:pPr>
              <w:spacing w:after="0"/>
              <w:rPr>
                <w:sz w:val="11"/>
                <w:szCs w:val="11"/>
                <w:color w:val="auto"/>
              </w:rPr>
            </w:pPr>
          </w:p>
        </w:tc>
        <w:tc>
          <w:tcPr>
            <w:tcW w:w="2900" w:type="dxa"/>
            <w:vAlign w:val="bottom"/>
            <w:gridSpan w:val="7"/>
          </w:tcPr>
          <w:p>
            <w:pPr>
              <w:spacing w:after="0" w:line="138" w:lineRule="exact"/>
              <w:rPr>
                <w:sz w:val="20"/>
                <w:szCs w:val="20"/>
                <w:color w:val="auto"/>
              </w:rPr>
            </w:pPr>
            <w:r>
              <w:rPr>
                <w:rFonts w:ascii="Arial" w:cs="Arial" w:eastAsia="Arial" w:hAnsi="Arial"/>
                <w:sz w:val="13"/>
                <w:szCs w:val="13"/>
                <w:b w:val="1"/>
                <w:bCs w:val="1"/>
                <w:color w:val="auto"/>
              </w:rPr>
              <w:t>thousands, except for conversion rate)</w:t>
            </w: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Series A (Redeemable)</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4,806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1:3.1731</w:t>
            </w:r>
          </w:p>
        </w:tc>
        <w:tc>
          <w:tcPr>
            <w:tcW w:w="160" w:type="dxa"/>
            <w:vAlign w:val="bottom"/>
            <w:shd w:val="clear" w:color="auto" w:fill="CCEEFF"/>
          </w:tcPr>
          <w:p>
            <w:pPr>
              <w:spacing w:after="0"/>
              <w:rPr>
                <w:sz w:val="18"/>
                <w:szCs w:val="18"/>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7"/>
                <w:szCs w:val="17"/>
                <w:color w:val="auto"/>
              </w:rPr>
              <w:t>Series C</w:t>
            </w:r>
          </w:p>
        </w:tc>
        <w:tc>
          <w:tcPr>
            <w:tcW w:w="860" w:type="dxa"/>
            <w:vAlign w:val="bottom"/>
          </w:tcPr>
          <w:p>
            <w:pPr>
              <w:jc w:val="right"/>
              <w:spacing w:after="0"/>
              <w:rPr>
                <w:sz w:val="20"/>
                <w:szCs w:val="20"/>
                <w:color w:val="auto"/>
              </w:rPr>
            </w:pPr>
            <w:r>
              <w:rPr>
                <w:rFonts w:ascii="Arial" w:cs="Arial" w:eastAsia="Arial" w:hAnsi="Arial"/>
                <w:sz w:val="17"/>
                <w:szCs w:val="17"/>
                <w:color w:val="auto"/>
              </w:rPr>
              <w:t>17,500</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17,470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21,802</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1:2.3106</w:t>
            </w:r>
          </w:p>
        </w:tc>
        <w:tc>
          <w:tcPr>
            <w:tcW w:w="160" w:type="dxa"/>
            <w:vAlign w:val="bottom"/>
          </w:tcPr>
          <w:p>
            <w:pPr>
              <w:spacing w:after="0"/>
              <w:rPr>
                <w:sz w:val="18"/>
                <w:szCs w:val="18"/>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Series D</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11,414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14,184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1:2.5359</w:t>
            </w:r>
          </w:p>
        </w:tc>
        <w:tc>
          <w:tcPr>
            <w:tcW w:w="160" w:type="dxa"/>
            <w:vAlign w:val="bottom"/>
            <w:shd w:val="clear" w:color="auto" w:fill="CCEEFF"/>
          </w:tcPr>
          <w:p>
            <w:pPr>
              <w:spacing w:after="0"/>
              <w:rPr>
                <w:sz w:val="18"/>
                <w:szCs w:val="18"/>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7"/>
                <w:szCs w:val="17"/>
                <w:color w:val="auto"/>
              </w:rPr>
              <w:t>Series E</w:t>
            </w:r>
          </w:p>
        </w:tc>
        <w:tc>
          <w:tcPr>
            <w:tcW w:w="860" w:type="dxa"/>
            <w:vAlign w:val="bottom"/>
          </w:tcPr>
          <w:p>
            <w:pPr>
              <w:jc w:val="right"/>
              <w:spacing w:after="0"/>
              <w:rPr>
                <w:sz w:val="20"/>
                <w:szCs w:val="20"/>
                <w:color w:val="auto"/>
              </w:rPr>
            </w:pPr>
            <w:r>
              <w:rPr>
                <w:rFonts w:ascii="Arial" w:cs="Arial" w:eastAsia="Arial" w:hAnsi="Arial"/>
                <w:sz w:val="17"/>
                <w:szCs w:val="17"/>
                <w:color w:val="auto"/>
              </w:rPr>
              <w:t>11,000</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10,339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28,055</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1:3.6186</w:t>
            </w:r>
          </w:p>
        </w:tc>
        <w:tc>
          <w:tcPr>
            <w:tcW w:w="160" w:type="dxa"/>
            <w:vAlign w:val="bottom"/>
          </w:tcPr>
          <w:p>
            <w:pPr>
              <w:spacing w:after="0"/>
              <w:rPr>
                <w:sz w:val="18"/>
                <w:szCs w:val="18"/>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Series F</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79,518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19,278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1:1.2000</w:t>
            </w:r>
          </w:p>
        </w:tc>
        <w:tc>
          <w:tcPr>
            <w:tcW w:w="16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7"/>
                <w:szCs w:val="17"/>
                <w:color w:val="auto"/>
              </w:rPr>
              <w:t>Series G</w:t>
            </w:r>
          </w:p>
        </w:tc>
        <w:tc>
          <w:tcPr>
            <w:tcW w:w="860" w:type="dxa"/>
            <w:vAlign w:val="bottom"/>
          </w:tcPr>
          <w:p>
            <w:pPr>
              <w:jc w:val="right"/>
              <w:spacing w:after="0"/>
              <w:rPr>
                <w:sz w:val="20"/>
                <w:szCs w:val="20"/>
                <w:color w:val="auto"/>
              </w:rPr>
            </w:pPr>
            <w:r>
              <w:rPr>
                <w:rFonts w:ascii="Arial" w:cs="Arial" w:eastAsia="Arial" w:hAnsi="Arial"/>
                <w:sz w:val="17"/>
                <w:szCs w:val="17"/>
                <w:color w:val="auto"/>
              </w:rPr>
              <w:t>45,000</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42,857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14,943</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1:1.0000</w:t>
            </w:r>
          </w:p>
        </w:tc>
        <w:tc>
          <w:tcPr>
            <w:tcW w:w="160" w:type="dxa"/>
            <w:vAlign w:val="bottom"/>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40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166,404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105,367</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6"/>
        </w:trPr>
        <w:tc>
          <w:tcPr>
            <w:tcW w:w="4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 w:firstLine="338"/>
        <w:spacing w:after="0" w:line="294" w:lineRule="auto"/>
        <w:rPr>
          <w:sz w:val="20"/>
          <w:szCs w:val="20"/>
          <w:color w:val="auto"/>
        </w:rPr>
      </w:pPr>
      <w:r>
        <w:rPr>
          <w:rFonts w:ascii="Arial" w:cs="Arial" w:eastAsia="Arial" w:hAnsi="Arial"/>
          <w:sz w:val="16"/>
          <w:szCs w:val="16"/>
          <w:color w:val="auto"/>
        </w:rPr>
        <w:t>The Company's Series A Preferred Stock may be redeemed at any time at the option of the Company's board by paying Series A shareholders a redemption price per share equal to the Series A purchase price of $1.50 plus the quotient of (i) the retained earnings of the Company as of the last day of the month immediately preceding notice of redemption divided by (ii) the number of Series A Preferred Stock outstanding on the date such notice is mailed.</w:t>
      </w:r>
    </w:p>
    <w:p>
      <w:pPr>
        <w:spacing w:after="0" w:line="163"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Except for Series A preferred shareholders, holders of preferred stock vote equally with shares of common stock on an as-converted basis on actions required by stockholders, other than as required by the Texas Business Organizations Code ("TBOC"). Holders of Series A Preferred do not have the right to vote on any action to be taken by the shareholders of the Company, except (a) to the extent a vote is required by the TBOC; or (b) with respect to certain other matters specified in the Restated Articles. In addition, each of the Series C, Series D, Series E, Series F and Series G have per-class voting rights similar to the class-voting rights for Series A Preferred Stock.</w:t>
      </w:r>
    </w:p>
    <w:p>
      <w:pPr>
        <w:spacing w:after="0" w:line="187" w:lineRule="exact"/>
        <w:rPr>
          <w:sz w:val="20"/>
          <w:szCs w:val="20"/>
          <w:color w:val="auto"/>
        </w:rPr>
      </w:pPr>
    </w:p>
    <w:p>
      <w:pPr>
        <w:ind w:right="260" w:firstLine="338"/>
        <w:spacing w:after="0" w:line="315" w:lineRule="auto"/>
        <w:rPr>
          <w:sz w:val="20"/>
          <w:szCs w:val="20"/>
          <w:color w:val="auto"/>
        </w:rPr>
      </w:pPr>
      <w:r>
        <w:rPr>
          <w:rFonts w:ascii="Arial" w:cs="Arial" w:eastAsia="Arial" w:hAnsi="Arial"/>
          <w:sz w:val="16"/>
          <w:szCs w:val="16"/>
          <w:color w:val="auto"/>
        </w:rPr>
        <w:t>The Company's preferred shareholders are not entitled to receive dividends unless declared by the board of directors of the Company. Each share of preferred stock is convertible into common stock as shown in the conversion rate table above upon an initial public offering of the Company's common stock.</w:t>
      </w:r>
    </w:p>
    <w:p>
      <w:pPr>
        <w:spacing w:after="0" w:line="146" w:lineRule="exact"/>
        <w:rPr>
          <w:sz w:val="20"/>
          <w:szCs w:val="20"/>
          <w:color w:val="auto"/>
        </w:rPr>
      </w:pPr>
    </w:p>
    <w:p>
      <w:pPr>
        <w:ind w:right="260" w:firstLine="341"/>
        <w:spacing w:after="0" w:line="322" w:lineRule="auto"/>
        <w:rPr>
          <w:sz w:val="20"/>
          <w:szCs w:val="20"/>
          <w:color w:val="auto"/>
        </w:rPr>
      </w:pPr>
      <w:r>
        <w:rPr>
          <w:rFonts w:ascii="Arial" w:cs="Arial" w:eastAsia="Arial" w:hAnsi="Arial"/>
          <w:sz w:val="15"/>
          <w:szCs w:val="15"/>
          <w:color w:val="auto"/>
        </w:rPr>
        <w:t>Each class of preferred stock provides to shareholders certain liquidation preferences upon any liquidation, dissolution or winding up of the Corporation. The Series G Preferred is senior to all other series of preferred stock, and the Series G liquidation preference is equal to the Series G purchase price plus a Series G preferential return equal to interest at prime rate plus one percent on the Series G purchase price, not to exceed the Series G purchase price, for a total</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N—STOCKHOLDERS' EQUITY (Continued)</w:t>
      </w:r>
    </w:p>
    <w:p>
      <w:pPr>
        <w:spacing w:after="0" w:line="228"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liquidation payment of up to two times the Series G purchase price. The Series F Preferred is senior to all other series of preferred stock other than Series G, and the Series F liquidation preference is equal to the Series F purchase price plus a Series F preferential return equal to interest at prime rate plus one percent on the Series F purchase price, not to exceed the Series F purchase price, for a total liquidation payment of up to two times the Series F purchase price. The Series E Preferred is senior to all other series of preferred stock other than Series F and G, and the Series E liquidation preference is equal to the Series E purchase price plus a Series E preferential return equal to interest at prime rate plus one percent on the Series E purchase price, not to exceed the Series E purchase price, for a total liquidation payment of up to two times the Series E purchase price. The Series D Preferred are senior to all other series of preferred stock other than Series E, F and G, and the Series D other series of preferred stock other than Series E, F and G, and the Series D liquidation preference is equal to the Series D purchase price plus a Series D preferential return equal to interest at prime rate plus one percent on the Series D purchase price, not to exceed the Series D purchase price, for a total liquidation payment of up to two times the Series D purchase price. The Series A and C Preferred are junior to Series D, E, F and G. Series C holders are entitled to a first payment equal to the Series C purchase price. Then, the Series A liquidation preference is equal to the Series A purchase price plus a Series A preferential return equal to interest at prime rate plus one percent on the Series A purchase price, not to exceed the Series A purchase price, for a total liquidation payment of up to two times the Series A purchase price. The Series C Preferred are then entitled to a second payment junior to the Series A liquidation payment, which Series C Junior liquidation payment is equal to that amount paid or distributed to holders of Common Stock as if such share of Series C Preferred Stock were converted; provided that the amount distributed per share of Series C Preferred Stock will not exceed one half of the Series C purchase price.</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total liquidation value on an aggregated basis as of December 31, 2012 was $127.8 million.</w:t>
      </w:r>
    </w:p>
    <w:p>
      <w:pPr>
        <w:spacing w:after="0" w:line="224" w:lineRule="exact"/>
        <w:rPr>
          <w:sz w:val="20"/>
          <w:szCs w:val="20"/>
          <w:color w:val="auto"/>
        </w:rPr>
      </w:pPr>
    </w:p>
    <w:p>
      <w:pPr>
        <w:ind w:left="340" w:hanging="335"/>
        <w:spacing w:after="0"/>
        <w:tabs>
          <w:tab w:leader="none" w:pos="340"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Warrants</w:t>
      </w:r>
    </w:p>
    <w:p>
      <w:pPr>
        <w:spacing w:after="0" w:line="224"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As of December 31, 2012, the Company had the following warrants outstanding related to certain financing and consulting transactions: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3"/>
          </w:tcPr>
          <w:p>
            <w:pPr>
              <w:ind w:left="20"/>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Security</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3"/>
          </w:tcPr>
          <w:p>
            <w:pPr>
              <w:ind w:left="60"/>
              <w:spacing w:after="0" w:line="144"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upon</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3"/>
          </w:tcPr>
          <w:p>
            <w:pPr>
              <w:ind w:left="60"/>
              <w:spacing w:after="0" w:line="144"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57"/>
        </w:trPr>
        <w:tc>
          <w:tcPr>
            <w:tcW w:w="5040" w:type="dxa"/>
            <w:vAlign w:val="bottom"/>
            <w:gridSpan w:val="3"/>
          </w:tcPr>
          <w:p>
            <w:pPr>
              <w:ind w:left="1380"/>
              <w:spacing w:after="0"/>
              <w:rPr>
                <w:sz w:val="20"/>
                <w:szCs w:val="20"/>
                <w:color w:val="auto"/>
              </w:rPr>
            </w:pPr>
            <w:r>
              <w:rPr>
                <w:rFonts w:ascii="Arial" w:cs="Arial" w:eastAsia="Arial" w:hAnsi="Arial"/>
                <w:sz w:val="13"/>
                <w:szCs w:val="13"/>
                <w:b w:val="1"/>
                <w:bCs w:val="1"/>
                <w:color w:val="auto"/>
              </w:rPr>
              <w:t>Issue date</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4"/>
              </w:rPr>
              <w:t>exercise</w:t>
            </w:r>
          </w:p>
        </w:tc>
        <w:tc>
          <w:tcPr>
            <w:tcW w:w="160" w:type="dxa"/>
            <w:vAlign w:val="bottom"/>
          </w:tcPr>
          <w:p>
            <w:pPr>
              <w:spacing w:after="0"/>
              <w:rPr>
                <w:sz w:val="13"/>
                <w:szCs w:val="13"/>
                <w:color w:val="auto"/>
              </w:rPr>
            </w:pPr>
          </w:p>
        </w:tc>
        <w:tc>
          <w:tcPr>
            <w:tcW w:w="560" w:type="dxa"/>
            <w:vAlign w:val="bottom"/>
          </w:tcPr>
          <w:p>
            <w:pPr>
              <w:jc w:val="right"/>
              <w:ind w:right="25"/>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1960" w:type="dxa"/>
            <w:vAlign w:val="bottom"/>
          </w:tcPr>
          <w:p>
            <w:pPr>
              <w:jc w:val="right"/>
              <w:ind w:right="465"/>
              <w:spacing w:after="0"/>
              <w:rPr>
                <w:sz w:val="20"/>
                <w:szCs w:val="20"/>
                <w:color w:val="auto"/>
              </w:rPr>
            </w:pPr>
            <w:r>
              <w:rPr>
                <w:rFonts w:ascii="Arial" w:cs="Arial" w:eastAsia="Arial" w:hAnsi="Arial"/>
                <w:sz w:val="13"/>
                <w:szCs w:val="13"/>
                <w:b w:val="1"/>
                <w:bCs w:val="1"/>
                <w:color w:val="auto"/>
              </w:rPr>
              <w:t>Expiration date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3"/>
          </w:tcPr>
          <w:p>
            <w:pPr>
              <w:ind w:left="140"/>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0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960" w:type="dxa"/>
            <w:vAlign w:val="bottom"/>
            <w:tcBorders>
              <w:top w:val="single" w:sz="8" w:color="auto"/>
            </w:tcBorders>
          </w:tcPr>
          <w:p>
            <w:pPr>
              <w:jc w:val="right"/>
              <w:ind w:right="725"/>
              <w:spacing w:after="0" w:line="138" w:lineRule="exact"/>
              <w:rPr>
                <w:sz w:val="20"/>
                <w:szCs w:val="20"/>
                <w:color w:val="auto"/>
              </w:rPr>
            </w:pPr>
            <w:r>
              <w:rPr>
                <w:rFonts w:ascii="Arial" w:cs="Arial" w:eastAsia="Arial" w:hAnsi="Arial"/>
                <w:sz w:val="13"/>
                <w:szCs w:val="13"/>
                <w:b w:val="1"/>
                <w:bCs w:val="1"/>
                <w:color w:val="auto"/>
                <w:w w:val="84"/>
              </w:rPr>
              <w:t>(shares in thousands)</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5/17/2011</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Common</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6/30/2014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7"/>
              </w:rPr>
              <w:t>0.20000</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7"/>
                <w:szCs w:val="17"/>
                <w:color w:val="auto"/>
              </w:rPr>
              <w:t>6/30/2009 to 5/3/2010</w:t>
            </w:r>
          </w:p>
        </w:tc>
        <w:tc>
          <w:tcPr>
            <w:tcW w:w="920" w:type="dxa"/>
            <w:vAlign w:val="bottom"/>
          </w:tcPr>
          <w:p>
            <w:pPr>
              <w:jc w:val="center"/>
              <w:spacing w:after="0"/>
              <w:rPr>
                <w:sz w:val="20"/>
                <w:szCs w:val="20"/>
                <w:color w:val="auto"/>
              </w:rPr>
            </w:pPr>
            <w:r>
              <w:rPr>
                <w:rFonts w:ascii="Arial" w:cs="Arial" w:eastAsia="Arial" w:hAnsi="Arial"/>
                <w:sz w:val="17"/>
                <w:szCs w:val="17"/>
                <w:color w:val="auto"/>
                <w:w w:val="90"/>
              </w:rPr>
              <w:t>Preferred F</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2,186</w:t>
            </w:r>
          </w:p>
        </w:tc>
        <w:tc>
          <w:tcPr>
            <w:tcW w:w="1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6/30/2014 to 4/23/2020</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tcPr>
          <w:p>
            <w:pPr>
              <w:ind w:left="140"/>
              <w:spacing w:after="0"/>
              <w:rPr>
                <w:sz w:val="20"/>
                <w:szCs w:val="20"/>
                <w:color w:val="auto"/>
              </w:rPr>
            </w:pPr>
            <w:r>
              <w:rPr>
                <w:rFonts w:ascii="Arial" w:cs="Arial" w:eastAsia="Arial" w:hAnsi="Arial"/>
                <w:sz w:val="17"/>
                <w:szCs w:val="17"/>
                <w:color w:val="auto"/>
                <w:w w:val="87"/>
              </w:rPr>
              <w:t>0.29003</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12/31/2011 to 11/2/2012</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Preferred G</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5/3/2013 to 4/23/2020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7"/>
              </w:rPr>
              <w:t>0.46926</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2,868</w:t>
            </w: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20" w:type="dxa"/>
            <w:vAlign w:val="bottom"/>
            <w:vMerge w:val="restart"/>
          </w:tcPr>
          <w:p>
            <w:pPr>
              <w:ind w:left="520"/>
              <w:spacing w:after="0"/>
              <w:rPr>
                <w:sz w:val="20"/>
                <w:szCs w:val="20"/>
                <w:color w:val="auto"/>
              </w:rPr>
            </w:pPr>
            <w:r>
              <w:rPr>
                <w:rFonts w:ascii="Arial" w:cs="Arial" w:eastAsia="Arial" w:hAnsi="Arial"/>
                <w:sz w:val="17"/>
                <w:szCs w:val="17"/>
                <w:color w:val="auto"/>
              </w:rPr>
              <w:t>F-32</w:t>
            </w: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N—STOCKHOLDERS' EQUITY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six month period ended June 30, 2013, 792,000 of the Preferred F, 83,333 of the Preferred G and 300,000 of the Common Warrants were exercised.</w:t>
      </w:r>
    </w:p>
    <w:p>
      <w:pPr>
        <w:spacing w:after="0" w:line="236" w:lineRule="exact"/>
        <w:rPr>
          <w:sz w:val="20"/>
          <w:szCs w:val="20"/>
          <w:color w:val="auto"/>
        </w:rPr>
      </w:pPr>
    </w:p>
    <w:p>
      <w:pPr>
        <w:jc w:val="both"/>
        <w:ind w:right="240" w:firstLine="338"/>
        <w:spacing w:after="0" w:line="352" w:lineRule="auto"/>
        <w:rPr>
          <w:sz w:val="20"/>
          <w:szCs w:val="20"/>
          <w:color w:val="auto"/>
        </w:rPr>
      </w:pPr>
      <w:r>
        <w:rPr>
          <w:rFonts w:ascii="Arial" w:cs="Arial" w:eastAsia="Arial" w:hAnsi="Arial"/>
          <w:sz w:val="15"/>
          <w:szCs w:val="15"/>
          <w:color w:val="auto"/>
        </w:rPr>
        <w:t>The Company estimated the fair value of these warrants at the date of the grant using the Black-Scholes option-pricing model and records the expense over the vesting period of the warrants. The Company recorded expense of $21,000 in 2012 related to the issuance of these warrants based upon the following assumptions:</w:t>
      </w:r>
    </w:p>
    <w:p>
      <w:pPr>
        <w:spacing w:after="0" w:line="1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Expected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6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rPr>
              <w:t>Expected</w:t>
            </w:r>
          </w:p>
        </w:tc>
        <w:tc>
          <w:tcPr>
            <w:tcW w:w="1280" w:type="dxa"/>
            <w:vAlign w:val="bottom"/>
          </w:tcPr>
          <w:p>
            <w:pPr>
              <w:jc w:val="right"/>
              <w:ind w:right="301"/>
              <w:spacing w:after="0" w:line="144" w:lineRule="exact"/>
              <w:rPr>
                <w:sz w:val="20"/>
                <w:szCs w:val="20"/>
                <w:color w:val="auto"/>
              </w:rPr>
            </w:pPr>
            <w:r>
              <w:rPr>
                <w:rFonts w:ascii="Arial" w:cs="Arial" w:eastAsia="Arial" w:hAnsi="Arial"/>
                <w:sz w:val="13"/>
                <w:szCs w:val="13"/>
                <w:b w:val="1"/>
                <w:bCs w:val="1"/>
                <w:color w:val="auto"/>
              </w:rPr>
              <w:t>Risk free</w:t>
            </w:r>
          </w:p>
        </w:tc>
        <w:tc>
          <w:tcPr>
            <w:tcW w:w="160" w:type="dxa"/>
            <w:vAlign w:val="bottom"/>
          </w:tcPr>
          <w:p>
            <w:pPr>
              <w:spacing w:after="0"/>
              <w:rPr>
                <w:sz w:val="12"/>
                <w:szCs w:val="12"/>
                <w:color w:val="auto"/>
              </w:rPr>
            </w:pPr>
          </w:p>
        </w:tc>
        <w:tc>
          <w:tcPr>
            <w:tcW w:w="6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term</w:t>
            </w:r>
          </w:p>
        </w:tc>
        <w:tc>
          <w:tcPr>
            <w:tcW w:w="0" w:type="dxa"/>
            <w:vAlign w:val="bottom"/>
          </w:tcPr>
          <w:p>
            <w:pPr>
              <w:spacing w:after="0"/>
              <w:rPr>
                <w:sz w:val="1"/>
                <w:szCs w:val="1"/>
                <w:color w:val="auto"/>
              </w:rPr>
            </w:pPr>
          </w:p>
        </w:tc>
      </w:tr>
      <w:tr>
        <w:trPr>
          <w:trHeight w:val="157"/>
        </w:trPr>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Issue date</w:t>
            </w:r>
          </w:p>
        </w:tc>
        <w:tc>
          <w:tcPr>
            <w:tcW w:w="440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volatility</w:t>
            </w:r>
          </w:p>
        </w:tc>
        <w:tc>
          <w:tcPr>
            <w:tcW w:w="1280" w:type="dxa"/>
            <w:vAlign w:val="bottom"/>
          </w:tcPr>
          <w:p>
            <w:pPr>
              <w:jc w:val="right"/>
              <w:ind w:right="221"/>
              <w:spacing w:after="0"/>
              <w:rPr>
                <w:sz w:val="20"/>
                <w:szCs w:val="20"/>
                <w:color w:val="auto"/>
              </w:rPr>
            </w:pPr>
            <w:r>
              <w:rPr>
                <w:rFonts w:ascii="Arial" w:cs="Arial" w:eastAsia="Arial" w:hAnsi="Arial"/>
                <w:sz w:val="13"/>
                <w:szCs w:val="13"/>
                <w:b w:val="1"/>
                <w:bCs w:val="1"/>
                <w:color w:val="auto"/>
              </w:rPr>
              <w:t>interest rate</w:t>
            </w:r>
          </w:p>
        </w:tc>
        <w:tc>
          <w:tcPr>
            <w:tcW w:w="1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4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70%</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2010</w:t>
            </w:r>
          </w:p>
        </w:tc>
        <w:tc>
          <w:tcPr>
            <w:tcW w:w="5260" w:type="dxa"/>
            <w:vAlign w:val="bottom"/>
            <w:gridSpan w:val="3"/>
          </w:tcPr>
          <w:p>
            <w:pPr>
              <w:jc w:val="right"/>
              <w:ind w:right="20"/>
              <w:spacing w:after="0"/>
              <w:rPr>
                <w:sz w:val="20"/>
                <w:szCs w:val="20"/>
                <w:color w:val="auto"/>
              </w:rPr>
            </w:pPr>
            <w:r>
              <w:rPr>
                <w:rFonts w:ascii="Arial" w:cs="Arial" w:eastAsia="Arial" w:hAnsi="Arial"/>
                <w:sz w:val="17"/>
                <w:szCs w:val="17"/>
                <w:color w:val="auto"/>
              </w:rPr>
              <w:t>70%</w:t>
            </w:r>
          </w:p>
        </w:tc>
        <w:tc>
          <w:tcPr>
            <w:tcW w:w="1280" w:type="dxa"/>
            <w:vAlign w:val="bottom"/>
          </w:tcPr>
          <w:p>
            <w:pPr>
              <w:jc w:val="right"/>
              <w:spacing w:after="0"/>
              <w:rPr>
                <w:sz w:val="20"/>
                <w:szCs w:val="20"/>
                <w:color w:val="auto"/>
              </w:rPr>
            </w:pPr>
            <w:r>
              <w:rPr>
                <w:rFonts w:ascii="Arial" w:cs="Arial" w:eastAsia="Arial" w:hAnsi="Arial"/>
                <w:sz w:val="17"/>
                <w:szCs w:val="17"/>
                <w:color w:val="auto"/>
              </w:rPr>
              <w:t>3.66%</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5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70%</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0.83% to 3.12%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to 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2012</w:t>
            </w:r>
          </w:p>
        </w:tc>
        <w:tc>
          <w:tcPr>
            <w:tcW w:w="5260" w:type="dxa"/>
            <w:vAlign w:val="bottom"/>
            <w:gridSpan w:val="3"/>
          </w:tcPr>
          <w:p>
            <w:pPr>
              <w:jc w:val="right"/>
              <w:ind w:right="20"/>
              <w:spacing w:after="0"/>
              <w:rPr>
                <w:sz w:val="20"/>
                <w:szCs w:val="20"/>
                <w:color w:val="auto"/>
              </w:rPr>
            </w:pPr>
            <w:r>
              <w:rPr>
                <w:rFonts w:ascii="Arial" w:cs="Arial" w:eastAsia="Arial" w:hAnsi="Arial"/>
                <w:sz w:val="17"/>
                <w:szCs w:val="17"/>
                <w:color w:val="auto"/>
              </w:rPr>
              <w:t>70%</w:t>
            </w:r>
          </w:p>
        </w:tc>
        <w:tc>
          <w:tcPr>
            <w:tcW w:w="1280" w:type="dxa"/>
            <w:vAlign w:val="bottom"/>
          </w:tcPr>
          <w:p>
            <w:pPr>
              <w:jc w:val="right"/>
              <w:spacing w:after="0"/>
              <w:rPr>
                <w:sz w:val="20"/>
                <w:szCs w:val="20"/>
                <w:color w:val="auto"/>
              </w:rPr>
            </w:pPr>
            <w:r>
              <w:rPr>
                <w:rFonts w:ascii="Arial" w:cs="Arial" w:eastAsia="Arial" w:hAnsi="Arial"/>
                <w:sz w:val="17"/>
                <w:szCs w:val="17"/>
                <w:color w:val="auto"/>
              </w:rPr>
              <w:t>0.73%</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260" w:firstLine="332"/>
        <w:spacing w:after="0" w:line="282" w:lineRule="auto"/>
        <w:rPr>
          <w:sz w:val="20"/>
          <w:szCs w:val="20"/>
          <w:color w:val="auto"/>
        </w:rPr>
      </w:pPr>
      <w:r>
        <w:rPr>
          <w:rFonts w:ascii="Arial" w:cs="Arial" w:eastAsia="Arial" w:hAnsi="Arial"/>
          <w:sz w:val="17"/>
          <w:szCs w:val="17"/>
          <w:color w:val="auto"/>
        </w:rPr>
        <w:t>As of December 31, 2012, the market value of the warrants amounted to $94,000, of which $21,000 was recorded as interest expense in 2012, representing the expense for the periods 2009 through 2012. No warrants were exercised during 2010, 2011 and 2012.</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June 30, 2013, the Company had outstanding warrants to purchase:</w:t>
      </w:r>
    </w:p>
    <w:p>
      <w:pPr>
        <w:spacing w:after="0" w:line="237" w:lineRule="exact"/>
        <w:rPr>
          <w:sz w:val="20"/>
          <w:szCs w:val="20"/>
          <w:color w:val="auto"/>
        </w:rPr>
      </w:pPr>
    </w:p>
    <w:p>
      <w:pPr>
        <w:ind w:left="1060" w:hanging="531"/>
        <w:spacing w:after="0" w:line="263" w:lineRule="auto"/>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744,000 shares of its Series F preferred stock with an exercise price of $0.25 per share. These warrants will automatically convert upon the closing of the offering, unless earlier exercised by the holder, into a number of common shares determined by dividing (i) the aggregate fair market value of the underlying shares less the aggregate cost of those shares (using the exercise price of $0.25) by (ii) the then fair market value of one share. The fair market value of the shares are determined by either the closing price of the shares if traded on an exchange or the Board of Directors of the Company, if not traded on an exchange.</w:t>
      </w:r>
    </w:p>
    <w:p>
      <w:pPr>
        <w:spacing w:after="0" w:line="213" w:lineRule="exact"/>
        <w:rPr>
          <w:rFonts w:ascii="Arial" w:cs="Arial" w:eastAsia="Arial" w:hAnsi="Arial"/>
          <w:sz w:val="17"/>
          <w:szCs w:val="17"/>
          <w:color w:val="auto"/>
        </w:rPr>
      </w:pPr>
    </w:p>
    <w:p>
      <w:pPr>
        <w:ind w:left="1060" w:right="180" w:hanging="531"/>
        <w:spacing w:after="0" w:line="270" w:lineRule="auto"/>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650,000 shares of its Series F preferred stock with a weighted average exercise price of $0.38462 per share. If these warrants have not been exercised prior to the closing of the offering, then, pursuant to their terms, the warrants shall automatically adjust to be exercisable for an aggregate of 780,011 shares of common stock at a weighted average exercise price of $0.32051 per share.</w:t>
      </w:r>
    </w:p>
    <w:p>
      <w:pPr>
        <w:spacing w:after="0" w:line="192" w:lineRule="exact"/>
        <w:rPr>
          <w:rFonts w:ascii="Arial" w:cs="Arial" w:eastAsia="Arial" w:hAnsi="Arial"/>
          <w:sz w:val="17"/>
          <w:szCs w:val="17"/>
          <w:color w:val="auto"/>
        </w:rPr>
      </w:pPr>
    </w:p>
    <w:p>
      <w:pPr>
        <w:ind w:left="1060" w:hanging="531"/>
        <w:spacing w:after="0" w:line="263" w:lineRule="auto"/>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99,109 shares of its Series G preferred stock with an exercise price of $0.60 per share. These warrants will automatically convert upon the closing of the offering, unless earlier exercised by the holder, into a number of common shares determined by dividing (i) the aggregate fair market value of the underlying shares less the aggregate cost of those shares (using the exercise price of $0.60) by (ii) the then fair market value of one share. The fair market value of the shares are determined by either the closing price of the shares if traded on an exchange or the Board of Directors of the Company, if not traded on an exchange.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N—STOCKHOLDERS' EQUITY (Continued)</w:t>
      </w:r>
    </w:p>
    <w:p>
      <w:pPr>
        <w:spacing w:after="0" w:line="241" w:lineRule="exact"/>
        <w:rPr>
          <w:sz w:val="20"/>
          <w:szCs w:val="20"/>
          <w:color w:val="auto"/>
        </w:rPr>
      </w:pPr>
    </w:p>
    <w:p>
      <w:pPr>
        <w:jc w:val="both"/>
        <w:ind w:left="1060" w:right="200" w:hanging="531"/>
        <w:spacing w:after="0" w:line="352" w:lineRule="auto"/>
        <w:tabs>
          <w:tab w:leader="none" w:pos="10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200,000 shares of its Series G preferred stock with an exercise price of $0.35 per share. If this warrant has not been exercised prior to closing of the offering, then pursuant to its terms, the warrant shall automatically adjust to be exercisable for 200,000 shares of common stock at $0.35 per share.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O—SEGMENT AND GEOGRAPHIC INFORMATION</w:t>
      </w:r>
    </w:p>
    <w:p>
      <w:pPr>
        <w:spacing w:after="0" w:line="228"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79" w:lineRule="exact"/>
        <w:rPr>
          <w:sz w:val="20"/>
          <w:szCs w:val="20"/>
          <w:color w:val="auto"/>
        </w:rPr>
      </w:pPr>
    </w:p>
    <w:p>
      <w:pPr>
        <w:ind w:right="560" w:firstLine="338"/>
        <w:spacing w:after="0" w:line="315" w:lineRule="auto"/>
        <w:rPr>
          <w:sz w:val="20"/>
          <w:szCs w:val="20"/>
          <w:color w:val="auto"/>
        </w:rPr>
      </w:pPr>
      <w:r>
        <w:rPr>
          <w:rFonts w:ascii="Arial" w:cs="Arial" w:eastAsia="Arial" w:hAnsi="Arial"/>
          <w:sz w:val="16"/>
          <w:szCs w:val="16"/>
          <w:color w:val="auto"/>
        </w:rPr>
        <w:t>The following tables set forth the Company's revenue and asset information by geographic region. Revenue is classified based on the location of product manufacturing plants. Long-lived assets in the tables below comprise only property, plant, equipment and intangible assets (in thousands):</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1"/>
              </w:rPr>
              <w:t>For the year ended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1"/>
              </w:rPr>
              <w:t>For the Six Months ended</w:t>
            </w:r>
          </w:p>
        </w:tc>
      </w:tr>
      <w:tr>
        <w:trPr>
          <w:trHeight w:val="157"/>
        </w:trPr>
        <w:tc>
          <w:tcPr>
            <w:tcW w:w="2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ind w:left="16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365"/>
              <w:spacing w:after="0"/>
              <w:rPr>
                <w:sz w:val="20"/>
                <w:szCs w:val="20"/>
                <w:color w:val="auto"/>
              </w:rPr>
            </w:pPr>
            <w:r>
              <w:rPr>
                <w:rFonts w:ascii="Arial" w:cs="Arial" w:eastAsia="Arial" w:hAnsi="Arial"/>
                <w:sz w:val="13"/>
                <w:szCs w:val="13"/>
                <w:b w:val="1"/>
                <w:bCs w:val="1"/>
                <w:color w:val="auto"/>
                <w:w w:val="88"/>
              </w:rPr>
              <w:t>June 30,</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2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5"/>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6"/>
                <w:szCs w:val="16"/>
                <w:color w:val="auto"/>
              </w:rPr>
            </w:pPr>
          </w:p>
        </w:tc>
      </w:tr>
      <w:tr>
        <w:trPr>
          <w:trHeight w:val="215"/>
        </w:trPr>
        <w:tc>
          <w:tcPr>
            <w:tcW w:w="2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center"/>
              <w:ind w:left="365"/>
              <w:spacing w:after="0"/>
              <w:rPr>
                <w:sz w:val="20"/>
                <w:szCs w:val="20"/>
                <w:color w:val="auto"/>
              </w:rPr>
            </w:pPr>
            <w:r>
              <w:rPr>
                <w:rFonts w:ascii="Arial" w:cs="Arial" w:eastAsia="Arial" w:hAnsi="Arial"/>
                <w:sz w:val="13"/>
                <w:szCs w:val="13"/>
                <w:b w:val="1"/>
                <w:bCs w:val="1"/>
                <w:color w:val="auto"/>
                <w:w w:val="93"/>
              </w:rPr>
              <w:t>(unaudited)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1"/>
              </w:rPr>
              <w:t>(in thousands)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180" w:type="dxa"/>
            <w:vAlign w:val="bottom"/>
          </w:tcPr>
          <w:p>
            <w:pPr>
              <w:ind w:left="180"/>
              <w:spacing w:after="0"/>
              <w:rPr>
                <w:sz w:val="20"/>
                <w:szCs w:val="20"/>
                <w:color w:val="auto"/>
              </w:rPr>
            </w:pPr>
            <w:r>
              <w:rPr>
                <w:rFonts w:ascii="Arial" w:cs="Arial" w:eastAsia="Arial" w:hAnsi="Arial"/>
                <w:sz w:val="17"/>
                <w:szCs w:val="17"/>
                <w:color w:val="auto"/>
              </w:rPr>
              <w:t>United States</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12,192</w:t>
            </w:r>
          </w:p>
        </w:tc>
        <w:tc>
          <w:tcPr>
            <w:tcW w:w="3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18,767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13,273</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5,665</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6,152</w:t>
            </w:r>
          </w:p>
        </w:tc>
        <w:tc>
          <w:tcPr>
            <w:tcW w:w="160" w:type="dxa"/>
            <w:vAlign w:val="bottom"/>
          </w:tcPr>
          <w:p>
            <w:pPr>
              <w:spacing w:after="0"/>
              <w:rPr>
                <w:sz w:val="18"/>
                <w:szCs w:val="18"/>
                <w:color w:val="auto"/>
              </w:rPr>
            </w:pPr>
          </w:p>
        </w:tc>
      </w:tr>
      <w:tr>
        <w:trPr>
          <w:trHeight w:val="210"/>
        </w:trPr>
        <w:tc>
          <w:tcPr>
            <w:tcW w:w="2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Taiwan</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7,015</w:t>
            </w:r>
          </w:p>
        </w:tc>
        <w:tc>
          <w:tcPr>
            <w:tcW w:w="160" w:type="dxa"/>
            <w:vAlign w:val="bottom"/>
            <w:shd w:val="clear" w:color="auto" w:fill="CCEEFF"/>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7"/>
                <w:szCs w:val="17"/>
                <w:color w:val="auto"/>
              </w:rPr>
              <w:t>China</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36,029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22,526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17,198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13,526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14,977</w:t>
            </w:r>
          </w:p>
        </w:tc>
        <w:tc>
          <w:tcPr>
            <w:tcW w:w="160" w:type="dxa"/>
            <w:vAlign w:val="bottom"/>
          </w:tcPr>
          <w:p>
            <w:pPr>
              <w:spacing w:after="0"/>
              <w:rPr>
                <w:sz w:val="18"/>
                <w:szCs w:val="18"/>
                <w:color w:val="auto"/>
              </w:rPr>
            </w:pPr>
          </w:p>
        </w:tc>
      </w:tr>
      <w:tr>
        <w:trPr>
          <w:trHeight w:val="20"/>
        </w:trPr>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63,421</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47,840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40,489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33,914</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28,144</w:t>
            </w:r>
          </w:p>
        </w:tc>
        <w:tc>
          <w:tcPr>
            <w:tcW w:w="160" w:type="dxa"/>
            <w:vAlign w:val="bottom"/>
            <w:shd w:val="clear" w:color="auto" w:fill="CCEEFF"/>
          </w:tcPr>
          <w:p>
            <w:pPr>
              <w:spacing w:after="0"/>
              <w:rPr>
                <w:sz w:val="17"/>
                <w:szCs w:val="17"/>
                <w:color w:val="auto"/>
              </w:rPr>
            </w:pPr>
          </w:p>
        </w:tc>
      </w:tr>
      <w:tr>
        <w:trPr>
          <w:trHeight w:val="26"/>
        </w:trPr>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5"/>
        </w:trPr>
        <w:tc>
          <w:tcPr>
            <w:tcW w:w="2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6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1"/>
              </w:rPr>
              <w:t>For the Six Months ended</w:t>
            </w:r>
          </w:p>
        </w:tc>
      </w:tr>
      <w:tr>
        <w:trPr>
          <w:trHeight w:val="157"/>
        </w:trPr>
        <w:tc>
          <w:tcPr>
            <w:tcW w:w="2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7"/>
          </w:tcPr>
          <w:p>
            <w:pPr>
              <w:jc w:val="center"/>
              <w:ind w:right="81"/>
              <w:spacing w:after="0"/>
              <w:rPr>
                <w:sz w:val="20"/>
                <w:szCs w:val="20"/>
                <w:color w:val="auto"/>
              </w:rPr>
            </w:pPr>
            <w:r>
              <w:rPr>
                <w:rFonts w:ascii="Arial" w:cs="Arial" w:eastAsia="Arial" w:hAnsi="Arial"/>
                <w:sz w:val="13"/>
                <w:szCs w:val="13"/>
                <w:b w:val="1"/>
                <w:bCs w:val="1"/>
                <w:color w:val="auto"/>
                <w:w w:val="89"/>
              </w:rPr>
              <w:t>For the year ended December 31,</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365"/>
              <w:spacing w:after="0"/>
              <w:rPr>
                <w:sz w:val="20"/>
                <w:szCs w:val="20"/>
                <w:color w:val="auto"/>
              </w:rPr>
            </w:pPr>
            <w:r>
              <w:rPr>
                <w:rFonts w:ascii="Arial" w:cs="Arial" w:eastAsia="Arial" w:hAnsi="Arial"/>
                <w:sz w:val="13"/>
                <w:szCs w:val="13"/>
                <w:b w:val="1"/>
                <w:bCs w:val="1"/>
                <w:color w:val="auto"/>
                <w:w w:val="88"/>
              </w:rPr>
              <w:t>June 30,</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2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5"/>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6"/>
                <w:szCs w:val="16"/>
                <w:color w:val="auto"/>
              </w:rPr>
            </w:pPr>
          </w:p>
        </w:tc>
      </w:tr>
      <w:tr>
        <w:trPr>
          <w:trHeight w:val="215"/>
        </w:trPr>
        <w:tc>
          <w:tcPr>
            <w:tcW w:w="2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center"/>
              <w:ind w:left="365"/>
              <w:spacing w:after="0"/>
              <w:rPr>
                <w:sz w:val="20"/>
                <w:szCs w:val="20"/>
                <w:color w:val="auto"/>
              </w:rPr>
            </w:pPr>
            <w:r>
              <w:rPr>
                <w:rFonts w:ascii="Arial" w:cs="Arial" w:eastAsia="Arial" w:hAnsi="Arial"/>
                <w:sz w:val="13"/>
                <w:szCs w:val="13"/>
                <w:b w:val="1"/>
                <w:bCs w:val="1"/>
                <w:color w:val="auto"/>
                <w:w w:val="93"/>
              </w:rPr>
              <w:t>(unaudited)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1"/>
              </w:rPr>
              <w:t>(in thousands)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Long-lived assets: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180" w:type="dxa"/>
            <w:vAlign w:val="bottom"/>
          </w:tcPr>
          <w:p>
            <w:pPr>
              <w:ind w:left="180"/>
              <w:spacing w:after="0"/>
              <w:rPr>
                <w:sz w:val="20"/>
                <w:szCs w:val="20"/>
                <w:color w:val="auto"/>
              </w:rPr>
            </w:pPr>
            <w:r>
              <w:rPr>
                <w:rFonts w:ascii="Arial" w:cs="Arial" w:eastAsia="Arial" w:hAnsi="Arial"/>
                <w:sz w:val="17"/>
                <w:szCs w:val="17"/>
                <w:color w:val="auto"/>
              </w:rPr>
              <w:t>United States</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8,966</w:t>
            </w:r>
          </w:p>
        </w:tc>
        <w:tc>
          <w:tcPr>
            <w:tcW w:w="3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9,457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10,430</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8,870</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9,091</w:t>
            </w:r>
          </w:p>
        </w:tc>
        <w:tc>
          <w:tcPr>
            <w:tcW w:w="160" w:type="dxa"/>
            <w:vAlign w:val="bottom"/>
          </w:tcPr>
          <w:p>
            <w:pPr>
              <w:spacing w:after="0"/>
              <w:rPr>
                <w:sz w:val="18"/>
                <w:szCs w:val="18"/>
                <w:color w:val="auto"/>
              </w:rPr>
            </w:pPr>
          </w:p>
        </w:tc>
      </w:tr>
      <w:tr>
        <w:trPr>
          <w:trHeight w:val="210"/>
        </w:trPr>
        <w:tc>
          <w:tcPr>
            <w:tcW w:w="2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Taiwan</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3,273</w:t>
            </w:r>
          </w:p>
        </w:tc>
        <w:tc>
          <w:tcPr>
            <w:tcW w:w="160" w:type="dxa"/>
            <w:vAlign w:val="bottom"/>
            <w:shd w:val="clear" w:color="auto" w:fill="CCEEFF"/>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7"/>
                <w:szCs w:val="17"/>
                <w:color w:val="auto"/>
              </w:rPr>
              <w:t>China</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13,595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14,052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13,784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14,922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13,494</w:t>
            </w:r>
          </w:p>
        </w:tc>
        <w:tc>
          <w:tcPr>
            <w:tcW w:w="160" w:type="dxa"/>
            <w:vAlign w:val="bottom"/>
          </w:tcPr>
          <w:p>
            <w:pPr>
              <w:spacing w:after="0"/>
              <w:rPr>
                <w:sz w:val="18"/>
                <w:szCs w:val="18"/>
                <w:color w:val="auto"/>
              </w:rPr>
            </w:pPr>
          </w:p>
        </w:tc>
      </w:tr>
      <w:tr>
        <w:trPr>
          <w:trHeight w:val="20"/>
        </w:trPr>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26,280</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26,847</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27,909</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25,858</w:t>
            </w:r>
          </w:p>
        </w:tc>
        <w:tc>
          <w:tcPr>
            <w:tcW w:w="160" w:type="dxa"/>
            <w:vAlign w:val="bottom"/>
            <w:shd w:val="clear" w:color="auto" w:fill="CCEEFF"/>
          </w:tcPr>
          <w:p>
            <w:pPr>
              <w:spacing w:after="0"/>
              <w:rPr>
                <w:sz w:val="17"/>
                <w:szCs w:val="17"/>
                <w:color w:val="auto"/>
              </w:rPr>
            </w:pPr>
          </w:p>
        </w:tc>
      </w:tr>
      <w:tr>
        <w:trPr>
          <w:trHeight w:val="26"/>
        </w:trPr>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Company serves three primary markets, the CATV, internet data center and FTTH markets. Of the Company's total revenues in 2012, the Company earned $49.8 million, or 78.6%, from the CATV market, $5.3 million, or 8.3%, from the internet data center market, $3.7 million,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O—SEGMENT AND GEOGRAPHIC INFORMATION (Continued)</w:t>
      </w:r>
    </w:p>
    <w:p>
      <w:pPr>
        <w:spacing w:after="0" w:line="22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or 5.8%, from the FTTH market, and $4.6 million, or 7.3%, from other markets. Of the Company's total revenues in 2011, the Company earned $38.9 million, or 81.4%, from the CATV market, $14,000, or 0.0%, from the internet data center market, $3.3 million, or 6.9%, from the FTTH market, and $5.6 million, or 11.6%, from other markets. Of the Company's total revenues in 2010, the Company earned $33.0 million, or 81.4%, from the CATV market, no revenue from the internet data center market, $2.0 million, or 4.9%, from the FTTH market, and $5.6 million, or 13.7%, from other markets.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P—MAJOR CUSTOMERS</w:t>
      </w:r>
    </w:p>
    <w:p>
      <w:pPr>
        <w:spacing w:after="0" w:line="228"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Company currently derives its revenues from customers in the United States and throughout the rest of the world. Generally, the Company does not require deposits or other collateral to support customer receivables. The Company performs an initial and periodic credit evaluation of its customers and maintains an allowance for uncollectible accounts for potential uncollectible accounts. The historical amount of losses on uncollectible accounts has been within the Company's estimates. The Company's five largest customers represented an aggregate of 47%, 56% and 60% of revenue for the years ended December 31, 2012, 2011 and 2010, respectively. The five largest receivable balances for customers represented an aggregate of 58%, 71% and 63% of total accounts receivable at December 31, 2012 and 2011 and June 30, 2013,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Q—EMPLOYEE BENEFIT PLANS</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On August 1, 2000, the Company established a 401(k) profit sharing plan covering employees meeting certain age and service requirements. The plan provides for discretionary Company contributions to be allocated based on the employee's eligible contributions. The Company made no contributions to the 401(k) plan for the years ended December 31, 2012, 2011 and 2010.</w:t>
      </w:r>
    </w:p>
    <w:p>
      <w:pPr>
        <w:spacing w:after="0" w:line="179" w:lineRule="exact"/>
        <w:rPr>
          <w:sz w:val="20"/>
          <w:szCs w:val="20"/>
          <w:color w:val="auto"/>
        </w:rPr>
      </w:pPr>
    </w:p>
    <w:p>
      <w:pPr>
        <w:jc w:val="both"/>
        <w:ind w:right="220" w:firstLine="341"/>
        <w:spacing w:after="0" w:line="283" w:lineRule="auto"/>
        <w:rPr>
          <w:sz w:val="20"/>
          <w:szCs w:val="20"/>
          <w:color w:val="auto"/>
        </w:rPr>
      </w:pPr>
      <w:r>
        <w:rPr>
          <w:rFonts w:ascii="Arial" w:cs="Arial" w:eastAsia="Arial" w:hAnsi="Arial"/>
          <w:sz w:val="16"/>
          <w:szCs w:val="16"/>
          <w:color w:val="auto"/>
        </w:rPr>
        <w:t>Employees of Global participate in a state-mandated social security program in China. Under this program, pension costs are recorded on the basis of required monthly contributions to employees' individual accounts during their service periods. Under the regulations of the People's Republic of China, Global is required to make fixed contributions to a fund, which is under the administration of the local labor departments. Employees of AOI—Taiwan participate in a pension program under the Taiwan Labor Pension Act. Pension expense for Global was $244,000, $206,000 and $188,000 in 2012, 2011 and 2010, respectively. Pension expense for AOI—Taiwan was $168,000, $123,000 and $92,000 in 2012, 2011 and 2010, respectively.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R—COMMITMENTS AND CONTINGENCIES</w:t>
      </w:r>
    </w:p>
    <w:p>
      <w:pPr>
        <w:spacing w:after="0" w:line="228" w:lineRule="exact"/>
        <w:rPr>
          <w:sz w:val="20"/>
          <w:szCs w:val="20"/>
          <w:color w:val="auto"/>
        </w:rPr>
      </w:pPr>
    </w:p>
    <w:p>
      <w:pPr>
        <w:ind w:left="340" w:hanging="335"/>
        <w:spacing w:after="0"/>
        <w:tabs>
          <w:tab w:leader="none" w:pos="340"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Commitments</w:t>
      </w:r>
    </w:p>
    <w:p>
      <w:pPr>
        <w:spacing w:after="0" w:line="224"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Company conducts part of its operations from leased facilities and also leases equipment. Rent expense was $0.5 million, $0.4 million and $0.6 million for the years ended December 31, 2012, 2011 and 2010, respectively.</w:t>
      </w:r>
    </w:p>
    <w:p>
      <w:pPr>
        <w:spacing w:after="0" w:line="170" w:lineRule="exact"/>
        <w:rPr>
          <w:sz w:val="20"/>
          <w:szCs w:val="20"/>
          <w:color w:val="auto"/>
        </w:rPr>
      </w:pPr>
    </w:p>
    <w:p>
      <w:pPr>
        <w:ind w:right="280" w:firstLine="332"/>
        <w:spacing w:after="0" w:line="282" w:lineRule="auto"/>
        <w:rPr>
          <w:sz w:val="20"/>
          <w:szCs w:val="20"/>
          <w:color w:val="auto"/>
        </w:rPr>
      </w:pPr>
      <w:r>
        <w:rPr>
          <w:rFonts w:ascii="Arial" w:cs="Arial" w:eastAsia="Arial" w:hAnsi="Arial"/>
          <w:sz w:val="17"/>
          <w:szCs w:val="17"/>
          <w:color w:val="auto"/>
        </w:rPr>
        <w:t>At December 31, 2012, the approximate minimum rental commitments under noncancellable leases in excess of one year that expire at varying dates through 2015 were as follows:</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1700" w:type="dxa"/>
            <w:vAlign w:val="bottom"/>
          </w:tcPr>
          <w:p>
            <w:pPr>
              <w:spacing w:after="0"/>
              <w:rPr>
                <w:sz w:val="20"/>
                <w:szCs w:val="20"/>
                <w:color w:val="auto"/>
              </w:rPr>
            </w:pPr>
            <w:r>
              <w:rPr>
                <w:rFonts w:ascii="Arial" w:cs="Arial" w:eastAsia="Arial" w:hAnsi="Arial"/>
                <w:sz w:val="13"/>
                <w:szCs w:val="13"/>
                <w:b w:val="1"/>
                <w:bCs w:val="1"/>
                <w:color w:val="auto"/>
              </w:rPr>
              <w:t>Year ending December 31,</w:t>
            </w:r>
          </w:p>
        </w:tc>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ind w:left="180"/>
              <w:spacing w:after="0"/>
              <w:rPr>
                <w:sz w:val="20"/>
                <w:szCs w:val="20"/>
                <w:color w:val="auto"/>
              </w:rPr>
            </w:pPr>
            <w:r>
              <w:rPr>
                <w:rFonts w:ascii="Arial" w:cs="Arial" w:eastAsia="Arial" w:hAnsi="Arial"/>
                <w:sz w:val="13"/>
                <w:szCs w:val="13"/>
                <w:b w:val="1"/>
                <w:bCs w:val="1"/>
                <w:color w:val="auto"/>
              </w:rPr>
              <w:t>Amount</w:t>
            </w:r>
          </w:p>
        </w:tc>
      </w:tr>
      <w:tr>
        <w:trPr>
          <w:trHeight w:val="137"/>
        </w:trPr>
        <w:tc>
          <w:tcPr>
            <w:tcW w:w="1700" w:type="dxa"/>
            <w:vAlign w:val="bottom"/>
            <w:tcBorders>
              <w:top w:val="single" w:sz="8" w:color="auto"/>
            </w:tcBorders>
          </w:tcPr>
          <w:p>
            <w:pPr>
              <w:spacing w:after="0"/>
              <w:rPr>
                <w:sz w:val="11"/>
                <w:szCs w:val="11"/>
                <w:color w:val="auto"/>
              </w:rPr>
            </w:pPr>
          </w:p>
        </w:tc>
        <w:tc>
          <w:tcPr>
            <w:tcW w:w="5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41"/>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160" w:type="dxa"/>
            <w:vAlign w:val="bottom"/>
          </w:tcPr>
          <w:p>
            <w:pPr>
              <w:spacing w:after="0"/>
              <w:rPr>
                <w:sz w:val="11"/>
                <w:szCs w:val="11"/>
                <w:color w:val="auto"/>
              </w:rPr>
            </w:pPr>
          </w:p>
        </w:tc>
      </w:tr>
      <w:tr>
        <w:trPr>
          <w:trHeight w:val="210"/>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16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20"/>
                <w:szCs w:val="20"/>
                <w:color w:val="auto"/>
              </w:rPr>
            </w:pPr>
            <w:r>
              <w:rPr>
                <w:rFonts w:ascii="Arial" w:cs="Arial" w:eastAsia="Arial" w:hAnsi="Arial"/>
                <w:sz w:val="17"/>
                <w:szCs w:val="17"/>
                <w:color w:val="auto"/>
              </w:rPr>
              <w:t>2014</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167</w:t>
            </w:r>
          </w:p>
        </w:tc>
        <w:tc>
          <w:tcPr>
            <w:tcW w:w="160" w:type="dxa"/>
            <w:vAlign w:val="bottom"/>
          </w:tcPr>
          <w:p>
            <w:pPr>
              <w:spacing w:after="0"/>
              <w:rPr>
                <w:sz w:val="18"/>
                <w:szCs w:val="18"/>
                <w:color w:val="auto"/>
              </w:rPr>
            </w:pPr>
          </w:p>
        </w:tc>
      </w:tr>
      <w:tr>
        <w:trPr>
          <w:trHeight w:val="210"/>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60" w:type="dxa"/>
            <w:vAlign w:val="bottom"/>
            <w:shd w:val="clear" w:color="auto" w:fill="CCEEFF"/>
          </w:tcPr>
          <w:p>
            <w:pPr>
              <w:spacing w:after="0"/>
              <w:rPr>
                <w:sz w:val="18"/>
                <w:szCs w:val="18"/>
                <w:color w:val="auto"/>
              </w:rPr>
            </w:pPr>
          </w:p>
        </w:tc>
      </w:tr>
      <w:tr>
        <w:trPr>
          <w:trHeight w:val="26"/>
        </w:trPr>
        <w:tc>
          <w:tcPr>
            <w:tcW w:w="1700" w:type="dxa"/>
            <w:vAlign w:val="bottom"/>
          </w:tcPr>
          <w:p>
            <w:pPr>
              <w:spacing w:after="0"/>
              <w:rPr>
                <w:sz w:val="2"/>
                <w:szCs w:val="2"/>
                <w:color w:val="auto"/>
              </w:rPr>
            </w:pPr>
          </w:p>
        </w:tc>
        <w:tc>
          <w:tcPr>
            <w:tcW w:w="5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17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697</w:t>
            </w:r>
          </w:p>
        </w:tc>
        <w:tc>
          <w:tcPr>
            <w:tcW w:w="16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hanging="335"/>
        <w:spacing w:after="0"/>
        <w:tabs>
          <w:tab w:leader="none" w:pos="340"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Employment Agreements and Consultancy Agreements</w:t>
      </w:r>
    </w:p>
    <w:p>
      <w:pPr>
        <w:spacing w:after="0" w:line="224" w:lineRule="exact"/>
        <w:rPr>
          <w:sz w:val="20"/>
          <w:szCs w:val="20"/>
          <w:color w:val="auto"/>
        </w:rPr>
      </w:pPr>
    </w:p>
    <w:p>
      <w:pPr>
        <w:ind w:right="40" w:firstLine="338"/>
        <w:spacing w:after="0" w:line="322" w:lineRule="auto"/>
        <w:rPr>
          <w:sz w:val="20"/>
          <w:szCs w:val="20"/>
          <w:color w:val="auto"/>
        </w:rPr>
      </w:pPr>
      <w:r>
        <w:rPr>
          <w:rFonts w:ascii="Arial" w:cs="Arial" w:eastAsia="Arial" w:hAnsi="Arial"/>
          <w:sz w:val="15"/>
          <w:szCs w:val="15"/>
          <w:color w:val="auto"/>
        </w:rPr>
        <w:t>The Company has entered into employment and indemnification agreements with its CEO and CSO. These agreements provide that if their employment is terminated as a result of a change of control of the Company, or if their employment is terminated for certain other reasons set forth in the agreements, the Company will be required to pay a severance payment in an amount equal to their annual base salary, and other additional compensation due under the terms of the agreements.</w:t>
      </w:r>
    </w:p>
    <w:p>
      <w:pPr>
        <w:spacing w:after="0" w:line="145" w:lineRule="exact"/>
        <w:rPr>
          <w:sz w:val="20"/>
          <w:szCs w:val="20"/>
          <w:color w:val="auto"/>
        </w:rPr>
      </w:pPr>
    </w:p>
    <w:p>
      <w:pPr>
        <w:ind w:right="160" w:firstLine="338"/>
        <w:spacing w:after="0" w:line="270" w:lineRule="auto"/>
        <w:rPr>
          <w:sz w:val="20"/>
          <w:szCs w:val="20"/>
          <w:color w:val="auto"/>
        </w:rPr>
      </w:pPr>
      <w:r>
        <w:rPr>
          <w:rFonts w:ascii="Arial" w:cs="Arial" w:eastAsia="Arial" w:hAnsi="Arial"/>
          <w:sz w:val="17"/>
          <w:szCs w:val="17"/>
          <w:color w:val="auto"/>
        </w:rPr>
        <w:t>The Company had entered into a consulting agreement with one of its shareholders for a period of two years from July 2009 to June 2011. The agreement provided that a consulting service fee would be paid to the consultant upon delivery of stipulated services. The Company paid $150,000 and $350,000 of consulting services fees to the consultant in 2011 and 2010, respectively.</w:t>
      </w:r>
    </w:p>
    <w:p>
      <w:pPr>
        <w:spacing w:after="0" w:line="179"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In 2012, the Company entered into consulting agreements with two of its shareholders and board members for a period of one year from June 2012 to June 2013. Each agreement provides that a consulting fee will be paid to the consultant within 30 days after submission of the invoice by the consultant. The Company paid $25,000 of consulting service fees to one consultant in 2012.</w:t>
      </w:r>
    </w:p>
    <w:p>
      <w:pPr>
        <w:spacing w:after="0" w:line="179" w:lineRule="exact"/>
        <w:rPr>
          <w:sz w:val="20"/>
          <w:szCs w:val="20"/>
          <w:color w:val="auto"/>
        </w:rPr>
      </w:pPr>
    </w:p>
    <w:p>
      <w:pPr>
        <w:ind w:left="340" w:hanging="335"/>
        <w:spacing w:after="0"/>
        <w:tabs>
          <w:tab w:leader="none" w:pos="340"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Contingencies</w:t>
      </w:r>
    </w:p>
    <w:p>
      <w:pPr>
        <w:spacing w:after="0" w:line="224"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Company may be party to litigation, claims or assessments in the ordinary course of business. Management is not aware of any of these matters that would have a material effect on the financial condition, results of operations or cash flows of the Company.</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S—RELATED PARTY TRANSACTIONS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had the following related parties' activities with its shareholders: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920" w:type="dxa"/>
            <w:vAlign w:val="bottom"/>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r>
      <w:tr>
        <w:trPr>
          <w:trHeight w:val="137"/>
        </w:trPr>
        <w:tc>
          <w:tcPr>
            <w:tcW w:w="5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gridSpan w:val="4"/>
          </w:tcPr>
          <w:p>
            <w:pPr>
              <w:jc w:val="right"/>
              <w:ind w:right="40"/>
              <w:spacing w:after="0" w:line="138" w:lineRule="exact"/>
              <w:rPr>
                <w:sz w:val="20"/>
                <w:szCs w:val="20"/>
                <w:color w:val="auto"/>
              </w:rPr>
            </w:pPr>
            <w:r>
              <w:rPr>
                <w:rFonts w:ascii="Arial" w:cs="Arial" w:eastAsia="Arial" w:hAnsi="Arial"/>
                <w:sz w:val="13"/>
                <w:szCs w:val="13"/>
                <w:b w:val="1"/>
                <w:bCs w:val="1"/>
                <w:color w:val="auto"/>
              </w:rPr>
              <w:t>(in thousands)</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36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176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60" w:type="dxa"/>
            <w:vAlign w:val="bottom"/>
            <w:shd w:val="clear" w:color="auto" w:fill="CCEEFF"/>
          </w:tcPr>
          <w:p>
            <w:pPr>
              <w:spacing w:after="0"/>
              <w:rPr>
                <w:sz w:val="18"/>
                <w:szCs w:val="18"/>
                <w:color w:val="auto"/>
              </w:rPr>
            </w:pPr>
          </w:p>
        </w:tc>
      </w:tr>
      <w:tr>
        <w:trPr>
          <w:trHeight w:val="210"/>
        </w:trPr>
        <w:tc>
          <w:tcPr>
            <w:tcW w:w="5920" w:type="dxa"/>
            <w:vAlign w:val="bottom"/>
          </w:tcPr>
          <w:p>
            <w:pPr>
              <w:spacing w:after="0"/>
              <w:rPr>
                <w:sz w:val="20"/>
                <w:szCs w:val="20"/>
                <w:color w:val="auto"/>
              </w:rPr>
            </w:pPr>
            <w:r>
              <w:rPr>
                <w:rFonts w:ascii="Arial" w:cs="Arial" w:eastAsia="Arial" w:hAnsi="Arial"/>
                <w:sz w:val="17"/>
                <w:szCs w:val="17"/>
                <w:color w:val="auto"/>
              </w:rPr>
              <w:t>Consulting service fees</w:t>
            </w:r>
          </w:p>
        </w:tc>
        <w:tc>
          <w:tcPr>
            <w:tcW w:w="440" w:type="dxa"/>
            <w:vAlign w:val="bottom"/>
          </w:tcPr>
          <w:p>
            <w:pPr>
              <w:jc w:val="right"/>
              <w:spacing w:after="0"/>
              <w:rPr>
                <w:sz w:val="20"/>
                <w:szCs w:val="20"/>
                <w:color w:val="auto"/>
              </w:rPr>
            </w:pPr>
            <w:r>
              <w:rPr>
                <w:rFonts w:ascii="Arial" w:cs="Arial" w:eastAsia="Arial" w:hAnsi="Arial"/>
                <w:sz w:val="17"/>
                <w:szCs w:val="17"/>
                <w:color w:val="auto"/>
              </w:rPr>
              <w:t>25</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350</w:t>
            </w:r>
          </w:p>
        </w:tc>
        <w:tc>
          <w:tcPr>
            <w:tcW w:w="160" w:type="dxa"/>
            <w:vAlign w:val="bottom"/>
          </w:tcPr>
          <w:p>
            <w:pPr>
              <w:spacing w:after="0"/>
              <w:rPr>
                <w:sz w:val="18"/>
                <w:szCs w:val="18"/>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Note payable</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w:t>
            </w:r>
          </w:p>
        </w:tc>
        <w:tc>
          <w:tcPr>
            <w:tcW w:w="16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7"/>
                <w:szCs w:val="17"/>
                <w:color w:val="auto"/>
              </w:rPr>
              <w:t>Interest payable</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150</w:t>
            </w:r>
          </w:p>
        </w:tc>
        <w:tc>
          <w:tcPr>
            <w:tcW w:w="160" w:type="dxa"/>
            <w:vAlign w:val="bottom"/>
          </w:tcPr>
          <w:p>
            <w:pPr>
              <w:spacing w:after="0"/>
              <w:rPr>
                <w:sz w:val="18"/>
                <w:szCs w:val="18"/>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T—SUBSEQUENT EVENTS</w:t>
      </w:r>
    </w:p>
    <w:p>
      <w:pPr>
        <w:spacing w:after="0" w:line="228"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On January 18, 2013, the Company's board of directors granted stock options for 10,037,000 shares of the Company's common stock to various employees of the Company. The stock options have an exercise price of $0.25 per share and vest over a four year period from date of grant.</w:t>
      </w:r>
    </w:p>
    <w:p>
      <w:pPr>
        <w:spacing w:after="0" w:line="170" w:lineRule="exact"/>
        <w:rPr>
          <w:sz w:val="20"/>
          <w:szCs w:val="20"/>
          <w:color w:val="auto"/>
        </w:rPr>
      </w:pPr>
    </w:p>
    <w:p>
      <w:pPr>
        <w:ind w:right="80" w:firstLine="332"/>
        <w:spacing w:after="0" w:line="282" w:lineRule="auto"/>
        <w:rPr>
          <w:sz w:val="20"/>
          <w:szCs w:val="20"/>
          <w:color w:val="auto"/>
        </w:rPr>
      </w:pPr>
      <w:r>
        <w:rPr>
          <w:rFonts w:ascii="Arial" w:cs="Arial" w:eastAsia="Arial" w:hAnsi="Arial"/>
          <w:sz w:val="17"/>
          <w:szCs w:val="17"/>
          <w:color w:val="auto"/>
        </w:rPr>
        <w:t>As of March 15, 2013, the Company renewed and extended $6.0 million of its line of credit for an additional one year term with a China based bank. In addition, the Company also repaid $2.1 million of loans and bank acceptance notes subsequent to year-end.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March 25, 2013, the Company was converted from a Texas corporation to a Delaware corporation.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On April 11, 2013, the loans with East West Bank with an outstanding principal balance of $9.6 million were extended and now mature on November 15, 2014.</w:t>
      </w:r>
    </w:p>
    <w:p>
      <w:pPr>
        <w:spacing w:after="0" w:line="247"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In connection with the loan renewal with East West Bank, on April 11, 2013, the Company extended the expiration date of the warrant to purchase 250,000 shares of Series F preferred stock, held by East West Bank, to May 3, 2014.</w:t>
      </w:r>
    </w:p>
    <w:p>
      <w:pPr>
        <w:spacing w:after="0" w:line="170" w:lineRule="exact"/>
        <w:rPr>
          <w:sz w:val="20"/>
          <w:szCs w:val="20"/>
          <w:color w:val="auto"/>
        </w:rPr>
      </w:pPr>
    </w:p>
    <w:p>
      <w:pPr>
        <w:ind w:right="780" w:firstLine="341"/>
        <w:spacing w:after="0" w:line="282" w:lineRule="auto"/>
        <w:rPr>
          <w:sz w:val="20"/>
          <w:szCs w:val="20"/>
          <w:color w:val="auto"/>
        </w:rPr>
      </w:pPr>
      <w:r>
        <w:rPr>
          <w:rFonts w:ascii="Arial" w:cs="Arial" w:eastAsia="Arial" w:hAnsi="Arial"/>
          <w:sz w:val="17"/>
          <w:szCs w:val="17"/>
          <w:color w:val="auto"/>
        </w:rPr>
        <w:t>On April 12, 2013, the Company's board of directors approved and adopted the 2013 Long-Term Incentive Plan, subject to approval by the Company's stockholders, which will become effective immediately prior to the closing of this offering.</w:t>
      </w:r>
    </w:p>
    <w:p>
      <w:pPr>
        <w:spacing w:after="0" w:line="170" w:lineRule="exact"/>
        <w:rPr>
          <w:sz w:val="20"/>
          <w:szCs w:val="20"/>
          <w:color w:val="auto"/>
        </w:rPr>
      </w:pPr>
    </w:p>
    <w:p>
      <w:pPr>
        <w:ind w:right="580" w:firstLine="341"/>
        <w:spacing w:after="0" w:line="352" w:lineRule="auto"/>
        <w:rPr>
          <w:sz w:val="20"/>
          <w:szCs w:val="20"/>
          <w:color w:val="auto"/>
        </w:rPr>
      </w:pPr>
      <w:r>
        <w:rPr>
          <w:rFonts w:ascii="Arial" w:cs="Arial" w:eastAsia="Arial" w:hAnsi="Arial"/>
          <w:sz w:val="15"/>
          <w:szCs w:val="15"/>
          <w:color w:val="auto"/>
        </w:rPr>
        <w:t>On April 12, 2013, the Company's board of directors granted stock options for 106,200 shares of the Company's common stock to various employees and consultants of the Company. The stock options have an exercise price of $0.30 per share and vest over a four year period from date of grant.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622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2184400</wp:posOffset>
            </wp:positionH>
            <wp:positionV relativeFrom="paragraph">
              <wp:posOffset>149860</wp:posOffset>
            </wp:positionV>
            <wp:extent cx="2896870" cy="13569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896870" cy="1356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415925</wp:posOffset>
            </wp:positionV>
            <wp:extent cx="153987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416560</wp:posOffset>
            </wp:positionV>
            <wp:extent cx="153987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8940" w:val="left"/>
        </w:tabs>
        <w:rPr>
          <w:sz w:val="20"/>
          <w:szCs w:val="20"/>
          <w:color w:val="auto"/>
        </w:rPr>
      </w:pPr>
      <w:r>
        <w:rPr>
          <w:rFonts w:ascii="Arial" w:cs="Arial" w:eastAsia="Arial" w:hAnsi="Arial"/>
          <w:sz w:val="31"/>
          <w:szCs w:val="31"/>
          <w:b w:val="1"/>
          <w:bCs w:val="1"/>
          <w:color w:val="auto"/>
        </w:rPr>
        <w:t>RAYMOND JAMES</w:t>
      </w:r>
      <w:r>
        <w:rPr>
          <w:sz w:val="20"/>
          <w:szCs w:val="20"/>
          <w:color w:val="auto"/>
        </w:rPr>
        <w:tab/>
      </w:r>
      <w:r>
        <w:rPr>
          <w:rFonts w:ascii="Arial" w:cs="Arial" w:eastAsia="Arial" w:hAnsi="Arial"/>
          <w:sz w:val="31"/>
          <w:szCs w:val="31"/>
          <w:b w:val="1"/>
          <w:bCs w:val="1"/>
          <w:color w:val="auto"/>
        </w:rPr>
        <w:t>PIPER JAFFRAY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429260</wp:posOffset>
            </wp:positionV>
            <wp:extent cx="153987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8320" w:val="left"/>
        </w:tabs>
        <w:rPr>
          <w:sz w:val="20"/>
          <w:szCs w:val="20"/>
          <w:color w:val="auto"/>
        </w:rPr>
      </w:pPr>
      <w:r>
        <w:rPr>
          <w:rFonts w:ascii="Arial" w:cs="Arial" w:eastAsia="Arial" w:hAnsi="Arial"/>
          <w:sz w:val="24"/>
          <w:szCs w:val="24"/>
          <w:b w:val="1"/>
          <w:bCs w:val="1"/>
          <w:color w:val="auto"/>
        </w:rPr>
        <w:t>COWEN AND COMPANY</w:t>
      </w:r>
      <w:r>
        <w:rPr>
          <w:sz w:val="20"/>
          <w:szCs w:val="20"/>
          <w:color w:val="auto"/>
        </w:rPr>
        <w:tab/>
      </w:r>
      <w:r>
        <w:rPr>
          <w:rFonts w:ascii="Arial" w:cs="Arial" w:eastAsia="Arial" w:hAnsi="Arial"/>
          <w:sz w:val="23"/>
          <w:szCs w:val="23"/>
          <w:b w:val="1"/>
          <w:bCs w:val="1"/>
          <w:color w:val="auto"/>
        </w:rPr>
        <w:t>ROTH CAPITAL PARTNERS</w:t>
      </w:r>
    </w:p>
    <w:p>
      <w:pPr>
        <w:spacing w:after="0" w:line="234"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330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328930</wp:posOffset>
            </wp:positionV>
            <wp:extent cx="725487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INFORMATION NOT REQUIRED IN THE PROSPECTUS</w:t>
      </w:r>
    </w:p>
    <w:p>
      <w:pPr>
        <w:spacing w:after="0" w:line="22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28" w:lineRule="exact"/>
        <w:rPr>
          <w:sz w:val="20"/>
          <w:szCs w:val="20"/>
          <w:color w:val="auto"/>
        </w:rPr>
      </w:pPr>
    </w:p>
    <w:p>
      <w:pPr>
        <w:ind w:right="260" w:firstLine="338"/>
        <w:spacing w:after="0" w:line="282" w:lineRule="auto"/>
        <w:rPr>
          <w:sz w:val="20"/>
          <w:szCs w:val="20"/>
          <w:color w:val="auto"/>
        </w:rPr>
      </w:pPr>
      <w:r>
        <w:rPr>
          <w:rFonts w:ascii="Arial" w:cs="Arial" w:eastAsia="Arial" w:hAnsi="Arial"/>
          <w:sz w:val="17"/>
          <w:szCs w:val="17"/>
          <w:color w:val="auto"/>
        </w:rPr>
        <w:t>The following table sets forth the costs and expenses, other than underwriting discounts and commissions, payable by registrant in connection with the sale of common stock being registered. All amounts are estimates except the SEC registration fee and the FINRA filing fee.</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2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6,820</w:t>
            </w:r>
          </w:p>
        </w:tc>
        <w:tc>
          <w:tcPr>
            <w:tcW w:w="160" w:type="dxa"/>
            <w:vAlign w:val="bottom"/>
            <w:shd w:val="clear" w:color="auto" w:fill="CCEEFF"/>
          </w:tcPr>
          <w:p>
            <w:pPr>
              <w:spacing w:after="0"/>
              <w:rPr>
                <w:sz w:val="18"/>
                <w:szCs w:val="18"/>
                <w:color w:val="auto"/>
              </w:rPr>
            </w:pPr>
          </w:p>
        </w:tc>
      </w:tr>
      <w:tr>
        <w:trPr>
          <w:trHeight w:val="210"/>
        </w:trPr>
        <w:tc>
          <w:tcPr>
            <w:tcW w:w="4740" w:type="dxa"/>
            <w:vAlign w:val="bottom"/>
            <w:gridSpan w:val="2"/>
          </w:tcPr>
          <w:p>
            <w:pPr>
              <w:spacing w:after="0"/>
              <w:rPr>
                <w:sz w:val="20"/>
                <w:szCs w:val="20"/>
                <w:color w:val="auto"/>
              </w:rPr>
            </w:pPr>
            <w:r>
              <w:rPr>
                <w:rFonts w:ascii="Arial" w:cs="Arial" w:eastAsia="Arial" w:hAnsi="Arial"/>
                <w:sz w:val="17"/>
                <w:szCs w:val="17"/>
                <w:color w:val="auto"/>
              </w:rPr>
              <w:t>FINRA filing fee</w:t>
            </w:r>
          </w:p>
        </w:tc>
        <w:tc>
          <w:tcPr>
            <w:tcW w:w="24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8,000</w:t>
            </w:r>
          </w:p>
        </w:tc>
        <w:tc>
          <w:tcPr>
            <w:tcW w:w="160" w:type="dxa"/>
            <w:vAlign w:val="bottom"/>
          </w:tcPr>
          <w:p>
            <w:pPr>
              <w:spacing w:after="0"/>
              <w:rPr>
                <w:sz w:val="18"/>
                <w:szCs w:val="18"/>
                <w:color w:val="auto"/>
              </w:rPr>
            </w:pPr>
          </w:p>
        </w:tc>
      </w:tr>
      <w:tr>
        <w:trPr>
          <w:trHeight w:val="210"/>
        </w:trPr>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NASDAQ Global Market listing fee</w:t>
            </w:r>
          </w:p>
        </w:tc>
        <w:tc>
          <w:tcPr>
            <w:tcW w:w="2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160" w:type="dxa"/>
            <w:vAlign w:val="bottom"/>
            <w:shd w:val="clear" w:color="auto" w:fill="CCEEFF"/>
          </w:tcPr>
          <w:p>
            <w:pPr>
              <w:spacing w:after="0"/>
              <w:rPr>
                <w:sz w:val="18"/>
                <w:szCs w:val="18"/>
                <w:color w:val="auto"/>
              </w:rPr>
            </w:pPr>
          </w:p>
        </w:tc>
      </w:tr>
      <w:tr>
        <w:trPr>
          <w:trHeight w:val="210"/>
        </w:trPr>
        <w:tc>
          <w:tcPr>
            <w:tcW w:w="4740" w:type="dxa"/>
            <w:vAlign w:val="bottom"/>
            <w:gridSpan w:val="2"/>
          </w:tcPr>
          <w:p>
            <w:pPr>
              <w:spacing w:after="0"/>
              <w:rPr>
                <w:sz w:val="20"/>
                <w:szCs w:val="20"/>
                <w:color w:val="auto"/>
              </w:rPr>
            </w:pPr>
            <w:r>
              <w:rPr>
                <w:rFonts w:ascii="Arial" w:cs="Arial" w:eastAsia="Arial" w:hAnsi="Arial"/>
                <w:sz w:val="17"/>
                <w:szCs w:val="17"/>
                <w:color w:val="auto"/>
              </w:rPr>
              <w:t>Printing and mailing costs</w:t>
            </w:r>
          </w:p>
        </w:tc>
        <w:tc>
          <w:tcPr>
            <w:tcW w:w="24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r>
      <w:tr>
        <w:trPr>
          <w:trHeight w:val="210"/>
        </w:trPr>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2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r>
      <w:tr>
        <w:trPr>
          <w:trHeight w:val="210"/>
        </w:trPr>
        <w:tc>
          <w:tcPr>
            <w:tcW w:w="4740" w:type="dxa"/>
            <w:vAlign w:val="bottom"/>
            <w:gridSpan w:val="2"/>
          </w:tcPr>
          <w:p>
            <w:pPr>
              <w:spacing w:after="0"/>
              <w:rPr>
                <w:sz w:val="20"/>
                <w:szCs w:val="20"/>
                <w:color w:val="auto"/>
              </w:rPr>
            </w:pPr>
            <w:r>
              <w:rPr>
                <w:rFonts w:ascii="Arial" w:cs="Arial" w:eastAsia="Arial" w:hAnsi="Arial"/>
                <w:sz w:val="17"/>
                <w:szCs w:val="17"/>
                <w:color w:val="auto"/>
              </w:rPr>
              <w:t>Accounting fees and expenses</w:t>
            </w:r>
          </w:p>
        </w:tc>
        <w:tc>
          <w:tcPr>
            <w:tcW w:w="24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r>
      <w:tr>
        <w:trPr>
          <w:trHeight w:val="210"/>
        </w:trPr>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Blue Sky fees and expenses</w:t>
            </w:r>
          </w:p>
        </w:tc>
        <w:tc>
          <w:tcPr>
            <w:tcW w:w="2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r>
      <w:tr>
        <w:trPr>
          <w:trHeight w:val="210"/>
        </w:trPr>
        <w:tc>
          <w:tcPr>
            <w:tcW w:w="4740" w:type="dxa"/>
            <w:vAlign w:val="bottom"/>
            <w:gridSpan w:val="2"/>
          </w:tcPr>
          <w:p>
            <w:pPr>
              <w:spacing w:after="0"/>
              <w:rPr>
                <w:sz w:val="20"/>
                <w:szCs w:val="20"/>
                <w:color w:val="auto"/>
              </w:rPr>
            </w:pPr>
            <w:r>
              <w:rPr>
                <w:rFonts w:ascii="Arial" w:cs="Arial" w:eastAsia="Arial" w:hAnsi="Arial"/>
                <w:sz w:val="17"/>
                <w:szCs w:val="17"/>
                <w:color w:val="auto"/>
              </w:rPr>
              <w:t>Directors and officers insurance</w:t>
            </w:r>
          </w:p>
        </w:tc>
        <w:tc>
          <w:tcPr>
            <w:tcW w:w="24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r>
      <w:tr>
        <w:trPr>
          <w:trHeight w:val="210"/>
        </w:trPr>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Transfer agent and registrar fees</w:t>
            </w:r>
          </w:p>
        </w:tc>
        <w:tc>
          <w:tcPr>
            <w:tcW w:w="2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7"/>
                <w:szCs w:val="17"/>
                <w:color w:val="auto"/>
              </w:rPr>
              <w:t>Miscellaneous expenses</w:t>
            </w:r>
          </w:p>
        </w:tc>
        <w:tc>
          <w:tcPr>
            <w:tcW w:w="24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r>
      <w:tr>
        <w:trPr>
          <w:trHeight w:val="20"/>
        </w:trPr>
        <w:tc>
          <w:tcPr>
            <w:tcW w:w="18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 Expenses</w:t>
            </w:r>
          </w:p>
        </w:tc>
        <w:tc>
          <w:tcPr>
            <w:tcW w:w="2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r>
      <w:tr>
        <w:trPr>
          <w:trHeight w:val="26"/>
        </w:trPr>
        <w:tc>
          <w:tcPr>
            <w:tcW w:w="18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18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4"/>
        </w:trPr>
        <w:tc>
          <w:tcPr>
            <w:tcW w:w="1860" w:type="dxa"/>
            <w:vAlign w:val="bottom"/>
            <w:tcBorders>
              <w:bottom w:val="single" w:sz="8" w:color="auto"/>
            </w:tcBorders>
          </w:tcPr>
          <w:p>
            <w:pPr>
              <w:spacing w:after="0"/>
              <w:rPr>
                <w:sz w:val="7"/>
                <w:szCs w:val="7"/>
                <w:color w:val="auto"/>
              </w:rPr>
            </w:pPr>
          </w:p>
        </w:tc>
        <w:tc>
          <w:tcPr>
            <w:tcW w:w="28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88" w:lineRule="exact"/>
        <w:rPr>
          <w:sz w:val="20"/>
          <w:szCs w:val="20"/>
          <w:color w:val="auto"/>
        </w:rPr>
      </w:pPr>
    </w:p>
    <w:p>
      <w:pPr>
        <w:ind w:left="2240" w:hanging="523"/>
        <w:spacing w:after="0"/>
        <w:tabs>
          <w:tab w:leader="none" w:pos="224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To be completed by amendment.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228"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87"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We have adopted provisions in our amended and restated certificate of incorporation and amended and restated bylaws to be in effect immediately prior to the closing of this offering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199" w:lineRule="exact"/>
        <w:rPr>
          <w:sz w:val="20"/>
          <w:szCs w:val="20"/>
          <w:color w:val="auto"/>
        </w:rPr>
      </w:pPr>
    </w:p>
    <w:p>
      <w:pPr>
        <w:ind w:left="5580" w:right="5540" w:hanging="5051"/>
        <w:spacing w:after="0" w:line="588" w:lineRule="auto"/>
        <w:tabs>
          <w:tab w:leader="none" w:pos="104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any breach of the director's duty of loyalty to us or our stockholders;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wp:posOffset>
            </wp:positionV>
            <wp:extent cx="725487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any unlawful payments related to dividends or unlawful stock purchases, redemptions or other distributions;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24" w:lineRule="exact"/>
        <w:rPr>
          <w:sz w:val="20"/>
          <w:szCs w:val="20"/>
          <w:color w:val="auto"/>
        </w:rPr>
      </w:pPr>
    </w:p>
    <w:p>
      <w:pPr>
        <w:ind w:right="400" w:firstLine="338"/>
        <w:spacing w:after="0" w:line="282" w:lineRule="auto"/>
        <w:rPr>
          <w:sz w:val="20"/>
          <w:szCs w:val="20"/>
          <w:color w:val="auto"/>
        </w:rPr>
      </w:pPr>
      <w:r>
        <w:rPr>
          <w:rFonts w:ascii="Arial" w:cs="Arial" w:eastAsia="Arial" w:hAnsi="Arial"/>
          <w:sz w:val="17"/>
          <w:szCs w:val="17"/>
          <w:color w:val="auto"/>
        </w:rPr>
        <w:t>These limitations of liability do not alter director liability under the federal securities laws and do not affect the availability of equitable remedies such as an injunction or rescission.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our amended and restated bylaws provide that:</w:t>
      </w:r>
    </w:p>
    <w:p>
      <w:pPr>
        <w:spacing w:after="0" w:line="237" w:lineRule="exact"/>
        <w:rPr>
          <w:sz w:val="20"/>
          <w:szCs w:val="20"/>
          <w:color w:val="auto"/>
        </w:rPr>
      </w:pPr>
    </w:p>
    <w:p>
      <w:pPr>
        <w:ind w:left="1060" w:hanging="531"/>
        <w:spacing w:after="0" w:line="282" w:lineRule="auto"/>
        <w:tabs>
          <w:tab w:leader="none" w:pos="10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we will indemnify our directors, officers and, in the discretion of our board of directors, certain employees to the fullest extent permitted by the DGCL, as it now exists or may in the future be amended; and</w:t>
      </w:r>
    </w:p>
    <w:p>
      <w:pPr>
        <w:spacing w:after="0" w:line="196" w:lineRule="exact"/>
        <w:rPr>
          <w:rFonts w:ascii="Arial" w:cs="Arial" w:eastAsia="Arial" w:hAnsi="Arial"/>
          <w:sz w:val="17"/>
          <w:szCs w:val="17"/>
          <w:color w:val="auto"/>
        </w:rPr>
      </w:pPr>
    </w:p>
    <w:p>
      <w:pPr>
        <w:ind w:left="1060" w:right="400" w:hanging="531"/>
        <w:spacing w:after="0" w:line="352" w:lineRule="auto"/>
        <w:tabs>
          <w:tab w:leader="none" w:pos="10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23" w:lineRule="exact"/>
        <w:rPr>
          <w:sz w:val="20"/>
          <w:szCs w:val="20"/>
          <w:color w:val="auto"/>
        </w:rPr>
      </w:pPr>
    </w:p>
    <w:p>
      <w:pPr>
        <w:ind w:right="640" w:firstLine="338"/>
        <w:spacing w:after="0" w:line="282" w:lineRule="auto"/>
        <w:rPr>
          <w:sz w:val="20"/>
          <w:szCs w:val="20"/>
          <w:color w:val="auto"/>
        </w:rPr>
      </w:pPr>
      <w:r>
        <w:rPr>
          <w:rFonts w:ascii="Arial" w:cs="Arial" w:eastAsia="Arial" w:hAnsi="Arial"/>
          <w:sz w:val="17"/>
          <w:szCs w:val="17"/>
          <w:color w:val="auto"/>
        </w:rPr>
        <w:t>We have entered into indemnification agreements with each of our directors and certain of our executive officers. These agreements provide that we will indemnify each of our directors and certain of our executive officers to the fullest extent permitted by Delaware law.</w:t>
      </w:r>
    </w:p>
    <w:p>
      <w:pPr>
        <w:spacing w:after="0" w:line="170"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We also maintain general liability insurance which covers certain liabilities of our directors and officers arising out of claims based on acts or omissions in their capacities as directors or officers, including liabilities under the Securities Act.</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color w:val="auto"/>
        </w:rPr>
        <w:t>Recent Sales of Unregistered Securities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the three completed fiscal years preceding the filing of this registration statement, we have issued the following securities that were not registered under the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Securities Act:</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 Issuances of Capital Stock.</w:t>
      </w:r>
    </w:p>
    <w:p>
      <w:pPr>
        <w:spacing w:after="0" w:line="224" w:lineRule="exact"/>
        <w:rPr>
          <w:sz w:val="20"/>
          <w:szCs w:val="20"/>
          <w:color w:val="auto"/>
        </w:rPr>
      </w:pPr>
    </w:p>
    <w:p>
      <w:pPr>
        <w:ind w:right="60" w:firstLine="341"/>
        <w:spacing w:after="0" w:line="262" w:lineRule="auto"/>
        <w:rPr>
          <w:sz w:val="20"/>
          <w:szCs w:val="20"/>
          <w:color w:val="auto"/>
        </w:rPr>
      </w:pPr>
      <w:r>
        <w:rPr>
          <w:rFonts w:ascii="Arial" w:cs="Arial" w:eastAsia="Arial" w:hAnsi="Arial"/>
          <w:sz w:val="17"/>
          <w:szCs w:val="17"/>
          <w:color w:val="auto"/>
        </w:rPr>
        <w:t>On December 31, 2011, we issued and sold an aggregate of 6,676,916 shares of Series G preferred stock to twenty-five investors, at a price of $0.60 per share, in the initial closing of our Series G private placement. On September 7, 2012, we issued and sold an additional 31,410,977 shares of Series G preferred stock to fifty-four investors, at a price of $0.35 per share, in the second closing of our Series G private placement. As a result of the second closing of our Series G private placement, we agreed to amend the per share price of the initial closing of our Series G private placement from $0.60 per share to $0.35 per share and, as a result an additional 4,769,215 shares of Series G preferred stock was issued to the investors of the initial closing of our Series G private placement. As a result, a total of 42,857,108 shares of Series G preferred stock was issued by our company.</w:t>
      </w:r>
    </w:p>
    <w:p>
      <w:pPr>
        <w:spacing w:after="0" w:line="188" w:lineRule="exact"/>
        <w:rPr>
          <w:sz w:val="20"/>
          <w:szCs w:val="20"/>
          <w:color w:val="auto"/>
        </w:rPr>
      </w:pPr>
    </w:p>
    <w:p>
      <w:pPr>
        <w:jc w:val="both"/>
        <w:ind w:right="380" w:firstLine="341"/>
        <w:spacing w:after="0" w:line="270" w:lineRule="auto"/>
        <w:rPr>
          <w:sz w:val="20"/>
          <w:szCs w:val="20"/>
          <w:color w:val="auto"/>
        </w:rPr>
      </w:pPr>
      <w:r>
        <w:rPr>
          <w:rFonts w:ascii="Arial" w:cs="Arial" w:eastAsia="Arial" w:hAnsi="Arial"/>
          <w:sz w:val="17"/>
          <w:szCs w:val="17"/>
          <w:color w:val="auto"/>
        </w:rPr>
        <w:t>No underwriters were used in the foregoing transactions. All sales of securities described above were made in reliance upon the exemption from registration provided by Section 4(2) of the Securities Act (and/or Regulation D promulgated thereunder) of the Securities Act for transactions by a registrant not involving a public offering. All of the foregoing securities are deemed restricted securities for the purposes of the Securities Act.</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Table of Contents</w:t>
              </w:r>
            </w:hyperlink>
          </w:p>
        </w:tc>
        <w:tc>
          <w:tcPr>
            <w:tcW w:w="1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430"/>
        </w:trPr>
        <w:tc>
          <w:tcPr>
            <w:tcW w:w="7720" w:type="dxa"/>
            <w:vAlign w:val="bottom"/>
            <w:gridSpan w:val="5"/>
          </w:tcPr>
          <w:p>
            <w:pPr>
              <w:ind w:left="340"/>
              <w:spacing w:after="0"/>
              <w:rPr>
                <w:sz w:val="20"/>
                <w:szCs w:val="20"/>
                <w:color w:val="auto"/>
              </w:rPr>
            </w:pPr>
            <w:r>
              <w:rPr>
                <w:rFonts w:ascii="Arial" w:cs="Arial" w:eastAsia="Arial" w:hAnsi="Arial"/>
                <w:sz w:val="17"/>
                <w:szCs w:val="17"/>
                <w:color w:val="auto"/>
                <w:w w:val="94"/>
              </w:rPr>
              <w:t>Upon the completion of this offering, each share of redeemable Series A preferred stock will convert into</w:t>
            </w:r>
          </w:p>
        </w:tc>
        <w:tc>
          <w:tcPr>
            <w:tcW w:w="3460" w:type="dxa"/>
            <w:vAlign w:val="bottom"/>
            <w:gridSpan w:val="3"/>
          </w:tcPr>
          <w:p>
            <w:pPr>
              <w:jc w:val="right"/>
              <w:spacing w:after="0"/>
              <w:rPr>
                <w:sz w:val="20"/>
                <w:szCs w:val="20"/>
                <w:color w:val="auto"/>
              </w:rPr>
            </w:pPr>
            <w:r>
              <w:rPr>
                <w:rFonts w:ascii="Arial" w:cs="Arial" w:eastAsia="Arial" w:hAnsi="Arial"/>
                <w:sz w:val="17"/>
                <w:szCs w:val="17"/>
                <w:color w:val="auto"/>
                <w:w w:val="93"/>
              </w:rPr>
              <w:t>shares of common stock, each share of Series C</w:t>
            </w:r>
          </w:p>
        </w:tc>
      </w:tr>
      <w:tr>
        <w:trPr>
          <w:trHeight w:val="210"/>
        </w:trPr>
        <w:tc>
          <w:tcPr>
            <w:tcW w:w="2420" w:type="dxa"/>
            <w:vAlign w:val="bottom"/>
            <w:gridSpan w:val="2"/>
          </w:tcPr>
          <w:p>
            <w:pPr>
              <w:spacing w:after="0"/>
              <w:rPr>
                <w:sz w:val="20"/>
                <w:szCs w:val="20"/>
                <w:color w:val="auto"/>
              </w:rPr>
            </w:pPr>
            <w:r>
              <w:rPr>
                <w:rFonts w:ascii="Arial" w:cs="Arial" w:eastAsia="Arial" w:hAnsi="Arial"/>
                <w:sz w:val="17"/>
                <w:szCs w:val="17"/>
                <w:color w:val="auto"/>
              </w:rPr>
              <w:t>preferred stock will convert into</w:t>
            </w:r>
          </w:p>
        </w:tc>
        <w:tc>
          <w:tcPr>
            <w:tcW w:w="5920" w:type="dxa"/>
            <w:vAlign w:val="bottom"/>
            <w:gridSpan w:val="4"/>
          </w:tcPr>
          <w:p>
            <w:pPr>
              <w:ind w:left="200"/>
              <w:spacing w:after="0"/>
              <w:rPr>
                <w:sz w:val="20"/>
                <w:szCs w:val="20"/>
                <w:color w:val="auto"/>
              </w:rPr>
            </w:pPr>
            <w:r>
              <w:rPr>
                <w:rFonts w:ascii="Arial" w:cs="Arial" w:eastAsia="Arial" w:hAnsi="Arial"/>
                <w:sz w:val="17"/>
                <w:szCs w:val="17"/>
                <w:color w:val="auto"/>
                <w:w w:val="94"/>
              </w:rPr>
              <w:t>shares of common stock, each share of Series D preferred stock will convert into</w:t>
            </w:r>
          </w:p>
        </w:tc>
        <w:tc>
          <w:tcPr>
            <w:tcW w:w="2840" w:type="dxa"/>
            <w:vAlign w:val="bottom"/>
            <w:gridSpan w:val="2"/>
          </w:tcPr>
          <w:p>
            <w:pPr>
              <w:jc w:val="right"/>
              <w:spacing w:after="0"/>
              <w:rPr>
                <w:sz w:val="20"/>
                <w:szCs w:val="20"/>
                <w:color w:val="auto"/>
              </w:rPr>
            </w:pPr>
            <w:r>
              <w:rPr>
                <w:rFonts w:ascii="Arial" w:cs="Arial" w:eastAsia="Arial" w:hAnsi="Arial"/>
                <w:sz w:val="17"/>
                <w:szCs w:val="17"/>
                <w:color w:val="auto"/>
                <w:w w:val="95"/>
              </w:rPr>
              <w:t>shares of common stock, each share of</w:t>
            </w:r>
          </w:p>
        </w:tc>
      </w:tr>
      <w:tr>
        <w:trPr>
          <w:trHeight w:val="210"/>
        </w:trPr>
        <w:tc>
          <w:tcPr>
            <w:tcW w:w="3020" w:type="dxa"/>
            <w:vAlign w:val="bottom"/>
            <w:gridSpan w:val="3"/>
          </w:tcPr>
          <w:p>
            <w:pPr>
              <w:spacing w:after="0"/>
              <w:rPr>
                <w:sz w:val="20"/>
                <w:szCs w:val="20"/>
                <w:color w:val="auto"/>
              </w:rPr>
            </w:pPr>
            <w:r>
              <w:rPr>
                <w:rFonts w:ascii="Arial" w:cs="Arial" w:eastAsia="Arial" w:hAnsi="Arial"/>
                <w:sz w:val="17"/>
                <w:szCs w:val="17"/>
                <w:color w:val="auto"/>
                <w:w w:val="98"/>
              </w:rPr>
              <w:t>Series E preferred stock will convert into</w:t>
            </w:r>
          </w:p>
        </w:tc>
        <w:tc>
          <w:tcPr>
            <w:tcW w:w="5920" w:type="dxa"/>
            <w:vAlign w:val="bottom"/>
            <w:gridSpan w:val="4"/>
          </w:tcPr>
          <w:p>
            <w:pPr>
              <w:ind w:left="220"/>
              <w:spacing w:after="0"/>
              <w:rPr>
                <w:sz w:val="20"/>
                <w:szCs w:val="20"/>
                <w:color w:val="auto"/>
              </w:rPr>
            </w:pPr>
            <w:r>
              <w:rPr>
                <w:rFonts w:ascii="Arial" w:cs="Arial" w:eastAsia="Arial" w:hAnsi="Arial"/>
                <w:sz w:val="17"/>
                <w:szCs w:val="17"/>
                <w:color w:val="auto"/>
                <w:w w:val="94"/>
              </w:rPr>
              <w:t>shares of common stock, each share of Series F preferred stock will convert into</w:t>
            </w:r>
          </w:p>
        </w:tc>
        <w:tc>
          <w:tcPr>
            <w:tcW w:w="2240" w:type="dxa"/>
            <w:vAlign w:val="bottom"/>
          </w:tcPr>
          <w:p>
            <w:pPr>
              <w:jc w:val="right"/>
              <w:spacing w:after="0"/>
              <w:rPr>
                <w:sz w:val="20"/>
                <w:szCs w:val="20"/>
                <w:color w:val="auto"/>
              </w:rPr>
            </w:pPr>
            <w:r>
              <w:rPr>
                <w:rFonts w:ascii="Arial" w:cs="Arial" w:eastAsia="Arial" w:hAnsi="Arial"/>
                <w:sz w:val="17"/>
                <w:szCs w:val="17"/>
                <w:color w:val="auto"/>
                <w:w w:val="99"/>
              </w:rPr>
              <w:t>shares of common stock, and</w:t>
            </w:r>
          </w:p>
        </w:tc>
      </w:tr>
      <w:tr>
        <w:trPr>
          <w:trHeight w:val="216"/>
        </w:trPr>
        <w:tc>
          <w:tcPr>
            <w:tcW w:w="3980" w:type="dxa"/>
            <w:vAlign w:val="bottom"/>
            <w:gridSpan w:val="4"/>
          </w:tcPr>
          <w:p>
            <w:pPr>
              <w:spacing w:after="0"/>
              <w:rPr>
                <w:sz w:val="20"/>
                <w:szCs w:val="20"/>
                <w:color w:val="auto"/>
              </w:rPr>
            </w:pPr>
            <w:r>
              <w:rPr>
                <w:rFonts w:ascii="Arial" w:cs="Arial" w:eastAsia="Arial" w:hAnsi="Arial"/>
                <w:sz w:val="17"/>
                <w:szCs w:val="17"/>
                <w:color w:val="auto"/>
                <w:w w:val="95"/>
              </w:rPr>
              <w:t>each share of Series G preferred stock will convert into</w:t>
            </w:r>
          </w:p>
        </w:tc>
        <w:tc>
          <w:tcPr>
            <w:tcW w:w="3740" w:type="dxa"/>
            <w:vAlign w:val="bottom"/>
          </w:tcPr>
          <w:p>
            <w:pPr>
              <w:ind w:left="220"/>
              <w:spacing w:after="0"/>
              <w:rPr>
                <w:sz w:val="20"/>
                <w:szCs w:val="20"/>
                <w:color w:val="auto"/>
              </w:rPr>
            </w:pPr>
            <w:r>
              <w:rPr>
                <w:rFonts w:ascii="Arial" w:cs="Arial" w:eastAsia="Arial" w:hAnsi="Arial"/>
                <w:sz w:val="17"/>
                <w:szCs w:val="17"/>
                <w:color w:val="auto"/>
              </w:rPr>
              <w:t>shares of common stock.</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40" w:type="dxa"/>
            <w:vAlign w:val="bottom"/>
          </w:tcPr>
          <w:p>
            <w:pPr>
              <w:spacing w:after="0"/>
              <w:rPr>
                <w:sz w:val="18"/>
                <w:szCs w:val="18"/>
                <w:color w:val="auto"/>
              </w:rPr>
            </w:pPr>
          </w:p>
        </w:tc>
      </w:tr>
    </w:tbl>
    <w:p>
      <w:pPr>
        <w:spacing w:after="0" w:line="20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(b) Grants and Exercises of Stock Options.</w:t>
      </w:r>
    </w:p>
    <w:p>
      <w:pPr>
        <w:spacing w:after="0" w:line="224" w:lineRule="exact"/>
        <w:rPr>
          <w:sz w:val="20"/>
          <w:szCs w:val="20"/>
          <w:color w:val="auto"/>
        </w:rPr>
      </w:pPr>
    </w:p>
    <w:p>
      <w:pPr>
        <w:ind w:right="20" w:firstLine="341"/>
        <w:spacing w:after="0" w:line="262" w:lineRule="auto"/>
        <w:rPr>
          <w:sz w:val="20"/>
          <w:szCs w:val="20"/>
          <w:color w:val="auto"/>
        </w:rPr>
      </w:pPr>
      <w:r>
        <w:rPr>
          <w:rFonts w:ascii="Arial" w:cs="Arial" w:eastAsia="Arial" w:hAnsi="Arial"/>
          <w:sz w:val="17"/>
          <w:szCs w:val="17"/>
          <w:color w:val="auto"/>
        </w:rPr>
        <w:t>From January 1, 2010 through July 31, 2013, we have granted stock options to purchase an aggregate of 22,083,499 shares of common stock with exercise prices ranging from $0.20 to $0.30 per share, to employees, officers, directors, consultants pursuant to our stock option plans. 253,506 shares of options have been exercised for consideration aggregating $50,426.20 from January 1, 2010 through July 31, 2013. The issuance of common stock upon exercise of the options was exempt either pursuant to Rule 701, as a transaction pursuant to a compensatory benefit plan, or pursuant to Section 4(2) of the Securities Act or Regulation S of the Securities Act, as a transaction by a registrant not involving a public offering. The shares of common stock issued upon exercise of options are deemed restricted securities for the purposes of the Securities Act.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 Issuances and Exercises of Warrants</w:t>
      </w:r>
    </w:p>
    <w:p>
      <w:pPr>
        <w:spacing w:after="0" w:line="224"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On May 3, 2010, we issued a warrant to our U.S. lender to purchase 250,000 shares of Series F preferred stock, with an exercise price of $0.60 per share and an expiration date of May 3, 2013. On April 11, 2013, the expiration date of this warrant was extended until May 3, 2014. On November 2, 2012, we issued warrants to our U.S. lender to purchase 200,000 shares of Series G preferred stock, with an exercise price of $0.35 per share and an expiration date equal to thirty days after the expiration of the initial lock-up period agreed to between our company and its underwriters in connection with this offering. As of July 31, 2013, none of the warrants described above have been exercised.</w:t>
      </w:r>
    </w:p>
    <w:p>
      <w:pPr>
        <w:spacing w:after="0" w:line="187"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From February 3, 2010 through April 23, 2010, we issued warrants to 11 individuals and entities to purchase 1,536,000 shares of Series F preferred stock issued in connection with promissory notes we entered into with such individuals and entities. The exercise price of the warrants is $0.25 and expires upon the closing of this offering. As of July 31, 2013, warrants have been exercised for 792,000 shares of Series F preferred stock.</w:t>
      </w:r>
    </w:p>
    <w:p>
      <w:pPr>
        <w:spacing w:after="0" w:line="179" w:lineRule="exact"/>
        <w:rPr>
          <w:sz w:val="20"/>
          <w:szCs w:val="20"/>
          <w:color w:val="auto"/>
        </w:rPr>
      </w:pPr>
    </w:p>
    <w:p>
      <w:pPr>
        <w:jc w:val="both"/>
        <w:ind w:right="120" w:firstLine="341"/>
        <w:spacing w:after="0" w:line="270" w:lineRule="auto"/>
        <w:rPr>
          <w:sz w:val="20"/>
          <w:szCs w:val="20"/>
          <w:color w:val="auto"/>
        </w:rPr>
      </w:pPr>
      <w:r>
        <w:rPr>
          <w:rFonts w:ascii="Arial" w:cs="Arial" w:eastAsia="Arial" w:hAnsi="Arial"/>
          <w:sz w:val="17"/>
          <w:szCs w:val="17"/>
          <w:color w:val="auto"/>
        </w:rPr>
        <w:t>On May 17, 2011, we issued warrants to Alliance Management Consulting Co. Ltd. to purchase 300,000 shares of our common stock in partial consideration of certain services provided to us. The exercise price of the warrants is $0.20 per share and expire upon the closing of this offering. As of July 31, 2013, warrants have been exercised for 300,000 shares of common stock.</w:t>
      </w:r>
    </w:p>
    <w:p>
      <w:pPr>
        <w:spacing w:after="0" w:line="179" w:lineRule="exact"/>
        <w:rPr>
          <w:sz w:val="20"/>
          <w:szCs w:val="20"/>
          <w:color w:val="auto"/>
        </w:rPr>
      </w:pPr>
    </w:p>
    <w:p>
      <w:pPr>
        <w:ind w:firstLine="341"/>
        <w:spacing w:after="0" w:line="311" w:lineRule="auto"/>
        <w:rPr>
          <w:sz w:val="20"/>
          <w:szCs w:val="20"/>
          <w:color w:val="auto"/>
        </w:rPr>
      </w:pPr>
      <w:r>
        <w:rPr>
          <w:rFonts w:ascii="Arial" w:cs="Arial" w:eastAsia="Arial" w:hAnsi="Arial"/>
          <w:sz w:val="15"/>
          <w:szCs w:val="15"/>
          <w:color w:val="auto"/>
        </w:rPr>
        <w:t>On December 31, 2011, we issued warrants to purchase 1,001,536 shares of Series G preferred stock, with an exercise price of $0.60 per share in connection with the initial closing of our Series G private placement, to the investors of the initial closing of our Series G private placement. However, the warrants were terminated as a result of the second closing of our Series G private placement in which we agreed to amend the per share price of the initial closing of our Series G Private Placement from $0.60 per share to $0.35 per share. As of July 31, 2013, none of the warrants described above have been exercised.</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15" w:right="29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On December 31, 2011, we issued warrants to eight individuals and entities to purchase 182,442 shares of Series G preferred stock in connection with eight promissory notes we entered into with such individuals and entities. The exercise price of the warrants is $0.60 and expire upon closing of this offering. As of July 31, 2013, warrants have been exercised for 83,3333 shares of Series G preferred stock.</w:t>
      </w:r>
    </w:p>
    <w:p>
      <w:pPr>
        <w:spacing w:after="0" w:line="179" w:lineRule="exact"/>
        <w:rPr>
          <w:sz w:val="20"/>
          <w:szCs w:val="20"/>
          <w:color w:val="auto"/>
        </w:rPr>
      </w:pPr>
    </w:p>
    <w:p>
      <w:pPr>
        <w:jc w:val="both"/>
        <w:ind w:right="360" w:firstLine="341"/>
        <w:spacing w:after="0" w:line="270" w:lineRule="auto"/>
        <w:rPr>
          <w:sz w:val="20"/>
          <w:szCs w:val="20"/>
          <w:color w:val="auto"/>
        </w:rPr>
      </w:pPr>
      <w:r>
        <w:rPr>
          <w:rFonts w:ascii="Arial" w:cs="Arial" w:eastAsia="Arial" w:hAnsi="Arial"/>
          <w:sz w:val="17"/>
          <w:szCs w:val="17"/>
          <w:color w:val="auto"/>
        </w:rPr>
        <w:t>No underwriters were used in the foregoing transactions. All sales of securities described above were made in reliance upon the exemption from registration provided by Section 4(2) of the Securities Act (and/or Regulation D promulgated thereunder) of the Securities Act for transactions by a registrant not involving a public offering. All of the foregoing securities are deemed restricted securities for the purposes of the Securities Act.</w:t>
      </w:r>
    </w:p>
    <w:p>
      <w:pPr>
        <w:spacing w:after="0" w:line="175"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 Exhibits</w:t>
      </w:r>
    </w:p>
    <w:p>
      <w:pPr>
        <w:spacing w:after="0" w:line="224" w:lineRule="exact"/>
        <w:rPr>
          <w:sz w:val="20"/>
          <w:szCs w:val="20"/>
          <w:color w:val="auto"/>
        </w:rPr>
      </w:pPr>
    </w:p>
    <w:p>
      <w:pPr>
        <w:ind w:right="220" w:firstLine="341"/>
        <w:spacing w:after="0" w:line="282" w:lineRule="auto"/>
        <w:rPr>
          <w:sz w:val="20"/>
          <w:szCs w:val="20"/>
          <w:color w:val="auto"/>
        </w:rPr>
      </w:pPr>
      <w:r>
        <w:rPr>
          <w:rFonts w:ascii="Arial" w:cs="Arial" w:eastAsia="Arial" w:hAnsi="Arial"/>
          <w:sz w:val="17"/>
          <w:szCs w:val="17"/>
          <w:color w:val="auto"/>
        </w:rPr>
        <w:t>See the Exhibit Index on the page immediately following the signature page for a list of exhibits filed as part of this registration statement on Form S-1, which Exhibit Index is incorporated herein by reference.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(b) Financial Statement Schedules</w:t>
      </w:r>
    </w:p>
    <w:p>
      <w:pPr>
        <w:spacing w:after="0" w:line="224"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Schedules not listed above have been omitted because the information required to be set forth therein is not applicable or is shown in the financial statements or notes thereto.</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28" w:lineRule="exact"/>
        <w:rPr>
          <w:sz w:val="20"/>
          <w:szCs w:val="20"/>
          <w:color w:val="auto"/>
        </w:rPr>
      </w:pPr>
    </w:p>
    <w:p>
      <w:pPr>
        <w:ind w:right="740" w:firstLine="338"/>
        <w:spacing w:after="0" w:line="282"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70" w:lineRule="exact"/>
        <w:rPr>
          <w:sz w:val="20"/>
          <w:szCs w:val="20"/>
          <w:color w:val="auto"/>
        </w:rPr>
      </w:pPr>
    </w:p>
    <w:p>
      <w:pPr>
        <w:ind w:right="80" w:firstLine="341"/>
        <w:spacing w:after="0" w:line="301" w:lineRule="auto"/>
        <w:rPr>
          <w:sz w:val="20"/>
          <w:szCs w:val="20"/>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provisions described in Item 14 of this registration statement,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undersigned registrant hereby undertakes that:</w:t>
      </w:r>
    </w:p>
    <w:p>
      <w:pPr>
        <w:spacing w:after="0" w:line="224" w:lineRule="exact"/>
        <w:rPr>
          <w:sz w:val="20"/>
          <w:szCs w:val="20"/>
          <w:color w:val="auto"/>
        </w:rPr>
      </w:pPr>
    </w:p>
    <w:p>
      <w:pPr>
        <w:ind w:left="520" w:right="140" w:firstLine="350"/>
        <w:spacing w:after="0" w:line="294" w:lineRule="auto"/>
        <w:tabs>
          <w:tab w:leader="none" w:pos="118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2" w:lineRule="exact"/>
        <w:rPr>
          <w:rFonts w:ascii="Arial" w:cs="Arial" w:eastAsia="Arial" w:hAnsi="Arial"/>
          <w:sz w:val="16"/>
          <w:szCs w:val="16"/>
          <w:color w:val="auto"/>
        </w:rPr>
      </w:pPr>
    </w:p>
    <w:p>
      <w:pPr>
        <w:ind w:left="520" w:firstLine="350"/>
        <w:spacing w:after="0" w:line="270" w:lineRule="auto"/>
        <w:tabs>
          <w:tab w:leader="none" w:pos="1187" w:val="left"/>
        </w:tabs>
        <w:numPr>
          <w:ilvl w:val="0"/>
          <w:numId w:val="123"/>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City of Houston, State of Texas, on August 13, 2013.</w:t>
      </w:r>
    </w:p>
    <w:p>
      <w:pPr>
        <w:spacing w:after="0" w:line="166"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auto"/>
        </w:rPr>
        <w:t>APPLIED OPTOELECTRONICS, INC.</w:t>
      </w:r>
    </w:p>
    <w:p>
      <w:pPr>
        <w:spacing w:after="0" w:line="254" w:lineRule="exact"/>
        <w:rPr>
          <w:sz w:val="20"/>
          <w:szCs w:val="20"/>
          <w:color w:val="auto"/>
        </w:rPr>
      </w:pPr>
    </w:p>
    <w:p>
      <w:pPr>
        <w:ind w:left="5700"/>
        <w:spacing w:after="0"/>
        <w:tabs>
          <w:tab w:leader="none" w:pos="67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73025</wp:posOffset>
            </wp:positionV>
            <wp:extent cx="26803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78"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Chih-Hsiang (Thompson) Lin,</w:t>
      </w:r>
    </w:p>
    <w:p>
      <w:pPr>
        <w:spacing w:after="0" w:line="20"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POWER OF ATTORNEY</w:t>
      </w:r>
    </w:p>
    <w:p>
      <w:pPr>
        <w:spacing w:after="0" w:line="228" w:lineRule="exact"/>
        <w:rPr>
          <w:sz w:val="20"/>
          <w:szCs w:val="20"/>
          <w:color w:val="auto"/>
        </w:rPr>
      </w:pPr>
    </w:p>
    <w:p>
      <w:pPr>
        <w:ind w:right="20" w:firstLine="338"/>
        <w:spacing w:after="0" w:line="279" w:lineRule="auto"/>
        <w:rPr>
          <w:sz w:val="20"/>
          <w:szCs w:val="20"/>
          <w:color w:val="auto"/>
        </w:rPr>
      </w:pPr>
      <w:r>
        <w:rPr>
          <w:rFonts w:ascii="Arial" w:cs="Arial" w:eastAsia="Arial" w:hAnsi="Arial"/>
          <w:sz w:val="16"/>
          <w:szCs w:val="16"/>
          <w:color w:val="auto"/>
        </w:rPr>
        <w:t>We, the undersigned directors of Applied Optoelectronics, Inc. (the "Company"), hereby severally constitute and appoint Chih-Hsiang (Thompson) Lin and James L. Dunn, Jr., and each of them singly, our true and lawful attorneys, with full power, and to each of them singly, to sign for us and in our names in the capacities indicated below, any and all pre-effective and post-effective amendments to this registration statement, and any registration statement filed pursuant to Rule 462(b) under the Securities Act of 1933, as amended, in connection with the registration under the Securities Act of 1933, as amended, of our equity securities, and to file or cause to be filed the same, with all exhibits thereto and other documents in connection therewith, with the Securities and Exchange Commission, granting unto said attorneys, and each of them singly, full power and authority to do and perform each and every act and thing requisite and necessary to be done in connection therewith, as fully to all intents and purposes as each of them might or could do in person, and hereby ratifying and confirming all that said attorneys, and each of them, or their substitute or substitutes, shall do or cause to be done by virtue of this Power of Attorney.</w:t>
      </w:r>
    </w:p>
    <w:p>
      <w:pPr>
        <w:spacing w:after="0" w:line="177"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p>
      <w:pPr>
        <w:ind w:left="3060"/>
        <w:spacing w:after="0"/>
        <w:tabs>
          <w:tab w:leader="none" w:pos="794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Date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7"/>
              </w:rPr>
              <w:t>/s/ CHIH-HSIANG (THOMPSON) LIN</w:t>
            </w:r>
          </w:p>
        </w:tc>
        <w:tc>
          <w:tcPr>
            <w:tcW w:w="5860" w:type="dxa"/>
            <w:vAlign w:val="bottom"/>
          </w:tcPr>
          <w:p>
            <w:pPr>
              <w:spacing w:after="0"/>
              <w:rPr>
                <w:sz w:val="18"/>
                <w:szCs w:val="18"/>
                <w:color w:val="auto"/>
              </w:rPr>
            </w:pPr>
          </w:p>
        </w:tc>
      </w:tr>
      <w:tr>
        <w:trPr>
          <w:trHeight w:val="94"/>
        </w:trPr>
        <w:tc>
          <w:tcPr>
            <w:tcW w:w="1140" w:type="dxa"/>
            <w:vAlign w:val="bottom"/>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r>
      <w:tr>
        <w:trPr>
          <w:trHeight w:val="273"/>
        </w:trPr>
        <w:tc>
          <w:tcPr>
            <w:tcW w:w="1140" w:type="dxa"/>
            <w:vAlign w:val="bottom"/>
          </w:tcPr>
          <w:p>
            <w:pPr>
              <w:spacing w:after="0"/>
              <w:rPr>
                <w:sz w:val="23"/>
                <w:szCs w:val="23"/>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3"/>
              </w:rPr>
              <w:t>Chih-Hsiang (Thompson) Lin,</w:t>
            </w:r>
          </w:p>
        </w:tc>
        <w:tc>
          <w:tcPr>
            <w:tcW w:w="5860" w:type="dxa"/>
            <w:vAlign w:val="bottom"/>
          </w:tcPr>
          <w:p>
            <w:pPr>
              <w:spacing w:after="0"/>
              <w:rPr>
                <w:sz w:val="23"/>
                <w:szCs w:val="23"/>
                <w:color w:val="auto"/>
              </w:rPr>
            </w:pPr>
          </w:p>
        </w:tc>
      </w:tr>
      <w:tr>
        <w:trPr>
          <w:trHeight w:val="210"/>
        </w:trPr>
        <w:tc>
          <w:tcPr>
            <w:tcW w:w="114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7"/>
                <w:szCs w:val="17"/>
                <w:i w:val="1"/>
                <w:iCs w:val="1"/>
                <w:color w:val="auto"/>
                <w:w w:val="92"/>
              </w:rPr>
              <w:t>President, Chief Executive Officer and Director</w:t>
            </w:r>
          </w:p>
        </w:tc>
        <w:tc>
          <w:tcPr>
            <w:tcW w:w="58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7"/>
                <w:szCs w:val="17"/>
                <w:i w:val="1"/>
                <w:iCs w:val="1"/>
                <w:color w:val="auto"/>
                <w:w w:val="93"/>
              </w:rPr>
              <w:t>(principal executive officer)</w:t>
            </w:r>
          </w:p>
        </w:tc>
        <w:tc>
          <w:tcPr>
            <w:tcW w:w="5860" w:type="dxa"/>
            <w:vAlign w:val="bottom"/>
          </w:tcPr>
          <w:p>
            <w:pPr>
              <w:ind w:left="1960"/>
              <w:spacing w:after="0"/>
              <w:rPr>
                <w:sz w:val="20"/>
                <w:szCs w:val="20"/>
                <w:color w:val="auto"/>
              </w:rPr>
            </w:pPr>
            <w:r>
              <w:rPr>
                <w:rFonts w:ascii="Arial" w:cs="Arial" w:eastAsia="Arial" w:hAnsi="Arial"/>
                <w:sz w:val="17"/>
                <w:szCs w:val="17"/>
                <w:color w:val="auto"/>
              </w:rPr>
              <w:t>August 13, 2013</w:t>
            </w:r>
          </w:p>
        </w:tc>
      </w:tr>
      <w:tr>
        <w:trPr>
          <w:trHeight w:val="446"/>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4"/>
              </w:rPr>
              <w:t>/s/ JAMES L. DUNN, JR.</w:t>
            </w:r>
          </w:p>
        </w:tc>
        <w:tc>
          <w:tcPr>
            <w:tcW w:w="5860" w:type="dxa"/>
            <w:vAlign w:val="bottom"/>
          </w:tcPr>
          <w:p>
            <w:pPr>
              <w:spacing w:after="0"/>
              <w:rPr>
                <w:sz w:val="24"/>
                <w:szCs w:val="24"/>
                <w:color w:val="auto"/>
              </w:rPr>
            </w:pPr>
          </w:p>
        </w:tc>
      </w:tr>
      <w:tr>
        <w:trPr>
          <w:trHeight w:val="94"/>
        </w:trPr>
        <w:tc>
          <w:tcPr>
            <w:tcW w:w="1140" w:type="dxa"/>
            <w:vAlign w:val="bottom"/>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r>
      <w:tr>
        <w:trPr>
          <w:trHeight w:val="273"/>
        </w:trPr>
        <w:tc>
          <w:tcPr>
            <w:tcW w:w="1140" w:type="dxa"/>
            <w:vAlign w:val="bottom"/>
          </w:tcPr>
          <w:p>
            <w:pPr>
              <w:spacing w:after="0"/>
              <w:rPr>
                <w:sz w:val="23"/>
                <w:szCs w:val="23"/>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89"/>
              </w:rPr>
              <w:t>James L. Dunn, Jr.,</w:t>
            </w:r>
          </w:p>
        </w:tc>
        <w:tc>
          <w:tcPr>
            <w:tcW w:w="5860" w:type="dxa"/>
            <w:vAlign w:val="bottom"/>
          </w:tcPr>
          <w:p>
            <w:pPr>
              <w:spacing w:after="0"/>
              <w:rPr>
                <w:sz w:val="23"/>
                <w:szCs w:val="23"/>
                <w:color w:val="auto"/>
              </w:rPr>
            </w:pPr>
          </w:p>
        </w:tc>
      </w:tr>
      <w:tr>
        <w:trPr>
          <w:trHeight w:val="210"/>
        </w:trPr>
        <w:tc>
          <w:tcPr>
            <w:tcW w:w="114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7"/>
                <w:szCs w:val="17"/>
                <w:i w:val="1"/>
                <w:iCs w:val="1"/>
                <w:color w:val="auto"/>
                <w:w w:val="95"/>
              </w:rPr>
              <w:t>Chief Financial Officer</w:t>
            </w:r>
          </w:p>
        </w:tc>
        <w:tc>
          <w:tcPr>
            <w:tcW w:w="58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7"/>
                <w:szCs w:val="17"/>
                <w:i w:val="1"/>
                <w:iCs w:val="1"/>
                <w:color w:val="auto"/>
                <w:w w:val="96"/>
              </w:rPr>
              <w:t>(principal financial officer and</w:t>
            </w:r>
          </w:p>
        </w:tc>
        <w:tc>
          <w:tcPr>
            <w:tcW w:w="58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7"/>
                <w:szCs w:val="17"/>
                <w:i w:val="1"/>
                <w:iCs w:val="1"/>
                <w:color w:val="auto"/>
                <w:w w:val="94"/>
              </w:rPr>
              <w:t>principal accounting officer)</w:t>
            </w:r>
          </w:p>
        </w:tc>
        <w:tc>
          <w:tcPr>
            <w:tcW w:w="5860" w:type="dxa"/>
            <w:vAlign w:val="bottom"/>
          </w:tcPr>
          <w:p>
            <w:pPr>
              <w:ind w:left="1960"/>
              <w:spacing w:after="0"/>
              <w:rPr>
                <w:sz w:val="20"/>
                <w:szCs w:val="20"/>
                <w:color w:val="auto"/>
              </w:rPr>
            </w:pPr>
            <w:r>
              <w:rPr>
                <w:rFonts w:ascii="Arial" w:cs="Arial" w:eastAsia="Arial" w:hAnsi="Arial"/>
                <w:sz w:val="17"/>
                <w:szCs w:val="17"/>
                <w:color w:val="auto"/>
              </w:rPr>
              <w:t>August 13, 2013</w:t>
            </w:r>
          </w:p>
        </w:tc>
      </w:tr>
      <w:tr>
        <w:trPr>
          <w:trHeight w:val="419"/>
        </w:trPr>
        <w:tc>
          <w:tcPr>
            <w:tcW w:w="11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II-5</w:t>
            </w:r>
          </w:p>
        </w:tc>
      </w:tr>
      <w:tr>
        <w:trPr>
          <w:trHeight w:val="222"/>
        </w:trPr>
        <w:tc>
          <w:tcPr>
            <w:tcW w:w="114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3060"/>
        <w:spacing w:after="0"/>
        <w:tabs>
          <w:tab w:leader="none" w:pos="794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Date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6"/>
              </w:rPr>
              <w:t>/s/ JUEN-SHENG (ANDREW) KANG</w:t>
            </w:r>
          </w:p>
        </w:tc>
        <w:tc>
          <w:tcPr>
            <w:tcW w:w="5860" w:type="dxa"/>
            <w:vAlign w:val="bottom"/>
          </w:tcPr>
          <w:p>
            <w:pPr>
              <w:spacing w:after="0"/>
              <w:rPr>
                <w:sz w:val="18"/>
                <w:szCs w:val="18"/>
                <w:color w:val="auto"/>
              </w:rPr>
            </w:pPr>
          </w:p>
        </w:tc>
      </w:tr>
      <w:tr>
        <w:trPr>
          <w:trHeight w:val="94"/>
        </w:trPr>
        <w:tc>
          <w:tcPr>
            <w:tcW w:w="1140" w:type="dxa"/>
            <w:vAlign w:val="bottom"/>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r>
      <w:tr>
        <w:trPr>
          <w:trHeight w:val="273"/>
        </w:trPr>
        <w:tc>
          <w:tcPr>
            <w:tcW w:w="1140" w:type="dxa"/>
            <w:vAlign w:val="bottom"/>
          </w:tcPr>
          <w:p>
            <w:pPr>
              <w:spacing w:after="0"/>
              <w:rPr>
                <w:sz w:val="23"/>
                <w:szCs w:val="23"/>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1"/>
              </w:rPr>
              <w:t>Juen-Sheng (Andrew) Kang,</w:t>
            </w:r>
          </w:p>
        </w:tc>
        <w:tc>
          <w:tcPr>
            <w:tcW w:w="5860" w:type="dxa"/>
            <w:vAlign w:val="bottom"/>
          </w:tcPr>
          <w:p>
            <w:pPr>
              <w:spacing w:after="0"/>
              <w:rPr>
                <w:sz w:val="23"/>
                <w:szCs w:val="23"/>
                <w:color w:val="auto"/>
              </w:rPr>
            </w:pPr>
          </w:p>
        </w:tc>
      </w:tr>
      <w:tr>
        <w:trPr>
          <w:trHeight w:val="216"/>
        </w:trPr>
        <w:tc>
          <w:tcPr>
            <w:tcW w:w="114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7"/>
                <w:szCs w:val="17"/>
                <w:i w:val="1"/>
                <w:iCs w:val="1"/>
                <w:color w:val="auto"/>
                <w:w w:val="92"/>
              </w:rPr>
              <w:t>Chairman of the Board of Directors</w:t>
            </w:r>
          </w:p>
        </w:tc>
        <w:tc>
          <w:tcPr>
            <w:tcW w:w="5860" w:type="dxa"/>
            <w:vAlign w:val="bottom"/>
          </w:tcPr>
          <w:p>
            <w:pPr>
              <w:ind w:left="1960"/>
              <w:spacing w:after="0"/>
              <w:rPr>
                <w:sz w:val="20"/>
                <w:szCs w:val="20"/>
                <w:color w:val="auto"/>
              </w:rPr>
            </w:pPr>
            <w:r>
              <w:rPr>
                <w:rFonts w:ascii="Arial" w:cs="Arial" w:eastAsia="Arial" w:hAnsi="Arial"/>
                <w:sz w:val="17"/>
                <w:szCs w:val="17"/>
                <w:color w:val="auto"/>
              </w:rPr>
              <w:t>August 13, 2013</w:t>
            </w:r>
          </w:p>
        </w:tc>
      </w:tr>
      <w:tr>
        <w:trPr>
          <w:trHeight w:val="446"/>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rPr>
              <w:t>/s/ WILLIAM H. YEH</w:t>
            </w:r>
          </w:p>
        </w:tc>
        <w:tc>
          <w:tcPr>
            <w:tcW w:w="5860" w:type="dxa"/>
            <w:vAlign w:val="bottom"/>
          </w:tcPr>
          <w:p>
            <w:pPr>
              <w:spacing w:after="0"/>
              <w:rPr>
                <w:sz w:val="24"/>
                <w:szCs w:val="24"/>
                <w:color w:val="auto"/>
              </w:rPr>
            </w:pPr>
          </w:p>
        </w:tc>
      </w:tr>
      <w:tr>
        <w:trPr>
          <w:trHeight w:val="94"/>
        </w:trPr>
        <w:tc>
          <w:tcPr>
            <w:tcW w:w="1140" w:type="dxa"/>
            <w:vAlign w:val="bottom"/>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r>
      <w:tr>
        <w:trPr>
          <w:trHeight w:val="273"/>
        </w:trPr>
        <w:tc>
          <w:tcPr>
            <w:tcW w:w="1140" w:type="dxa"/>
            <w:vAlign w:val="bottom"/>
          </w:tcPr>
          <w:p>
            <w:pPr>
              <w:spacing w:after="0"/>
              <w:rPr>
                <w:sz w:val="23"/>
                <w:szCs w:val="23"/>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6"/>
              </w:rPr>
              <w:t>William H. Yeh,</w:t>
            </w:r>
          </w:p>
        </w:tc>
        <w:tc>
          <w:tcPr>
            <w:tcW w:w="5860" w:type="dxa"/>
            <w:vAlign w:val="bottom"/>
          </w:tcPr>
          <w:p>
            <w:pPr>
              <w:spacing w:after="0"/>
              <w:rPr>
                <w:sz w:val="23"/>
                <w:szCs w:val="23"/>
                <w:color w:val="auto"/>
              </w:rPr>
            </w:pPr>
          </w:p>
        </w:tc>
      </w:tr>
      <w:tr>
        <w:trPr>
          <w:trHeight w:val="216"/>
        </w:trPr>
        <w:tc>
          <w:tcPr>
            <w:tcW w:w="114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7"/>
                <w:szCs w:val="17"/>
                <w:i w:val="1"/>
                <w:iCs w:val="1"/>
                <w:color w:val="auto"/>
                <w:w w:val="97"/>
              </w:rPr>
              <w:t>Director</w:t>
            </w:r>
          </w:p>
        </w:tc>
        <w:tc>
          <w:tcPr>
            <w:tcW w:w="5860" w:type="dxa"/>
            <w:vAlign w:val="bottom"/>
          </w:tcPr>
          <w:p>
            <w:pPr>
              <w:ind w:left="1960"/>
              <w:spacing w:after="0"/>
              <w:rPr>
                <w:sz w:val="20"/>
                <w:szCs w:val="20"/>
                <w:color w:val="auto"/>
              </w:rPr>
            </w:pPr>
            <w:r>
              <w:rPr>
                <w:rFonts w:ascii="Arial" w:cs="Arial" w:eastAsia="Arial" w:hAnsi="Arial"/>
                <w:sz w:val="17"/>
                <w:szCs w:val="17"/>
                <w:color w:val="auto"/>
              </w:rPr>
              <w:t>August 13, 2013</w:t>
            </w:r>
          </w:p>
        </w:tc>
      </w:tr>
      <w:tr>
        <w:trPr>
          <w:trHeight w:val="446"/>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9"/>
              </w:rPr>
              <w:t>/s/ RICHARD B. BLACK</w:t>
            </w:r>
          </w:p>
        </w:tc>
        <w:tc>
          <w:tcPr>
            <w:tcW w:w="5860" w:type="dxa"/>
            <w:vAlign w:val="bottom"/>
          </w:tcPr>
          <w:p>
            <w:pPr>
              <w:spacing w:after="0"/>
              <w:rPr>
                <w:sz w:val="24"/>
                <w:szCs w:val="24"/>
                <w:color w:val="auto"/>
              </w:rPr>
            </w:pPr>
          </w:p>
        </w:tc>
      </w:tr>
      <w:tr>
        <w:trPr>
          <w:trHeight w:val="94"/>
        </w:trPr>
        <w:tc>
          <w:tcPr>
            <w:tcW w:w="1140" w:type="dxa"/>
            <w:vAlign w:val="bottom"/>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r>
      <w:tr>
        <w:trPr>
          <w:trHeight w:val="273"/>
        </w:trPr>
        <w:tc>
          <w:tcPr>
            <w:tcW w:w="1140" w:type="dxa"/>
            <w:vAlign w:val="bottom"/>
          </w:tcPr>
          <w:p>
            <w:pPr>
              <w:spacing w:after="0"/>
              <w:rPr>
                <w:sz w:val="23"/>
                <w:szCs w:val="23"/>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3"/>
              </w:rPr>
              <w:t>Richard B. Black,</w:t>
            </w:r>
          </w:p>
        </w:tc>
        <w:tc>
          <w:tcPr>
            <w:tcW w:w="5860" w:type="dxa"/>
            <w:vAlign w:val="bottom"/>
          </w:tcPr>
          <w:p>
            <w:pPr>
              <w:spacing w:after="0"/>
              <w:rPr>
                <w:sz w:val="23"/>
                <w:szCs w:val="23"/>
                <w:color w:val="auto"/>
              </w:rPr>
            </w:pPr>
          </w:p>
        </w:tc>
      </w:tr>
      <w:tr>
        <w:trPr>
          <w:trHeight w:val="216"/>
        </w:trPr>
        <w:tc>
          <w:tcPr>
            <w:tcW w:w="114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7"/>
                <w:szCs w:val="17"/>
                <w:i w:val="1"/>
                <w:iCs w:val="1"/>
                <w:color w:val="auto"/>
                <w:w w:val="97"/>
              </w:rPr>
              <w:t>Director</w:t>
            </w:r>
          </w:p>
        </w:tc>
        <w:tc>
          <w:tcPr>
            <w:tcW w:w="5860" w:type="dxa"/>
            <w:vAlign w:val="bottom"/>
          </w:tcPr>
          <w:p>
            <w:pPr>
              <w:ind w:left="1960"/>
              <w:spacing w:after="0"/>
              <w:rPr>
                <w:sz w:val="20"/>
                <w:szCs w:val="20"/>
                <w:color w:val="auto"/>
              </w:rPr>
            </w:pPr>
            <w:r>
              <w:rPr>
                <w:rFonts w:ascii="Arial" w:cs="Arial" w:eastAsia="Arial" w:hAnsi="Arial"/>
                <w:sz w:val="17"/>
                <w:szCs w:val="17"/>
                <w:color w:val="auto"/>
              </w:rPr>
              <w:t>August 13, 2013</w:t>
            </w:r>
          </w:p>
        </w:tc>
      </w:tr>
      <w:tr>
        <w:trPr>
          <w:trHeight w:val="446"/>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8"/>
              </w:rPr>
              <w:t>/s/ ALEX IGNATIEV</w:t>
            </w:r>
          </w:p>
        </w:tc>
        <w:tc>
          <w:tcPr>
            <w:tcW w:w="5860" w:type="dxa"/>
            <w:vAlign w:val="bottom"/>
          </w:tcPr>
          <w:p>
            <w:pPr>
              <w:spacing w:after="0"/>
              <w:rPr>
                <w:sz w:val="24"/>
                <w:szCs w:val="24"/>
                <w:color w:val="auto"/>
              </w:rPr>
            </w:pPr>
          </w:p>
        </w:tc>
      </w:tr>
      <w:tr>
        <w:trPr>
          <w:trHeight w:val="94"/>
        </w:trPr>
        <w:tc>
          <w:tcPr>
            <w:tcW w:w="1140" w:type="dxa"/>
            <w:vAlign w:val="bottom"/>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r>
      <w:tr>
        <w:trPr>
          <w:trHeight w:val="273"/>
        </w:trPr>
        <w:tc>
          <w:tcPr>
            <w:tcW w:w="1140" w:type="dxa"/>
            <w:vAlign w:val="bottom"/>
          </w:tcPr>
          <w:p>
            <w:pPr>
              <w:spacing w:after="0"/>
              <w:rPr>
                <w:sz w:val="23"/>
                <w:szCs w:val="23"/>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4"/>
              </w:rPr>
              <w:t>Alex Ignatiev,</w:t>
            </w:r>
          </w:p>
        </w:tc>
        <w:tc>
          <w:tcPr>
            <w:tcW w:w="5860" w:type="dxa"/>
            <w:vAlign w:val="bottom"/>
          </w:tcPr>
          <w:p>
            <w:pPr>
              <w:spacing w:after="0"/>
              <w:rPr>
                <w:sz w:val="23"/>
                <w:szCs w:val="23"/>
                <w:color w:val="auto"/>
              </w:rPr>
            </w:pPr>
          </w:p>
        </w:tc>
      </w:tr>
      <w:tr>
        <w:trPr>
          <w:trHeight w:val="216"/>
        </w:trPr>
        <w:tc>
          <w:tcPr>
            <w:tcW w:w="114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7"/>
                <w:szCs w:val="17"/>
                <w:i w:val="1"/>
                <w:iCs w:val="1"/>
                <w:color w:val="auto"/>
                <w:w w:val="97"/>
              </w:rPr>
              <w:t>Director</w:t>
            </w:r>
          </w:p>
        </w:tc>
        <w:tc>
          <w:tcPr>
            <w:tcW w:w="5860" w:type="dxa"/>
            <w:vAlign w:val="bottom"/>
          </w:tcPr>
          <w:p>
            <w:pPr>
              <w:ind w:left="1960"/>
              <w:spacing w:after="0"/>
              <w:rPr>
                <w:sz w:val="20"/>
                <w:szCs w:val="20"/>
                <w:color w:val="auto"/>
              </w:rPr>
            </w:pPr>
            <w:r>
              <w:rPr>
                <w:rFonts w:ascii="Arial" w:cs="Arial" w:eastAsia="Arial" w:hAnsi="Arial"/>
                <w:sz w:val="17"/>
                <w:szCs w:val="17"/>
                <w:color w:val="auto"/>
              </w:rPr>
              <w:t>August 13, 2013</w:t>
            </w:r>
          </w:p>
        </w:tc>
      </w:tr>
      <w:tr>
        <w:trPr>
          <w:trHeight w:val="446"/>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6"/>
              </w:rPr>
              <w:t>/s/ ALAN MOORE</w:t>
            </w:r>
          </w:p>
        </w:tc>
        <w:tc>
          <w:tcPr>
            <w:tcW w:w="5860" w:type="dxa"/>
            <w:vAlign w:val="bottom"/>
          </w:tcPr>
          <w:p>
            <w:pPr>
              <w:spacing w:after="0"/>
              <w:rPr>
                <w:sz w:val="24"/>
                <w:szCs w:val="24"/>
                <w:color w:val="auto"/>
              </w:rPr>
            </w:pPr>
          </w:p>
        </w:tc>
      </w:tr>
      <w:tr>
        <w:trPr>
          <w:trHeight w:val="94"/>
        </w:trPr>
        <w:tc>
          <w:tcPr>
            <w:tcW w:w="1140" w:type="dxa"/>
            <w:vAlign w:val="bottom"/>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r>
      <w:tr>
        <w:trPr>
          <w:trHeight w:val="273"/>
        </w:trPr>
        <w:tc>
          <w:tcPr>
            <w:tcW w:w="1140" w:type="dxa"/>
            <w:vAlign w:val="bottom"/>
          </w:tcPr>
          <w:p>
            <w:pPr>
              <w:spacing w:after="0"/>
              <w:rPr>
                <w:sz w:val="23"/>
                <w:szCs w:val="23"/>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5"/>
              </w:rPr>
              <w:t>Alan Moore,</w:t>
            </w:r>
          </w:p>
        </w:tc>
        <w:tc>
          <w:tcPr>
            <w:tcW w:w="5860" w:type="dxa"/>
            <w:vAlign w:val="bottom"/>
          </w:tcPr>
          <w:p>
            <w:pPr>
              <w:spacing w:after="0"/>
              <w:rPr>
                <w:sz w:val="23"/>
                <w:szCs w:val="23"/>
                <w:color w:val="auto"/>
              </w:rPr>
            </w:pPr>
          </w:p>
        </w:tc>
      </w:tr>
      <w:tr>
        <w:trPr>
          <w:trHeight w:val="216"/>
        </w:trPr>
        <w:tc>
          <w:tcPr>
            <w:tcW w:w="114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7"/>
                <w:szCs w:val="17"/>
                <w:i w:val="1"/>
                <w:iCs w:val="1"/>
                <w:color w:val="auto"/>
                <w:w w:val="97"/>
              </w:rPr>
              <w:t>Director</w:t>
            </w:r>
          </w:p>
        </w:tc>
        <w:tc>
          <w:tcPr>
            <w:tcW w:w="5860" w:type="dxa"/>
            <w:vAlign w:val="bottom"/>
          </w:tcPr>
          <w:p>
            <w:pPr>
              <w:ind w:left="1960"/>
              <w:spacing w:after="0"/>
              <w:rPr>
                <w:sz w:val="20"/>
                <w:szCs w:val="20"/>
                <w:color w:val="auto"/>
              </w:rPr>
            </w:pPr>
            <w:r>
              <w:rPr>
                <w:rFonts w:ascii="Arial" w:cs="Arial" w:eastAsia="Arial" w:hAnsi="Arial"/>
                <w:sz w:val="17"/>
                <w:szCs w:val="17"/>
                <w:color w:val="auto"/>
              </w:rPr>
              <w:t>August 13, 2013</w:t>
            </w:r>
          </w:p>
        </w:tc>
      </w:tr>
      <w:tr>
        <w:trPr>
          <w:trHeight w:val="446"/>
        </w:trPr>
        <w:tc>
          <w:tcPr>
            <w:tcW w:w="11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8"/>
              </w:rPr>
              <w:t>/s/ MIN-CHU (MIKE) CHEN</w:t>
            </w:r>
          </w:p>
        </w:tc>
        <w:tc>
          <w:tcPr>
            <w:tcW w:w="5860" w:type="dxa"/>
            <w:vAlign w:val="bottom"/>
          </w:tcPr>
          <w:p>
            <w:pPr>
              <w:spacing w:after="0"/>
              <w:rPr>
                <w:sz w:val="24"/>
                <w:szCs w:val="24"/>
                <w:color w:val="auto"/>
              </w:rPr>
            </w:pPr>
          </w:p>
        </w:tc>
      </w:tr>
      <w:tr>
        <w:trPr>
          <w:trHeight w:val="94"/>
        </w:trPr>
        <w:tc>
          <w:tcPr>
            <w:tcW w:w="1140" w:type="dxa"/>
            <w:vAlign w:val="bottom"/>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r>
      <w:tr>
        <w:trPr>
          <w:trHeight w:val="273"/>
        </w:trPr>
        <w:tc>
          <w:tcPr>
            <w:tcW w:w="1140" w:type="dxa"/>
            <w:vAlign w:val="bottom"/>
          </w:tcPr>
          <w:p>
            <w:pPr>
              <w:spacing w:after="0"/>
              <w:rPr>
                <w:sz w:val="23"/>
                <w:szCs w:val="23"/>
                <w:color w:val="auto"/>
              </w:rPr>
            </w:pPr>
          </w:p>
        </w:tc>
        <w:tc>
          <w:tcPr>
            <w:tcW w:w="4420" w:type="dxa"/>
            <w:vAlign w:val="bottom"/>
          </w:tcPr>
          <w:p>
            <w:pPr>
              <w:jc w:val="center"/>
              <w:spacing w:after="0"/>
              <w:rPr>
                <w:sz w:val="20"/>
                <w:szCs w:val="20"/>
                <w:color w:val="auto"/>
              </w:rPr>
            </w:pPr>
            <w:r>
              <w:rPr>
                <w:rFonts w:ascii="Arial" w:cs="Arial" w:eastAsia="Arial" w:hAnsi="Arial"/>
                <w:sz w:val="17"/>
                <w:szCs w:val="17"/>
                <w:color w:val="auto"/>
                <w:w w:val="96"/>
              </w:rPr>
              <w:t>Min-Chu (Mike) Chen,</w:t>
            </w:r>
          </w:p>
        </w:tc>
        <w:tc>
          <w:tcPr>
            <w:tcW w:w="5860" w:type="dxa"/>
            <w:vAlign w:val="bottom"/>
          </w:tcPr>
          <w:p>
            <w:pPr>
              <w:spacing w:after="0"/>
              <w:rPr>
                <w:sz w:val="23"/>
                <w:szCs w:val="23"/>
                <w:color w:val="auto"/>
              </w:rPr>
            </w:pPr>
          </w:p>
        </w:tc>
      </w:tr>
      <w:tr>
        <w:trPr>
          <w:trHeight w:val="216"/>
        </w:trPr>
        <w:tc>
          <w:tcPr>
            <w:tcW w:w="114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7"/>
                <w:szCs w:val="17"/>
                <w:i w:val="1"/>
                <w:iCs w:val="1"/>
                <w:color w:val="auto"/>
                <w:w w:val="97"/>
              </w:rPr>
              <w:t>Director</w:t>
            </w:r>
          </w:p>
        </w:tc>
        <w:tc>
          <w:tcPr>
            <w:tcW w:w="5860" w:type="dxa"/>
            <w:vAlign w:val="bottom"/>
          </w:tcPr>
          <w:p>
            <w:pPr>
              <w:ind w:left="1960"/>
              <w:spacing w:after="0"/>
              <w:rPr>
                <w:sz w:val="20"/>
                <w:szCs w:val="20"/>
                <w:color w:val="auto"/>
              </w:rPr>
            </w:pPr>
            <w:r>
              <w:rPr>
                <w:rFonts w:ascii="Arial" w:cs="Arial" w:eastAsia="Arial" w:hAnsi="Arial"/>
                <w:sz w:val="17"/>
                <w:szCs w:val="17"/>
                <w:color w:val="auto"/>
              </w:rPr>
              <w:t>August 13, 2013</w:t>
            </w:r>
          </w:p>
        </w:tc>
      </w:tr>
      <w:tr>
        <w:trPr>
          <w:trHeight w:val="419"/>
        </w:trPr>
        <w:tc>
          <w:tcPr>
            <w:tcW w:w="11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II-6</w:t>
            </w:r>
          </w:p>
        </w:tc>
      </w:tr>
      <w:tr>
        <w:trPr>
          <w:trHeight w:val="222"/>
        </w:trPr>
        <w:tc>
          <w:tcPr>
            <w:tcW w:w="114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5" w:name="page196"/>
    <w:bookmarkEnd w:id="19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EXHIBIT INDEX</w:t>
      </w:r>
    </w:p>
    <w:p>
      <w:pPr>
        <w:spacing w:after="0" w:line="224" w:lineRule="exact"/>
        <w:rPr>
          <w:sz w:val="20"/>
          <w:szCs w:val="20"/>
          <w:color w:val="auto"/>
        </w:rPr>
      </w:pPr>
    </w:p>
    <w:p>
      <w:pPr>
        <w:ind w:left="120"/>
        <w:spacing w:after="0"/>
        <w:tabs>
          <w:tab w:leader="none" w:pos="5880" w:val="left"/>
        </w:tabs>
        <w:rPr>
          <w:sz w:val="20"/>
          <w:szCs w:val="20"/>
          <w:color w:val="auto"/>
        </w:rPr>
      </w:pPr>
      <w:r>
        <w:rPr>
          <w:rFonts w:ascii="Arial" w:cs="Arial" w:eastAsia="Arial" w:hAnsi="Arial"/>
          <w:sz w:val="13"/>
          <w:szCs w:val="13"/>
          <w:b w:val="1"/>
          <w:bCs w:val="1"/>
          <w:color w:val="auto"/>
        </w:rPr>
        <w:t>Number</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2504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ind w:left="480"/>
        <w:spacing w:after="0"/>
        <w:tabs>
          <w:tab w:leader="none" w:pos="100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Form of Underwriting Agreement</w:t>
      </w:r>
    </w:p>
    <w:p>
      <w:pPr>
        <w:spacing w:after="0" w:line="217" w:lineRule="exact"/>
        <w:rPr>
          <w:sz w:val="20"/>
          <w:szCs w:val="20"/>
          <w:color w:val="auto"/>
        </w:rPr>
      </w:pPr>
    </w:p>
    <w:p>
      <w:pPr>
        <w:ind w:left="480"/>
        <w:spacing w:after="0"/>
        <w:tabs>
          <w:tab w:leader="none" w:pos="10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color w:val="auto"/>
        </w:rPr>
        <w:t>Certificate of Incorporation of the registrant, as currently in effect</w:t>
      </w:r>
    </w:p>
    <w:p>
      <w:pPr>
        <w:spacing w:after="0" w:line="224" w:lineRule="exact"/>
        <w:rPr>
          <w:sz w:val="20"/>
          <w:szCs w:val="20"/>
          <w:color w:val="auto"/>
        </w:rPr>
      </w:pPr>
    </w:p>
    <w:p>
      <w:pPr>
        <w:ind w:left="1020" w:right="160" w:hanging="527"/>
        <w:spacing w:after="0" w:line="282" w:lineRule="auto"/>
        <w:tabs>
          <w:tab w:leader="none" w:pos="100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Form of Amended and Restated Certificate of Incorporation of the registrant, to be filed immediately prior to the closing of this offering with the Delaware Secretary of State</w:t>
      </w:r>
    </w:p>
    <w:p>
      <w:pPr>
        <w:spacing w:after="0" w:line="170" w:lineRule="exact"/>
        <w:rPr>
          <w:sz w:val="20"/>
          <w:szCs w:val="20"/>
          <w:color w:val="auto"/>
        </w:rPr>
      </w:pPr>
    </w:p>
    <w:p>
      <w:pPr>
        <w:ind w:left="480"/>
        <w:spacing w:after="0"/>
        <w:tabs>
          <w:tab w:leader="none" w:pos="100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color w:val="auto"/>
        </w:rPr>
        <w:t>Bylaws of the registrant, as currently in effect</w:t>
      </w:r>
    </w:p>
    <w:p>
      <w:pPr>
        <w:spacing w:after="0" w:line="224" w:lineRule="exact"/>
        <w:rPr>
          <w:sz w:val="20"/>
          <w:szCs w:val="20"/>
          <w:color w:val="auto"/>
        </w:rPr>
      </w:pPr>
    </w:p>
    <w:p>
      <w:pPr>
        <w:ind w:left="480"/>
        <w:spacing w:after="0"/>
        <w:tabs>
          <w:tab w:leader="none" w:pos="100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5"/>
          <w:szCs w:val="15"/>
          <w:color w:val="auto"/>
        </w:rPr>
        <w:t>Form of Amended and Restated Bylaws of the registrant, to be in effect immediately prior to the closing of this offering</w:t>
      </w:r>
    </w:p>
    <w:p>
      <w:pPr>
        <w:spacing w:after="0" w:line="224" w:lineRule="exact"/>
        <w:rPr>
          <w:sz w:val="20"/>
          <w:szCs w:val="20"/>
          <w:color w:val="auto"/>
        </w:rPr>
      </w:pPr>
    </w:p>
    <w:p>
      <w:pPr>
        <w:ind w:left="480"/>
        <w:spacing w:after="0"/>
        <w:tabs>
          <w:tab w:leader="none" w:pos="100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Form of Registration Rights Agreement</w:t>
      </w:r>
    </w:p>
    <w:p>
      <w:pPr>
        <w:spacing w:after="0" w:line="224" w:lineRule="exact"/>
        <w:rPr>
          <w:sz w:val="20"/>
          <w:szCs w:val="20"/>
          <w:color w:val="auto"/>
        </w:rPr>
      </w:pPr>
    </w:p>
    <w:p>
      <w:pPr>
        <w:ind w:left="480"/>
        <w:spacing w:after="0"/>
        <w:tabs>
          <w:tab w:leader="none" w:pos="100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Form of Stockholders' Agreement</w:t>
      </w:r>
    </w:p>
    <w:p>
      <w:pPr>
        <w:spacing w:after="0" w:line="224" w:lineRule="exact"/>
        <w:rPr>
          <w:sz w:val="20"/>
          <w:szCs w:val="20"/>
          <w:color w:val="auto"/>
        </w:rPr>
      </w:pPr>
    </w:p>
    <w:p>
      <w:pPr>
        <w:ind w:left="480"/>
        <w:spacing w:after="0"/>
        <w:tabs>
          <w:tab w:leader="none" w:pos="100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6"/>
          <w:szCs w:val="16"/>
          <w:color w:val="auto"/>
        </w:rPr>
        <w:t>Opinion of DLA Piper LLP (US)</w:t>
      </w:r>
    </w:p>
    <w:p>
      <w:pPr>
        <w:spacing w:after="0" w:line="224"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5"/>
          <w:szCs w:val="15"/>
          <w:color w:val="auto"/>
        </w:rPr>
        <w:t>Form of Indemnification Agreement between the registrant each of its Directors and certain of its Executive Officers</w:t>
      </w:r>
    </w:p>
    <w:p>
      <w:pPr>
        <w:spacing w:after="0" w:line="224"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1998 Incentive Share Plan</w:t>
      </w:r>
    </w:p>
    <w:p>
      <w:pPr>
        <w:spacing w:after="0" w:line="224" w:lineRule="exact"/>
        <w:rPr>
          <w:sz w:val="20"/>
          <w:szCs w:val="20"/>
          <w:color w:val="auto"/>
        </w:rPr>
      </w:pPr>
    </w:p>
    <w:p>
      <w:pPr>
        <w:ind w:left="280"/>
        <w:spacing w:after="0"/>
        <w:tabs>
          <w:tab w:leader="none" w:pos="1000" w:val="left"/>
        </w:tabs>
        <w:rPr>
          <w:sz w:val="20"/>
          <w:szCs w:val="20"/>
          <w:color w:val="auto"/>
        </w:rPr>
      </w:pPr>
      <w:r>
        <w:rPr>
          <w:rFonts w:ascii="Arial" w:cs="Arial" w:eastAsia="Arial" w:hAnsi="Arial"/>
          <w:sz w:val="17"/>
          <w:szCs w:val="17"/>
          <w:color w:val="auto"/>
        </w:rPr>
        <w:t>10.2.1</w:t>
      </w:r>
      <w:r>
        <w:rPr>
          <w:sz w:val="20"/>
          <w:szCs w:val="20"/>
          <w:color w:val="auto"/>
        </w:rPr>
        <w:tab/>
      </w:r>
      <w:r>
        <w:rPr>
          <w:rFonts w:ascii="Arial" w:cs="Arial" w:eastAsia="Arial" w:hAnsi="Arial"/>
          <w:sz w:val="15"/>
          <w:szCs w:val="15"/>
          <w:color w:val="auto"/>
        </w:rPr>
        <w:t>Form of Stock Option Agreement under 1998 Incentive Share Plan</w:t>
      </w:r>
    </w:p>
    <w:p>
      <w:pPr>
        <w:spacing w:after="0" w:line="224" w:lineRule="exact"/>
        <w:rPr>
          <w:sz w:val="20"/>
          <w:szCs w:val="20"/>
          <w:color w:val="auto"/>
        </w:rPr>
      </w:pPr>
    </w:p>
    <w:p>
      <w:pPr>
        <w:ind w:left="280"/>
        <w:spacing w:after="0"/>
        <w:tabs>
          <w:tab w:leader="none" w:pos="1000" w:val="left"/>
        </w:tabs>
        <w:rPr>
          <w:sz w:val="20"/>
          <w:szCs w:val="20"/>
          <w:color w:val="auto"/>
        </w:rPr>
      </w:pPr>
      <w:r>
        <w:rPr>
          <w:rFonts w:ascii="Arial" w:cs="Arial" w:eastAsia="Arial" w:hAnsi="Arial"/>
          <w:sz w:val="17"/>
          <w:szCs w:val="17"/>
          <w:color w:val="auto"/>
        </w:rPr>
        <w:t>10.2.2</w:t>
      </w:r>
      <w:r>
        <w:rPr>
          <w:sz w:val="20"/>
          <w:szCs w:val="20"/>
          <w:color w:val="auto"/>
        </w:rPr>
        <w:tab/>
      </w:r>
      <w:r>
        <w:rPr>
          <w:rFonts w:ascii="Arial" w:cs="Arial" w:eastAsia="Arial" w:hAnsi="Arial"/>
          <w:sz w:val="15"/>
          <w:szCs w:val="15"/>
          <w:color w:val="auto"/>
        </w:rPr>
        <w:t>Form of Stock Option Agreement under 1998 Incentive Share Plan</w:t>
      </w:r>
    </w:p>
    <w:p>
      <w:pPr>
        <w:spacing w:after="0" w:line="224"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2000 Incentive Share Plan</w:t>
      </w:r>
    </w:p>
    <w:p>
      <w:pPr>
        <w:spacing w:after="0" w:line="224" w:lineRule="exact"/>
        <w:rPr>
          <w:sz w:val="20"/>
          <w:szCs w:val="20"/>
          <w:color w:val="auto"/>
        </w:rPr>
      </w:pPr>
    </w:p>
    <w:p>
      <w:pPr>
        <w:ind w:left="280"/>
        <w:spacing w:after="0"/>
        <w:tabs>
          <w:tab w:leader="none" w:pos="1000" w:val="left"/>
        </w:tabs>
        <w:rPr>
          <w:sz w:val="20"/>
          <w:szCs w:val="20"/>
          <w:color w:val="auto"/>
        </w:rPr>
      </w:pPr>
      <w:r>
        <w:rPr>
          <w:rFonts w:ascii="Arial" w:cs="Arial" w:eastAsia="Arial" w:hAnsi="Arial"/>
          <w:sz w:val="17"/>
          <w:szCs w:val="17"/>
          <w:color w:val="auto"/>
        </w:rPr>
        <w:t>10.3.1</w:t>
      </w:r>
      <w:r>
        <w:rPr>
          <w:sz w:val="20"/>
          <w:szCs w:val="20"/>
          <w:color w:val="auto"/>
        </w:rPr>
        <w:tab/>
      </w:r>
      <w:r>
        <w:rPr>
          <w:rFonts w:ascii="Arial" w:cs="Arial" w:eastAsia="Arial" w:hAnsi="Arial"/>
          <w:sz w:val="15"/>
          <w:szCs w:val="15"/>
          <w:color w:val="auto"/>
        </w:rPr>
        <w:t>Form of Stock Option Agreement under 2000 Incentive Share Plan</w:t>
      </w:r>
    </w:p>
    <w:p>
      <w:pPr>
        <w:spacing w:after="0" w:line="224" w:lineRule="exact"/>
        <w:rPr>
          <w:sz w:val="20"/>
          <w:szCs w:val="20"/>
          <w:color w:val="auto"/>
        </w:rPr>
      </w:pPr>
    </w:p>
    <w:p>
      <w:pPr>
        <w:ind w:left="280"/>
        <w:spacing w:after="0"/>
        <w:tabs>
          <w:tab w:leader="none" w:pos="1000" w:val="left"/>
        </w:tabs>
        <w:rPr>
          <w:sz w:val="20"/>
          <w:szCs w:val="20"/>
          <w:color w:val="auto"/>
        </w:rPr>
      </w:pPr>
      <w:r>
        <w:rPr>
          <w:rFonts w:ascii="Arial" w:cs="Arial" w:eastAsia="Arial" w:hAnsi="Arial"/>
          <w:sz w:val="17"/>
          <w:szCs w:val="17"/>
          <w:color w:val="auto"/>
        </w:rPr>
        <w:t>10.3.2</w:t>
      </w:r>
      <w:r>
        <w:rPr>
          <w:sz w:val="20"/>
          <w:szCs w:val="20"/>
          <w:color w:val="auto"/>
        </w:rPr>
        <w:tab/>
      </w:r>
      <w:r>
        <w:rPr>
          <w:rFonts w:ascii="Arial" w:cs="Arial" w:eastAsia="Arial" w:hAnsi="Arial"/>
          <w:sz w:val="15"/>
          <w:szCs w:val="15"/>
          <w:color w:val="auto"/>
        </w:rPr>
        <w:t>Form of Stock Option Agreement under 2000 Incentive Share Plan</w:t>
      </w:r>
    </w:p>
    <w:p>
      <w:pPr>
        <w:spacing w:after="0" w:line="224"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color w:val="auto"/>
        </w:rPr>
        <w:t>2004 Incentive Share Plan</w:t>
      </w:r>
    </w:p>
    <w:p>
      <w:pPr>
        <w:spacing w:after="0" w:line="224" w:lineRule="exact"/>
        <w:rPr>
          <w:sz w:val="20"/>
          <w:szCs w:val="20"/>
          <w:color w:val="auto"/>
        </w:rPr>
      </w:pPr>
    </w:p>
    <w:p>
      <w:pPr>
        <w:ind w:left="280"/>
        <w:spacing w:after="0"/>
        <w:tabs>
          <w:tab w:leader="none" w:pos="1000" w:val="left"/>
        </w:tabs>
        <w:rPr>
          <w:sz w:val="20"/>
          <w:szCs w:val="20"/>
          <w:color w:val="auto"/>
        </w:rPr>
      </w:pPr>
      <w:r>
        <w:rPr>
          <w:rFonts w:ascii="Arial" w:cs="Arial" w:eastAsia="Arial" w:hAnsi="Arial"/>
          <w:sz w:val="17"/>
          <w:szCs w:val="17"/>
          <w:color w:val="auto"/>
        </w:rPr>
        <w:t>10.4.1</w:t>
      </w:r>
      <w:r>
        <w:rPr>
          <w:sz w:val="20"/>
          <w:szCs w:val="20"/>
          <w:color w:val="auto"/>
        </w:rPr>
        <w:tab/>
      </w:r>
      <w:r>
        <w:rPr>
          <w:rFonts w:ascii="Arial" w:cs="Arial" w:eastAsia="Arial" w:hAnsi="Arial"/>
          <w:sz w:val="15"/>
          <w:szCs w:val="15"/>
          <w:color w:val="auto"/>
        </w:rPr>
        <w:t>Form of Stock Option Agreement under 2004 Incentive Share Plan</w:t>
      </w:r>
    </w:p>
    <w:p>
      <w:pPr>
        <w:spacing w:after="0" w:line="224"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5"/>
          <w:szCs w:val="15"/>
          <w:color w:val="auto"/>
        </w:rPr>
        <w:t>2006 Incentive Share Plan</w:t>
      </w:r>
    </w:p>
    <w:p>
      <w:pPr>
        <w:spacing w:after="0" w:line="224" w:lineRule="exact"/>
        <w:rPr>
          <w:sz w:val="20"/>
          <w:szCs w:val="20"/>
          <w:color w:val="auto"/>
        </w:rPr>
      </w:pPr>
    </w:p>
    <w:p>
      <w:pPr>
        <w:ind w:left="280"/>
        <w:spacing w:after="0"/>
        <w:tabs>
          <w:tab w:leader="none" w:pos="1000" w:val="left"/>
        </w:tabs>
        <w:rPr>
          <w:sz w:val="20"/>
          <w:szCs w:val="20"/>
          <w:color w:val="auto"/>
        </w:rPr>
      </w:pPr>
      <w:r>
        <w:rPr>
          <w:rFonts w:ascii="Arial" w:cs="Arial" w:eastAsia="Arial" w:hAnsi="Arial"/>
          <w:sz w:val="17"/>
          <w:szCs w:val="17"/>
          <w:color w:val="auto"/>
        </w:rPr>
        <w:t>10.5.1*</w:t>
      </w:r>
      <w:r>
        <w:rPr>
          <w:sz w:val="20"/>
          <w:szCs w:val="20"/>
          <w:color w:val="auto"/>
        </w:rPr>
        <w:tab/>
      </w:r>
      <w:r>
        <w:rPr>
          <w:rFonts w:ascii="Arial" w:cs="Arial" w:eastAsia="Arial" w:hAnsi="Arial"/>
          <w:sz w:val="15"/>
          <w:szCs w:val="15"/>
          <w:color w:val="auto"/>
        </w:rPr>
        <w:t>First Amendment to 2006 Incentive Share Plan</w:t>
      </w:r>
    </w:p>
    <w:p>
      <w:pPr>
        <w:spacing w:after="0" w:line="224" w:lineRule="exact"/>
        <w:rPr>
          <w:sz w:val="20"/>
          <w:szCs w:val="20"/>
          <w:color w:val="auto"/>
        </w:rPr>
      </w:pPr>
    </w:p>
    <w:p>
      <w:pPr>
        <w:ind w:left="280"/>
        <w:spacing w:after="0"/>
        <w:tabs>
          <w:tab w:leader="none" w:pos="1000" w:val="left"/>
        </w:tabs>
        <w:rPr>
          <w:sz w:val="20"/>
          <w:szCs w:val="20"/>
          <w:color w:val="auto"/>
        </w:rPr>
      </w:pPr>
      <w:r>
        <w:rPr>
          <w:rFonts w:ascii="Arial" w:cs="Arial" w:eastAsia="Arial" w:hAnsi="Arial"/>
          <w:sz w:val="17"/>
          <w:szCs w:val="17"/>
          <w:color w:val="auto"/>
        </w:rPr>
        <w:t>10.5.2</w:t>
      </w:r>
      <w:r>
        <w:rPr>
          <w:sz w:val="20"/>
          <w:szCs w:val="20"/>
          <w:color w:val="auto"/>
        </w:rPr>
        <w:tab/>
      </w:r>
      <w:r>
        <w:rPr>
          <w:rFonts w:ascii="Arial" w:cs="Arial" w:eastAsia="Arial" w:hAnsi="Arial"/>
          <w:sz w:val="15"/>
          <w:szCs w:val="15"/>
          <w:color w:val="auto"/>
        </w:rPr>
        <w:t>Form of Stock Option Agreement under 2006 Incentive Share Plan</w:t>
      </w:r>
    </w:p>
    <w:p>
      <w:pPr>
        <w:spacing w:after="0" w:line="224"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5"/>
          <w:szCs w:val="15"/>
          <w:color w:val="auto"/>
        </w:rPr>
        <w:t>2013 Equity Incentive Plan</w:t>
      </w:r>
    </w:p>
    <w:p>
      <w:pPr>
        <w:spacing w:after="0" w:line="224" w:lineRule="exact"/>
        <w:rPr>
          <w:sz w:val="20"/>
          <w:szCs w:val="20"/>
          <w:color w:val="auto"/>
        </w:rPr>
      </w:pPr>
    </w:p>
    <w:p>
      <w:pPr>
        <w:ind w:left="280"/>
        <w:spacing w:after="0"/>
        <w:tabs>
          <w:tab w:leader="none" w:pos="1000" w:val="left"/>
        </w:tabs>
        <w:rPr>
          <w:sz w:val="20"/>
          <w:szCs w:val="20"/>
          <w:color w:val="auto"/>
        </w:rPr>
      </w:pPr>
      <w:r>
        <w:rPr>
          <w:rFonts w:ascii="Arial" w:cs="Arial" w:eastAsia="Arial" w:hAnsi="Arial"/>
          <w:sz w:val="17"/>
          <w:szCs w:val="17"/>
          <w:color w:val="auto"/>
        </w:rPr>
        <w:t>10.6.1</w:t>
      </w:r>
      <w:r>
        <w:rPr>
          <w:sz w:val="20"/>
          <w:szCs w:val="20"/>
          <w:color w:val="auto"/>
        </w:rPr>
        <w:tab/>
      </w:r>
      <w:r>
        <w:rPr>
          <w:rFonts w:ascii="Arial" w:cs="Arial" w:eastAsia="Arial" w:hAnsi="Arial"/>
          <w:sz w:val="15"/>
          <w:szCs w:val="15"/>
          <w:color w:val="auto"/>
        </w:rPr>
        <w:t>Form of Restricted Stock Award Agreement under 2013 Equity Incentive Plan</w:t>
      </w:r>
    </w:p>
    <w:p>
      <w:pPr>
        <w:spacing w:after="0" w:line="224" w:lineRule="exact"/>
        <w:rPr>
          <w:sz w:val="20"/>
          <w:szCs w:val="20"/>
          <w:color w:val="auto"/>
        </w:rPr>
      </w:pPr>
    </w:p>
    <w:p>
      <w:pPr>
        <w:ind w:left="280"/>
        <w:spacing w:after="0"/>
        <w:tabs>
          <w:tab w:leader="none" w:pos="1000" w:val="left"/>
        </w:tabs>
        <w:rPr>
          <w:sz w:val="20"/>
          <w:szCs w:val="20"/>
          <w:color w:val="auto"/>
        </w:rPr>
      </w:pPr>
      <w:r>
        <w:rPr>
          <w:rFonts w:ascii="Arial" w:cs="Arial" w:eastAsia="Arial" w:hAnsi="Arial"/>
          <w:sz w:val="17"/>
          <w:szCs w:val="17"/>
          <w:color w:val="auto"/>
        </w:rPr>
        <w:t>10.6.2</w:t>
      </w:r>
      <w:r>
        <w:rPr>
          <w:sz w:val="20"/>
          <w:szCs w:val="20"/>
          <w:color w:val="auto"/>
        </w:rPr>
        <w:tab/>
      </w:r>
      <w:r>
        <w:rPr>
          <w:rFonts w:ascii="Arial" w:cs="Arial" w:eastAsia="Arial" w:hAnsi="Arial"/>
          <w:sz w:val="15"/>
          <w:szCs w:val="15"/>
          <w:color w:val="auto"/>
        </w:rPr>
        <w:t>Form of Restricted Stock Unit Award Agreement under 2013 Equity Incentive Plan</w:t>
      </w:r>
    </w:p>
    <w:p>
      <w:pPr>
        <w:spacing w:after="0" w:line="224" w:lineRule="exact"/>
        <w:rPr>
          <w:sz w:val="20"/>
          <w:szCs w:val="20"/>
          <w:color w:val="auto"/>
        </w:rPr>
      </w:pPr>
    </w:p>
    <w:p>
      <w:pPr>
        <w:ind w:left="280"/>
        <w:spacing w:after="0"/>
        <w:tabs>
          <w:tab w:leader="none" w:pos="1000" w:val="left"/>
        </w:tabs>
        <w:rPr>
          <w:sz w:val="20"/>
          <w:szCs w:val="20"/>
          <w:color w:val="auto"/>
        </w:rPr>
      </w:pPr>
      <w:r>
        <w:rPr>
          <w:rFonts w:ascii="Arial" w:cs="Arial" w:eastAsia="Arial" w:hAnsi="Arial"/>
          <w:sz w:val="17"/>
          <w:szCs w:val="17"/>
          <w:color w:val="auto"/>
        </w:rPr>
        <w:t>10.6.3</w:t>
      </w:r>
      <w:r>
        <w:rPr>
          <w:sz w:val="20"/>
          <w:szCs w:val="20"/>
          <w:color w:val="auto"/>
        </w:rPr>
        <w:tab/>
      </w:r>
      <w:r>
        <w:rPr>
          <w:rFonts w:ascii="Arial" w:cs="Arial" w:eastAsia="Arial" w:hAnsi="Arial"/>
          <w:sz w:val="15"/>
          <w:szCs w:val="15"/>
          <w:color w:val="auto"/>
        </w:rPr>
        <w:t>Form of Stock Appreciation Right Award Agreement under 2013 Equity Incentive Plan</w:t>
      </w:r>
    </w:p>
    <w:p>
      <w:pPr>
        <w:spacing w:after="0" w:line="224" w:lineRule="exact"/>
        <w:rPr>
          <w:sz w:val="20"/>
          <w:szCs w:val="20"/>
          <w:color w:val="auto"/>
        </w:rPr>
      </w:pPr>
    </w:p>
    <w:p>
      <w:pPr>
        <w:ind w:left="280"/>
        <w:spacing w:after="0"/>
        <w:tabs>
          <w:tab w:leader="none" w:pos="1000" w:val="left"/>
        </w:tabs>
        <w:rPr>
          <w:sz w:val="20"/>
          <w:szCs w:val="20"/>
          <w:color w:val="auto"/>
        </w:rPr>
      </w:pPr>
      <w:r>
        <w:rPr>
          <w:rFonts w:ascii="Arial" w:cs="Arial" w:eastAsia="Arial" w:hAnsi="Arial"/>
          <w:sz w:val="17"/>
          <w:szCs w:val="17"/>
          <w:color w:val="auto"/>
        </w:rPr>
        <w:t>10.6.4</w:t>
      </w:r>
      <w:r>
        <w:rPr>
          <w:sz w:val="20"/>
          <w:szCs w:val="20"/>
          <w:color w:val="auto"/>
        </w:rPr>
        <w:tab/>
      </w:r>
      <w:r>
        <w:rPr>
          <w:rFonts w:ascii="Arial" w:cs="Arial" w:eastAsia="Arial" w:hAnsi="Arial"/>
          <w:sz w:val="15"/>
          <w:szCs w:val="15"/>
          <w:color w:val="auto"/>
        </w:rPr>
        <w:t>Form of Notice of Stock Option Award and Stock Option Award Agreement under 2013 Equity Incentive Plan</w:t>
      </w:r>
    </w:p>
    <w:p>
      <w:pPr>
        <w:spacing w:after="0" w:line="224"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5"/>
          <w:szCs w:val="15"/>
          <w:color w:val="auto"/>
        </w:rPr>
        <w:t>Lease Agreement effective May 1, 2012 between the registrant and 12808 W. Airport, LLC</w:t>
      </w:r>
    </w:p>
    <w:p>
      <w:pPr>
        <w:spacing w:after="0" w:line="224" w:lineRule="exact"/>
        <w:rPr>
          <w:sz w:val="20"/>
          <w:szCs w:val="20"/>
          <w:color w:val="auto"/>
        </w:rPr>
      </w:pPr>
    </w:p>
    <w:p>
      <w:pPr>
        <w:ind w:left="280"/>
        <w:spacing w:after="0"/>
        <w:tabs>
          <w:tab w:leader="none" w:pos="1000" w:val="left"/>
        </w:tabs>
        <w:rPr>
          <w:sz w:val="20"/>
          <w:szCs w:val="20"/>
          <w:color w:val="auto"/>
        </w:rPr>
      </w:pPr>
      <w:r>
        <w:rPr>
          <w:rFonts w:ascii="Arial" w:cs="Arial" w:eastAsia="Arial" w:hAnsi="Arial"/>
          <w:sz w:val="17"/>
          <w:szCs w:val="17"/>
          <w:color w:val="auto"/>
        </w:rPr>
        <w:t>10.7.1</w:t>
      </w:r>
      <w:r>
        <w:rPr>
          <w:sz w:val="20"/>
          <w:szCs w:val="20"/>
          <w:color w:val="auto"/>
        </w:rPr>
        <w:tab/>
      </w:r>
      <w:r>
        <w:rPr>
          <w:rFonts w:ascii="Arial" w:cs="Arial" w:eastAsia="Arial" w:hAnsi="Arial"/>
          <w:sz w:val="15"/>
          <w:szCs w:val="15"/>
          <w:color w:val="auto"/>
        </w:rPr>
        <w:t>First Amendment to Lease Agreement effective June 15, 2012 between the registrant and 12808 W. Airport, LLC</w:t>
      </w:r>
    </w:p>
    <w:p>
      <w:pPr>
        <w:spacing w:after="0" w:line="224" w:lineRule="exact"/>
        <w:rPr>
          <w:sz w:val="20"/>
          <w:szCs w:val="20"/>
          <w:color w:val="auto"/>
        </w:rPr>
      </w:pPr>
    </w:p>
    <w:p>
      <w:pPr>
        <w:ind w:left="1020" w:hanging="612"/>
        <w:spacing w:after="0" w:line="282" w:lineRule="auto"/>
        <w:tabs>
          <w:tab w:leader="none" w:pos="1000" w:val="left"/>
        </w:tabs>
        <w:rPr>
          <w:sz w:val="20"/>
          <w:szCs w:val="20"/>
          <w:color w:val="auto"/>
        </w:rPr>
      </w:pPr>
      <w:r>
        <w:rPr>
          <w:rFonts w:ascii="Arial" w:cs="Arial" w:eastAsia="Arial" w:hAnsi="Arial"/>
          <w:sz w:val="17"/>
          <w:szCs w:val="17"/>
          <w:color w:val="auto"/>
        </w:rPr>
        <w:t>10.8</w:t>
      </w:r>
      <w:r>
        <w:rPr>
          <w:sz w:val="20"/>
          <w:szCs w:val="20"/>
          <w:color w:val="auto"/>
        </w:rPr>
        <w:tab/>
      </w:r>
      <w:r>
        <w:rPr>
          <w:rFonts w:ascii="Arial" w:cs="Arial" w:eastAsia="Arial" w:hAnsi="Arial"/>
          <w:sz w:val="17"/>
          <w:szCs w:val="17"/>
          <w:color w:val="auto"/>
        </w:rPr>
        <w:t>Translation of Chinese lease agreement dated January 10, 2012 between the registrant and Admiral Overseas Corporation for space on 4F, NO.700, Jhongjheng Rd., Jhonghe District, New Taipei City 23552, Taiwan (R.O.C.)</w:t>
      </w:r>
    </w:p>
    <w:p>
      <w:pPr>
        <w:spacing w:after="0" w:line="170" w:lineRule="exact"/>
        <w:rPr>
          <w:sz w:val="20"/>
          <w:szCs w:val="20"/>
          <w:color w:val="auto"/>
        </w:rPr>
      </w:pPr>
    </w:p>
    <w:p>
      <w:pPr>
        <w:ind w:left="1020" w:right="120" w:hanging="612"/>
        <w:spacing w:after="0" w:line="282" w:lineRule="auto"/>
        <w:tabs>
          <w:tab w:leader="none" w:pos="1000" w:val="left"/>
        </w:tabs>
        <w:rPr>
          <w:sz w:val="20"/>
          <w:szCs w:val="20"/>
          <w:color w:val="auto"/>
        </w:rPr>
      </w:pPr>
      <w:r>
        <w:rPr>
          <w:rFonts w:ascii="Arial" w:cs="Arial" w:eastAsia="Arial" w:hAnsi="Arial"/>
          <w:sz w:val="17"/>
          <w:szCs w:val="17"/>
          <w:color w:val="auto"/>
        </w:rPr>
        <w:t>10.9</w:t>
      </w:r>
      <w:r>
        <w:rPr>
          <w:sz w:val="20"/>
          <w:szCs w:val="20"/>
          <w:color w:val="auto"/>
        </w:rPr>
        <w:tab/>
      </w:r>
      <w:r>
        <w:rPr>
          <w:rFonts w:ascii="Arial" w:cs="Arial" w:eastAsia="Arial" w:hAnsi="Arial"/>
          <w:sz w:val="17"/>
          <w:szCs w:val="17"/>
          <w:color w:val="auto"/>
        </w:rPr>
        <w:t>Translation of Chinese lease agreement dated April 1, 2012 between the registrant and Admiral Overseas Corporation for space on 6-7F, NO.700, Jhongjheng Rd., Jhonghe District, New Taipei City 23552, Taiwan (R.O.C.)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177800</wp:posOffset>
            </wp:positionV>
            <wp:extent cx="725487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196" w:name="page197"/>
    <w:bookmarkEnd w:id="19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120"/>
        <w:spacing w:after="0"/>
        <w:tabs>
          <w:tab w:leader="none" w:pos="5880" w:val="left"/>
        </w:tabs>
        <w:rPr>
          <w:sz w:val="20"/>
          <w:szCs w:val="20"/>
          <w:color w:val="auto"/>
        </w:rPr>
      </w:pPr>
      <w:r>
        <w:rPr>
          <w:rFonts w:ascii="Arial" w:cs="Arial" w:eastAsia="Arial" w:hAnsi="Arial"/>
          <w:sz w:val="13"/>
          <w:szCs w:val="13"/>
          <w:b w:val="1"/>
          <w:bCs w:val="1"/>
          <w:color w:val="auto"/>
        </w:rPr>
        <w:t>Number</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25043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ind w:left="320"/>
        <w:spacing w:after="0"/>
        <w:tabs>
          <w:tab w:leader="none" w:pos="1000" w:val="left"/>
        </w:tabs>
        <w:rPr>
          <w:sz w:val="20"/>
          <w:szCs w:val="20"/>
          <w:color w:val="auto"/>
        </w:rPr>
      </w:pPr>
      <w:r>
        <w:rPr>
          <w:rFonts w:ascii="Arial" w:cs="Arial" w:eastAsia="Arial" w:hAnsi="Arial"/>
          <w:sz w:val="17"/>
          <w:szCs w:val="17"/>
          <w:color w:val="auto"/>
        </w:rPr>
        <w:t>10.10</w:t>
      </w:r>
      <w:r>
        <w:rPr>
          <w:sz w:val="20"/>
          <w:szCs w:val="20"/>
          <w:color w:val="auto"/>
        </w:rPr>
        <w:tab/>
      </w:r>
      <w:r>
        <w:rPr>
          <w:rFonts w:ascii="Arial" w:cs="Arial" w:eastAsia="Arial" w:hAnsi="Arial"/>
          <w:sz w:val="15"/>
          <w:szCs w:val="15"/>
          <w:color w:val="auto"/>
        </w:rPr>
        <w:t>Amended and Restated Loan and Security Agreement effective May 20, 2009 between registrant and United Commercial Bank</w:t>
      </w:r>
    </w:p>
    <w:p>
      <w:pPr>
        <w:spacing w:after="0" w:line="217" w:lineRule="exact"/>
        <w:rPr>
          <w:sz w:val="20"/>
          <w:szCs w:val="20"/>
          <w:color w:val="auto"/>
        </w:rPr>
      </w:pPr>
    </w:p>
    <w:p>
      <w:pPr>
        <w:ind w:left="1020" w:right="340" w:hanging="825"/>
        <w:spacing w:after="0" w:line="282" w:lineRule="auto"/>
        <w:tabs>
          <w:tab w:leader="none" w:pos="1000" w:val="left"/>
        </w:tabs>
        <w:rPr>
          <w:sz w:val="20"/>
          <w:szCs w:val="20"/>
          <w:color w:val="auto"/>
        </w:rPr>
      </w:pPr>
      <w:r>
        <w:rPr>
          <w:rFonts w:ascii="Arial" w:cs="Arial" w:eastAsia="Arial" w:hAnsi="Arial"/>
          <w:sz w:val="17"/>
          <w:szCs w:val="17"/>
          <w:color w:val="auto"/>
        </w:rPr>
        <w:t>10.10.1</w:t>
      </w:r>
      <w:r>
        <w:rPr>
          <w:sz w:val="20"/>
          <w:szCs w:val="20"/>
          <w:color w:val="auto"/>
        </w:rPr>
        <w:tab/>
      </w:r>
      <w:r>
        <w:rPr>
          <w:rFonts w:ascii="Arial" w:cs="Arial" w:eastAsia="Arial" w:hAnsi="Arial"/>
          <w:sz w:val="17"/>
          <w:szCs w:val="17"/>
          <w:color w:val="auto"/>
        </w:rPr>
        <w:t>First Amendment to Amended and Restated Loan and Security Agreement effective May 3, 2010 between the registrant and East West Bank (as successor in interest to United Commercial Bank)</w:t>
      </w:r>
    </w:p>
    <w:p>
      <w:pPr>
        <w:spacing w:after="0" w:line="170"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7"/>
          <w:szCs w:val="17"/>
          <w:color w:val="auto"/>
        </w:rPr>
        <w:t>10.10.2</w:t>
      </w:r>
      <w:r>
        <w:rPr>
          <w:sz w:val="20"/>
          <w:szCs w:val="20"/>
          <w:color w:val="auto"/>
        </w:rPr>
        <w:tab/>
      </w:r>
      <w:r>
        <w:rPr>
          <w:rFonts w:ascii="Arial" w:cs="Arial" w:eastAsia="Arial" w:hAnsi="Arial"/>
          <w:sz w:val="15"/>
          <w:szCs w:val="15"/>
          <w:color w:val="auto"/>
        </w:rPr>
        <w:t>Second Amendment to Amended and Restated Loan and Security Agreement effective October 28, 2010 between the registrant and East West Bank</w:t>
      </w:r>
    </w:p>
    <w:p>
      <w:pPr>
        <w:spacing w:after="0" w:line="224"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7"/>
          <w:szCs w:val="17"/>
          <w:color w:val="auto"/>
        </w:rPr>
        <w:t>10.10.3</w:t>
      </w:r>
      <w:r>
        <w:rPr>
          <w:sz w:val="20"/>
          <w:szCs w:val="20"/>
          <w:color w:val="auto"/>
        </w:rPr>
        <w:tab/>
      </w:r>
      <w:r>
        <w:rPr>
          <w:rFonts w:ascii="Arial" w:cs="Arial" w:eastAsia="Arial" w:hAnsi="Arial"/>
          <w:sz w:val="15"/>
          <w:szCs w:val="15"/>
          <w:color w:val="auto"/>
        </w:rPr>
        <w:t>Third Amendment to Amended and Restated Loan and Security Agreement effective December 6, 2010 between the registrant and East West Bank</w:t>
      </w:r>
    </w:p>
    <w:p>
      <w:pPr>
        <w:spacing w:after="0" w:line="224"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7"/>
          <w:szCs w:val="17"/>
          <w:color w:val="auto"/>
        </w:rPr>
        <w:t>10.10.4</w:t>
      </w:r>
      <w:r>
        <w:rPr>
          <w:sz w:val="20"/>
          <w:szCs w:val="20"/>
          <w:color w:val="auto"/>
        </w:rPr>
        <w:tab/>
      </w:r>
      <w:r>
        <w:rPr>
          <w:rFonts w:ascii="Arial" w:cs="Arial" w:eastAsia="Arial" w:hAnsi="Arial"/>
          <w:sz w:val="15"/>
          <w:szCs w:val="15"/>
          <w:color w:val="auto"/>
        </w:rPr>
        <w:t>Fourth Amendment to Amended and Restated Loan and Security Agreement effective May 5, 2011 between the registrant and East West Bank</w:t>
      </w:r>
    </w:p>
    <w:p>
      <w:pPr>
        <w:spacing w:after="0" w:line="224"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7"/>
          <w:szCs w:val="17"/>
          <w:color w:val="auto"/>
        </w:rPr>
        <w:t>10.10.5</w:t>
      </w:r>
      <w:r>
        <w:rPr>
          <w:sz w:val="20"/>
          <w:szCs w:val="20"/>
          <w:color w:val="auto"/>
        </w:rPr>
        <w:tab/>
      </w:r>
      <w:r>
        <w:rPr>
          <w:rFonts w:ascii="Arial" w:cs="Arial" w:eastAsia="Arial" w:hAnsi="Arial"/>
          <w:sz w:val="15"/>
          <w:szCs w:val="15"/>
          <w:color w:val="auto"/>
        </w:rPr>
        <w:t>Fifth Amendment to Amended and Restated Loan and Security Agreement effective November 30, 2011 between the registrant and East West Bank</w:t>
      </w:r>
    </w:p>
    <w:p>
      <w:pPr>
        <w:spacing w:after="0" w:line="224"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7"/>
          <w:szCs w:val="17"/>
          <w:color w:val="auto"/>
        </w:rPr>
        <w:t>10.10.6</w:t>
      </w:r>
      <w:r>
        <w:rPr>
          <w:sz w:val="20"/>
          <w:szCs w:val="20"/>
          <w:color w:val="auto"/>
        </w:rPr>
        <w:tab/>
      </w:r>
      <w:r>
        <w:rPr>
          <w:rFonts w:ascii="Arial" w:cs="Arial" w:eastAsia="Arial" w:hAnsi="Arial"/>
          <w:sz w:val="15"/>
          <w:szCs w:val="15"/>
          <w:color w:val="auto"/>
        </w:rPr>
        <w:t>Sixth Amendment to Amended and Restated Loan and Security Agreement effective March 29, 2012 between the registrant and East West Bank</w:t>
      </w:r>
    </w:p>
    <w:p>
      <w:pPr>
        <w:spacing w:after="0" w:line="224"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7"/>
          <w:szCs w:val="17"/>
          <w:color w:val="auto"/>
        </w:rPr>
        <w:t>10.10.7</w:t>
      </w:r>
      <w:r>
        <w:rPr>
          <w:sz w:val="20"/>
          <w:szCs w:val="20"/>
          <w:color w:val="auto"/>
        </w:rPr>
        <w:tab/>
      </w:r>
      <w:r>
        <w:rPr>
          <w:rFonts w:ascii="Arial" w:cs="Arial" w:eastAsia="Arial" w:hAnsi="Arial"/>
          <w:sz w:val="15"/>
          <w:szCs w:val="15"/>
          <w:color w:val="auto"/>
        </w:rPr>
        <w:t>Seventh Amendment to Amended and Restated Loan and Security Agreement effective June 29, 2012 between the registrant and East West Bank</w:t>
      </w:r>
    </w:p>
    <w:p>
      <w:pPr>
        <w:spacing w:after="0" w:line="224"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7"/>
          <w:szCs w:val="17"/>
          <w:color w:val="auto"/>
        </w:rPr>
        <w:t>10.10.8</w:t>
      </w:r>
      <w:r>
        <w:rPr>
          <w:sz w:val="20"/>
          <w:szCs w:val="20"/>
          <w:color w:val="auto"/>
        </w:rPr>
        <w:tab/>
      </w:r>
      <w:r>
        <w:rPr>
          <w:rFonts w:ascii="Arial" w:cs="Arial" w:eastAsia="Arial" w:hAnsi="Arial"/>
          <w:sz w:val="15"/>
          <w:szCs w:val="15"/>
          <w:color w:val="auto"/>
        </w:rPr>
        <w:t>Eighth Amendment to Amended and Restated Loan and Security Agreement effective November 2, 2012 between the registrant and East West Bank</w:t>
      </w:r>
    </w:p>
    <w:p>
      <w:pPr>
        <w:spacing w:after="0" w:line="224"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7"/>
          <w:szCs w:val="17"/>
          <w:color w:val="auto"/>
        </w:rPr>
        <w:t>10.10.9</w:t>
      </w:r>
      <w:r>
        <w:rPr>
          <w:sz w:val="20"/>
          <w:szCs w:val="20"/>
          <w:color w:val="auto"/>
        </w:rPr>
        <w:tab/>
      </w:r>
      <w:r>
        <w:rPr>
          <w:rFonts w:ascii="Arial" w:cs="Arial" w:eastAsia="Arial" w:hAnsi="Arial"/>
          <w:sz w:val="15"/>
          <w:szCs w:val="15"/>
          <w:color w:val="auto"/>
        </w:rPr>
        <w:t>Ninth Amendment to Amended and Restated Loan and Security Agreement effective April 11, 2013 between the registrant and East West Bank</w:t>
      </w:r>
    </w:p>
    <w:p>
      <w:pPr>
        <w:spacing w:after="0" w:line="224" w:lineRule="exact"/>
        <w:rPr>
          <w:sz w:val="20"/>
          <w:szCs w:val="20"/>
          <w:color w:val="auto"/>
        </w:rPr>
      </w:pPr>
    </w:p>
    <w:p>
      <w:pPr>
        <w:ind w:left="320"/>
        <w:spacing w:after="0"/>
        <w:tabs>
          <w:tab w:leader="none" w:pos="1000" w:val="left"/>
        </w:tabs>
        <w:rPr>
          <w:sz w:val="20"/>
          <w:szCs w:val="20"/>
          <w:color w:val="auto"/>
        </w:rPr>
      </w:pPr>
      <w:r>
        <w:rPr>
          <w:rFonts w:ascii="Arial" w:cs="Arial" w:eastAsia="Arial" w:hAnsi="Arial"/>
          <w:sz w:val="17"/>
          <w:szCs w:val="17"/>
          <w:color w:val="auto"/>
        </w:rPr>
        <w:t>10.11</w:t>
      </w:r>
      <w:r>
        <w:rPr>
          <w:sz w:val="20"/>
          <w:szCs w:val="20"/>
          <w:color w:val="auto"/>
        </w:rPr>
        <w:tab/>
      </w:r>
      <w:r>
        <w:rPr>
          <w:rFonts w:ascii="Arial" w:cs="Arial" w:eastAsia="Arial" w:hAnsi="Arial"/>
          <w:sz w:val="15"/>
          <w:szCs w:val="15"/>
          <w:color w:val="auto"/>
        </w:rPr>
        <w:t>Translation of Chinese form of RMB Working Capital Loan Agreement between the Global Technology Inc. and China Construction Bank</w:t>
      </w:r>
    </w:p>
    <w:p>
      <w:pPr>
        <w:spacing w:after="0" w:line="224" w:lineRule="exact"/>
        <w:rPr>
          <w:sz w:val="20"/>
          <w:szCs w:val="20"/>
          <w:color w:val="auto"/>
        </w:rPr>
      </w:pPr>
    </w:p>
    <w:p>
      <w:pPr>
        <w:ind w:left="1020" w:right="420" w:hanging="697"/>
        <w:spacing w:after="0" w:line="282" w:lineRule="auto"/>
        <w:tabs>
          <w:tab w:leader="none" w:pos="1000" w:val="left"/>
        </w:tabs>
        <w:rPr>
          <w:sz w:val="20"/>
          <w:szCs w:val="20"/>
          <w:color w:val="auto"/>
        </w:rPr>
      </w:pPr>
      <w:r>
        <w:rPr>
          <w:rFonts w:ascii="Arial" w:cs="Arial" w:eastAsia="Arial" w:hAnsi="Arial"/>
          <w:sz w:val="17"/>
          <w:szCs w:val="17"/>
          <w:color w:val="auto"/>
        </w:rPr>
        <w:t>10.12</w:t>
      </w:r>
      <w:r>
        <w:rPr>
          <w:sz w:val="20"/>
          <w:szCs w:val="20"/>
          <w:color w:val="auto"/>
        </w:rPr>
        <w:tab/>
      </w:r>
      <w:r>
        <w:rPr>
          <w:rFonts w:ascii="Arial" w:cs="Arial" w:eastAsia="Arial" w:hAnsi="Arial"/>
          <w:sz w:val="17"/>
          <w:szCs w:val="17"/>
          <w:color w:val="auto"/>
        </w:rPr>
        <w:t>Employment Agreement regarding Change of Control or Separation of Service between the registrant and Chih-Hsiang (Thompson) Lin, dated January 28, 2007</w:t>
      </w:r>
    </w:p>
    <w:p>
      <w:pPr>
        <w:spacing w:after="0" w:line="170" w:lineRule="exact"/>
        <w:rPr>
          <w:sz w:val="20"/>
          <w:szCs w:val="20"/>
          <w:color w:val="auto"/>
        </w:rPr>
      </w:pPr>
    </w:p>
    <w:p>
      <w:pPr>
        <w:ind w:left="1020" w:right="420" w:hanging="825"/>
        <w:spacing w:after="0" w:line="282" w:lineRule="auto"/>
        <w:tabs>
          <w:tab w:leader="none" w:pos="1000" w:val="left"/>
        </w:tabs>
        <w:rPr>
          <w:sz w:val="20"/>
          <w:szCs w:val="20"/>
          <w:color w:val="auto"/>
        </w:rPr>
      </w:pPr>
      <w:r>
        <w:rPr>
          <w:rFonts w:ascii="Arial" w:cs="Arial" w:eastAsia="Arial" w:hAnsi="Arial"/>
          <w:sz w:val="17"/>
          <w:szCs w:val="17"/>
          <w:color w:val="auto"/>
        </w:rPr>
        <w:t>10.12.1</w:t>
      </w:r>
      <w:r>
        <w:rPr>
          <w:sz w:val="20"/>
          <w:szCs w:val="20"/>
          <w:color w:val="auto"/>
        </w:rPr>
        <w:tab/>
      </w:r>
      <w:r>
        <w:rPr>
          <w:rFonts w:ascii="Arial" w:cs="Arial" w:eastAsia="Arial" w:hAnsi="Arial"/>
          <w:sz w:val="17"/>
          <w:szCs w:val="17"/>
          <w:color w:val="auto"/>
        </w:rPr>
        <w:t>Amended and Restated Employment Agreement regarding Change of Control or Separation of Service between the registrant and Chih-Hsiang (Thompson) Lin, dated April 16, 2013</w:t>
      </w:r>
    </w:p>
    <w:p>
      <w:pPr>
        <w:spacing w:after="0" w:line="170" w:lineRule="exact"/>
        <w:rPr>
          <w:sz w:val="20"/>
          <w:szCs w:val="20"/>
          <w:color w:val="auto"/>
        </w:rPr>
      </w:pPr>
    </w:p>
    <w:p>
      <w:pPr>
        <w:ind w:left="320"/>
        <w:spacing w:after="0"/>
        <w:tabs>
          <w:tab w:leader="none" w:pos="1000" w:val="left"/>
        </w:tabs>
        <w:rPr>
          <w:sz w:val="20"/>
          <w:szCs w:val="20"/>
          <w:color w:val="auto"/>
        </w:rPr>
      </w:pPr>
      <w:r>
        <w:rPr>
          <w:rFonts w:ascii="Arial" w:cs="Arial" w:eastAsia="Arial" w:hAnsi="Arial"/>
          <w:sz w:val="17"/>
          <w:szCs w:val="17"/>
          <w:color w:val="auto"/>
        </w:rPr>
        <w:t>10.13</w:t>
      </w:r>
      <w:r>
        <w:rPr>
          <w:sz w:val="20"/>
          <w:szCs w:val="20"/>
          <w:color w:val="auto"/>
        </w:rPr>
        <w:tab/>
      </w:r>
      <w:r>
        <w:rPr>
          <w:rFonts w:ascii="Arial" w:cs="Arial" w:eastAsia="Arial" w:hAnsi="Arial"/>
          <w:sz w:val="15"/>
          <w:szCs w:val="15"/>
          <w:color w:val="auto"/>
        </w:rPr>
        <w:t>Employment Agreement regarding Change of Control or Separation of Service between the registrant and Stefan J. Murry, dated January 28, 2007</w:t>
      </w:r>
    </w:p>
    <w:p>
      <w:pPr>
        <w:spacing w:after="0" w:line="224" w:lineRule="exact"/>
        <w:rPr>
          <w:sz w:val="20"/>
          <w:szCs w:val="20"/>
          <w:color w:val="auto"/>
        </w:rPr>
      </w:pPr>
    </w:p>
    <w:p>
      <w:pPr>
        <w:ind w:left="320"/>
        <w:spacing w:after="0"/>
        <w:tabs>
          <w:tab w:leader="none" w:pos="1000" w:val="left"/>
        </w:tabs>
        <w:rPr>
          <w:sz w:val="20"/>
          <w:szCs w:val="20"/>
          <w:color w:val="auto"/>
        </w:rPr>
      </w:pPr>
      <w:r>
        <w:rPr>
          <w:rFonts w:ascii="Arial" w:cs="Arial" w:eastAsia="Arial" w:hAnsi="Arial"/>
          <w:sz w:val="17"/>
          <w:szCs w:val="17"/>
          <w:color w:val="auto"/>
        </w:rPr>
        <w:t>10.14</w:t>
      </w:r>
      <w:r>
        <w:rPr>
          <w:sz w:val="20"/>
          <w:szCs w:val="20"/>
          <w:color w:val="auto"/>
        </w:rPr>
        <w:tab/>
      </w:r>
      <w:r>
        <w:rPr>
          <w:rFonts w:ascii="Arial" w:cs="Arial" w:eastAsia="Arial" w:hAnsi="Arial"/>
          <w:sz w:val="15"/>
          <w:szCs w:val="15"/>
          <w:color w:val="auto"/>
        </w:rPr>
        <w:t>Employment Agreement regarding Change of Control or Separation of Service between the registrant and Shu-Hua (Joshua) Yeh, dated June 1, 2012</w:t>
      </w:r>
    </w:p>
    <w:p>
      <w:pPr>
        <w:spacing w:after="0" w:line="224" w:lineRule="exact"/>
        <w:rPr>
          <w:sz w:val="20"/>
          <w:szCs w:val="20"/>
          <w:color w:val="auto"/>
        </w:rPr>
      </w:pPr>
    </w:p>
    <w:p>
      <w:pPr>
        <w:ind w:left="320"/>
        <w:spacing w:after="0"/>
        <w:tabs>
          <w:tab w:leader="none" w:pos="1000" w:val="left"/>
        </w:tabs>
        <w:rPr>
          <w:sz w:val="20"/>
          <w:szCs w:val="20"/>
          <w:color w:val="auto"/>
        </w:rPr>
      </w:pPr>
      <w:r>
        <w:rPr>
          <w:rFonts w:ascii="Arial" w:cs="Arial" w:eastAsia="Arial" w:hAnsi="Arial"/>
          <w:sz w:val="17"/>
          <w:szCs w:val="17"/>
          <w:color w:val="auto"/>
        </w:rPr>
        <w:t>10.15</w:t>
      </w:r>
      <w:r>
        <w:rPr>
          <w:sz w:val="20"/>
          <w:szCs w:val="20"/>
          <w:color w:val="auto"/>
        </w:rPr>
        <w:tab/>
      </w:r>
      <w:r>
        <w:rPr>
          <w:rFonts w:ascii="Arial" w:cs="Arial" w:eastAsia="Arial" w:hAnsi="Arial"/>
          <w:sz w:val="15"/>
          <w:szCs w:val="15"/>
          <w:color w:val="auto"/>
        </w:rPr>
        <w:t>Employment Agreement between the registrant and James L. Dunn, Jr., dated April 16, 2013</w:t>
      </w:r>
    </w:p>
    <w:p>
      <w:pPr>
        <w:spacing w:after="0" w:line="224" w:lineRule="exact"/>
        <w:rPr>
          <w:sz w:val="20"/>
          <w:szCs w:val="20"/>
          <w:color w:val="auto"/>
        </w:rPr>
      </w:pPr>
    </w:p>
    <w:p>
      <w:pPr>
        <w:ind w:left="320"/>
        <w:spacing w:after="0"/>
        <w:tabs>
          <w:tab w:leader="none" w:pos="1000" w:val="left"/>
        </w:tabs>
        <w:rPr>
          <w:sz w:val="20"/>
          <w:szCs w:val="20"/>
          <w:color w:val="auto"/>
        </w:rPr>
      </w:pPr>
      <w:r>
        <w:rPr>
          <w:rFonts w:ascii="Arial" w:cs="Arial" w:eastAsia="Arial" w:hAnsi="Arial"/>
          <w:sz w:val="17"/>
          <w:szCs w:val="17"/>
          <w:color w:val="auto"/>
        </w:rPr>
        <w:t>10.16</w:t>
      </w:r>
      <w:r>
        <w:rPr>
          <w:sz w:val="20"/>
          <w:szCs w:val="20"/>
          <w:color w:val="auto"/>
        </w:rPr>
        <w:tab/>
      </w:r>
      <w:r>
        <w:rPr>
          <w:rFonts w:ascii="Arial" w:cs="Arial" w:eastAsia="Arial" w:hAnsi="Arial"/>
          <w:sz w:val="15"/>
          <w:szCs w:val="15"/>
          <w:color w:val="auto"/>
        </w:rPr>
        <w:t>Employment Agreement between the registrant and Hung-Lun (Fred) Chang, dated April 16, 2013</w:t>
      </w:r>
    </w:p>
    <w:p>
      <w:pPr>
        <w:spacing w:after="0" w:line="224"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5"/>
          <w:szCs w:val="15"/>
          <w:color w:val="auto"/>
        </w:rPr>
        <w:t>Subsidiaries of the registrant</w:t>
      </w:r>
    </w:p>
    <w:p>
      <w:pPr>
        <w:spacing w:after="0" w:line="224"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5"/>
          <w:szCs w:val="15"/>
          <w:color w:val="auto"/>
        </w:rPr>
        <w:t>Consent of Grant Thornton LLP</w:t>
      </w:r>
    </w:p>
    <w:p>
      <w:pPr>
        <w:spacing w:after="0" w:line="224"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6"/>
          <w:szCs w:val="16"/>
          <w:color w:val="auto"/>
        </w:rPr>
        <w:t>Consent of DLA Piper LLP (US) (included in Exhibit 5.1)</w:t>
      </w:r>
    </w:p>
    <w:p>
      <w:pPr>
        <w:spacing w:after="0" w:line="224"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7"/>
          <w:szCs w:val="17"/>
          <w:color w:val="auto"/>
        </w:rPr>
        <w:t>23.3</w:t>
      </w:r>
      <w:r>
        <w:rPr>
          <w:sz w:val="20"/>
          <w:szCs w:val="20"/>
          <w:color w:val="auto"/>
        </w:rPr>
        <w:tab/>
      </w:r>
      <w:r>
        <w:rPr>
          <w:rFonts w:ascii="Arial" w:cs="Arial" w:eastAsia="Arial" w:hAnsi="Arial"/>
          <w:sz w:val="15"/>
          <w:szCs w:val="15"/>
          <w:color w:val="auto"/>
        </w:rPr>
        <w:t>Consent of Ovum Limited</w:t>
      </w:r>
    </w:p>
    <w:p>
      <w:pPr>
        <w:spacing w:after="0" w:line="224"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7"/>
          <w:szCs w:val="17"/>
          <w:color w:val="auto"/>
        </w:rPr>
        <w:t>23.4</w:t>
      </w:r>
      <w:r>
        <w:rPr>
          <w:sz w:val="20"/>
          <w:szCs w:val="20"/>
          <w:color w:val="auto"/>
        </w:rPr>
        <w:tab/>
      </w:r>
      <w:r>
        <w:rPr>
          <w:rFonts w:ascii="Arial" w:cs="Arial" w:eastAsia="Arial" w:hAnsi="Arial"/>
          <w:sz w:val="15"/>
          <w:szCs w:val="15"/>
          <w:color w:val="auto"/>
        </w:rPr>
        <w:t>Consent of Adams Capital Inc.</w:t>
      </w:r>
    </w:p>
    <w:p>
      <w:pPr>
        <w:spacing w:after="0" w:line="224"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5"/>
          <w:szCs w:val="15"/>
          <w:color w:val="auto"/>
        </w:rPr>
        <w:t>Power of Attorney (see page II-5 to this registration statement on Form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16814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681480" cy="8255"/>
                    </a:xfrm>
                    <a:prstGeom prst="rect">
                      <a:avLst/>
                    </a:prstGeom>
                    <a:noFill/>
                  </pic:spPr>
                </pic:pic>
              </a:graphicData>
            </a:graphic>
          </wp:anchor>
        </w:drawing>
      </w:r>
    </w:p>
    <w:p>
      <w:pPr>
        <w:spacing w:after="0" w:line="309" w:lineRule="exact"/>
        <w:rPr>
          <w:sz w:val="20"/>
          <w:szCs w:val="20"/>
          <w:color w:val="auto"/>
        </w:rPr>
      </w:pPr>
    </w:p>
    <w:p>
      <w:pPr>
        <w:ind w:left="520" w:hanging="515"/>
        <w:spacing w:after="0"/>
        <w:tabs>
          <w:tab w:leader="none" w:pos="52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133350</wp:posOffset>
            </wp:positionV>
            <wp:extent cx="725487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97" w:name="page198"/>
    <w:bookmarkEnd w:id="19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8" w:name="page199"/>
    <w:bookmarkEnd w:id="198"/>
    <w:p>
      <w:pPr>
        <w:spacing w:after="0" w:line="4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INCORPORATION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212"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ARTICLE ONE — NAME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name of the corporation is Applied Optoelectronics, Inc.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TWO — DURATION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Corporation will have perpetual existence.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THREE — PURPOSE</w:t>
      </w:r>
    </w:p>
    <w:p>
      <w:pPr>
        <w:spacing w:after="0" w:line="224"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The purpose for which the Corporation is organized is the transaction of any or all lawful business for which corporations may be incorporated under the Delaware General Corporation Law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FOUR — CAPITAL STOCK</w:t>
      </w:r>
    </w:p>
    <w:p>
      <w:pPr>
        <w:spacing w:after="0" w:line="224" w:lineRule="exact"/>
        <w:rPr>
          <w:sz w:val="20"/>
          <w:szCs w:val="20"/>
          <w:color w:val="auto"/>
        </w:rPr>
      </w:pPr>
    </w:p>
    <w:p>
      <w:pPr>
        <w:ind w:right="220" w:firstLine="629"/>
        <w:spacing w:after="0" w:line="268" w:lineRule="auto"/>
        <w:rPr>
          <w:sz w:val="20"/>
          <w:szCs w:val="20"/>
          <w:color w:val="auto"/>
        </w:rPr>
      </w:pPr>
      <w:r>
        <w:rPr>
          <w:rFonts w:ascii="Arial" w:cs="Arial" w:eastAsia="Arial" w:hAnsi="Arial"/>
          <w:sz w:val="17"/>
          <w:szCs w:val="17"/>
          <w:color w:val="auto"/>
        </w:rPr>
        <w:t>The aggregate number of shares of capital stock that the Corporation will have authority to issue is 472,200,000, of which 300,000,000 shares will be common stock, par value $0.001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172,200,000 will be preferred stock, par value $0.001 per share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Unless specifically provided otherwise herein, the holders of such shares (“</w:t>
      </w:r>
      <w:r>
        <w:rPr>
          <w:rFonts w:ascii="Arial" w:cs="Arial" w:eastAsia="Arial" w:hAnsi="Arial"/>
          <w:sz w:val="17"/>
          <w:szCs w:val="17"/>
          <w:b w:val="1"/>
          <w:bCs w:val="1"/>
          <w:i w:val="1"/>
          <w:iCs w:val="1"/>
          <w:color w:val="auto"/>
        </w:rPr>
        <w:t>Stockholders</w:t>
      </w:r>
      <w:r>
        <w:rPr>
          <w:rFonts w:ascii="Arial" w:cs="Arial" w:eastAsia="Arial" w:hAnsi="Arial"/>
          <w:sz w:val="17"/>
          <w:szCs w:val="17"/>
          <w:color w:val="auto"/>
        </w:rPr>
        <w:t>”) will be entitled to one vote for each share held in any Stockholder vote in which any of such Stockholder is entitled to participate.</w:t>
      </w:r>
    </w:p>
    <w:p>
      <w:pPr>
        <w:spacing w:after="0" w:line="176"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color w:val="auto"/>
        </w:rPr>
        <w:t>The board of directors of the Corporation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may determine the powers, designations, preferences and relative, participating, optional or other rights, including the voting rights, and the qualifications, limitations or restrictions thereof, of each class of capital stock and of each series within any such class and may increase or decrease the number of shares within each such class or series; provided, however, that the Board may not decrease the number of shares within a class or series to less than the number of shares within such class or series that are then issued and may not increase the number of shares within a series above the total number of authorized shares of the applicable class for which the powers, designations, preferences and rights have not otherwise been set forth herein.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FIVE — SERIES A PREFERRED STOCK</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4,900,000 shares of the Preferred Stock are designated “</w:t>
      </w:r>
      <w:r>
        <w:rPr>
          <w:rFonts w:ascii="Arial" w:cs="Arial" w:eastAsia="Arial" w:hAnsi="Arial"/>
          <w:sz w:val="15"/>
          <w:szCs w:val="15"/>
          <w:b w:val="1"/>
          <w:bCs w:val="1"/>
          <w:i w:val="1"/>
          <w:iCs w:val="1"/>
          <w:color w:val="auto"/>
        </w:rPr>
        <w:t>Series A Preferred Stock</w:t>
      </w:r>
      <w:r>
        <w:rPr>
          <w:rFonts w:ascii="Arial" w:cs="Arial" w:eastAsia="Arial" w:hAnsi="Arial"/>
          <w:sz w:val="15"/>
          <w:szCs w:val="15"/>
          <w:color w:val="auto"/>
        </w:rPr>
        <w:t>,” which have the following powers, preferences, rights, and restrictions:</w:t>
      </w:r>
    </w:p>
    <w:p>
      <w:pPr>
        <w:spacing w:after="0" w:line="247"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5.1.</w:t>
      </w:r>
      <w:r>
        <w:rPr>
          <w:sz w:val="20"/>
          <w:szCs w:val="20"/>
          <w:color w:val="auto"/>
        </w:rPr>
        <w:tab/>
      </w:r>
      <w:r>
        <w:rPr>
          <w:rFonts w:ascii="Arial" w:cs="Arial" w:eastAsia="Arial" w:hAnsi="Arial"/>
          <w:sz w:val="16"/>
          <w:szCs w:val="16"/>
          <w:u w:val="single" w:color="auto"/>
          <w:color w:val="auto"/>
        </w:rPr>
        <w:t>Voting</w:t>
      </w:r>
      <w:r>
        <w:rPr>
          <w:rFonts w:ascii="Arial" w:cs="Arial" w:eastAsia="Arial" w:hAnsi="Arial"/>
          <w:sz w:val="16"/>
          <w:szCs w:val="16"/>
          <w:color w:val="auto"/>
        </w:rPr>
        <w:t>.</w:t>
      </w:r>
    </w:p>
    <w:p>
      <w:pPr>
        <w:spacing w:after="0" w:line="224" w:lineRule="exact"/>
        <w:rPr>
          <w:sz w:val="20"/>
          <w:szCs w:val="20"/>
          <w:color w:val="auto"/>
        </w:rPr>
      </w:pPr>
    </w:p>
    <w:p>
      <w:pPr>
        <w:ind w:left="640" w:right="80" w:firstLine="623"/>
        <w:spacing w:after="0" w:line="289" w:lineRule="auto"/>
        <w:tabs>
          <w:tab w:leader="none" w:pos="1943"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Except as may be otherwise required by the DGCL or set forth in this </w:t>
      </w:r>
      <w:r>
        <w:rPr>
          <w:rFonts w:ascii="Arial" w:cs="Arial" w:eastAsia="Arial" w:hAnsi="Arial"/>
          <w:sz w:val="17"/>
          <w:szCs w:val="17"/>
          <w:u w:val="single" w:color="auto"/>
          <w:color w:val="auto"/>
        </w:rPr>
        <w:t>Section 5.1</w:t>
      </w:r>
      <w:r>
        <w:rPr>
          <w:rFonts w:ascii="Arial" w:cs="Arial" w:eastAsia="Arial" w:hAnsi="Arial"/>
          <w:sz w:val="17"/>
          <w:szCs w:val="17"/>
          <w:color w:val="auto"/>
        </w:rPr>
        <w:t>, the Series A Preferred Stock will not have the right to vote on any action to be taken by the stockholders of the Corporation. To the extent that the DGCL or this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180"/>
        <w:spacing w:after="0" w:line="298" w:lineRule="auto"/>
        <w:rPr>
          <w:sz w:val="20"/>
          <w:szCs w:val="20"/>
          <w:color w:val="auto"/>
        </w:rPr>
      </w:pP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require the Series A Preferred Stock to have a vote on an action to be taken by the stockholders of the Corporation, each share of Series A Preferred Stock will entitle the record holder thereof (each a “</w:t>
      </w:r>
      <w:r>
        <w:rPr>
          <w:rFonts w:ascii="Arial" w:cs="Arial" w:eastAsia="Arial" w:hAnsi="Arial"/>
          <w:sz w:val="16"/>
          <w:szCs w:val="16"/>
          <w:b w:val="1"/>
          <w:bCs w:val="1"/>
          <w:i w:val="1"/>
          <w:iCs w:val="1"/>
          <w:color w:val="auto"/>
        </w:rPr>
        <w:t>Series A Holder</w:t>
      </w:r>
      <w:r>
        <w:rPr>
          <w:rFonts w:ascii="Arial" w:cs="Arial" w:eastAsia="Arial" w:hAnsi="Arial"/>
          <w:sz w:val="16"/>
          <w:szCs w:val="16"/>
          <w:color w:val="auto"/>
        </w:rPr>
        <w:t>”) to such number of votes per share on each such action as will equal the number of shares of Common Stock (including fractions of a share) into which each share of Series A Preferred Stock is then convertible.</w:t>
      </w:r>
    </w:p>
    <w:p>
      <w:pPr>
        <w:spacing w:after="0" w:line="154" w:lineRule="exact"/>
        <w:rPr>
          <w:sz w:val="20"/>
          <w:szCs w:val="20"/>
          <w:color w:val="auto"/>
        </w:rPr>
      </w:pPr>
    </w:p>
    <w:p>
      <w:pPr>
        <w:ind w:left="640" w:firstLine="623"/>
        <w:spacing w:after="0" w:line="289" w:lineRule="auto"/>
        <w:tabs>
          <w:tab w:leader="none" w:pos="1953"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Election of Directors</w:t>
      </w:r>
      <w:r>
        <w:rPr>
          <w:rFonts w:ascii="Arial" w:cs="Arial" w:eastAsia="Arial" w:hAnsi="Arial"/>
          <w:sz w:val="17"/>
          <w:szCs w:val="17"/>
          <w:color w:val="auto"/>
        </w:rPr>
        <w:t>. The holders of Series A Preferred Stock will have the right to vote or grant consent with respect to the election of directors of the Corporation as set forth in the bylaws of the Corporation.</w:t>
      </w:r>
    </w:p>
    <w:p>
      <w:pPr>
        <w:spacing w:after="0" w:line="158" w:lineRule="exact"/>
        <w:rPr>
          <w:rFonts w:ascii="Arial" w:cs="Arial" w:eastAsia="Arial" w:hAnsi="Arial"/>
          <w:sz w:val="17"/>
          <w:szCs w:val="17"/>
          <w:color w:val="auto"/>
        </w:rPr>
      </w:pPr>
    </w:p>
    <w:p>
      <w:pPr>
        <w:jc w:val="both"/>
        <w:ind w:left="640" w:right="160" w:firstLine="623"/>
        <w:spacing w:after="0" w:line="268" w:lineRule="auto"/>
        <w:tabs>
          <w:tab w:leader="none" w:pos="1943"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 So long as at least 2,883,523 shares of Series A Preferred Stock (subject to adjustment for any stock split, reverse stock split, stock dividend or other such transaction applicable to the Series A Preferred Stock) remain outstanding, the Series A Holders will have the right to vote, as a separate class and not together with the holders of other stock, with respect to the following matters, each of which will require the consent or affirmative vote of at least 66% of the issued and outstanding shares of Series A Preferred Stock:</w:t>
      </w:r>
    </w:p>
    <w:p>
      <w:pPr>
        <w:spacing w:after="0" w:line="175" w:lineRule="exact"/>
        <w:rPr>
          <w:rFonts w:ascii="Arial" w:cs="Arial" w:eastAsia="Arial" w:hAnsi="Arial"/>
          <w:sz w:val="17"/>
          <w:szCs w:val="17"/>
          <w:color w:val="auto"/>
        </w:rPr>
      </w:pPr>
    </w:p>
    <w:p>
      <w:pPr>
        <w:ind w:left="1260" w:right="40" w:firstLine="633"/>
        <w:spacing w:after="0" w:line="273" w:lineRule="auto"/>
        <w:tabs>
          <w:tab w:leader="none" w:pos="2578"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Any amendment, alteration or repeal of any provision of the Certificate of Incorporation of the Corporation, as amended from time to time, that affects adversely the voting or other powers, preferences or other special rights or privileges or restrictions of the Series A Preferred Stock;</w:t>
      </w:r>
    </w:p>
    <w:p>
      <w:pPr>
        <w:spacing w:after="0" w:line="171" w:lineRule="exact"/>
        <w:rPr>
          <w:rFonts w:ascii="Arial" w:cs="Arial" w:eastAsia="Arial" w:hAnsi="Arial"/>
          <w:sz w:val="17"/>
          <w:szCs w:val="17"/>
          <w:color w:val="auto"/>
        </w:rPr>
      </w:pPr>
    </w:p>
    <w:p>
      <w:pPr>
        <w:ind w:left="1260" w:right="20" w:firstLine="633"/>
        <w:spacing w:after="0" w:line="268" w:lineRule="auto"/>
        <w:tabs>
          <w:tab w:leader="none" w:pos="2583"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Any authorization or any designation, whether by reclassification or otherwise, of any new class or series of stock of the Corporation ranking senior to the Series A Preferred Stock in right of liquidation preference or dividends (“</w:t>
      </w:r>
      <w:r>
        <w:rPr>
          <w:rFonts w:ascii="Arial" w:cs="Arial" w:eastAsia="Arial" w:hAnsi="Arial"/>
          <w:sz w:val="17"/>
          <w:szCs w:val="17"/>
          <w:b w:val="1"/>
          <w:bCs w:val="1"/>
          <w:i w:val="1"/>
          <w:iCs w:val="1"/>
          <w:color w:val="auto"/>
        </w:rPr>
        <w:t>Series A Senior Securities</w:t>
      </w:r>
      <w:r>
        <w:rPr>
          <w:rFonts w:ascii="Arial" w:cs="Arial" w:eastAsia="Arial" w:hAnsi="Arial"/>
          <w:sz w:val="17"/>
          <w:szCs w:val="17"/>
          <w:color w:val="auto"/>
        </w:rPr>
        <w:t>” which, except as contemplated by the definition of “Series A Junior Securities,” shall include the Series C Preferred Stock, the Series D Preferred Stock, the Series E Preferred Stock, the Series F Preferred Stock and the Series G Preferred Stock);</w:t>
      </w:r>
    </w:p>
    <w:p>
      <w:pPr>
        <w:spacing w:after="0" w:line="175" w:lineRule="exact"/>
        <w:rPr>
          <w:rFonts w:ascii="Arial" w:cs="Arial" w:eastAsia="Arial" w:hAnsi="Arial"/>
          <w:sz w:val="17"/>
          <w:szCs w:val="17"/>
          <w:color w:val="auto"/>
        </w:rPr>
      </w:pPr>
    </w:p>
    <w:p>
      <w:pPr>
        <w:ind w:left="1260" w:right="420" w:firstLine="633"/>
        <w:spacing w:after="0" w:line="322" w:lineRule="auto"/>
        <w:tabs>
          <w:tab w:leader="none" w:pos="2588"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Any redemption of any shares of Common Stock (other than pursuant to equity incentive agreements with employees or service providers giving the Corporation the right to repurchase shares upon the termination of employment or services);</w:t>
      </w:r>
    </w:p>
    <w:p>
      <w:pPr>
        <w:spacing w:after="0" w:line="135" w:lineRule="exact"/>
        <w:rPr>
          <w:rFonts w:ascii="Arial" w:cs="Arial" w:eastAsia="Arial" w:hAnsi="Arial"/>
          <w:sz w:val="16"/>
          <w:szCs w:val="16"/>
          <w:color w:val="auto"/>
        </w:rPr>
      </w:pPr>
    </w:p>
    <w:p>
      <w:pPr>
        <w:ind w:left="1260" w:right="480" w:firstLine="633"/>
        <w:spacing w:after="0" w:line="289" w:lineRule="auto"/>
        <w:tabs>
          <w:tab w:leader="none" w:pos="2578"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Any amendment of, or waiver with respect to, any provision of the Corporation’s Certificate of Incorporation or bylaws directly relating to the Series A Preferred Stock;</w:t>
      </w:r>
    </w:p>
    <w:p>
      <w:pPr>
        <w:spacing w:after="0" w:line="158" w:lineRule="exact"/>
        <w:rPr>
          <w:rFonts w:ascii="Arial" w:cs="Arial" w:eastAsia="Arial" w:hAnsi="Arial"/>
          <w:sz w:val="17"/>
          <w:szCs w:val="17"/>
          <w:color w:val="auto"/>
        </w:rPr>
      </w:pPr>
    </w:p>
    <w:p>
      <w:pPr>
        <w:ind w:left="2580" w:hanging="687"/>
        <w:spacing w:after="0"/>
        <w:tabs>
          <w:tab w:leader="none" w:pos="258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Any increase in the authorized size of the Board; and</w:t>
      </w:r>
    </w:p>
    <w:p>
      <w:pPr>
        <w:spacing w:after="0" w:line="224" w:lineRule="exact"/>
        <w:rPr>
          <w:rFonts w:ascii="Arial" w:cs="Arial" w:eastAsia="Arial" w:hAnsi="Arial"/>
          <w:sz w:val="17"/>
          <w:szCs w:val="17"/>
          <w:color w:val="auto"/>
        </w:rPr>
      </w:pPr>
    </w:p>
    <w:p>
      <w:pPr>
        <w:ind w:left="1260" w:right="60" w:firstLine="633"/>
        <w:spacing w:after="0" w:line="360" w:lineRule="auto"/>
        <w:tabs>
          <w:tab w:leader="none" w:pos="2578" w:val="left"/>
        </w:tabs>
        <w:numPr>
          <w:ilvl w:val="1"/>
          <w:numId w:val="126"/>
        </w:numPr>
        <w:rPr>
          <w:rFonts w:ascii="Arial" w:cs="Arial" w:eastAsia="Arial" w:hAnsi="Arial"/>
          <w:sz w:val="15"/>
          <w:szCs w:val="15"/>
          <w:color w:val="auto"/>
        </w:rPr>
      </w:pPr>
      <w:r>
        <w:rPr>
          <w:rFonts w:ascii="Arial" w:cs="Arial" w:eastAsia="Arial" w:hAnsi="Arial"/>
          <w:sz w:val="15"/>
          <w:szCs w:val="15"/>
          <w:color w:val="auto"/>
        </w:rPr>
        <w:t>The declaration or payment of any dividend in respect of any Series A Junior Securities. “</w:t>
      </w:r>
      <w:r>
        <w:rPr>
          <w:rFonts w:ascii="Arial" w:cs="Arial" w:eastAsia="Arial" w:hAnsi="Arial"/>
          <w:sz w:val="15"/>
          <w:szCs w:val="15"/>
          <w:b w:val="1"/>
          <w:bCs w:val="1"/>
          <w:i w:val="1"/>
          <w:iCs w:val="1"/>
          <w:color w:val="auto"/>
        </w:rPr>
        <w:t>Series A Junior Securities”</w:t>
      </w:r>
      <w:r>
        <w:rPr>
          <w:rFonts w:ascii="Arial" w:cs="Arial" w:eastAsia="Arial" w:hAnsi="Arial"/>
          <w:sz w:val="15"/>
          <w:szCs w:val="15"/>
          <w:color w:val="auto"/>
        </w:rPr>
        <w:t xml:space="preserve"> means any shares of Common Stock or other stock that is junior to the Series A Preferred Stock in right of dividends or in respect of Liquidation,</w:t>
      </w:r>
    </w:p>
    <w:p>
      <w:pPr>
        <w:sectPr>
          <w:pgSz w:w="11900" w:h="16878" w:orient="portrait"/>
          <w:cols w:equalWidth="0" w:num="1">
            <w:col w:w="11420"/>
          </w:cols>
          <w:pgMar w:left="240" w:top="357" w:right="239" w:bottom="0" w:gutter="0" w:footer="0" w:header="0"/>
        </w:sectPr>
      </w:pPr>
    </w:p>
    <w:bookmarkStart w:id="199" w:name="page200"/>
    <w:bookmarkEnd w:id="199"/>
    <w:p>
      <w:pPr>
        <w:jc w:val="center"/>
        <w:ind w:right="20"/>
        <w:spacing w:after="0"/>
        <w:rPr>
          <w:sz w:val="20"/>
          <w:szCs w:val="20"/>
          <w:color w:val="auto"/>
        </w:rPr>
      </w:pPr>
      <w:r>
        <w:rPr>
          <w:rFonts w:ascii="Arial" w:cs="Arial" w:eastAsia="Arial" w:hAnsi="Arial"/>
          <w:sz w:val="17"/>
          <w:szCs w:val="17"/>
          <w:color w:val="auto"/>
        </w:rPr>
        <w:t>including only with respect to the Series C Junior Liquidation Payment, and for no other purpose, the Series C Preferred Stock.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29"/>
        <w:spacing w:after="0" w:line="268"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Dividends</w:t>
      </w:r>
      <w:r>
        <w:rPr>
          <w:rFonts w:ascii="Arial" w:cs="Arial" w:eastAsia="Arial" w:hAnsi="Arial"/>
          <w:sz w:val="17"/>
          <w:szCs w:val="17"/>
          <w:color w:val="auto"/>
        </w:rPr>
        <w:t>. No Series A Holder will have the right to receive any dividends in respect of any share of Series A Preferred Stock unless, and only to the extent, such dividends are declared by the Board and funds are legally available therefor. No dividends will be declared or paid in respect of the Common Stock or any Series A Junior Securities unless an identical dividend amount (on an as-converted, per-share basis) is also simultaneously declared and paid in respect of the Series A Preferred Stock.</w:t>
      </w:r>
    </w:p>
    <w:p>
      <w:pPr>
        <w:spacing w:after="0" w:line="176"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5.3.</w:t>
      </w:r>
      <w:r>
        <w:rPr>
          <w:sz w:val="20"/>
          <w:szCs w:val="20"/>
          <w:color w:val="auto"/>
        </w:rPr>
        <w:tab/>
      </w:r>
      <w:r>
        <w:rPr>
          <w:rFonts w:ascii="Arial" w:cs="Arial" w:eastAsia="Arial" w:hAnsi="Arial"/>
          <w:sz w:val="16"/>
          <w:szCs w:val="16"/>
          <w:u w:val="single" w:color="auto"/>
          <w:color w:val="auto"/>
        </w:rPr>
        <w:t>Liquidation Preference</w:t>
      </w:r>
      <w:r>
        <w:rPr>
          <w:rFonts w:ascii="Arial" w:cs="Arial" w:eastAsia="Arial" w:hAnsi="Arial"/>
          <w:sz w:val="16"/>
          <w:szCs w:val="16"/>
          <w:color w:val="auto"/>
        </w:rPr>
        <w:t>.</w:t>
      </w:r>
    </w:p>
    <w:p>
      <w:pPr>
        <w:spacing w:after="0" w:line="224" w:lineRule="exact"/>
        <w:rPr>
          <w:sz w:val="20"/>
          <w:szCs w:val="20"/>
          <w:color w:val="auto"/>
        </w:rPr>
      </w:pPr>
    </w:p>
    <w:p>
      <w:pPr>
        <w:ind w:left="640" w:firstLine="623"/>
        <w:spacing w:after="0" w:line="279" w:lineRule="auto"/>
        <w:tabs>
          <w:tab w:leader="none" w:pos="194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Upon any liquidation, dissolution or winding up of the Corporation, whether voluntary or involuntary (a “</w:t>
      </w:r>
      <w:r>
        <w:rPr>
          <w:rFonts w:ascii="Arial" w:cs="Arial" w:eastAsia="Arial" w:hAnsi="Arial"/>
          <w:sz w:val="16"/>
          <w:szCs w:val="16"/>
          <w:b w:val="1"/>
          <w:bCs w:val="1"/>
          <w:i w:val="1"/>
          <w:iCs w:val="1"/>
          <w:color w:val="auto"/>
        </w:rPr>
        <w:t>Liquidation</w:t>
      </w:r>
      <w:r>
        <w:rPr>
          <w:rFonts w:ascii="Arial" w:cs="Arial" w:eastAsia="Arial" w:hAnsi="Arial"/>
          <w:sz w:val="16"/>
          <w:szCs w:val="16"/>
          <w:color w:val="auto"/>
        </w:rPr>
        <w:t>”), the Series A Holders will be entitled to receive, out of assets of the Corporation which remain after satisfaction in full of all valid claims of the Corporation’s creditors and which are available for payment to stockholders (and subject to the rights of the holders of any Series A Senior Securities or the holders of shares of the Corporation ranking on a parity with the Series A Preferred Stock in respect of liquidation (“</w:t>
      </w:r>
      <w:r>
        <w:rPr>
          <w:rFonts w:ascii="Arial" w:cs="Arial" w:eastAsia="Arial" w:hAnsi="Arial"/>
          <w:sz w:val="16"/>
          <w:szCs w:val="16"/>
          <w:b w:val="1"/>
          <w:bCs w:val="1"/>
          <w:i w:val="1"/>
          <w:iCs w:val="1"/>
          <w:color w:val="auto"/>
        </w:rPr>
        <w:t>Series A Parity Securities</w:t>
      </w:r>
      <w:r>
        <w:rPr>
          <w:rFonts w:ascii="Arial" w:cs="Arial" w:eastAsia="Arial" w:hAnsi="Arial"/>
          <w:sz w:val="16"/>
          <w:szCs w:val="16"/>
          <w:color w:val="auto"/>
        </w:rPr>
        <w:t>”)), before any amount will be paid to or distributed among the holders of Series A Junior Securities, distributions per share of Series A Preferred Stock in an amount (the “</w:t>
      </w:r>
      <w:r>
        <w:rPr>
          <w:rFonts w:ascii="Arial" w:cs="Arial" w:eastAsia="Arial" w:hAnsi="Arial"/>
          <w:sz w:val="16"/>
          <w:szCs w:val="16"/>
          <w:b w:val="1"/>
          <w:bCs w:val="1"/>
          <w:i w:val="1"/>
          <w:iCs w:val="1"/>
          <w:color w:val="auto"/>
        </w:rPr>
        <w:t>Series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Liquidation Payment</w:t>
      </w:r>
      <w:r>
        <w:rPr>
          <w:rFonts w:ascii="Arial" w:cs="Arial" w:eastAsia="Arial" w:hAnsi="Arial"/>
          <w:sz w:val="16"/>
          <w:szCs w:val="16"/>
          <w:color w:val="auto"/>
        </w:rPr>
        <w:t>”) equal to the sum of (i) $1.50 (subject to adjustment for any stock split, reverse stock split, stock dividend or other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 applicable to the Series A Preferred Stock, the “</w:t>
      </w:r>
      <w:r>
        <w:rPr>
          <w:rFonts w:ascii="Arial" w:cs="Arial" w:eastAsia="Arial" w:hAnsi="Arial"/>
          <w:sz w:val="16"/>
          <w:szCs w:val="16"/>
          <w:b w:val="1"/>
          <w:bCs w:val="1"/>
          <w:i w:val="1"/>
          <w:iCs w:val="1"/>
          <w:color w:val="auto"/>
        </w:rPr>
        <w:t>Series A Purchase Price</w:t>
      </w:r>
      <w:r>
        <w:rPr>
          <w:rFonts w:ascii="Arial" w:cs="Arial" w:eastAsia="Arial" w:hAnsi="Arial"/>
          <w:sz w:val="16"/>
          <w:szCs w:val="16"/>
          <w:color w:val="auto"/>
        </w:rPr>
        <w:t>”) plus (ii) the greater of (A) any dividends declared but unpaid in respect of such share and (B) the Series A Preferential Return (defined below). If upon any Liquidation the Series A Liquidation Payment and any amounts payable in respect of any Series A Parity Securities as to any such distribution are not paid in full, the Series A Holders and the holders of Series A Parity Securities will share ratably in any distribution of assets in proportion to the full respective preferential amounts to which they are entitled.</w:t>
      </w:r>
    </w:p>
    <w:p>
      <w:pPr>
        <w:spacing w:after="0" w:line="168" w:lineRule="exact"/>
        <w:rPr>
          <w:rFonts w:ascii="Arial" w:cs="Arial" w:eastAsia="Arial" w:hAnsi="Arial"/>
          <w:sz w:val="16"/>
          <w:szCs w:val="16"/>
          <w:color w:val="auto"/>
        </w:rPr>
      </w:pPr>
    </w:p>
    <w:p>
      <w:pPr>
        <w:jc w:val="both"/>
        <w:ind w:left="640" w:right="260" w:firstLine="623"/>
        <w:spacing w:after="0" w:line="290" w:lineRule="auto"/>
        <w:tabs>
          <w:tab w:leader="none" w:pos="195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Series A Preferential Return</w:t>
      </w:r>
      <w:r>
        <w:rPr>
          <w:rFonts w:ascii="Arial" w:cs="Arial" w:eastAsia="Arial" w:hAnsi="Arial"/>
          <w:sz w:val="16"/>
          <w:szCs w:val="16"/>
          <w:color w:val="auto"/>
        </w:rPr>
        <w:t>” means an amount equal to the lesser of (i) the Series A Purchase Price and (ii) the amount of simple interest which would have accrued on a hypothetical principal amount equal to the Series A Purchase Price for the period beginning on April 14, 2000 (the “</w:t>
      </w:r>
      <w:r>
        <w:rPr>
          <w:rFonts w:ascii="Arial" w:cs="Arial" w:eastAsia="Arial" w:hAnsi="Arial"/>
          <w:sz w:val="16"/>
          <w:szCs w:val="16"/>
          <w:b w:val="1"/>
          <w:bCs w:val="1"/>
          <w:i w:val="1"/>
          <w:iCs w:val="1"/>
          <w:color w:val="auto"/>
        </w:rPr>
        <w:t>Series A Purchase Date</w:t>
      </w:r>
      <w:r>
        <w:rPr>
          <w:rFonts w:ascii="Arial" w:cs="Arial" w:eastAsia="Arial" w:hAnsi="Arial"/>
          <w:sz w:val="16"/>
          <w:szCs w:val="16"/>
          <w:color w:val="auto"/>
        </w:rPr>
        <w:t>”) and ending on the date of the Liquidation payment at an interest rate for such period equal to the rate announced by Citibank N.A. as its prime rate two business days before the date of the Liquidation payment plus one percent.</w:t>
      </w:r>
    </w:p>
    <w:p>
      <w:pPr>
        <w:spacing w:after="0" w:line="159" w:lineRule="exact"/>
        <w:rPr>
          <w:rFonts w:ascii="Arial" w:cs="Arial" w:eastAsia="Arial" w:hAnsi="Arial"/>
          <w:sz w:val="16"/>
          <w:szCs w:val="16"/>
          <w:color w:val="auto"/>
        </w:rPr>
      </w:pPr>
    </w:p>
    <w:p>
      <w:pPr>
        <w:ind w:left="640" w:right="240" w:firstLine="623"/>
        <w:spacing w:after="0" w:line="322" w:lineRule="auto"/>
        <w:tabs>
          <w:tab w:leader="none" w:pos="194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The Corporation will give written notice of any Liquidation to the Series A Holders, stating the payment date or dates when, and the place or places where, any payments under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will be payable, at least 20 days prior to any payment date stated therein.</w:t>
      </w:r>
    </w:p>
    <w:p>
      <w:pPr>
        <w:spacing w:after="0" w:line="135" w:lineRule="exact"/>
        <w:rPr>
          <w:rFonts w:ascii="Arial" w:cs="Arial" w:eastAsia="Arial" w:hAnsi="Arial"/>
          <w:sz w:val="16"/>
          <w:szCs w:val="16"/>
          <w:color w:val="auto"/>
        </w:rPr>
      </w:pPr>
    </w:p>
    <w:p>
      <w:pPr>
        <w:ind w:left="640" w:right="340" w:firstLine="623"/>
        <w:spacing w:after="0" w:line="273" w:lineRule="auto"/>
        <w:tabs>
          <w:tab w:leader="none" w:pos="1953"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 The voluntary sale, conveyance, exchange or transfer (for cash, shares of stock, securities or other consideration) of all or substantially all of the property or assets of the Corporation or (ii) the merger, consolidation, share exchange or similar transaction of the Corporation with one or more entities (each a “</w:t>
      </w:r>
      <w:r>
        <w:rPr>
          <w:rFonts w:ascii="Arial" w:cs="Arial" w:eastAsia="Arial" w:hAnsi="Arial"/>
          <w:sz w:val="17"/>
          <w:szCs w:val="17"/>
          <w:b w:val="1"/>
          <w:bCs w:val="1"/>
          <w:i w:val="1"/>
          <w:iCs w:val="1"/>
          <w:color w:val="auto"/>
        </w:rPr>
        <w:t>Sale/Merger Transaction</w:t>
      </w:r>
      <w:r>
        <w:rPr>
          <w:rFonts w:ascii="Arial" w:cs="Arial" w:eastAsia="Arial" w:hAnsi="Arial"/>
          <w:sz w:val="17"/>
          <w:szCs w:val="17"/>
          <w:color w:val="auto"/>
        </w:rPr>
        <w:t>”) will be deemed to be a Liquidation.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5.4.</w:t>
      </w:r>
      <w:r>
        <w:rPr>
          <w:sz w:val="20"/>
          <w:szCs w:val="20"/>
          <w:color w:val="auto"/>
        </w:rPr>
        <w:tab/>
      </w:r>
      <w:r>
        <w:rPr>
          <w:rFonts w:ascii="Arial" w:cs="Arial" w:eastAsia="Arial" w:hAnsi="Arial"/>
          <w:sz w:val="16"/>
          <w:szCs w:val="16"/>
          <w:u w:val="single" w:color="auto"/>
          <w:color w:val="auto"/>
        </w:rPr>
        <w:t>Conversion</w:t>
      </w:r>
      <w:r>
        <w:rPr>
          <w:rFonts w:ascii="Arial" w:cs="Arial" w:eastAsia="Arial" w:hAnsi="Arial"/>
          <w:sz w:val="16"/>
          <w:szCs w:val="16"/>
          <w:color w:val="auto"/>
        </w:rPr>
        <w:t>.</w:t>
      </w:r>
    </w:p>
    <w:p>
      <w:pPr>
        <w:spacing w:after="0" w:line="224" w:lineRule="exact"/>
        <w:rPr>
          <w:sz w:val="20"/>
          <w:szCs w:val="20"/>
          <w:color w:val="auto"/>
        </w:rPr>
      </w:pPr>
    </w:p>
    <w:p>
      <w:pPr>
        <w:ind w:left="640" w:right="140" w:firstLine="623"/>
        <w:spacing w:after="0" w:line="263" w:lineRule="auto"/>
        <w:tabs>
          <w:tab w:leader="none" w:pos="1943"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Optional Conversion</w:t>
      </w:r>
      <w:r>
        <w:rPr>
          <w:rFonts w:ascii="Arial" w:cs="Arial" w:eastAsia="Arial" w:hAnsi="Arial"/>
          <w:sz w:val="17"/>
          <w:szCs w:val="17"/>
          <w:color w:val="auto"/>
        </w:rPr>
        <w:t xml:space="preserve">. Subject to and in compliance with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any share of Series A Preferred Stock may, at the option of the holder thereof, be converted at any time and from time to time into a number of shares of Common Stock equal to the then-applicable Series A Conversion Amount (defined below). Each Series A Holder who desires to convert any of its Series A Preferred Stock into Common Stock pursuant to this </w:t>
      </w:r>
      <w:r>
        <w:rPr>
          <w:rFonts w:ascii="Arial" w:cs="Arial" w:eastAsia="Arial" w:hAnsi="Arial"/>
          <w:sz w:val="17"/>
          <w:szCs w:val="17"/>
          <w:u w:val="single" w:color="auto"/>
          <w:color w:val="auto"/>
        </w:rPr>
        <w:t>Section 5.4(a)</w:t>
      </w:r>
      <w:r>
        <w:rPr>
          <w:rFonts w:ascii="Arial" w:cs="Arial" w:eastAsia="Arial" w:hAnsi="Arial"/>
          <w:sz w:val="17"/>
          <w:szCs w:val="17"/>
          <w:color w:val="auto"/>
        </w:rPr>
        <w:t xml:space="preserve"> will surrender the certificate or certificates therefor, duly endorsed, at the office of the Corporation, and will give written notice to the Corporation at such office that such Series A Holder desires to convert such shares. Such notice will state the number of shares of Series A Preferred Stock being converted.</w:t>
      </w:r>
    </w:p>
    <w:p>
      <w:pPr>
        <w:spacing w:after="0" w:line="183" w:lineRule="exact"/>
        <w:rPr>
          <w:rFonts w:ascii="Arial" w:cs="Arial" w:eastAsia="Arial" w:hAnsi="Arial"/>
          <w:sz w:val="17"/>
          <w:szCs w:val="17"/>
          <w:color w:val="auto"/>
        </w:rPr>
      </w:pPr>
    </w:p>
    <w:p>
      <w:pPr>
        <w:ind w:left="640" w:right="60" w:firstLine="623"/>
        <w:spacing w:after="0" w:line="305" w:lineRule="auto"/>
        <w:tabs>
          <w:tab w:leader="none" w:pos="1953" w:val="left"/>
        </w:tabs>
        <w:numPr>
          <w:ilvl w:val="0"/>
          <w:numId w:val="128"/>
        </w:numPr>
        <w:rPr>
          <w:rFonts w:ascii="Arial" w:cs="Arial" w:eastAsia="Arial" w:hAnsi="Arial"/>
          <w:sz w:val="15"/>
          <w:szCs w:val="15"/>
          <w:color w:val="auto"/>
        </w:rPr>
      </w:pPr>
      <w:r>
        <w:rPr>
          <w:rFonts w:ascii="Arial" w:cs="Arial" w:eastAsia="Arial" w:hAnsi="Arial"/>
          <w:sz w:val="15"/>
          <w:szCs w:val="15"/>
          <w:u w:val="single" w:color="auto"/>
          <w:color w:val="auto"/>
        </w:rPr>
        <w:t>Automatic Conversion</w:t>
      </w:r>
      <w:r>
        <w:rPr>
          <w:rFonts w:ascii="Arial" w:cs="Arial" w:eastAsia="Arial" w:hAnsi="Arial"/>
          <w:sz w:val="15"/>
          <w:szCs w:val="15"/>
          <w:color w:val="auto"/>
        </w:rPr>
        <w:t>. Each share of Series A Preferred Stock will automatically be converted into a number of shares of Common Stock equal to the then-applicable Series A Conversion Amount (defined below), simultaneously with the closing of the first underwritten public offering under an effective registration statement under the Securities Act of 1933, as amended, covering the offering and sale of Common Stock for the account of the Corporation on a firm commitment basis for proceeds of at least $30 million (before deduction of underwriting costs, commissions and expenses). Upon the occurrence of an automatic conversion of the Series A Preferred Stock, the Series A Holders will surrender the certificates representing their shares at the office of the Corporation or transfer agent, and the rights, preferences and restrictions of the Series A Preferred Stock will terminate.</w:t>
      </w:r>
    </w:p>
    <w:p>
      <w:pPr>
        <w:spacing w:after="0" w:line="153" w:lineRule="exact"/>
        <w:rPr>
          <w:rFonts w:ascii="Arial" w:cs="Arial" w:eastAsia="Arial" w:hAnsi="Arial"/>
          <w:sz w:val="15"/>
          <w:szCs w:val="15"/>
          <w:color w:val="auto"/>
        </w:rPr>
      </w:pPr>
    </w:p>
    <w:p>
      <w:pPr>
        <w:ind w:left="1940" w:hanging="677"/>
        <w:spacing w:after="0"/>
        <w:tabs>
          <w:tab w:leader="none" w:pos="1940"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Anti-Dilution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2580" w:hanging="687"/>
        <w:spacing w:after="0"/>
        <w:tabs>
          <w:tab w:leader="none" w:pos="2580" w:val="left"/>
        </w:tabs>
        <w:numPr>
          <w:ilvl w:val="1"/>
          <w:numId w:val="128"/>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900" w:right="20" w:firstLine="622"/>
        <w:spacing w:after="0" w:line="279" w:lineRule="auto"/>
        <w:tabs>
          <w:tab w:leader="none" w:pos="3209" w:val="left"/>
        </w:tabs>
        <w:numPr>
          <w:ilvl w:val="2"/>
          <w:numId w:val="1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Additional Common Stock</w:t>
      </w:r>
      <w:r>
        <w:rPr>
          <w:rFonts w:ascii="Arial" w:cs="Arial" w:eastAsia="Arial" w:hAnsi="Arial"/>
          <w:sz w:val="16"/>
          <w:szCs w:val="16"/>
          <w:color w:val="auto"/>
        </w:rPr>
        <w:t xml:space="preserve">” for this </w:t>
      </w:r>
      <w:r>
        <w:rPr>
          <w:rFonts w:ascii="Arial" w:cs="Arial" w:eastAsia="Arial" w:hAnsi="Arial"/>
          <w:sz w:val="16"/>
          <w:szCs w:val="16"/>
          <w:u w:val="single" w:color="auto"/>
          <w:color w:val="auto"/>
        </w:rPr>
        <w:t>ARTICLE FIVE</w:t>
      </w:r>
      <w:r>
        <w:rPr>
          <w:rFonts w:ascii="Arial" w:cs="Arial" w:eastAsia="Arial" w:hAnsi="Arial"/>
          <w:sz w:val="16"/>
          <w:szCs w:val="16"/>
          <w:color w:val="auto"/>
        </w:rPr>
        <w:t xml:space="preserve"> means shares of Common Stock issued by the Corporation or deemed to be issued under this </w:t>
      </w:r>
      <w:r>
        <w:rPr>
          <w:rFonts w:ascii="Arial" w:cs="Arial" w:eastAsia="Arial" w:hAnsi="Arial"/>
          <w:sz w:val="16"/>
          <w:szCs w:val="16"/>
          <w:u w:val="single" w:color="auto"/>
          <w:color w:val="auto"/>
        </w:rPr>
        <w:t>Section 5.4(c)(v)</w:t>
      </w:r>
      <w:r>
        <w:rPr>
          <w:rFonts w:ascii="Arial" w:cs="Arial" w:eastAsia="Arial" w:hAnsi="Arial"/>
          <w:sz w:val="16"/>
          <w:szCs w:val="16"/>
          <w:color w:val="auto"/>
        </w:rPr>
        <w:t>, whether or not subsequently reacquired or retired by the Corporation, other than shares issued (or deemed to be issued) (1) upon conversion of the Series A Preferred Stock; (2) to employees, officers or directors of, or consultants or advisors to, the Corporation or any subsidiary pursuant to stock purchase or stock option plans or other arrangements that are approved by the Board; (3) pursuant to the exercise of options, warrants or convertible securities outstanding as of the Restatement Date; (4) in connection with a Sale/Merger Transaction; (5) pursuant to any equipment leasing arrangement, commercial credit arrangement or debt financing from a bank or similar financial institution; (6) in connection with a transaction that causes an automatic conversion of the Series A Preferred Stock; and (7) for consideration other than cash pursuant to a merger, consolidation, share exchange, acquisition or similar business combination approved by the Board.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right="120" w:firstLine="622"/>
        <w:spacing w:after="0" w:line="273" w:lineRule="auto"/>
        <w:tabs>
          <w:tab w:leader="none" w:pos="3199"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Aggregate Consideration</w:t>
      </w:r>
      <w:r>
        <w:rPr>
          <w:rFonts w:ascii="Arial" w:cs="Arial" w:eastAsia="Arial" w:hAnsi="Arial"/>
          <w:sz w:val="17"/>
          <w:szCs w:val="17"/>
          <w:color w:val="auto"/>
        </w:rPr>
        <w:t xml:space="preserve">” for this </w:t>
      </w:r>
      <w:r>
        <w:rPr>
          <w:rFonts w:ascii="Arial" w:cs="Arial" w:eastAsia="Arial" w:hAnsi="Arial"/>
          <w:sz w:val="17"/>
          <w:szCs w:val="17"/>
          <w:u w:val="single" w:color="auto"/>
          <w:color w:val="auto"/>
        </w:rPr>
        <w:t>ARTICLE FIVE</w:t>
      </w:r>
      <w:r>
        <w:rPr>
          <w:rFonts w:ascii="Arial" w:cs="Arial" w:eastAsia="Arial" w:hAnsi="Arial"/>
          <w:sz w:val="17"/>
          <w:szCs w:val="17"/>
          <w:color w:val="auto"/>
        </w:rPr>
        <w:t xml:space="preserve"> means, for any issuance or sale, or deemed issuance or sale, of Additional Common Stock, the net consideration received by the Corporation, as determined in accordance with United States Generally Accepted Accounting Principles (“</w:t>
      </w:r>
      <w:r>
        <w:rPr>
          <w:rFonts w:ascii="Arial" w:cs="Arial" w:eastAsia="Arial" w:hAnsi="Arial"/>
          <w:sz w:val="17"/>
          <w:szCs w:val="17"/>
          <w:b w:val="1"/>
          <w:bCs w:val="1"/>
          <w:i w:val="1"/>
          <w:iCs w:val="1"/>
          <w:color w:val="auto"/>
        </w:rPr>
        <w:t>GAAP</w:t>
      </w:r>
      <w:r>
        <w:rPr>
          <w:rFonts w:ascii="Arial" w:cs="Arial" w:eastAsia="Arial" w:hAnsi="Arial"/>
          <w:sz w:val="17"/>
          <w:szCs w:val="17"/>
          <w:color w:val="auto"/>
        </w:rPr>
        <w:t>”).</w:t>
      </w:r>
    </w:p>
    <w:p>
      <w:pPr>
        <w:sectPr>
          <w:pgSz w:w="11900" w:h="16838" w:orient="portrait"/>
          <w:cols w:equalWidth="0" w:num="1">
            <w:col w:w="11420"/>
          </w:cols>
          <w:pgMar w:left="240" w:top="127" w:right="239" w:bottom="0" w:gutter="0" w:footer="0" w:header="0"/>
        </w:sectPr>
      </w:pPr>
    </w:p>
    <w:bookmarkStart w:id="200" w:name="page201"/>
    <w:bookmarkEnd w:id="200"/>
    <w:p>
      <w:pPr>
        <w:spacing w:after="0" w:line="38" w:lineRule="exact"/>
        <w:rPr>
          <w:sz w:val="20"/>
          <w:szCs w:val="20"/>
          <w:color w:val="auto"/>
        </w:rPr>
      </w:pPr>
    </w:p>
    <w:p>
      <w:pPr>
        <w:ind w:left="1900" w:right="460" w:firstLine="622"/>
        <w:spacing w:after="0" w:line="289" w:lineRule="auto"/>
        <w:tabs>
          <w:tab w:leader="none" w:pos="3199"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Convertible Securities</w:t>
      </w:r>
      <w:r>
        <w:rPr>
          <w:rFonts w:ascii="Arial" w:cs="Arial" w:eastAsia="Arial" w:hAnsi="Arial"/>
          <w:sz w:val="17"/>
          <w:szCs w:val="17"/>
          <w:color w:val="auto"/>
        </w:rPr>
        <w:t xml:space="preserve">” for this </w:t>
      </w:r>
      <w:r>
        <w:rPr>
          <w:rFonts w:ascii="Arial" w:cs="Arial" w:eastAsia="Arial" w:hAnsi="Arial"/>
          <w:sz w:val="17"/>
          <w:szCs w:val="17"/>
          <w:u w:val="single" w:color="auto"/>
          <w:color w:val="auto"/>
        </w:rPr>
        <w:t>ARTICLE FIVE</w:t>
      </w:r>
      <w:r>
        <w:rPr>
          <w:rFonts w:ascii="Arial" w:cs="Arial" w:eastAsia="Arial" w:hAnsi="Arial"/>
          <w:sz w:val="17"/>
          <w:szCs w:val="17"/>
          <w:color w:val="auto"/>
        </w:rPr>
        <w:t>, means rights or options for the purchase of, or stock or other securities convertible into, Additional Common Stock.</w:t>
      </w:r>
    </w:p>
    <w:p>
      <w:pPr>
        <w:spacing w:after="0" w:line="158" w:lineRule="exact"/>
        <w:rPr>
          <w:rFonts w:ascii="Arial" w:cs="Arial" w:eastAsia="Arial" w:hAnsi="Arial"/>
          <w:sz w:val="17"/>
          <w:szCs w:val="17"/>
          <w:color w:val="auto"/>
        </w:rPr>
      </w:pPr>
    </w:p>
    <w:p>
      <w:pPr>
        <w:ind w:left="1900" w:right="380" w:firstLine="622"/>
        <w:spacing w:after="0" w:line="273" w:lineRule="auto"/>
        <w:tabs>
          <w:tab w:leader="none" w:pos="3209"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Price</w:t>
      </w:r>
      <w:r>
        <w:rPr>
          <w:rFonts w:ascii="Arial" w:cs="Arial" w:eastAsia="Arial" w:hAnsi="Arial"/>
          <w:sz w:val="17"/>
          <w:szCs w:val="17"/>
          <w:color w:val="auto"/>
        </w:rPr>
        <w:t xml:space="preserve">” for this </w:t>
      </w:r>
      <w:r>
        <w:rPr>
          <w:rFonts w:ascii="Arial" w:cs="Arial" w:eastAsia="Arial" w:hAnsi="Arial"/>
          <w:sz w:val="17"/>
          <w:szCs w:val="17"/>
          <w:u w:val="single" w:color="auto"/>
          <w:color w:val="auto"/>
        </w:rPr>
        <w:t>ARTICLE FIVE</w:t>
      </w:r>
      <w:r>
        <w:rPr>
          <w:rFonts w:ascii="Arial" w:cs="Arial" w:eastAsia="Arial" w:hAnsi="Arial"/>
          <w:sz w:val="17"/>
          <w:szCs w:val="17"/>
          <w:color w:val="auto"/>
        </w:rPr>
        <w:t>, means the quotient of (1) the Aggregate Consideration received in an issuance or sale (or deemed issuance or sale) of Additional Common Stock divided by (2) the total number of shares of Additional Common Stock issued or sold (or deemed to have been issued or sold) in such transaction.</w:t>
      </w:r>
    </w:p>
    <w:p>
      <w:pPr>
        <w:spacing w:after="0" w:line="171" w:lineRule="exact"/>
        <w:rPr>
          <w:rFonts w:ascii="Arial" w:cs="Arial" w:eastAsia="Arial" w:hAnsi="Arial"/>
          <w:sz w:val="17"/>
          <w:szCs w:val="17"/>
          <w:color w:val="auto"/>
        </w:rPr>
      </w:pPr>
    </w:p>
    <w:p>
      <w:pPr>
        <w:ind w:left="3220" w:hanging="698"/>
        <w:spacing w:after="0"/>
        <w:tabs>
          <w:tab w:leader="none" w:pos="32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Series A Conversion Amount</w:t>
      </w:r>
      <w:r>
        <w:rPr>
          <w:rFonts w:ascii="Arial" w:cs="Arial" w:eastAsia="Arial" w:hAnsi="Arial"/>
          <w:sz w:val="16"/>
          <w:szCs w:val="16"/>
          <w:color w:val="auto"/>
        </w:rPr>
        <w:t>” means the quotient of (1) the Series A Purchase Price divided by (2) the Series A</w:t>
      </w:r>
    </w:p>
    <w:p>
      <w:pPr>
        <w:spacing w:after="0" w:line="37" w:lineRule="exact"/>
        <w:rPr>
          <w:rFonts w:ascii="Arial" w:cs="Arial" w:eastAsia="Arial" w:hAnsi="Arial"/>
          <w:sz w:val="16"/>
          <w:szCs w:val="16"/>
          <w:color w:val="auto"/>
        </w:rPr>
      </w:pPr>
    </w:p>
    <w:p>
      <w:pPr>
        <w:ind w:left="1900"/>
        <w:spacing w:after="0"/>
        <w:rPr>
          <w:rFonts w:ascii="Arial" w:cs="Arial" w:eastAsia="Arial" w:hAnsi="Arial"/>
          <w:sz w:val="16"/>
          <w:szCs w:val="16"/>
          <w:color w:val="auto"/>
        </w:rPr>
      </w:pPr>
      <w:r>
        <w:rPr>
          <w:rFonts w:ascii="Arial" w:cs="Arial" w:eastAsia="Arial" w:hAnsi="Arial"/>
          <w:sz w:val="17"/>
          <w:szCs w:val="17"/>
          <w:color w:val="auto"/>
        </w:rPr>
        <w:t>Conversion Price.</w:t>
      </w:r>
    </w:p>
    <w:p>
      <w:pPr>
        <w:spacing w:after="0" w:line="212" w:lineRule="exact"/>
        <w:rPr>
          <w:rFonts w:ascii="Arial" w:cs="Arial" w:eastAsia="Arial" w:hAnsi="Arial"/>
          <w:sz w:val="16"/>
          <w:szCs w:val="16"/>
          <w:color w:val="auto"/>
        </w:rPr>
      </w:pPr>
    </w:p>
    <w:p>
      <w:pPr>
        <w:ind w:left="1900" w:right="60" w:firstLine="622"/>
        <w:spacing w:after="0" w:line="273" w:lineRule="auto"/>
        <w:tabs>
          <w:tab w:leader="none" w:pos="322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A Conversion Price</w:t>
      </w:r>
      <w:r>
        <w:rPr>
          <w:rFonts w:ascii="Arial" w:cs="Arial" w:eastAsia="Arial" w:hAnsi="Arial"/>
          <w:sz w:val="17"/>
          <w:szCs w:val="17"/>
          <w:color w:val="auto"/>
        </w:rPr>
        <w:t xml:space="preserve">” means, as of the Restatement Date, $0.47272, and will be adjusted from time to time thereafter in accordance with this </w:t>
      </w:r>
      <w:r>
        <w:rPr>
          <w:rFonts w:ascii="Arial" w:cs="Arial" w:eastAsia="Arial" w:hAnsi="Arial"/>
          <w:sz w:val="17"/>
          <w:szCs w:val="17"/>
          <w:u w:val="single" w:color="auto"/>
          <w:color w:val="auto"/>
        </w:rPr>
        <w:t>Section 5.4(c)</w:t>
      </w:r>
      <w:r>
        <w:rPr>
          <w:rFonts w:ascii="Arial" w:cs="Arial" w:eastAsia="Arial" w:hAnsi="Arial"/>
          <w:sz w:val="17"/>
          <w:szCs w:val="17"/>
          <w:color w:val="auto"/>
        </w:rPr>
        <w:t>. All references to the Series A Conversion Price are to the Series A Conversion Price as so adjusted.</w:t>
      </w:r>
    </w:p>
    <w:p>
      <w:pPr>
        <w:spacing w:after="0" w:line="172" w:lineRule="exact"/>
        <w:rPr>
          <w:sz w:val="20"/>
          <w:szCs w:val="20"/>
          <w:color w:val="auto"/>
        </w:rPr>
      </w:pPr>
    </w:p>
    <w:p>
      <w:pPr>
        <w:ind w:left="1260" w:right="40" w:firstLine="633"/>
        <w:spacing w:after="0" w:line="263" w:lineRule="auto"/>
        <w:tabs>
          <w:tab w:leader="none" w:pos="2583"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Adjustment for Diluting Issues</w:t>
      </w:r>
      <w:r>
        <w:rPr>
          <w:rFonts w:ascii="Arial" w:cs="Arial" w:eastAsia="Arial" w:hAnsi="Arial"/>
          <w:sz w:val="17"/>
          <w:szCs w:val="17"/>
          <w:color w:val="auto"/>
        </w:rPr>
        <w:t xml:space="preserve">. If, at any time or from time to time after the Restatement Date, the Corporation issues or sells, or is deemed by the express provisions of this </w:t>
      </w:r>
      <w:r>
        <w:rPr>
          <w:rFonts w:ascii="Arial" w:cs="Arial" w:eastAsia="Arial" w:hAnsi="Arial"/>
          <w:sz w:val="17"/>
          <w:szCs w:val="17"/>
          <w:u w:val="single" w:color="auto"/>
          <w:color w:val="auto"/>
        </w:rPr>
        <w:t>Section 5.4(c)</w:t>
      </w:r>
      <w:r>
        <w:rPr>
          <w:rFonts w:ascii="Arial" w:cs="Arial" w:eastAsia="Arial" w:hAnsi="Arial"/>
          <w:sz w:val="17"/>
          <w:szCs w:val="17"/>
          <w:color w:val="auto"/>
        </w:rPr>
        <w:t xml:space="preserve"> to have issued or sold, for gross proceeds of at least $200,000, Additional Common Stock (other than (A) as a dividend or other distribution on any class of stock as provided in </w:t>
      </w:r>
      <w:r>
        <w:rPr>
          <w:rFonts w:ascii="Arial" w:cs="Arial" w:eastAsia="Arial" w:hAnsi="Arial"/>
          <w:sz w:val="17"/>
          <w:szCs w:val="17"/>
          <w:u w:val="single" w:color="auto"/>
          <w:color w:val="auto"/>
        </w:rPr>
        <w:t>Section 5.4(c)(iv)</w:t>
      </w:r>
      <w:r>
        <w:rPr>
          <w:rFonts w:ascii="Arial" w:cs="Arial" w:eastAsia="Arial" w:hAnsi="Arial"/>
          <w:sz w:val="17"/>
          <w:szCs w:val="17"/>
          <w:color w:val="auto"/>
        </w:rPr>
        <w:t xml:space="preserve"> or (B) as a subdivision or combination of shares of stock as provided in </w:t>
      </w:r>
      <w:r>
        <w:rPr>
          <w:rFonts w:ascii="Arial" w:cs="Arial" w:eastAsia="Arial" w:hAnsi="Arial"/>
          <w:sz w:val="17"/>
          <w:szCs w:val="17"/>
          <w:u w:val="single" w:color="auto"/>
          <w:color w:val="auto"/>
        </w:rPr>
        <w:t>Section 5.4(c)(iii)</w:t>
      </w:r>
      <w:r>
        <w:rPr>
          <w:rFonts w:ascii="Arial" w:cs="Arial" w:eastAsia="Arial" w:hAnsi="Arial"/>
          <w:sz w:val="17"/>
          <w:szCs w:val="17"/>
          <w:color w:val="auto"/>
        </w:rPr>
        <w:t>) for an Effective Price less than the then-effective Series A Conversion Price, then and in each such case the then-existing Series A Conversion Price will be reduced, as of the opening of business on the date of such issue or sale, by multiplying it by the number determined by the following formula:</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(X+Y) / (X+Z), where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20" w:type="dxa"/>
            <w:vAlign w:val="bottom"/>
          </w:tcPr>
          <w:p>
            <w:pPr>
              <w:ind w:left="1260"/>
              <w:spacing w:after="0"/>
              <w:rPr>
                <w:sz w:val="20"/>
                <w:szCs w:val="20"/>
                <w:color w:val="auto"/>
              </w:rPr>
            </w:pPr>
            <w:r>
              <w:rPr>
                <w:rFonts w:ascii="Arial" w:cs="Arial" w:eastAsia="Arial" w:hAnsi="Arial"/>
                <w:sz w:val="17"/>
                <w:szCs w:val="17"/>
                <w:color w:val="auto"/>
              </w:rPr>
              <w:t>X=</w:t>
            </w:r>
          </w:p>
        </w:tc>
        <w:tc>
          <w:tcPr>
            <w:tcW w:w="9840" w:type="dxa"/>
            <w:vAlign w:val="bottom"/>
            <w:gridSpan w:val="5"/>
          </w:tcPr>
          <w:p>
            <w:pPr>
              <w:ind w:left="160"/>
              <w:spacing w:after="0"/>
              <w:rPr>
                <w:sz w:val="20"/>
                <w:szCs w:val="20"/>
                <w:color w:val="auto"/>
              </w:rPr>
            </w:pPr>
            <w:r>
              <w:rPr>
                <w:rFonts w:ascii="Arial" w:cs="Arial" w:eastAsia="Arial" w:hAnsi="Arial"/>
                <w:sz w:val="17"/>
                <w:szCs w:val="17"/>
                <w:color w:val="auto"/>
                <w:w w:val="95"/>
              </w:rPr>
              <w:t>the total number of shares of Common Stock issued and outstanding, or deemed to be issued and outstanding under Section 5.4(c)(v),</w:t>
            </w:r>
          </w:p>
        </w:tc>
      </w:tr>
      <w:tr>
        <w:trPr>
          <w:trHeight w:val="229"/>
        </w:trPr>
        <w:tc>
          <w:tcPr>
            <w:tcW w:w="1620" w:type="dxa"/>
            <w:vAlign w:val="bottom"/>
          </w:tcPr>
          <w:p>
            <w:pPr>
              <w:spacing w:after="0"/>
              <w:rPr>
                <w:sz w:val="19"/>
                <w:szCs w:val="19"/>
                <w:color w:val="auto"/>
              </w:rPr>
            </w:pPr>
          </w:p>
        </w:tc>
        <w:tc>
          <w:tcPr>
            <w:tcW w:w="8260" w:type="dxa"/>
            <w:vAlign w:val="bottom"/>
            <w:gridSpan w:val="3"/>
          </w:tcPr>
          <w:p>
            <w:pPr>
              <w:ind w:left="140"/>
              <w:spacing w:after="0"/>
              <w:rPr>
                <w:sz w:val="20"/>
                <w:szCs w:val="20"/>
                <w:color w:val="auto"/>
              </w:rPr>
            </w:pPr>
            <w:r>
              <w:rPr>
                <w:rFonts w:ascii="Arial" w:cs="Arial" w:eastAsia="Arial" w:hAnsi="Arial"/>
                <w:sz w:val="17"/>
                <w:szCs w:val="17"/>
                <w:color w:val="auto"/>
              </w:rPr>
              <w:t>immediately prior to the time of such issuance or sale;</w:t>
            </w:r>
          </w:p>
        </w:tc>
        <w:tc>
          <w:tcPr>
            <w:tcW w:w="11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r>
        <w:trPr>
          <w:trHeight w:val="408"/>
        </w:trPr>
        <w:tc>
          <w:tcPr>
            <w:tcW w:w="1620" w:type="dxa"/>
            <w:vAlign w:val="bottom"/>
          </w:tcPr>
          <w:p>
            <w:pPr>
              <w:ind w:left="1260"/>
              <w:spacing w:after="0"/>
              <w:rPr>
                <w:sz w:val="20"/>
                <w:szCs w:val="20"/>
                <w:color w:val="auto"/>
              </w:rPr>
            </w:pPr>
            <w:r>
              <w:rPr>
                <w:rFonts w:ascii="Arial" w:cs="Arial" w:eastAsia="Arial" w:hAnsi="Arial"/>
                <w:sz w:val="17"/>
                <w:szCs w:val="17"/>
                <w:color w:val="auto"/>
              </w:rPr>
              <w:t>Y=</w:t>
            </w:r>
          </w:p>
        </w:tc>
        <w:tc>
          <w:tcPr>
            <w:tcW w:w="9840" w:type="dxa"/>
            <w:vAlign w:val="bottom"/>
            <w:gridSpan w:val="5"/>
          </w:tcPr>
          <w:p>
            <w:pPr>
              <w:ind w:left="160"/>
              <w:spacing w:after="0"/>
              <w:rPr>
                <w:sz w:val="20"/>
                <w:szCs w:val="20"/>
                <w:color w:val="auto"/>
              </w:rPr>
            </w:pPr>
            <w:r>
              <w:rPr>
                <w:rFonts w:ascii="Arial" w:cs="Arial" w:eastAsia="Arial" w:hAnsi="Arial"/>
                <w:sz w:val="17"/>
                <w:szCs w:val="17"/>
                <w:color w:val="auto"/>
                <w:w w:val="92"/>
              </w:rPr>
              <w:t>the number of shares of Common Stock that could have been purchased for the Aggregate Consideration at the Series A Conversion Price</w:t>
            </w:r>
          </w:p>
        </w:tc>
      </w:tr>
      <w:tr>
        <w:trPr>
          <w:trHeight w:val="222"/>
        </w:trPr>
        <w:tc>
          <w:tcPr>
            <w:tcW w:w="1620" w:type="dxa"/>
            <w:vAlign w:val="bottom"/>
          </w:tcPr>
          <w:p>
            <w:pPr>
              <w:spacing w:after="0"/>
              <w:rPr>
                <w:sz w:val="19"/>
                <w:szCs w:val="19"/>
                <w:color w:val="auto"/>
              </w:rPr>
            </w:pPr>
          </w:p>
        </w:tc>
        <w:tc>
          <w:tcPr>
            <w:tcW w:w="9840" w:type="dxa"/>
            <w:vAlign w:val="bottom"/>
            <w:gridSpan w:val="5"/>
          </w:tcPr>
          <w:p>
            <w:pPr>
              <w:ind w:left="140"/>
              <w:spacing w:after="0"/>
              <w:rPr>
                <w:sz w:val="20"/>
                <w:szCs w:val="20"/>
                <w:color w:val="auto"/>
              </w:rPr>
            </w:pPr>
            <w:r>
              <w:rPr>
                <w:rFonts w:ascii="Arial" w:cs="Arial" w:eastAsia="Arial" w:hAnsi="Arial"/>
                <w:sz w:val="17"/>
                <w:szCs w:val="17"/>
                <w:color w:val="auto"/>
              </w:rPr>
              <w:t>in effect immediately prior to such reduction; and</w:t>
            </w:r>
          </w:p>
        </w:tc>
      </w:tr>
      <w:tr>
        <w:trPr>
          <w:trHeight w:val="381"/>
        </w:trPr>
        <w:tc>
          <w:tcPr>
            <w:tcW w:w="1620" w:type="dxa"/>
            <w:vAlign w:val="bottom"/>
          </w:tcPr>
          <w:p>
            <w:pPr>
              <w:ind w:left="1260"/>
              <w:spacing w:after="0"/>
              <w:rPr>
                <w:sz w:val="20"/>
                <w:szCs w:val="20"/>
                <w:color w:val="auto"/>
              </w:rPr>
            </w:pPr>
            <w:r>
              <w:rPr>
                <w:rFonts w:ascii="Arial" w:cs="Arial" w:eastAsia="Arial" w:hAnsi="Arial"/>
                <w:sz w:val="17"/>
                <w:szCs w:val="17"/>
                <w:color w:val="auto"/>
              </w:rPr>
              <w:t>Z=</w:t>
            </w:r>
          </w:p>
        </w:tc>
        <w:tc>
          <w:tcPr>
            <w:tcW w:w="9840" w:type="dxa"/>
            <w:vAlign w:val="bottom"/>
            <w:gridSpan w:val="5"/>
          </w:tcPr>
          <w:p>
            <w:pPr>
              <w:ind w:left="160"/>
              <w:spacing w:after="0"/>
              <w:rPr>
                <w:sz w:val="20"/>
                <w:szCs w:val="20"/>
                <w:color w:val="auto"/>
              </w:rPr>
            </w:pPr>
            <w:r>
              <w:rPr>
                <w:rFonts w:ascii="Arial" w:cs="Arial" w:eastAsia="Arial" w:hAnsi="Arial"/>
                <w:sz w:val="17"/>
                <w:szCs w:val="17"/>
                <w:color w:val="auto"/>
                <w:w w:val="94"/>
              </w:rPr>
              <w:t>the number of shares of Common Stock issued or sold, or deemed to be issued or sold under Section 5.4(c)(v), in such issuance or sale.</w:t>
            </w:r>
          </w:p>
        </w:tc>
      </w:tr>
      <w:tr>
        <w:trPr>
          <w:trHeight w:val="438"/>
        </w:trPr>
        <w:tc>
          <w:tcPr>
            <w:tcW w:w="1620" w:type="dxa"/>
            <w:vAlign w:val="bottom"/>
          </w:tcPr>
          <w:p>
            <w:pPr>
              <w:spacing w:after="0"/>
              <w:rPr>
                <w:sz w:val="24"/>
                <w:szCs w:val="24"/>
                <w:color w:val="auto"/>
              </w:rPr>
            </w:pPr>
          </w:p>
        </w:tc>
        <w:tc>
          <w:tcPr>
            <w:tcW w:w="6640" w:type="dxa"/>
            <w:vAlign w:val="bottom"/>
          </w:tcPr>
          <w:p>
            <w:pPr>
              <w:ind w:left="4060"/>
              <w:spacing w:after="0"/>
              <w:rPr>
                <w:sz w:val="20"/>
                <w:szCs w:val="20"/>
                <w:color w:val="auto"/>
              </w:rPr>
            </w:pPr>
            <w:r>
              <w:rPr>
                <w:rFonts w:ascii="Arial" w:cs="Arial" w:eastAsia="Arial" w:hAnsi="Arial"/>
                <w:sz w:val="17"/>
                <w:szCs w:val="17"/>
                <w:color w:val="auto"/>
              </w:rPr>
              <w:t>5</w:t>
            </w:r>
          </w:p>
        </w:tc>
        <w:tc>
          <w:tcPr>
            <w:tcW w:w="11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8"/>
        </w:trPr>
        <w:tc>
          <w:tcPr>
            <w:tcW w:w="1620" w:type="dxa"/>
            <w:vAlign w:val="bottom"/>
            <w:tcBorders>
              <w:bottom w:val="single" w:sz="8" w:color="010101"/>
            </w:tcBorders>
          </w:tcPr>
          <w:p>
            <w:pPr>
              <w:spacing w:after="0"/>
              <w:rPr>
                <w:sz w:val="11"/>
                <w:szCs w:val="11"/>
                <w:color w:val="auto"/>
              </w:rPr>
            </w:pPr>
          </w:p>
        </w:tc>
        <w:tc>
          <w:tcPr>
            <w:tcW w:w="664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60" w:right="160" w:firstLine="633"/>
        <w:spacing w:after="0" w:line="262" w:lineRule="auto"/>
        <w:tabs>
          <w:tab w:leader="none" w:pos="2588"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Adjustment for Stock Splits and Combinations</w:t>
      </w:r>
      <w:r>
        <w:rPr>
          <w:rFonts w:ascii="Arial" w:cs="Arial" w:eastAsia="Arial" w:hAnsi="Arial"/>
          <w:sz w:val="17"/>
          <w:szCs w:val="17"/>
          <w:color w:val="auto"/>
        </w:rPr>
        <w:t xml:space="preserve">. If the Corporation at any time or from time to time after the Restatement Date effects a subdivision of the outstanding Common Stock without a corresponding subdivision of the Series A Preferred Stock, the Series A Conversion Price in effect immediately before that subdivision will be proportionately decreased. Conversely, if the Corporation at any time or from time to time after the Restatement Date combines the outstanding shares of Common Stock into a smaller number of shares without a corresponding combination of the Series A Preferred Stock, the Series A Conversion Price in effect immediately before the combination will be proportionately increased. Any adjustment under this </w:t>
      </w:r>
      <w:r>
        <w:rPr>
          <w:rFonts w:ascii="Arial" w:cs="Arial" w:eastAsia="Arial" w:hAnsi="Arial"/>
          <w:sz w:val="17"/>
          <w:szCs w:val="17"/>
          <w:u w:val="single" w:color="auto"/>
          <w:color w:val="auto"/>
        </w:rPr>
        <w:t>Section 5.4(c)(iii)</w:t>
      </w:r>
      <w:r>
        <w:rPr>
          <w:rFonts w:ascii="Arial" w:cs="Arial" w:eastAsia="Arial" w:hAnsi="Arial"/>
          <w:sz w:val="17"/>
          <w:szCs w:val="17"/>
          <w:color w:val="auto"/>
        </w:rPr>
        <w:t xml:space="preserve"> will become effective at the close of business on the date the subdivision or combination becomes effective.</w:t>
      </w:r>
    </w:p>
    <w:p>
      <w:pPr>
        <w:spacing w:after="0" w:line="184" w:lineRule="exact"/>
        <w:rPr>
          <w:rFonts w:ascii="Arial" w:cs="Arial" w:eastAsia="Arial" w:hAnsi="Arial"/>
          <w:sz w:val="17"/>
          <w:szCs w:val="17"/>
          <w:color w:val="auto"/>
        </w:rPr>
      </w:pPr>
    </w:p>
    <w:p>
      <w:pPr>
        <w:ind w:left="1260" w:right="60" w:firstLine="633"/>
        <w:spacing w:after="0" w:line="265" w:lineRule="auto"/>
        <w:tabs>
          <w:tab w:leader="none" w:pos="2578"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Adjustment for Common Stock Dividends and Distributions</w:t>
      </w:r>
      <w:r>
        <w:rPr>
          <w:rFonts w:ascii="Arial" w:cs="Arial" w:eastAsia="Arial" w:hAnsi="Arial"/>
          <w:sz w:val="17"/>
          <w:szCs w:val="17"/>
          <w:color w:val="auto"/>
        </w:rPr>
        <w:t>. If the Corporation at any time or from time to time after the Restatement Date makes, or fixes a record date for the determination of holders of Common Stock entitled to receive, a dividend or other distribution payable in additional shares of Common Stock, in each such event the Series A Conversion Price that is then in effect will be decreased as of the time of such issuance or, in the event such record date is fixed, as of the close of business on such record date, by multiplying the Series A Conversion Price then in effect by the result of the following formula:</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X / (Y+Z), where</w:t>
      </w:r>
    </w:p>
    <w:p>
      <w:pPr>
        <w:spacing w:after="0" w:line="224" w:lineRule="exact"/>
        <w:rPr>
          <w:sz w:val="20"/>
          <w:szCs w:val="20"/>
          <w:color w:val="auto"/>
        </w:rPr>
      </w:pPr>
    </w:p>
    <w:p>
      <w:pPr>
        <w:ind w:left="1760" w:right="580" w:hanging="502"/>
        <w:spacing w:after="0" w:line="289" w:lineRule="auto"/>
        <w:tabs>
          <w:tab w:leader="none" w:pos="1740" w:val="left"/>
        </w:tabs>
        <w:rPr>
          <w:sz w:val="20"/>
          <w:szCs w:val="20"/>
          <w:color w:val="auto"/>
        </w:rPr>
      </w:pPr>
      <w:r>
        <w:rPr>
          <w:rFonts w:ascii="Arial" w:cs="Arial" w:eastAsia="Arial" w:hAnsi="Arial"/>
          <w:sz w:val="17"/>
          <w:szCs w:val="17"/>
          <w:color w:val="auto"/>
        </w:rPr>
        <w:t>X =</w:t>
        <w:tab/>
        <w:t>the total number of shares of Common Stock issued and outstanding immediately prior to the time of such issuance or the close of business on such record date;</w:t>
      </w:r>
    </w:p>
    <w:p>
      <w:pPr>
        <w:spacing w:after="0" w:line="158" w:lineRule="exact"/>
        <w:rPr>
          <w:sz w:val="20"/>
          <w:szCs w:val="20"/>
          <w:color w:val="auto"/>
        </w:rPr>
      </w:pPr>
    </w:p>
    <w:p>
      <w:pPr>
        <w:ind w:left="1760" w:right="580" w:hanging="502"/>
        <w:spacing w:after="0" w:line="289" w:lineRule="auto"/>
        <w:tabs>
          <w:tab w:leader="none" w:pos="1740" w:val="left"/>
        </w:tabs>
        <w:rPr>
          <w:sz w:val="20"/>
          <w:szCs w:val="20"/>
          <w:color w:val="auto"/>
        </w:rPr>
      </w:pPr>
      <w:r>
        <w:rPr>
          <w:rFonts w:ascii="Arial" w:cs="Arial" w:eastAsia="Arial" w:hAnsi="Arial"/>
          <w:sz w:val="17"/>
          <w:szCs w:val="17"/>
          <w:color w:val="auto"/>
        </w:rPr>
        <w:t>Y =</w:t>
        <w:tab/>
        <w:t>the total number of shares of Common Stock issued and outstanding immediately prior to the time of such issuance or the close of business on such record date; and</w:t>
      </w:r>
    </w:p>
    <w:p>
      <w:pPr>
        <w:spacing w:after="0" w:line="158"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7"/>
          <w:szCs w:val="17"/>
          <w:color w:val="auto"/>
        </w:rPr>
        <w:t>Z =</w:t>
      </w:r>
      <w:r>
        <w:rPr>
          <w:sz w:val="20"/>
          <w:szCs w:val="20"/>
          <w:color w:val="auto"/>
        </w:rPr>
        <w:tab/>
      </w:r>
      <w:r>
        <w:rPr>
          <w:rFonts w:ascii="Arial" w:cs="Arial" w:eastAsia="Arial" w:hAnsi="Arial"/>
          <w:sz w:val="15"/>
          <w:szCs w:val="15"/>
          <w:color w:val="auto"/>
        </w:rPr>
        <w:t>the number of shares of Common Stock issuable in payment of such dividend or distribution;</w:t>
      </w:r>
    </w:p>
    <w:p>
      <w:pPr>
        <w:spacing w:after="0" w:line="224" w:lineRule="exact"/>
        <w:rPr>
          <w:sz w:val="20"/>
          <w:szCs w:val="20"/>
          <w:color w:val="auto"/>
        </w:rPr>
      </w:pPr>
    </w:p>
    <w:p>
      <w:pPr>
        <w:ind w:left="1260" w:right="40"/>
        <w:spacing w:after="0" w:line="298" w:lineRule="auto"/>
        <w:rPr>
          <w:sz w:val="20"/>
          <w:szCs w:val="20"/>
          <w:color w:val="auto"/>
        </w:rPr>
      </w:pPr>
      <w:r>
        <w:rPr>
          <w:rFonts w:ascii="Arial" w:cs="Arial" w:eastAsia="Arial" w:hAnsi="Arial"/>
          <w:sz w:val="16"/>
          <w:szCs w:val="16"/>
          <w:color w:val="auto"/>
        </w:rPr>
        <w:t xml:space="preserve">provided, however, that if such record date is fixed and such dividend is not fully paid or if such distribution is not fully made on the date fixed therefor, the Series A Conversion Price will be recomputed accordingly as of the close of business on such record date and thereafter the Series A Conversion Price will be adjusted pursuant to this </w:t>
      </w:r>
      <w:r>
        <w:rPr>
          <w:rFonts w:ascii="Arial" w:cs="Arial" w:eastAsia="Arial" w:hAnsi="Arial"/>
          <w:sz w:val="16"/>
          <w:szCs w:val="16"/>
          <w:u w:val="single" w:color="auto"/>
          <w:color w:val="auto"/>
        </w:rPr>
        <w:t>Section 5.4(c)(iv)</w:t>
      </w:r>
      <w:r>
        <w:rPr>
          <w:rFonts w:ascii="Arial" w:cs="Arial" w:eastAsia="Arial" w:hAnsi="Arial"/>
          <w:sz w:val="16"/>
          <w:szCs w:val="16"/>
          <w:color w:val="auto"/>
        </w:rPr>
        <w:t xml:space="preserve"> to reflect the actual payment of such dividend or distribution.</w:t>
      </w:r>
    </w:p>
    <w:p>
      <w:pPr>
        <w:spacing w:after="0" w:line="154" w:lineRule="exact"/>
        <w:rPr>
          <w:sz w:val="20"/>
          <w:szCs w:val="20"/>
          <w:color w:val="auto"/>
        </w:rPr>
      </w:pPr>
    </w:p>
    <w:p>
      <w:pPr>
        <w:jc w:val="both"/>
        <w:ind w:left="1260" w:right="120" w:firstLine="633"/>
        <w:spacing w:after="0" w:line="290" w:lineRule="auto"/>
        <w:tabs>
          <w:tab w:leader="none" w:pos="2573"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Deemed Issuances or Sales</w:t>
      </w:r>
      <w:r>
        <w:rPr>
          <w:rFonts w:ascii="Arial" w:cs="Arial" w:eastAsia="Arial" w:hAnsi="Arial"/>
          <w:sz w:val="16"/>
          <w:szCs w:val="16"/>
          <w:color w:val="auto"/>
        </w:rPr>
        <w:t>. If the Corporation issues or sells any Convertible Securities after the Restatement Date and if the Effective Price of the Additional Common Stock underlying such Convertible Securities is less than the Series A Conversion Price, in each such case the Corporation will be deemed to have issued at the time of the issuance of such Convertible Securities the maximum number of shares of Additional Common Stock issuable upon exercise or conversion thereof and to have received as consideration for the issuance of</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100"/>
        <w:spacing w:after="0" w:line="305" w:lineRule="auto"/>
        <w:rPr>
          <w:sz w:val="20"/>
          <w:szCs w:val="20"/>
          <w:color w:val="auto"/>
        </w:rPr>
      </w:pPr>
      <w:r>
        <w:rPr>
          <w:rFonts w:ascii="Arial" w:cs="Arial" w:eastAsia="Arial" w:hAnsi="Arial"/>
          <w:sz w:val="15"/>
          <w:szCs w:val="15"/>
          <w:color w:val="auto"/>
        </w:rPr>
        <w:t>such shares an amount equal to the Aggregate Consideration, if any, received by the Corporation for the issuance of such Convertible Securities, plus, in the case of such rights or options, the minimum amounts of Aggregate Consideration, if any, payable to the Corporation upon the exercise or conversion of such Convertible Securities (other than by cancellation of liabilities or obligations evidenced by such Convertible Securities) upon the conversion thereof; provided, that, if the minimum amount of Aggregate Consideration payable to the Corporation upon the exercise or conversion of Convertible Securities is reduced over time or on the occurrence or non-occurrence of specified events other than by reason of anti-dilution adjustments, the Effective Price will be recalculated at such time using the figure to which such minimum amount of</w:t>
      </w:r>
    </w:p>
    <w:p>
      <w:pPr>
        <w:sectPr>
          <w:pgSz w:w="11900" w:h="16876" w:orient="portrait"/>
          <w:cols w:equalWidth="0" w:num="1">
            <w:col w:w="11460"/>
          </w:cols>
          <w:pgMar w:left="240" w:top="127" w:right="199" w:bottom="0" w:gutter="0" w:footer="0" w:header="0"/>
        </w:sectPr>
      </w:pPr>
    </w:p>
    <w:bookmarkStart w:id="201" w:name="page202"/>
    <w:bookmarkEnd w:id="201"/>
    <w:p>
      <w:pPr>
        <w:spacing w:after="0" w:line="79" w:lineRule="exact"/>
        <w:rPr>
          <w:sz w:val="20"/>
          <w:szCs w:val="20"/>
          <w:color w:val="auto"/>
        </w:rPr>
      </w:pPr>
    </w:p>
    <w:p>
      <w:pPr>
        <w:ind w:left="620" w:right="40"/>
        <w:spacing w:after="0" w:line="262" w:lineRule="auto"/>
        <w:rPr>
          <w:sz w:val="20"/>
          <w:szCs w:val="20"/>
          <w:color w:val="auto"/>
        </w:rPr>
      </w:pPr>
      <w:r>
        <w:rPr>
          <w:rFonts w:ascii="Arial" w:cs="Arial" w:eastAsia="Arial" w:hAnsi="Arial"/>
          <w:sz w:val="17"/>
          <w:szCs w:val="17"/>
          <w:color w:val="auto"/>
        </w:rPr>
        <w:t>Aggregate Consideration is reduced; provided further, that if the minimum amount of Aggregate Consideration payable to the Corporation upon the exercise or conversion of such Convertible Securities is subsequently increased, the Effective Price will be again recalculated using the increased minimum amount of Aggregate Consideration payable to the Corporation upon the exercise or conversion of such Convertible Securities. No further adjustment of the Series A Conversion Price, as adjusted upon the issuance of such Convertible Securities, will be made as a result of the actual issuance of shares of Additional Common Stock on the exercise or conversion of any such Convertible Securities. If any Convertible Securities outstanding (including those outstanding as of the Restatement Date) expire without having been exercised or converted, the Series A Conversion Price will be adjusted to the Series A Conversion Price which would have been in effect absent the issuance of such expired Convertible Securities.</w:t>
      </w:r>
    </w:p>
    <w:p>
      <w:pPr>
        <w:spacing w:after="0" w:line="181" w:lineRule="exact"/>
        <w:rPr>
          <w:sz w:val="20"/>
          <w:szCs w:val="20"/>
          <w:color w:val="auto"/>
        </w:rPr>
      </w:pPr>
    </w:p>
    <w:p>
      <w:pPr>
        <w:ind w:right="60" w:firstLine="623"/>
        <w:spacing w:after="0" w:line="278" w:lineRule="auto"/>
        <w:tabs>
          <w:tab w:leader="none" w:pos="1313"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Issuance of Certificates; Time Conversion Effected</w:t>
      </w:r>
      <w:r>
        <w:rPr>
          <w:rFonts w:ascii="Arial" w:cs="Arial" w:eastAsia="Arial" w:hAnsi="Arial"/>
          <w:sz w:val="16"/>
          <w:szCs w:val="16"/>
          <w:color w:val="auto"/>
        </w:rPr>
        <w:t>. Promptly after the automatic conversion and surrender of the certificate or certificates for the share or shares of Series A Preferred Stock to be converted, the Corporation will issue and deliver, or cause to be issued and delivered, to the holder thereof, registered in such name or names as such holder may direct, a certificate or certificates for the number of whole shares of Common Stock issuable upon the conversion of such share or shares of Series A Preferred Stock, unless and to the extent the Board adopts a resolution providing that the Common Stock or Series A Preferred Stock shall be uncertificated or registered in book entry form. With respect to an automatic conversion, effective immediately upon such conversion, regardless of whether the certificate or certificates for such share or shares shall have been surrendered, the rights of the holder of such share or shares of Series A Preferred Stock will cease, and the person(s) in whose name or names any certificate, certificates or book entry for shares of Common Stock issued upon such conversion will be deemed to have become the holder or holders of record of the shares represented thereby. With respect to an optional conversion, the certificate or certificates for such converted share or shares will have been surrendered as aforesaid, and at such time the rights of the holder of such converted share or shares of Series A Preferred Stock will cease, and the person(s) in whose name or names any certificate or certificates for shares of Common Stock (or Series A Preferred Stock, as applicable) will be issuable upon such conversion will be deemed to have become the holder or holders of record of the shares represented thereby.</w:t>
      </w:r>
    </w:p>
    <w:p>
      <w:pPr>
        <w:spacing w:after="0" w:line="169"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23"/>
        <w:spacing w:after="0" w:line="273" w:lineRule="auto"/>
        <w:tabs>
          <w:tab w:leader="none" w:pos="1303"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Fractional Shares; Dividends; Partial Conversion</w:t>
      </w:r>
      <w:r>
        <w:rPr>
          <w:rFonts w:ascii="Arial" w:cs="Arial" w:eastAsia="Arial" w:hAnsi="Arial"/>
          <w:sz w:val="17"/>
          <w:szCs w:val="17"/>
          <w:color w:val="auto"/>
        </w:rPr>
        <w:t>. No fractional shares will be issued upon conversion of Series A Preferred Stock into Common Stock and no payment or adjustment will be made upon any conversion on account of any cash dividends on the Common Stock issued upon conversion.</w:t>
      </w:r>
    </w:p>
    <w:p>
      <w:pPr>
        <w:spacing w:after="0" w:line="171" w:lineRule="exact"/>
        <w:rPr>
          <w:rFonts w:ascii="Arial" w:cs="Arial" w:eastAsia="Arial" w:hAnsi="Arial"/>
          <w:sz w:val="17"/>
          <w:szCs w:val="17"/>
          <w:color w:val="auto"/>
        </w:rPr>
      </w:pPr>
    </w:p>
    <w:p>
      <w:pPr>
        <w:ind w:right="20" w:firstLine="623"/>
        <w:spacing w:after="0" w:line="263" w:lineRule="auto"/>
        <w:tabs>
          <w:tab w:leader="none" w:pos="1328"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Stock to be Reserved</w:t>
      </w:r>
      <w:r>
        <w:rPr>
          <w:rFonts w:ascii="Arial" w:cs="Arial" w:eastAsia="Arial" w:hAnsi="Arial"/>
          <w:sz w:val="17"/>
          <w:szCs w:val="17"/>
          <w:color w:val="auto"/>
        </w:rPr>
        <w:t>. The Corporation will at all times reserve and keep available out of its authorized Common Stock, solely for the purpose of issuance upon the conversion of Series A Preferred Stock as herein provided, such number of shares of Common Stock as are then issuable upon the conversion of all outstanding shares of Series A Preferred Stock. All shares of Common Stock so issued will be duly and validly issued and fully paid and nonassessable. The Corporation will take all reasonable actions as may be necessary to assure that all such shares of Common Stock may be so issued without violation of any applicable law or regulation, or of any requirement of any national securities exchange upon which the Common Stock may be listed.</w:t>
      </w:r>
    </w:p>
    <w:p>
      <w:pPr>
        <w:spacing w:after="0" w:line="183" w:lineRule="exact"/>
        <w:rPr>
          <w:rFonts w:ascii="Arial" w:cs="Arial" w:eastAsia="Arial" w:hAnsi="Arial"/>
          <w:sz w:val="17"/>
          <w:szCs w:val="17"/>
          <w:color w:val="auto"/>
        </w:rPr>
      </w:pPr>
    </w:p>
    <w:p>
      <w:pPr>
        <w:ind w:right="360" w:firstLine="623"/>
        <w:spacing w:after="0" w:line="273" w:lineRule="auto"/>
        <w:tabs>
          <w:tab w:leader="none" w:pos="1313"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No Reissuance of Series A Preferred Stock</w:t>
      </w:r>
      <w:r>
        <w:rPr>
          <w:rFonts w:ascii="Arial" w:cs="Arial" w:eastAsia="Arial" w:hAnsi="Arial"/>
          <w:sz w:val="17"/>
          <w:szCs w:val="17"/>
          <w:color w:val="auto"/>
        </w:rPr>
        <w:t>. Shares of Series A Preferred Stock that are converted into shares of Common Stock as provided herein will not be reissued as Series A Preferred Stock but will be generally available to be reissued pursuant to a separate statement of resolution adopted by the Board.</w:t>
      </w:r>
    </w:p>
    <w:p>
      <w:pPr>
        <w:spacing w:after="0" w:line="171" w:lineRule="exact"/>
        <w:rPr>
          <w:rFonts w:ascii="Arial" w:cs="Arial" w:eastAsia="Arial" w:hAnsi="Arial"/>
          <w:sz w:val="17"/>
          <w:szCs w:val="17"/>
          <w:color w:val="auto"/>
        </w:rPr>
      </w:pPr>
    </w:p>
    <w:p>
      <w:pPr>
        <w:ind w:right="80" w:firstLine="623"/>
        <w:spacing w:after="0" w:line="268" w:lineRule="auto"/>
        <w:tabs>
          <w:tab w:leader="none" w:pos="1313"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Issue Tax</w:t>
      </w:r>
      <w:r>
        <w:rPr>
          <w:rFonts w:ascii="Arial" w:cs="Arial" w:eastAsia="Arial" w:hAnsi="Arial"/>
          <w:sz w:val="17"/>
          <w:szCs w:val="17"/>
          <w:color w:val="auto"/>
        </w:rPr>
        <w:t>. The issuance of certificates for shares of Common Stock upon conversion of Series A Preferred Stock will be made without charge to the holders thereof for any issuance tax in respect thereof, provided that the Corporation will not be required to pay any tax which may be payable in respect of any transfer involved in the issuance and delivery of any certificate in a name other than that of the holder of the Series A Preferred Stock which is being converted.</w:t>
      </w:r>
    </w:p>
    <w:p>
      <w:pPr>
        <w:spacing w:after="0" w:line="175" w:lineRule="exact"/>
        <w:rPr>
          <w:rFonts w:ascii="Arial" w:cs="Arial" w:eastAsia="Arial" w:hAnsi="Arial"/>
          <w:sz w:val="17"/>
          <w:szCs w:val="17"/>
          <w:color w:val="auto"/>
        </w:rPr>
      </w:pPr>
    </w:p>
    <w:p>
      <w:pPr>
        <w:jc w:val="both"/>
        <w:ind w:right="240" w:firstLine="623"/>
        <w:spacing w:after="0" w:line="298" w:lineRule="auto"/>
        <w:tabs>
          <w:tab w:leader="none" w:pos="1318"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Closing of Books</w:t>
      </w:r>
      <w:r>
        <w:rPr>
          <w:rFonts w:ascii="Arial" w:cs="Arial" w:eastAsia="Arial" w:hAnsi="Arial"/>
          <w:sz w:val="16"/>
          <w:szCs w:val="16"/>
          <w:color w:val="auto"/>
        </w:rPr>
        <w:t>. The Corporation will at no time close its transfer books against the transfer of any Series A Preferred Stock or of any shares of Common Stock issued or issuable upon the conversion of any shares of Series A Preferred Stock in any manner which interferes with the timely conversion of such Series A Preferred, except as may otherwise be required to comply with applicable securities and corporate laws.</w:t>
      </w:r>
    </w:p>
    <w:p>
      <w:pPr>
        <w:spacing w:after="0" w:line="153" w:lineRule="exact"/>
        <w:rPr>
          <w:rFonts w:ascii="Arial" w:cs="Arial" w:eastAsia="Arial" w:hAnsi="Arial"/>
          <w:sz w:val="16"/>
          <w:szCs w:val="16"/>
          <w:color w:val="auto"/>
        </w:rPr>
      </w:pPr>
    </w:p>
    <w:p>
      <w:pPr>
        <w:ind w:firstLine="623"/>
        <w:spacing w:after="0" w:line="261" w:lineRule="auto"/>
        <w:tabs>
          <w:tab w:leader="none" w:pos="1318"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Reorganization or Reclassification</w:t>
      </w:r>
      <w:r>
        <w:rPr>
          <w:rFonts w:ascii="Arial" w:cs="Arial" w:eastAsia="Arial" w:hAnsi="Arial"/>
          <w:sz w:val="17"/>
          <w:szCs w:val="17"/>
          <w:color w:val="auto"/>
        </w:rPr>
        <w:t xml:space="preserve">. If any capital reorganization, reclassification of the capital stock of the Corporation, stock split, or stock dividend (for this </w:t>
      </w:r>
      <w:r>
        <w:rPr>
          <w:rFonts w:ascii="Arial" w:cs="Arial" w:eastAsia="Arial" w:hAnsi="Arial"/>
          <w:sz w:val="17"/>
          <w:szCs w:val="17"/>
          <w:u w:val="single" w:color="auto"/>
          <w:color w:val="auto"/>
        </w:rPr>
        <w:t>Article V</w:t>
      </w:r>
      <w:r>
        <w:rPr>
          <w:rFonts w:ascii="Arial" w:cs="Arial" w:eastAsia="Arial" w:hAnsi="Arial"/>
          <w:sz w:val="17"/>
          <w:szCs w:val="17"/>
          <w:color w:val="auto"/>
        </w:rPr>
        <w:t>, each a “</w:t>
      </w:r>
      <w:r>
        <w:rPr>
          <w:rFonts w:ascii="Arial" w:cs="Arial" w:eastAsia="Arial" w:hAnsi="Arial"/>
          <w:sz w:val="17"/>
          <w:szCs w:val="17"/>
          <w:b w:val="1"/>
          <w:bCs w:val="1"/>
          <w:i w:val="1"/>
          <w:iCs w:val="1"/>
          <w:color w:val="auto"/>
        </w:rPr>
        <w:t>Distribution</w:t>
      </w:r>
      <w:r>
        <w:rPr>
          <w:rFonts w:ascii="Arial" w:cs="Arial" w:eastAsia="Arial" w:hAnsi="Arial"/>
          <w:sz w:val="17"/>
          <w:szCs w:val="17"/>
          <w:color w:val="auto"/>
        </w:rPr>
        <w:t>”) is effected in such a way that holders of Common Stock will be entitled to receive stock, securities or assets with respect to or in exchange for Common Stock, then, as a condition of such Distribution, lawful and adequate provisions will be made whereby each holder of a share or shares of Series A Preferred Stock will thereupon have the right to receive, upon the basis and upon the terms and conditions specified herein and, as applicable, in lieu of the shares of Common Stock immediately theretofore receivable upon the conversion of such share or shares of Series A Preferred Stock, such shares of stock, securities or assets as may be issued or payable with respect to or, as applicable, in exchange for a number of outstanding shares of such Common Stock equal to the number of shares of such Common Stock immediately theretofore receivable upon such conversion had such Distribution not taken place, and in any such case appropriate provisions will be made with respect to the rights and interests</w:t>
      </w:r>
    </w:p>
    <w:p>
      <w:pPr>
        <w:spacing w:after="0" w:line="184"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of such holder to the end that the provisions hereof will thereafter be applicable, as nearly as may be, in relation to any shares of stock, securities or assets thereafter deliverable upon the exercise of such conversion rights.</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7"/>
          <w:szCs w:val="17"/>
          <w:color w:val="auto"/>
        </w:rPr>
        <w:t>Section 5.5.</w:t>
      </w:r>
      <w:r>
        <w:rPr>
          <w:sz w:val="20"/>
          <w:szCs w:val="20"/>
          <w:color w:val="auto"/>
        </w:rPr>
        <w:tab/>
      </w:r>
      <w:r>
        <w:rPr>
          <w:rFonts w:ascii="Arial" w:cs="Arial" w:eastAsia="Arial" w:hAnsi="Arial"/>
          <w:sz w:val="15"/>
          <w:szCs w:val="15"/>
          <w:u w:val="single" w:color="auto"/>
          <w:color w:val="auto"/>
        </w:rPr>
        <w:t>Redemption</w:t>
      </w:r>
      <w:r>
        <w:rPr>
          <w:rFonts w:ascii="Arial" w:cs="Arial" w:eastAsia="Arial" w:hAnsi="Arial"/>
          <w:sz w:val="15"/>
          <w:szCs w:val="15"/>
          <w:color w:val="auto"/>
        </w:rPr>
        <w:t>.</w:t>
      </w:r>
    </w:p>
    <w:p>
      <w:pPr>
        <w:spacing w:after="0" w:line="224" w:lineRule="exact"/>
        <w:rPr>
          <w:sz w:val="20"/>
          <w:szCs w:val="20"/>
          <w:color w:val="auto"/>
        </w:rPr>
      </w:pPr>
    </w:p>
    <w:p>
      <w:pPr>
        <w:ind w:right="60" w:firstLine="623"/>
        <w:spacing w:after="0" w:line="283" w:lineRule="auto"/>
        <w:tabs>
          <w:tab w:leader="none" w:pos="1303"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Corporation may, at any time and from time to time, at the option of the Board, redeem any or all of the outstanding Series A Preferred Stock by: (i) mailing notice of such redemption to the Series A Holders at least 30 and no more than 60 days before the date (the “</w:t>
      </w:r>
      <w:r>
        <w:rPr>
          <w:rFonts w:ascii="Arial" w:cs="Arial" w:eastAsia="Arial" w:hAnsi="Arial"/>
          <w:sz w:val="16"/>
          <w:szCs w:val="16"/>
          <w:b w:val="1"/>
          <w:bCs w:val="1"/>
          <w:i w:val="1"/>
          <w:iCs w:val="1"/>
          <w:color w:val="auto"/>
        </w:rPr>
        <w:t>Series A Redemption Date</w:t>
      </w:r>
      <w:r>
        <w:rPr>
          <w:rFonts w:ascii="Arial" w:cs="Arial" w:eastAsia="Arial" w:hAnsi="Arial"/>
          <w:sz w:val="16"/>
          <w:szCs w:val="16"/>
          <w:color w:val="auto"/>
        </w:rPr>
        <w:t>”) fixed by the Board for such redemption and (B) paying to the holders of the Series A Preferred Stock so redeemed, upon surrender by such holder of such holder’s stock certificate representing the redeemed shares on the Series A Redemption Date, an amount per share equal to the Series A Redemption Price (herein defined). The Corporation shall not be obligated to pay the Series A Redemption Price in respect of any redeemed Series A Preferred Stock unless the certificates evidencing such shares of Series A Preferred Stock are delivered to the Corporation.</w:t>
      </w:r>
    </w:p>
    <w:p>
      <w:pPr>
        <w:spacing w:after="0" w:line="166" w:lineRule="exact"/>
        <w:rPr>
          <w:rFonts w:ascii="Arial" w:cs="Arial" w:eastAsia="Arial" w:hAnsi="Arial"/>
          <w:sz w:val="16"/>
          <w:szCs w:val="16"/>
          <w:color w:val="auto"/>
        </w:rPr>
      </w:pPr>
    </w:p>
    <w:p>
      <w:pPr>
        <w:ind w:right="280" w:firstLine="623"/>
        <w:spacing w:after="0" w:line="360" w:lineRule="auto"/>
        <w:tabs>
          <w:tab w:leader="none" w:pos="1313" w:val="left"/>
        </w:tabs>
        <w:numPr>
          <w:ilvl w:val="0"/>
          <w:numId w:val="13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Series A Redemption Price</w:t>
      </w:r>
      <w:r>
        <w:rPr>
          <w:rFonts w:ascii="Arial" w:cs="Arial" w:eastAsia="Arial" w:hAnsi="Arial"/>
          <w:sz w:val="15"/>
          <w:szCs w:val="15"/>
          <w:color w:val="auto"/>
        </w:rPr>
        <w:t>” means an amount equal to (i) the Series A Purchase Price plus (ii) the quotient of (A) the retained earnings of the Corporation as shown on its regularly prepared financial statements as of the last day of the month immediately preceding the date that</w:t>
      </w:r>
    </w:p>
    <w:p>
      <w:pPr>
        <w:sectPr>
          <w:pgSz w:w="11900" w:h="16917" w:orient="portrait"/>
          <w:cols w:equalWidth="0" w:num="1">
            <w:col w:w="10780"/>
          </w:cols>
          <w:pgMar w:left="880" w:top="127" w:right="239" w:bottom="0" w:gutter="0" w:footer="0" w:header="0"/>
        </w:sectPr>
      </w:pPr>
    </w:p>
    <w:bookmarkStart w:id="202" w:name="page203"/>
    <w:bookmarkEnd w:id="202"/>
    <w:p>
      <w:pPr>
        <w:ind w:left="640"/>
        <w:spacing w:after="0"/>
        <w:rPr>
          <w:sz w:val="20"/>
          <w:szCs w:val="20"/>
          <w:color w:val="auto"/>
        </w:rPr>
      </w:pPr>
      <w:r>
        <w:rPr>
          <w:rFonts w:ascii="Arial" w:cs="Arial" w:eastAsia="Arial" w:hAnsi="Arial"/>
          <w:sz w:val="16"/>
          <w:szCs w:val="16"/>
          <w:color w:val="auto"/>
        </w:rPr>
        <w:t>such notice is mailed divided by (B) the number of shares of Series A Preferred Stock issued and outstanding on the date that such notice is mailed.</w:t>
      </w:r>
    </w:p>
    <w:p>
      <w:pPr>
        <w:spacing w:after="0" w:line="236" w:lineRule="exact"/>
        <w:rPr>
          <w:sz w:val="20"/>
          <w:szCs w:val="20"/>
          <w:color w:val="auto"/>
        </w:rPr>
      </w:pPr>
    </w:p>
    <w:p>
      <w:pPr>
        <w:ind w:left="640" w:right="40" w:firstLine="623"/>
        <w:spacing w:after="0" w:line="262" w:lineRule="auto"/>
        <w:tabs>
          <w:tab w:leader="none" w:pos="1943"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Issuance of Certificates; Time Redemption Effected</w:t>
      </w:r>
      <w:r>
        <w:rPr>
          <w:rFonts w:ascii="Arial" w:cs="Arial" w:eastAsia="Arial" w:hAnsi="Arial"/>
          <w:sz w:val="17"/>
          <w:szCs w:val="17"/>
          <w:color w:val="auto"/>
        </w:rPr>
        <w:t xml:space="preserve">. On and after the Series A Redemption Date, all shares of Series A Preferred Stock for which a notice of redemption was mailed in accordance with </w:t>
      </w:r>
      <w:r>
        <w:rPr>
          <w:rFonts w:ascii="Arial" w:cs="Arial" w:eastAsia="Arial" w:hAnsi="Arial"/>
          <w:sz w:val="17"/>
          <w:szCs w:val="17"/>
          <w:u w:val="single" w:color="auto"/>
          <w:color w:val="auto"/>
        </w:rPr>
        <w:t>Section 5.5(a)</w:t>
      </w:r>
      <w:r>
        <w:rPr>
          <w:rFonts w:ascii="Arial" w:cs="Arial" w:eastAsia="Arial" w:hAnsi="Arial"/>
          <w:sz w:val="17"/>
          <w:szCs w:val="17"/>
          <w:color w:val="auto"/>
        </w:rPr>
        <w:t xml:space="preserve"> shall be canceled by the Corporation, and the holder of a certificate representing any such shares shall have no rights, preferences or other privileges with respect to such shares except the right to receive the Series A Redemption Price for each such share upon surrender of such certificate. If less than all of the Series A Preferred Stock represented by any Series A Holder’s certificate are redeemed, then, promptly after the surrender of such certificate, the Corporation shall issue and deliver, or cause to be issued and delivered, to Such Series A Holder, registered in such Series A Holder’s name, a certificate for the number of whole shares of Series A Preferred Stock represented by such previous certificate but not redeemed.</w:t>
      </w:r>
    </w:p>
    <w:p>
      <w:pPr>
        <w:spacing w:after="0" w:line="184" w:lineRule="exact"/>
        <w:rPr>
          <w:rFonts w:ascii="Arial" w:cs="Arial" w:eastAsia="Arial" w:hAnsi="Arial"/>
          <w:sz w:val="17"/>
          <w:szCs w:val="17"/>
          <w:color w:val="auto"/>
        </w:rPr>
      </w:pPr>
    </w:p>
    <w:p>
      <w:pPr>
        <w:ind w:left="640" w:right="240" w:firstLine="623"/>
        <w:spacing w:after="0" w:line="360" w:lineRule="auto"/>
        <w:tabs>
          <w:tab w:leader="none" w:pos="1953" w:val="left"/>
        </w:tabs>
        <w:numPr>
          <w:ilvl w:val="0"/>
          <w:numId w:val="137"/>
        </w:numPr>
        <w:rPr>
          <w:rFonts w:ascii="Arial" w:cs="Arial" w:eastAsia="Arial" w:hAnsi="Arial"/>
          <w:sz w:val="15"/>
          <w:szCs w:val="15"/>
          <w:color w:val="auto"/>
        </w:rPr>
      </w:pPr>
      <w:r>
        <w:rPr>
          <w:rFonts w:ascii="Arial" w:cs="Arial" w:eastAsia="Arial" w:hAnsi="Arial"/>
          <w:sz w:val="15"/>
          <w:szCs w:val="15"/>
          <w:u w:val="single" w:color="auto"/>
          <w:color w:val="auto"/>
        </w:rPr>
        <w:t>No Reissuance of Series A Preferred Stock</w:t>
      </w:r>
      <w:r>
        <w:rPr>
          <w:rFonts w:ascii="Arial" w:cs="Arial" w:eastAsia="Arial" w:hAnsi="Arial"/>
          <w:sz w:val="15"/>
          <w:szCs w:val="15"/>
          <w:color w:val="auto"/>
        </w:rPr>
        <w:t>. Shares of Series A Preferred Stock which are redeemed as provided herein shall not be reissued as Series A Preferred Stock but shall be generally available to be reissued pursuant to a separate statement of resolution adopted by the Board.</w:t>
      </w:r>
    </w:p>
    <w:p>
      <w:pPr>
        <w:spacing w:after="0" w:line="112" w:lineRule="exact"/>
        <w:rPr>
          <w:sz w:val="20"/>
          <w:szCs w:val="20"/>
          <w:color w:val="auto"/>
        </w:rPr>
      </w:pPr>
    </w:p>
    <w:p>
      <w:pPr>
        <w:ind w:right="620" w:firstLine="629"/>
        <w:spacing w:after="0" w:line="289"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Senior Preferred Stock</w:t>
      </w:r>
      <w:r>
        <w:rPr>
          <w:rFonts w:ascii="Arial" w:cs="Arial" w:eastAsia="Arial" w:hAnsi="Arial"/>
          <w:sz w:val="17"/>
          <w:szCs w:val="17"/>
          <w:color w:val="auto"/>
        </w:rPr>
        <w:t xml:space="preserve">. Except as otherwise set forth in </w:t>
      </w:r>
      <w:r>
        <w:rPr>
          <w:rFonts w:ascii="Arial" w:cs="Arial" w:eastAsia="Arial" w:hAnsi="Arial"/>
          <w:sz w:val="17"/>
          <w:szCs w:val="17"/>
          <w:u w:val="single" w:color="auto"/>
          <w:color w:val="auto"/>
        </w:rPr>
        <w:t>Section 5.1(c)(ii)</w:t>
      </w:r>
      <w:r>
        <w:rPr>
          <w:rFonts w:ascii="Arial" w:cs="Arial" w:eastAsia="Arial" w:hAnsi="Arial"/>
          <w:sz w:val="17"/>
          <w:szCs w:val="17"/>
          <w:color w:val="auto"/>
        </w:rPr>
        <w:t>, the Corporation may, in its sole discretion, authorize additional classes and series of Preferred Stock with rights senior to, junior to, or pari passu with, the Series A Preferred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u w:val="single" w:color="auto"/>
          <w:color w:val="auto"/>
        </w:rPr>
        <w:t>Amendments to Series A Provisions of Articles</w:t>
      </w:r>
      <w:r>
        <w:rPr>
          <w:rFonts w:ascii="Arial" w:cs="Arial" w:eastAsia="Arial" w:hAnsi="Arial"/>
          <w:sz w:val="17"/>
          <w:szCs w:val="17"/>
          <w:color w:val="auto"/>
        </w:rPr>
        <w:t xml:space="preserve">. The Company may amend any of </w:t>
      </w:r>
      <w:r>
        <w:rPr>
          <w:rFonts w:ascii="Arial" w:cs="Arial" w:eastAsia="Arial" w:hAnsi="Arial"/>
          <w:sz w:val="17"/>
          <w:szCs w:val="17"/>
          <w:u w:val="single" w:color="auto"/>
          <w:color w:val="auto"/>
        </w:rPr>
        <w:t>ARTICLE FIVE</w:t>
      </w:r>
      <w:r>
        <w:rPr>
          <w:rFonts w:ascii="Arial" w:cs="Arial" w:eastAsia="Arial" w:hAnsi="Arial"/>
          <w:sz w:val="17"/>
          <w:szCs w:val="17"/>
          <w:color w:val="auto"/>
        </w:rPr>
        <w:t xml:space="preserve"> with the consent or affirmative vote of two-thirds (2/3) of the issued and outstanding shares of Series A Preferred Stock on the date of such consent or vote.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SIX — SERIES C PREFERRED STOCK</w:t>
      </w:r>
    </w:p>
    <w:p>
      <w:pPr>
        <w:spacing w:after="0" w:line="224"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Series C Preferred Stock</w:t>
      </w:r>
      <w:r>
        <w:rPr>
          <w:rFonts w:ascii="Arial" w:cs="Arial" w:eastAsia="Arial" w:hAnsi="Arial"/>
          <w:sz w:val="17"/>
          <w:szCs w:val="17"/>
          <w:color w:val="auto"/>
        </w:rPr>
        <w:t>. 17,500,000 shares of Preferred Stock will be designated Series C Preferred Stock (the “</w:t>
      </w:r>
      <w:r>
        <w:rPr>
          <w:rFonts w:ascii="Arial" w:cs="Arial" w:eastAsia="Arial" w:hAnsi="Arial"/>
          <w:sz w:val="17"/>
          <w:szCs w:val="17"/>
          <w:b w:val="1"/>
          <w:bCs w:val="1"/>
          <w:i w:val="1"/>
          <w:iCs w:val="1"/>
          <w:color w:val="auto"/>
        </w:rPr>
        <w:t>Series C Preferred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which will have the following powers, preferences, rights and restrictions:</w:t>
      </w:r>
    </w:p>
    <w:p>
      <w:pPr>
        <w:spacing w:after="0" w:line="158"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6.2.</w:t>
      </w:r>
      <w:r>
        <w:rPr>
          <w:sz w:val="20"/>
          <w:szCs w:val="20"/>
          <w:color w:val="auto"/>
        </w:rPr>
        <w:tab/>
      </w:r>
      <w:r>
        <w:rPr>
          <w:rFonts w:ascii="Arial" w:cs="Arial" w:eastAsia="Arial" w:hAnsi="Arial"/>
          <w:sz w:val="16"/>
          <w:szCs w:val="16"/>
          <w:u w:val="single" w:color="auto"/>
          <w:color w:val="auto"/>
        </w:rPr>
        <w:t>Voting</w:t>
      </w:r>
      <w:r>
        <w:rPr>
          <w:rFonts w:ascii="Arial" w:cs="Arial" w:eastAsia="Arial" w:hAnsi="Arial"/>
          <w:sz w:val="16"/>
          <w:szCs w:val="16"/>
          <w:color w:val="auto"/>
        </w:rPr>
        <w:t>.</w:t>
      </w:r>
    </w:p>
    <w:p>
      <w:pPr>
        <w:spacing w:after="0" w:line="224" w:lineRule="exact"/>
        <w:rPr>
          <w:sz w:val="20"/>
          <w:szCs w:val="20"/>
          <w:color w:val="auto"/>
        </w:rPr>
      </w:pPr>
    </w:p>
    <w:p>
      <w:pPr>
        <w:ind w:left="640" w:right="140" w:firstLine="623"/>
        <w:spacing w:after="0" w:line="314" w:lineRule="auto"/>
        <w:tabs>
          <w:tab w:leader="none" w:pos="1943" w:val="left"/>
        </w:tabs>
        <w:numPr>
          <w:ilvl w:val="0"/>
          <w:numId w:val="138"/>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xml:space="preserve">. Except as may be otherwise required by the DGCL or set forth in this </w:t>
      </w:r>
      <w:r>
        <w:rPr>
          <w:rFonts w:ascii="Arial" w:cs="Arial" w:eastAsia="Arial" w:hAnsi="Arial"/>
          <w:sz w:val="15"/>
          <w:szCs w:val="15"/>
          <w:u w:val="single" w:color="auto"/>
          <w:color w:val="auto"/>
        </w:rPr>
        <w:t>Section 6.2</w:t>
      </w:r>
      <w:r>
        <w:rPr>
          <w:rFonts w:ascii="Arial" w:cs="Arial" w:eastAsia="Arial" w:hAnsi="Arial"/>
          <w:sz w:val="15"/>
          <w:szCs w:val="15"/>
          <w:color w:val="auto"/>
        </w:rPr>
        <w:t xml:space="preserve">, the Series C Preferred Stock will have the right to vote on all actions to be taken by the holders of Common Stock (other than the actions set forth in </w:t>
      </w:r>
      <w:r>
        <w:rPr>
          <w:rFonts w:ascii="Arial" w:cs="Arial" w:eastAsia="Arial" w:hAnsi="Arial"/>
          <w:sz w:val="15"/>
          <w:szCs w:val="15"/>
          <w:u w:val="single" w:color="auto"/>
          <w:color w:val="auto"/>
        </w:rPr>
        <w:t>Section 6.2(b)</w:t>
      </w:r>
      <w:r>
        <w:rPr>
          <w:rFonts w:ascii="Arial" w:cs="Arial" w:eastAsia="Arial" w:hAnsi="Arial"/>
          <w:sz w:val="15"/>
          <w:szCs w:val="15"/>
          <w:color w:val="auto"/>
        </w:rPr>
        <w:t>), and each share of Series C Preferred Stock will entitle the record holder thereof (each a “</w:t>
      </w:r>
      <w:r>
        <w:rPr>
          <w:rFonts w:ascii="Arial" w:cs="Arial" w:eastAsia="Arial" w:hAnsi="Arial"/>
          <w:sz w:val="15"/>
          <w:szCs w:val="15"/>
          <w:b w:val="1"/>
          <w:bCs w:val="1"/>
          <w:i w:val="1"/>
          <w:iCs w:val="1"/>
          <w:color w:val="auto"/>
        </w:rPr>
        <w:t>Series C Holder</w:t>
      </w:r>
      <w:r>
        <w:rPr>
          <w:rFonts w:ascii="Arial" w:cs="Arial" w:eastAsia="Arial" w:hAnsi="Arial"/>
          <w:sz w:val="15"/>
          <w:szCs w:val="15"/>
          <w:color w:val="auto"/>
        </w:rPr>
        <w:t>”) to such number of votes per share on each such action as will equal the number of shares of Common Stock (including fractions of a share) into which such share of Series C Preferred Stock is then convertible.</w:t>
      </w:r>
    </w:p>
    <w:p>
      <w:pPr>
        <w:spacing w:after="0" w:line="146" w:lineRule="exact"/>
        <w:rPr>
          <w:rFonts w:ascii="Arial" w:cs="Arial" w:eastAsia="Arial" w:hAnsi="Arial"/>
          <w:sz w:val="15"/>
          <w:szCs w:val="15"/>
          <w:color w:val="auto"/>
        </w:rPr>
      </w:pPr>
    </w:p>
    <w:p>
      <w:pPr>
        <w:ind w:left="1940" w:hanging="677"/>
        <w:spacing w:after="0"/>
        <w:tabs>
          <w:tab w:leader="none" w:pos="1940"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Class Voting</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260" w:right="40" w:firstLine="633"/>
        <w:spacing w:after="0" w:line="265" w:lineRule="auto"/>
        <w:tabs>
          <w:tab w:leader="none" w:pos="2578" w:val="left"/>
        </w:tabs>
        <w:numPr>
          <w:ilvl w:val="1"/>
          <w:numId w:val="138"/>
        </w:numPr>
        <w:rPr>
          <w:rFonts w:ascii="Arial" w:cs="Arial" w:eastAsia="Arial" w:hAnsi="Arial"/>
          <w:sz w:val="17"/>
          <w:szCs w:val="17"/>
          <w:color w:val="auto"/>
        </w:rPr>
      </w:pPr>
      <w:r>
        <w:rPr>
          <w:rFonts w:ascii="Arial" w:cs="Arial" w:eastAsia="Arial" w:hAnsi="Arial"/>
          <w:sz w:val="17"/>
          <w:szCs w:val="17"/>
          <w:color w:val="auto"/>
        </w:rPr>
        <w:t>So long as at least 60% of the greatest number of shares of Series C Preferred Stock (subject to adjustment for any stock split, reverse stock split, stock dividend or other such transaction applicable to the Series C Preferred Stock) ever outstanding remain outstanding, the Series C Preferred Stock will have the right to vote, as a separate class and not together with the holders of other stock, with respect to the following matters, each of which will require the consent or affirmative vote of two-thirds (2/3) of the issued and outstanding shares of Series C Preferred Stock on the date of such vote:</w:t>
      </w:r>
    </w:p>
    <w:p>
      <w:pPr>
        <w:spacing w:after="0" w:line="179" w:lineRule="exact"/>
        <w:rPr>
          <w:rFonts w:ascii="Arial" w:cs="Arial" w:eastAsia="Arial" w:hAnsi="Arial"/>
          <w:sz w:val="17"/>
          <w:szCs w:val="17"/>
          <w:color w:val="auto"/>
        </w:rPr>
      </w:pPr>
    </w:p>
    <w:p>
      <w:pPr>
        <w:ind w:left="1900" w:right="480" w:firstLine="622"/>
        <w:spacing w:after="0" w:line="273" w:lineRule="auto"/>
        <w:tabs>
          <w:tab w:leader="none" w:pos="3209" w:val="left"/>
        </w:tabs>
        <w:numPr>
          <w:ilvl w:val="2"/>
          <w:numId w:val="138"/>
        </w:numPr>
        <w:rPr>
          <w:rFonts w:ascii="Arial" w:cs="Arial" w:eastAsia="Arial" w:hAnsi="Arial"/>
          <w:sz w:val="17"/>
          <w:szCs w:val="17"/>
          <w:color w:val="auto"/>
        </w:rPr>
      </w:pPr>
      <w:r>
        <w:rPr>
          <w:rFonts w:ascii="Arial" w:cs="Arial" w:eastAsia="Arial" w:hAnsi="Arial"/>
          <w:sz w:val="17"/>
          <w:szCs w:val="17"/>
          <w:color w:val="auto"/>
        </w:rPr>
        <w:t>Any amendment, alteration or repeal of any provision of the Certificate of Incorporation of the Corporation, as amended from time to time, that affects adversely the voting or other powers, preferences or other special rights or privileges or restrictions of the Series C Preferred Stock;</w:t>
      </w:r>
    </w:p>
    <w:p>
      <w:pPr>
        <w:spacing w:after="0" w:line="171" w:lineRule="exact"/>
        <w:rPr>
          <w:rFonts w:ascii="Arial" w:cs="Arial" w:eastAsia="Arial" w:hAnsi="Arial"/>
          <w:sz w:val="17"/>
          <w:szCs w:val="17"/>
          <w:color w:val="auto"/>
        </w:rPr>
      </w:pPr>
    </w:p>
    <w:p>
      <w:pPr>
        <w:ind w:left="1900" w:right="80" w:firstLine="622"/>
        <w:spacing w:after="0" w:line="265" w:lineRule="auto"/>
        <w:tabs>
          <w:tab w:leader="none" w:pos="3199" w:val="left"/>
        </w:tabs>
        <w:numPr>
          <w:ilvl w:val="2"/>
          <w:numId w:val="138"/>
        </w:numPr>
        <w:rPr>
          <w:rFonts w:ascii="Arial" w:cs="Arial" w:eastAsia="Arial" w:hAnsi="Arial"/>
          <w:sz w:val="17"/>
          <w:szCs w:val="17"/>
          <w:color w:val="auto"/>
        </w:rPr>
      </w:pPr>
      <w:r>
        <w:rPr>
          <w:rFonts w:ascii="Arial" w:cs="Arial" w:eastAsia="Arial" w:hAnsi="Arial"/>
          <w:sz w:val="17"/>
          <w:szCs w:val="17"/>
          <w:color w:val="auto"/>
        </w:rPr>
        <w:t>Any authorization or any designation, whether by reclassification or otherwise, of any new class or series of stock or any other securities convertible into equity securities of the Corporation ranking senior to the Series C Preferred Stock in right of liquidation preference (as to the Series C Senior Liquidation Payment (as defined) only) or dividends (“</w:t>
      </w:r>
      <w:r>
        <w:rPr>
          <w:rFonts w:ascii="Arial" w:cs="Arial" w:eastAsia="Arial" w:hAnsi="Arial"/>
          <w:sz w:val="17"/>
          <w:szCs w:val="17"/>
          <w:b w:val="1"/>
          <w:bCs w:val="1"/>
          <w:i w:val="1"/>
          <w:iCs w:val="1"/>
          <w:color w:val="auto"/>
        </w:rPr>
        <w:t>Series C Senior Securities</w:t>
      </w:r>
      <w:r>
        <w:rPr>
          <w:rFonts w:ascii="Arial" w:cs="Arial" w:eastAsia="Arial" w:hAnsi="Arial"/>
          <w:sz w:val="17"/>
          <w:szCs w:val="17"/>
          <w:color w:val="auto"/>
        </w:rPr>
        <w:t>”, which shall include the Series D Preferred Stock, the Series E Preferred Stock, the Series F Preferred Stock and the Series G Preferred Stock);</w:t>
      </w:r>
    </w:p>
    <w:p>
      <w:pPr>
        <w:spacing w:after="0" w:line="179" w:lineRule="exact"/>
        <w:rPr>
          <w:rFonts w:ascii="Arial" w:cs="Arial" w:eastAsia="Arial" w:hAnsi="Arial"/>
          <w:sz w:val="17"/>
          <w:szCs w:val="17"/>
          <w:color w:val="auto"/>
        </w:rPr>
      </w:pPr>
    </w:p>
    <w:p>
      <w:pPr>
        <w:ind w:left="3200" w:hanging="678"/>
        <w:spacing w:after="0"/>
        <w:tabs>
          <w:tab w:leader="none" w:pos="3200" w:val="left"/>
        </w:tabs>
        <w:numPr>
          <w:ilvl w:val="2"/>
          <w:numId w:val="138"/>
        </w:numPr>
        <w:rPr>
          <w:rFonts w:ascii="Arial" w:cs="Arial" w:eastAsia="Arial" w:hAnsi="Arial"/>
          <w:sz w:val="15"/>
          <w:szCs w:val="15"/>
          <w:color w:val="auto"/>
        </w:rPr>
      </w:pPr>
      <w:r>
        <w:rPr>
          <w:rFonts w:ascii="Arial" w:cs="Arial" w:eastAsia="Arial" w:hAnsi="Arial"/>
          <w:sz w:val="15"/>
          <w:szCs w:val="15"/>
          <w:color w:val="auto"/>
        </w:rPr>
        <w:t>Any redemption of any shares of Common Stock (other than pursuant to equity incentive agreements with employees</w:t>
      </w:r>
    </w:p>
    <w:p>
      <w:pPr>
        <w:spacing w:after="0" w:line="49" w:lineRule="exact"/>
        <w:rPr>
          <w:rFonts w:ascii="Arial" w:cs="Arial" w:eastAsia="Arial" w:hAnsi="Arial"/>
          <w:sz w:val="15"/>
          <w:szCs w:val="15"/>
          <w:color w:val="auto"/>
        </w:rPr>
      </w:pPr>
    </w:p>
    <w:p>
      <w:pPr>
        <w:ind w:left="1900"/>
        <w:spacing w:after="0"/>
        <w:rPr>
          <w:rFonts w:ascii="Arial" w:cs="Arial" w:eastAsia="Arial" w:hAnsi="Arial"/>
          <w:sz w:val="15"/>
          <w:szCs w:val="15"/>
          <w:color w:val="auto"/>
        </w:rPr>
      </w:pPr>
      <w:r>
        <w:rPr>
          <w:rFonts w:ascii="Arial" w:cs="Arial" w:eastAsia="Arial" w:hAnsi="Arial"/>
          <w:sz w:val="17"/>
          <w:szCs w:val="17"/>
          <w:color w:val="auto"/>
        </w:rPr>
        <w:t>or service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providers giving the Corporation the right to repurchase shares upon the termination of employment or services);</w:t>
      </w:r>
    </w:p>
    <w:p>
      <w:pPr>
        <w:spacing w:after="0" w:line="224" w:lineRule="exact"/>
        <w:rPr>
          <w:sz w:val="20"/>
          <w:szCs w:val="20"/>
          <w:color w:val="auto"/>
        </w:rPr>
      </w:pPr>
    </w:p>
    <w:p>
      <w:pPr>
        <w:ind w:left="1900" w:firstLine="622"/>
        <w:spacing w:after="0" w:line="289" w:lineRule="auto"/>
        <w:tabs>
          <w:tab w:leader="none" w:pos="3209"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Any amendment of, or waiver with respect to, any provision of this </w:t>
      </w:r>
      <w:r>
        <w:rPr>
          <w:rFonts w:ascii="Arial" w:cs="Arial" w:eastAsia="Arial" w:hAnsi="Arial"/>
          <w:sz w:val="17"/>
          <w:szCs w:val="17"/>
          <w:u w:val="single" w:color="auto"/>
          <w:color w:val="auto"/>
        </w:rPr>
        <w:t>ARTICLE SIX</w:t>
      </w:r>
      <w:r>
        <w:rPr>
          <w:rFonts w:ascii="Arial" w:cs="Arial" w:eastAsia="Arial" w:hAnsi="Arial"/>
          <w:sz w:val="17"/>
          <w:szCs w:val="17"/>
          <w:color w:val="auto"/>
        </w:rPr>
        <w:t xml:space="preserve"> or the Corporation’s Certificate of Incorporation or bylaws directly relating to the Series C Preferred Stock;</w:t>
      </w:r>
    </w:p>
    <w:p>
      <w:pPr>
        <w:spacing w:after="0" w:line="158" w:lineRule="exact"/>
        <w:rPr>
          <w:rFonts w:ascii="Arial" w:cs="Arial" w:eastAsia="Arial" w:hAnsi="Arial"/>
          <w:sz w:val="17"/>
          <w:szCs w:val="17"/>
          <w:color w:val="auto"/>
        </w:rPr>
      </w:pPr>
    </w:p>
    <w:p>
      <w:pPr>
        <w:ind w:left="3220" w:hanging="698"/>
        <w:spacing w:after="0"/>
        <w:tabs>
          <w:tab w:leader="none" w:pos="32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Any increase in the authorized size of the Board; and</w:t>
      </w:r>
    </w:p>
    <w:p>
      <w:pPr>
        <w:spacing w:after="0" w:line="224" w:lineRule="exact"/>
        <w:rPr>
          <w:rFonts w:ascii="Arial" w:cs="Arial" w:eastAsia="Arial" w:hAnsi="Arial"/>
          <w:sz w:val="17"/>
          <w:szCs w:val="17"/>
          <w:color w:val="auto"/>
        </w:rPr>
      </w:pPr>
    </w:p>
    <w:p>
      <w:pPr>
        <w:ind w:left="1900" w:right="180" w:firstLine="622"/>
        <w:spacing w:after="0" w:line="273" w:lineRule="auto"/>
        <w:tabs>
          <w:tab w:leader="none" w:pos="3223"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declaration or payment of any dividend in respect of any Series C Junior Securities. “</w:t>
      </w:r>
      <w:r>
        <w:rPr>
          <w:rFonts w:ascii="Arial" w:cs="Arial" w:eastAsia="Arial" w:hAnsi="Arial"/>
          <w:sz w:val="17"/>
          <w:szCs w:val="17"/>
          <w:b w:val="1"/>
          <w:bCs w:val="1"/>
          <w:i w:val="1"/>
          <w:iCs w:val="1"/>
          <w:color w:val="auto"/>
        </w:rPr>
        <w:t>Series C Junior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means any shares of Common Stock or other stock that is junior to the Series C Preferred Stock in right of dividends or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 of Liquidation other than with respect to the Series C Junior Liquidation Payment.</w:t>
      </w:r>
    </w:p>
    <w:p>
      <w:pPr>
        <w:spacing w:after="0" w:line="172" w:lineRule="exact"/>
        <w:rPr>
          <w:sz w:val="20"/>
          <w:szCs w:val="20"/>
          <w:color w:val="auto"/>
        </w:rPr>
      </w:pPr>
    </w:p>
    <w:p>
      <w:pPr>
        <w:ind w:right="140" w:firstLine="629"/>
        <w:spacing w:after="0" w:line="268"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Dividends</w:t>
      </w:r>
      <w:r>
        <w:rPr>
          <w:rFonts w:ascii="Arial" w:cs="Arial" w:eastAsia="Arial" w:hAnsi="Arial"/>
          <w:sz w:val="17"/>
          <w:szCs w:val="17"/>
          <w:color w:val="auto"/>
        </w:rPr>
        <w:t>. No Series C Holder will have the right to receive any dividends in respect of any share of Series C Preferred Stock unless, and only to the extent, such dividends are declared by the Board and funds are legally available therefor. No dividends will be declared or paid in respect of the Common Stock or any shares ranking junior to the Series C Preferred Stock in respect of dividends unless an identical dividend amount (on an as-converted, per-share basis) is also simultaneously declared and paid in respect of the Series C Preferred Stock.</w:t>
      </w:r>
    </w:p>
    <w:p>
      <w:pPr>
        <w:spacing w:after="0" w:line="176"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6.4.</w:t>
      </w:r>
      <w:r>
        <w:rPr>
          <w:sz w:val="20"/>
          <w:szCs w:val="20"/>
          <w:color w:val="auto"/>
        </w:rPr>
        <w:tab/>
      </w:r>
      <w:r>
        <w:rPr>
          <w:rFonts w:ascii="Arial" w:cs="Arial" w:eastAsia="Arial" w:hAnsi="Arial"/>
          <w:sz w:val="16"/>
          <w:szCs w:val="16"/>
          <w:u w:val="single" w:color="auto"/>
          <w:color w:val="auto"/>
        </w:rPr>
        <w:t>Liquidation Preference</w:t>
      </w:r>
      <w:r>
        <w:rPr>
          <w:rFonts w:ascii="Arial" w:cs="Arial" w:eastAsia="Arial" w:hAnsi="Arial"/>
          <w:sz w:val="16"/>
          <w:szCs w:val="16"/>
          <w:color w:val="auto"/>
        </w:rPr>
        <w:t>.</w:t>
      </w:r>
    </w:p>
    <w:p>
      <w:pPr>
        <w:sectPr>
          <w:pgSz w:w="11900" w:h="16838" w:orient="portrait"/>
          <w:cols w:equalWidth="0" w:num="1">
            <w:col w:w="11420"/>
          </w:cols>
          <w:pgMar w:left="240" w:top="127" w:right="239" w:bottom="114" w:gutter="0" w:footer="0" w:header="0"/>
        </w:sectPr>
      </w:pPr>
    </w:p>
    <w:bookmarkStart w:id="203" w:name="page204"/>
    <w:bookmarkEnd w:id="203"/>
    <w:p>
      <w:pPr>
        <w:spacing w:after="0" w:line="19" w:lineRule="exact"/>
        <w:rPr>
          <w:sz w:val="20"/>
          <w:szCs w:val="20"/>
          <w:color w:val="auto"/>
        </w:rPr>
      </w:pPr>
    </w:p>
    <w:p>
      <w:pPr>
        <w:ind w:firstLine="623"/>
        <w:spacing w:after="0" w:line="277" w:lineRule="auto"/>
        <w:tabs>
          <w:tab w:leader="none" w:pos="130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Upon any Liquidation, the Series C Holders will be entitled to receive, out of assets of the Corporation which remain after satisfaction in full of all valid claims of the Corporation’s creditors and which are available for payment to stockholders (and subject to the rights of the holders of any Series C Senior Securities or the holders of shares of the Corporation ranking on a parity with the Series C Preferred Stock in respect of liquidation (“</w:t>
      </w:r>
      <w:r>
        <w:rPr>
          <w:rFonts w:ascii="Arial" w:cs="Arial" w:eastAsia="Arial" w:hAnsi="Arial"/>
          <w:sz w:val="16"/>
          <w:szCs w:val="16"/>
          <w:b w:val="1"/>
          <w:bCs w:val="1"/>
          <w:i w:val="1"/>
          <w:iCs w:val="1"/>
          <w:color w:val="auto"/>
        </w:rPr>
        <w:t>Series C Parity Securities</w:t>
      </w:r>
      <w:r>
        <w:rPr>
          <w:rFonts w:ascii="Arial" w:cs="Arial" w:eastAsia="Arial" w:hAnsi="Arial"/>
          <w:sz w:val="16"/>
          <w:szCs w:val="16"/>
          <w:color w:val="auto"/>
        </w:rPr>
        <w:t>”)), before any amount will be paid to or distributed among the holders of Series C Junior Securities, distributions per share of Series C Preferred Stock in two payments. The first payment (the “</w:t>
      </w:r>
      <w:r>
        <w:rPr>
          <w:rFonts w:ascii="Arial" w:cs="Arial" w:eastAsia="Arial" w:hAnsi="Arial"/>
          <w:sz w:val="16"/>
          <w:szCs w:val="16"/>
          <w:b w:val="1"/>
          <w:bCs w:val="1"/>
          <w:i w:val="1"/>
          <w:iCs w:val="1"/>
          <w:color w:val="auto"/>
        </w:rPr>
        <w:t>Series C Senior Liquidation Payment</w:t>
      </w:r>
      <w:r>
        <w:rPr>
          <w:rFonts w:ascii="Arial" w:cs="Arial" w:eastAsia="Arial" w:hAnsi="Arial"/>
          <w:sz w:val="16"/>
          <w:szCs w:val="16"/>
          <w:color w:val="auto"/>
        </w:rPr>
        <w:t>”) shall be equal to the sum of (i) $0.925 (the “</w:t>
      </w:r>
      <w:r>
        <w:rPr>
          <w:rFonts w:ascii="Arial" w:cs="Arial" w:eastAsia="Arial" w:hAnsi="Arial"/>
          <w:sz w:val="16"/>
          <w:szCs w:val="16"/>
          <w:b w:val="1"/>
          <w:bCs w:val="1"/>
          <w:i w:val="1"/>
          <w:iCs w:val="1"/>
          <w:color w:val="auto"/>
        </w:rPr>
        <w:t>Series C Purchase Price</w:t>
      </w:r>
      <w:r>
        <w:rPr>
          <w:rFonts w:ascii="Arial" w:cs="Arial" w:eastAsia="Arial" w:hAnsi="Arial"/>
          <w:sz w:val="16"/>
          <w:szCs w:val="16"/>
          <w:color w:val="auto"/>
        </w:rPr>
        <w:t>”) (subject to adjustment for any stock split, reverse stock split, stock dividend or other such transaction applicable to the Series C Preferred Stock), plus (ii) any dividends declared but unpaid in respect of such share. The second payment (the “</w:t>
      </w:r>
      <w:r>
        <w:rPr>
          <w:rFonts w:ascii="Arial" w:cs="Arial" w:eastAsia="Arial" w:hAnsi="Arial"/>
          <w:sz w:val="16"/>
          <w:szCs w:val="16"/>
          <w:b w:val="1"/>
          <w:bCs w:val="1"/>
          <w:i w:val="1"/>
          <w:iCs w:val="1"/>
          <w:color w:val="auto"/>
        </w:rPr>
        <w:t>Series C Junior Liquidation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and, together with the Series C Senior Liquidation Payment, the “</w:t>
      </w:r>
      <w:r>
        <w:rPr>
          <w:rFonts w:ascii="Arial" w:cs="Arial" w:eastAsia="Arial" w:hAnsi="Arial"/>
          <w:sz w:val="16"/>
          <w:szCs w:val="16"/>
          <w:b w:val="1"/>
          <w:bCs w:val="1"/>
          <w:i w:val="1"/>
          <w:iCs w:val="1"/>
          <w:color w:val="auto"/>
        </w:rPr>
        <w:t>Series C Liquidation Payment</w:t>
      </w:r>
      <w:r>
        <w:rPr>
          <w:rFonts w:ascii="Arial" w:cs="Arial" w:eastAsia="Arial" w:hAnsi="Arial"/>
          <w:sz w:val="16"/>
          <w:szCs w:val="16"/>
          <w:color w:val="auto"/>
        </w:rPr>
        <w:t>”) shall be junior to the Series A Liquidation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and shall equal that amount paid or distributed to holders of Common Stock as if such share of Series C Preferred Stock were converted; provided that the amount distributed per share of Series C Preferred Stock (subject to adjustment for any stock split, reverse stock split, stock dividend or other such transaction applicable to the Series C Preferred Stock) shall not exceed one half of the Series C Purchase Price. If upon any Liquidation the Series C Liquidation Payment and any amounts payable in respect of any Series C Parity Securities as to any such distribution are not paid in full, the Series C Holders and the holders of Series C Parity Securities will share ratably in any distribution of assets in</w:t>
      </w:r>
    </w:p>
    <w:p>
      <w:pPr>
        <w:spacing w:after="0" w:line="176"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proportion to the full respective amounts to which they are entitled.</w:t>
      </w:r>
    </w:p>
    <w:p>
      <w:pPr>
        <w:spacing w:after="0" w:line="224" w:lineRule="exact"/>
        <w:rPr>
          <w:sz w:val="20"/>
          <w:szCs w:val="20"/>
          <w:color w:val="auto"/>
        </w:rPr>
      </w:pPr>
    </w:p>
    <w:p>
      <w:pPr>
        <w:ind w:right="240" w:firstLine="623"/>
        <w:spacing w:after="0" w:line="322" w:lineRule="auto"/>
        <w:tabs>
          <w:tab w:leader="none" w:pos="131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The Corporation will give written notice of any Liquidation to the Series C Holders, stating the payment date or dates when, and the place or places where, any payments under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will be payable, at least 20 days prior to any payment date stated therein.</w:t>
      </w:r>
    </w:p>
    <w:p>
      <w:pPr>
        <w:spacing w:after="0" w:line="135" w:lineRule="exact"/>
        <w:rPr>
          <w:rFonts w:ascii="Arial" w:cs="Arial" w:eastAsia="Arial" w:hAnsi="Arial"/>
          <w:sz w:val="16"/>
          <w:szCs w:val="16"/>
          <w:color w:val="auto"/>
        </w:rPr>
      </w:pPr>
    </w:p>
    <w:p>
      <w:pPr>
        <w:ind w:left="1300" w:hanging="677"/>
        <w:spacing w:after="0"/>
        <w:tabs>
          <w:tab w:leader="none" w:pos="13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 Sale/Merger Transaction will be deemed to be a Liquidation.</w:t>
      </w:r>
    </w:p>
    <w:p>
      <w:pPr>
        <w:spacing w:after="0" w:line="224" w:lineRule="exact"/>
        <w:rPr>
          <w:sz w:val="20"/>
          <w:szCs w:val="20"/>
          <w:color w:val="auto"/>
        </w:rPr>
      </w:pPr>
    </w:p>
    <w:p>
      <w:pPr>
        <w:spacing w:after="0"/>
        <w:tabs>
          <w:tab w:leader="none" w:pos="1280" w:val="left"/>
        </w:tabs>
        <w:rPr>
          <w:sz w:val="20"/>
          <w:szCs w:val="20"/>
          <w:color w:val="auto"/>
        </w:rPr>
      </w:pPr>
      <w:r>
        <w:rPr>
          <w:rFonts w:ascii="Arial" w:cs="Arial" w:eastAsia="Arial" w:hAnsi="Arial"/>
          <w:sz w:val="17"/>
          <w:szCs w:val="17"/>
          <w:color w:val="auto"/>
        </w:rPr>
        <w:t>Section 6.5.</w:t>
      </w:r>
      <w:r>
        <w:rPr>
          <w:sz w:val="20"/>
          <w:szCs w:val="20"/>
          <w:color w:val="auto"/>
        </w:rPr>
        <w:tab/>
      </w:r>
      <w:r>
        <w:rPr>
          <w:rFonts w:ascii="Arial" w:cs="Arial" w:eastAsia="Arial" w:hAnsi="Arial"/>
          <w:sz w:val="16"/>
          <w:szCs w:val="16"/>
          <w:u w:val="single" w:color="auto"/>
          <w:color w:val="auto"/>
        </w:rPr>
        <w:t>Conversion</w:t>
      </w:r>
      <w:r>
        <w:rPr>
          <w:rFonts w:ascii="Arial" w:cs="Arial" w:eastAsia="Arial" w:hAnsi="Arial"/>
          <w:sz w:val="16"/>
          <w:szCs w:val="16"/>
          <w:color w:val="auto"/>
        </w:rPr>
        <w:t>.</w:t>
      </w:r>
    </w:p>
    <w:p>
      <w:pPr>
        <w:spacing w:after="0" w:line="224" w:lineRule="exact"/>
        <w:rPr>
          <w:sz w:val="20"/>
          <w:szCs w:val="20"/>
          <w:color w:val="auto"/>
        </w:rPr>
      </w:pPr>
    </w:p>
    <w:p>
      <w:pPr>
        <w:ind w:right="140" w:firstLine="623"/>
        <w:spacing w:after="0" w:line="263" w:lineRule="auto"/>
        <w:tabs>
          <w:tab w:leader="none" w:pos="1303"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Optional Conversion</w:t>
      </w:r>
      <w:r>
        <w:rPr>
          <w:rFonts w:ascii="Arial" w:cs="Arial" w:eastAsia="Arial" w:hAnsi="Arial"/>
          <w:sz w:val="17"/>
          <w:szCs w:val="17"/>
          <w:color w:val="auto"/>
        </w:rPr>
        <w:t xml:space="preserve">. Subject to and in compliance with this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any share of Series C Preferred Stock may, at the option of the holder thereof, be converted at any time and from time to time into a number of shares of Common Stock equal to the then-applicable Series C Conversion Amount (defined below). Each Series C Holder who desires to convert any of its Series C Preferred Stock into Common Stock pursuant to this </w:t>
      </w:r>
      <w:r>
        <w:rPr>
          <w:rFonts w:ascii="Arial" w:cs="Arial" w:eastAsia="Arial" w:hAnsi="Arial"/>
          <w:sz w:val="17"/>
          <w:szCs w:val="17"/>
          <w:u w:val="single" w:color="auto"/>
          <w:color w:val="auto"/>
        </w:rPr>
        <w:t>Section 6.5(a)</w:t>
      </w:r>
      <w:r>
        <w:rPr>
          <w:rFonts w:ascii="Arial" w:cs="Arial" w:eastAsia="Arial" w:hAnsi="Arial"/>
          <w:sz w:val="17"/>
          <w:szCs w:val="17"/>
          <w:color w:val="auto"/>
        </w:rPr>
        <w:t xml:space="preserve"> will surrender the certificate or certificates therefor, duly endorsed, at the office of the Corporation, and will give written notice to the Corporation at such office that such Series C Holder desires to convert such shares. Such notice will state the number of shares of Series C Preferred Stock being converted.</w:t>
      </w:r>
    </w:p>
    <w:p>
      <w:pPr>
        <w:spacing w:after="0" w:line="183" w:lineRule="exact"/>
        <w:rPr>
          <w:rFonts w:ascii="Arial" w:cs="Arial" w:eastAsia="Arial" w:hAnsi="Arial"/>
          <w:sz w:val="17"/>
          <w:szCs w:val="17"/>
          <w:color w:val="auto"/>
        </w:rPr>
      </w:pPr>
    </w:p>
    <w:p>
      <w:pPr>
        <w:ind w:right="260" w:firstLine="623"/>
        <w:spacing w:after="0" w:line="289" w:lineRule="auto"/>
        <w:tabs>
          <w:tab w:leader="none" w:pos="1313"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Automatic Conversion</w:t>
      </w:r>
      <w:r>
        <w:rPr>
          <w:rFonts w:ascii="Arial" w:cs="Arial" w:eastAsia="Arial" w:hAnsi="Arial"/>
          <w:sz w:val="17"/>
          <w:szCs w:val="17"/>
          <w:color w:val="auto"/>
        </w:rPr>
        <w:t>. Each share of Series C Preferred Stock will automatically be converted into a number of shares of Common Stock equal to the then-applicable Series C Conversion Amount (defined below):</w:t>
      </w:r>
    </w:p>
    <w:p>
      <w:pPr>
        <w:spacing w:after="0" w:line="158" w:lineRule="exact"/>
        <w:rPr>
          <w:rFonts w:ascii="Arial" w:cs="Arial" w:eastAsia="Arial" w:hAnsi="Arial"/>
          <w:sz w:val="17"/>
          <w:szCs w:val="17"/>
          <w:color w:val="auto"/>
        </w:rPr>
      </w:pPr>
    </w:p>
    <w:p>
      <w:pPr>
        <w:ind w:left="620" w:right="140" w:firstLine="633"/>
        <w:spacing w:after="0" w:line="273" w:lineRule="auto"/>
        <w:tabs>
          <w:tab w:leader="none" w:pos="1938" w:val="left"/>
        </w:tabs>
        <w:numPr>
          <w:ilvl w:val="1"/>
          <w:numId w:val="142"/>
        </w:numPr>
        <w:rPr>
          <w:rFonts w:ascii="Arial" w:cs="Arial" w:eastAsia="Arial" w:hAnsi="Arial"/>
          <w:sz w:val="17"/>
          <w:szCs w:val="17"/>
          <w:color w:val="auto"/>
        </w:rPr>
      </w:pPr>
      <w:r>
        <w:rPr>
          <w:rFonts w:ascii="Arial" w:cs="Arial" w:eastAsia="Arial" w:hAnsi="Arial"/>
          <w:sz w:val="17"/>
          <w:szCs w:val="17"/>
          <w:color w:val="auto"/>
        </w:rPr>
        <w:t>simultaneously with the closing of the first underwritten public offering under an effective registration statement under the Securities Act of 1933, as amended, covering the offering and sale of Common Stock for the account of the Corporation on a firm commitment basis for proceeds of at least $30 million (before deduction of underwriting costs, commissions and expenses);</w:t>
      </w:r>
    </w:p>
    <w:p>
      <w:pPr>
        <w:spacing w:after="0" w:line="171" w:lineRule="exact"/>
        <w:rPr>
          <w:rFonts w:ascii="Arial" w:cs="Arial" w:eastAsia="Arial" w:hAnsi="Arial"/>
          <w:sz w:val="17"/>
          <w:szCs w:val="17"/>
          <w:color w:val="auto"/>
        </w:rPr>
      </w:pPr>
    </w:p>
    <w:p>
      <w:pPr>
        <w:ind w:left="620" w:right="200" w:firstLine="633"/>
        <w:spacing w:after="0" w:line="289" w:lineRule="auto"/>
        <w:tabs>
          <w:tab w:leader="none" w:pos="1943" w:val="left"/>
        </w:tabs>
        <w:numPr>
          <w:ilvl w:val="1"/>
          <w:numId w:val="142"/>
        </w:numPr>
        <w:rPr>
          <w:rFonts w:ascii="Arial" w:cs="Arial" w:eastAsia="Arial" w:hAnsi="Arial"/>
          <w:sz w:val="17"/>
          <w:szCs w:val="17"/>
          <w:color w:val="auto"/>
        </w:rPr>
      </w:pPr>
      <w:r>
        <w:rPr>
          <w:rFonts w:ascii="Arial" w:cs="Arial" w:eastAsia="Arial" w:hAnsi="Arial"/>
          <w:sz w:val="17"/>
          <w:szCs w:val="17"/>
          <w:color w:val="auto"/>
        </w:rPr>
        <w:t>at the election of the holders of a number of shares of Series C Preferred Stock equal to at least two-thirds (2/3) of the then-outstanding shares of Series C Preferred Stock; or</w:t>
      </w:r>
    </w:p>
    <w:p>
      <w:pPr>
        <w:spacing w:after="0" w:line="158" w:lineRule="exact"/>
        <w:rPr>
          <w:rFonts w:ascii="Arial" w:cs="Arial" w:eastAsia="Arial" w:hAnsi="Arial"/>
          <w:sz w:val="17"/>
          <w:szCs w:val="17"/>
          <w:color w:val="auto"/>
        </w:rPr>
      </w:pPr>
    </w:p>
    <w:p>
      <w:pPr>
        <w:ind w:left="620" w:right="160" w:firstLine="633"/>
        <w:spacing w:after="0" w:line="273" w:lineRule="auto"/>
        <w:tabs>
          <w:tab w:leader="none" w:pos="1948" w:val="left"/>
        </w:tabs>
        <w:numPr>
          <w:ilvl w:val="1"/>
          <w:numId w:val="142"/>
        </w:numPr>
        <w:rPr>
          <w:rFonts w:ascii="Arial" w:cs="Arial" w:eastAsia="Arial" w:hAnsi="Arial"/>
          <w:sz w:val="17"/>
          <w:szCs w:val="17"/>
          <w:color w:val="auto"/>
        </w:rPr>
      </w:pPr>
      <w:r>
        <w:rPr>
          <w:rFonts w:ascii="Arial" w:cs="Arial" w:eastAsia="Arial" w:hAnsi="Arial"/>
          <w:sz w:val="17"/>
          <w:szCs w:val="17"/>
          <w:color w:val="auto"/>
        </w:rPr>
        <w:t>upon the conversion of a number of shares of Series C Preferred Stock equal to at least 60% of the shares of Series C Preferred Stock outstanding (subject to adjustment for any stock split, reverse stock split, stock dividend or other such transaction applicable to the Series C Preferred Stock) on October 11, 2002 (the “</w:t>
      </w:r>
      <w:r>
        <w:rPr>
          <w:rFonts w:ascii="Arial" w:cs="Arial" w:eastAsia="Arial" w:hAnsi="Arial"/>
          <w:sz w:val="17"/>
          <w:szCs w:val="17"/>
          <w:b w:val="1"/>
          <w:bCs w:val="1"/>
          <w:i w:val="1"/>
          <w:iCs w:val="1"/>
          <w:color w:val="auto"/>
        </w:rPr>
        <w:t>Series C Purchase Date</w:t>
      </w:r>
      <w:r>
        <w:rPr>
          <w:rFonts w:ascii="Arial" w:cs="Arial" w:eastAsia="Arial" w:hAnsi="Arial"/>
          <w:sz w:val="17"/>
          <w:szCs w:val="17"/>
          <w:color w:val="auto"/>
        </w:rPr>
        <w:t>”).</w:t>
      </w:r>
    </w:p>
    <w:p>
      <w:pPr>
        <w:spacing w:after="0" w:line="172" w:lineRule="exact"/>
        <w:rPr>
          <w:sz w:val="20"/>
          <w:szCs w:val="20"/>
          <w:color w:val="auto"/>
        </w:rPr>
      </w:pPr>
    </w:p>
    <w:p>
      <w:pPr>
        <w:ind w:right="300"/>
        <w:spacing w:after="0" w:line="360" w:lineRule="auto"/>
        <w:rPr>
          <w:sz w:val="20"/>
          <w:szCs w:val="20"/>
          <w:color w:val="auto"/>
        </w:rPr>
      </w:pPr>
      <w:r>
        <w:rPr>
          <w:rFonts w:ascii="Arial" w:cs="Arial" w:eastAsia="Arial" w:hAnsi="Arial"/>
          <w:sz w:val="15"/>
          <w:szCs w:val="15"/>
          <w:color w:val="auto"/>
        </w:rPr>
        <w:t>Upon the occurrence of an automatic conversion of the Series C Preferred Stock, the Series C Holders will surrender the certificates representing their shares at the office of the Corporation or transfer agent, and the rights, preferences and restrictions of the Series C Preferred Stock will terminate.</w:t>
      </w:r>
    </w:p>
    <w:p>
      <w:pPr>
        <w:spacing w:after="0" w:line="11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00" w:hanging="677"/>
        <w:spacing w:after="0"/>
        <w:tabs>
          <w:tab w:leader="none" w:pos="1300"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Anti-Dilution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940" w:hanging="687"/>
        <w:spacing w:after="0"/>
        <w:tabs>
          <w:tab w:leader="none" w:pos="1940" w:val="left"/>
        </w:tabs>
        <w:numPr>
          <w:ilvl w:val="1"/>
          <w:numId w:val="143"/>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260" w:right="20" w:firstLine="622"/>
        <w:spacing w:after="0" w:line="279" w:lineRule="auto"/>
        <w:tabs>
          <w:tab w:leader="none" w:pos="2569" w:val="left"/>
        </w:tabs>
        <w:numPr>
          <w:ilvl w:val="2"/>
          <w:numId w:val="1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Additional Common Stock</w:t>
      </w:r>
      <w:r>
        <w:rPr>
          <w:rFonts w:ascii="Arial" w:cs="Arial" w:eastAsia="Arial" w:hAnsi="Arial"/>
          <w:sz w:val="16"/>
          <w:szCs w:val="16"/>
          <w:color w:val="auto"/>
        </w:rPr>
        <w:t xml:space="preserve">” for this </w:t>
      </w:r>
      <w:r>
        <w:rPr>
          <w:rFonts w:ascii="Arial" w:cs="Arial" w:eastAsia="Arial" w:hAnsi="Arial"/>
          <w:sz w:val="16"/>
          <w:szCs w:val="16"/>
          <w:u w:val="single" w:color="auto"/>
          <w:color w:val="auto"/>
        </w:rPr>
        <w:t>ARTICLE SIX</w:t>
      </w:r>
      <w:r>
        <w:rPr>
          <w:rFonts w:ascii="Arial" w:cs="Arial" w:eastAsia="Arial" w:hAnsi="Arial"/>
          <w:sz w:val="16"/>
          <w:szCs w:val="16"/>
          <w:color w:val="auto"/>
        </w:rPr>
        <w:t xml:space="preserve"> means shares of Common Stock issued by the Corporation or deemed to be issued under </w:t>
      </w:r>
      <w:r>
        <w:rPr>
          <w:rFonts w:ascii="Arial" w:cs="Arial" w:eastAsia="Arial" w:hAnsi="Arial"/>
          <w:sz w:val="16"/>
          <w:szCs w:val="16"/>
          <w:u w:val="single" w:color="auto"/>
          <w:color w:val="auto"/>
        </w:rPr>
        <w:t>Section 6.5(d)(iii)</w:t>
      </w:r>
      <w:r>
        <w:rPr>
          <w:rFonts w:ascii="Arial" w:cs="Arial" w:eastAsia="Arial" w:hAnsi="Arial"/>
          <w:sz w:val="16"/>
          <w:szCs w:val="16"/>
          <w:color w:val="auto"/>
        </w:rPr>
        <w:t>, whether or not subsequently reacquired or retired by the Corporation, other than shares issued (or deemed to be issued) (1) upon conversion of the Series C Preferred Stock; (2) to employees, officers or directors of, or consultants or advisors to, the Corporation or any subsidiary pursuant to stock purchase or stock option plans or other arrangements that are approved by the Board; (3) pursuant to the exercise of options, warrants or convertible securities outstanding as of the Restatement Date; (4) in connection with a Sale/Merger Transaction; (5) pursuant to any equipment leasing arrangement, commercial credit arrangement or debt financing from a bank or similar financial institution; (6) in connection with a transaction that causes an automatic conversion of the Series C Preferred Stock; and (7) for consideration other than cash pursuant to a merger, consolidation, share exchange, acquisition or similar business combination approved by the Board.</w:t>
      </w:r>
    </w:p>
    <w:p>
      <w:pPr>
        <w:spacing w:after="0" w:line="172" w:lineRule="exact"/>
        <w:rPr>
          <w:rFonts w:ascii="Arial" w:cs="Arial" w:eastAsia="Arial" w:hAnsi="Arial"/>
          <w:sz w:val="16"/>
          <w:szCs w:val="16"/>
          <w:color w:val="auto"/>
        </w:rPr>
      </w:pPr>
    </w:p>
    <w:p>
      <w:pPr>
        <w:ind w:left="1260" w:right="220" w:firstLine="622"/>
        <w:spacing w:after="0" w:line="322" w:lineRule="auto"/>
        <w:tabs>
          <w:tab w:leader="none" w:pos="2559" w:val="left"/>
        </w:tabs>
        <w:numPr>
          <w:ilvl w:val="2"/>
          <w:numId w:val="1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Aggregate Consideration</w:t>
      </w:r>
      <w:r>
        <w:rPr>
          <w:rFonts w:ascii="Arial" w:cs="Arial" w:eastAsia="Arial" w:hAnsi="Arial"/>
          <w:sz w:val="16"/>
          <w:szCs w:val="16"/>
          <w:color w:val="auto"/>
        </w:rPr>
        <w:t xml:space="preserve">” for this </w:t>
      </w:r>
      <w:r>
        <w:rPr>
          <w:rFonts w:ascii="Arial" w:cs="Arial" w:eastAsia="Arial" w:hAnsi="Arial"/>
          <w:sz w:val="16"/>
          <w:szCs w:val="16"/>
          <w:u w:val="single" w:color="auto"/>
          <w:color w:val="auto"/>
        </w:rPr>
        <w:t>ARTICLE SIX</w:t>
      </w:r>
      <w:r>
        <w:rPr>
          <w:rFonts w:ascii="Arial" w:cs="Arial" w:eastAsia="Arial" w:hAnsi="Arial"/>
          <w:sz w:val="16"/>
          <w:szCs w:val="16"/>
          <w:color w:val="auto"/>
        </w:rPr>
        <w:t xml:space="preserve"> means, for any issuance or sale, or deemed issuance or sale, of Additional Common Stock, the net consideration received by the Corporation, as determined in accordance with GAAP.</w:t>
      </w:r>
    </w:p>
    <w:p>
      <w:pPr>
        <w:spacing w:after="0" w:line="135" w:lineRule="exact"/>
        <w:rPr>
          <w:rFonts w:ascii="Arial" w:cs="Arial" w:eastAsia="Arial" w:hAnsi="Arial"/>
          <w:sz w:val="16"/>
          <w:szCs w:val="16"/>
          <w:color w:val="auto"/>
        </w:rPr>
      </w:pPr>
    </w:p>
    <w:p>
      <w:pPr>
        <w:ind w:left="1260" w:right="580" w:firstLine="622"/>
        <w:spacing w:after="0" w:line="289" w:lineRule="auto"/>
        <w:tabs>
          <w:tab w:leader="none" w:pos="2559" w:val="left"/>
        </w:tabs>
        <w:numPr>
          <w:ilvl w:val="2"/>
          <w:numId w:val="1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Convertible Securities</w:t>
      </w:r>
      <w:r>
        <w:rPr>
          <w:rFonts w:ascii="Arial" w:cs="Arial" w:eastAsia="Arial" w:hAnsi="Arial"/>
          <w:sz w:val="17"/>
          <w:szCs w:val="17"/>
          <w:color w:val="auto"/>
        </w:rPr>
        <w:t xml:space="preserve">” for this </w:t>
      </w:r>
      <w:r>
        <w:rPr>
          <w:rFonts w:ascii="Arial" w:cs="Arial" w:eastAsia="Arial" w:hAnsi="Arial"/>
          <w:sz w:val="17"/>
          <w:szCs w:val="17"/>
          <w:u w:val="single" w:color="auto"/>
          <w:color w:val="auto"/>
        </w:rPr>
        <w:t>ARTICLE SIX</w:t>
      </w:r>
      <w:r>
        <w:rPr>
          <w:rFonts w:ascii="Arial" w:cs="Arial" w:eastAsia="Arial" w:hAnsi="Arial"/>
          <w:sz w:val="17"/>
          <w:szCs w:val="17"/>
          <w:color w:val="auto"/>
        </w:rPr>
        <w:t xml:space="preserve"> means rights or options for the purchase of, or stock or other securities convertible into, Additional Common Stock.</w:t>
      </w:r>
    </w:p>
    <w:p>
      <w:pPr>
        <w:spacing w:after="0" w:line="158" w:lineRule="exact"/>
        <w:rPr>
          <w:rFonts w:ascii="Arial" w:cs="Arial" w:eastAsia="Arial" w:hAnsi="Arial"/>
          <w:sz w:val="17"/>
          <w:szCs w:val="17"/>
          <w:color w:val="auto"/>
        </w:rPr>
      </w:pPr>
    </w:p>
    <w:p>
      <w:pPr>
        <w:ind w:left="1260" w:right="400" w:firstLine="622"/>
        <w:spacing w:after="0" w:line="273" w:lineRule="auto"/>
        <w:tabs>
          <w:tab w:leader="none" w:pos="2569" w:val="left"/>
        </w:tabs>
        <w:numPr>
          <w:ilvl w:val="2"/>
          <w:numId w:val="1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Price</w:t>
      </w:r>
      <w:r>
        <w:rPr>
          <w:rFonts w:ascii="Arial" w:cs="Arial" w:eastAsia="Arial" w:hAnsi="Arial"/>
          <w:sz w:val="17"/>
          <w:szCs w:val="17"/>
          <w:color w:val="auto"/>
        </w:rPr>
        <w:t xml:space="preserve">” for this </w:t>
      </w:r>
      <w:r>
        <w:rPr>
          <w:rFonts w:ascii="Arial" w:cs="Arial" w:eastAsia="Arial" w:hAnsi="Arial"/>
          <w:sz w:val="17"/>
          <w:szCs w:val="17"/>
          <w:u w:val="single" w:color="auto"/>
          <w:color w:val="auto"/>
        </w:rPr>
        <w:t>ARTICLE SIX</w:t>
      </w:r>
      <w:r>
        <w:rPr>
          <w:rFonts w:ascii="Arial" w:cs="Arial" w:eastAsia="Arial" w:hAnsi="Arial"/>
          <w:sz w:val="17"/>
          <w:szCs w:val="17"/>
          <w:color w:val="auto"/>
        </w:rPr>
        <w:t xml:space="preserve"> means the quotient of (1) the Aggregate Consideration received in an issuance or sale (or deemed issuance or sale) of Additional Common Stock divided by (2) the total number of shares of Additional Common Stock issued or sold (or deemed to have been issued or sold) in such transaction.</w:t>
      </w:r>
    </w:p>
    <w:p>
      <w:pPr>
        <w:sectPr>
          <w:pgSz w:w="11900" w:h="16857" w:orient="portrait"/>
          <w:cols w:equalWidth="0" w:num="1">
            <w:col w:w="10780"/>
          </w:cols>
          <w:pgMar w:left="880" w:top="127" w:right="239" w:bottom="0" w:gutter="0" w:footer="0" w:header="0"/>
        </w:sectPr>
      </w:pPr>
    </w:p>
    <w:bookmarkStart w:id="204" w:name="page205"/>
    <w:bookmarkEnd w:id="204"/>
    <w:p>
      <w:pPr>
        <w:spacing w:after="0" w:line="38" w:lineRule="exact"/>
        <w:rPr>
          <w:sz w:val="20"/>
          <w:szCs w:val="20"/>
          <w:color w:val="auto"/>
        </w:rPr>
      </w:pPr>
    </w:p>
    <w:p>
      <w:pPr>
        <w:ind w:left="2586" w:hanging="698"/>
        <w:spacing w:after="0"/>
        <w:tabs>
          <w:tab w:leader="none" w:pos="2586" w:val="left"/>
        </w:tabs>
        <w:numPr>
          <w:ilvl w:val="2"/>
          <w:numId w:val="1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Series C Conversion Amount</w:t>
      </w:r>
      <w:r>
        <w:rPr>
          <w:rFonts w:ascii="Arial" w:cs="Arial" w:eastAsia="Arial" w:hAnsi="Arial"/>
          <w:sz w:val="16"/>
          <w:szCs w:val="16"/>
          <w:color w:val="auto"/>
        </w:rPr>
        <w:t>” means the quotient of (1) the Series C Purchase Price divided by (2) the Series C</w:t>
      </w:r>
    </w:p>
    <w:p>
      <w:pPr>
        <w:spacing w:after="0" w:line="37" w:lineRule="exact"/>
        <w:rPr>
          <w:rFonts w:ascii="Arial" w:cs="Arial" w:eastAsia="Arial" w:hAnsi="Arial"/>
          <w:sz w:val="16"/>
          <w:szCs w:val="16"/>
          <w:color w:val="auto"/>
        </w:rPr>
      </w:pPr>
    </w:p>
    <w:p>
      <w:pPr>
        <w:ind w:left="1266"/>
        <w:spacing w:after="0"/>
        <w:rPr>
          <w:rFonts w:ascii="Arial" w:cs="Arial" w:eastAsia="Arial" w:hAnsi="Arial"/>
          <w:sz w:val="16"/>
          <w:szCs w:val="16"/>
          <w:color w:val="auto"/>
        </w:rPr>
      </w:pPr>
      <w:r>
        <w:rPr>
          <w:rFonts w:ascii="Arial" w:cs="Arial" w:eastAsia="Arial" w:hAnsi="Arial"/>
          <w:sz w:val="17"/>
          <w:szCs w:val="17"/>
          <w:color w:val="auto"/>
        </w:rPr>
        <w:t>Conversion Price.</w:t>
      </w:r>
    </w:p>
    <w:p>
      <w:pPr>
        <w:spacing w:after="0" w:line="212" w:lineRule="exact"/>
        <w:rPr>
          <w:rFonts w:ascii="Arial" w:cs="Arial" w:eastAsia="Arial" w:hAnsi="Arial"/>
          <w:sz w:val="16"/>
          <w:szCs w:val="16"/>
          <w:color w:val="auto"/>
        </w:rPr>
      </w:pPr>
    </w:p>
    <w:p>
      <w:pPr>
        <w:ind w:left="1266" w:right="20" w:firstLine="622"/>
        <w:spacing w:after="0" w:line="273" w:lineRule="auto"/>
        <w:tabs>
          <w:tab w:leader="none" w:pos="2589" w:val="left"/>
        </w:tabs>
        <w:numPr>
          <w:ilvl w:val="2"/>
          <w:numId w:val="1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C Conversion Price</w:t>
      </w:r>
      <w:r>
        <w:rPr>
          <w:rFonts w:ascii="Arial" w:cs="Arial" w:eastAsia="Arial" w:hAnsi="Arial"/>
          <w:sz w:val="17"/>
          <w:szCs w:val="17"/>
          <w:color w:val="auto"/>
        </w:rPr>
        <w:t xml:space="preserve">” means, as of the Restatement Date, $0.40032, and will be adjusted from time to time thereafter in accordance with this </w:t>
      </w:r>
      <w:r>
        <w:rPr>
          <w:rFonts w:ascii="Arial" w:cs="Arial" w:eastAsia="Arial" w:hAnsi="Arial"/>
          <w:sz w:val="17"/>
          <w:szCs w:val="17"/>
          <w:u w:val="single" w:color="auto"/>
          <w:color w:val="auto"/>
        </w:rPr>
        <w:t>Section 6.5</w:t>
      </w:r>
      <w:r>
        <w:rPr>
          <w:rFonts w:ascii="Arial" w:cs="Arial" w:eastAsia="Arial" w:hAnsi="Arial"/>
          <w:sz w:val="17"/>
          <w:szCs w:val="17"/>
          <w:color w:val="auto"/>
        </w:rPr>
        <w:t>. All references to the Series C Conversion Price are to the Series C Conversion Price as so adjusted.</w:t>
      </w:r>
    </w:p>
    <w:p>
      <w:pPr>
        <w:spacing w:after="0" w:line="171" w:lineRule="exact"/>
        <w:rPr>
          <w:rFonts w:ascii="Arial" w:cs="Arial" w:eastAsia="Arial" w:hAnsi="Arial"/>
          <w:sz w:val="17"/>
          <w:szCs w:val="17"/>
          <w:color w:val="auto"/>
        </w:rPr>
      </w:pPr>
    </w:p>
    <w:p>
      <w:pPr>
        <w:ind w:left="6" w:right="260" w:firstLine="623"/>
        <w:spacing w:after="0" w:line="300" w:lineRule="auto"/>
        <w:tabs>
          <w:tab w:leader="none" w:pos="1319" w:val="left"/>
        </w:tabs>
        <w:numPr>
          <w:ilvl w:val="1"/>
          <w:numId w:val="145"/>
        </w:numPr>
        <w:rPr>
          <w:rFonts w:ascii="Arial" w:cs="Arial" w:eastAsia="Arial" w:hAnsi="Arial"/>
          <w:sz w:val="15"/>
          <w:szCs w:val="15"/>
          <w:color w:val="auto"/>
        </w:rPr>
      </w:pPr>
      <w:r>
        <w:rPr>
          <w:rFonts w:ascii="Arial" w:cs="Arial" w:eastAsia="Arial" w:hAnsi="Arial"/>
          <w:sz w:val="15"/>
          <w:szCs w:val="15"/>
          <w:u w:val="single" w:color="auto"/>
          <w:color w:val="auto"/>
        </w:rPr>
        <w:t>Adjustment for Diluting Issues</w:t>
      </w:r>
      <w:r>
        <w:rPr>
          <w:rFonts w:ascii="Arial" w:cs="Arial" w:eastAsia="Arial" w:hAnsi="Arial"/>
          <w:sz w:val="15"/>
          <w:szCs w:val="15"/>
          <w:color w:val="auto"/>
        </w:rPr>
        <w:t>. If at any time or from time to time after the Restatement Date the Corporation issues or sells, or is deemed by the express provisions of this Section to have issued or sold, for gross proceeds of at least $200,000, Additional Common Stock (other than</w:t>
      </w:r>
    </w:p>
    <w:p>
      <w:pPr>
        <w:ind w:left="286" w:hanging="286"/>
        <w:spacing w:after="0"/>
        <w:tabs>
          <w:tab w:leader="none" w:pos="28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as a dividend or other distribution on any class</w:t>
      </w:r>
    </w:p>
    <w:p>
      <w:pPr>
        <w:spacing w:after="0" w:line="212" w:lineRule="exact"/>
        <w:rPr>
          <w:sz w:val="20"/>
          <w:szCs w:val="20"/>
          <w:color w:val="auto"/>
        </w:rPr>
      </w:pPr>
    </w:p>
    <w:p>
      <w:pPr>
        <w:ind w:left="4986"/>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right="120"/>
        <w:spacing w:after="0" w:line="268" w:lineRule="auto"/>
        <w:rPr>
          <w:sz w:val="20"/>
          <w:szCs w:val="20"/>
          <w:color w:val="auto"/>
        </w:rPr>
      </w:pPr>
      <w:r>
        <w:rPr>
          <w:rFonts w:ascii="Arial" w:cs="Arial" w:eastAsia="Arial" w:hAnsi="Arial"/>
          <w:sz w:val="17"/>
          <w:szCs w:val="17"/>
          <w:color w:val="auto"/>
        </w:rPr>
        <w:t xml:space="preserve">of stock as provided in </w:t>
      </w:r>
      <w:r>
        <w:rPr>
          <w:rFonts w:ascii="Arial" w:cs="Arial" w:eastAsia="Arial" w:hAnsi="Arial"/>
          <w:sz w:val="17"/>
          <w:szCs w:val="17"/>
          <w:u w:val="single" w:color="auto"/>
          <w:color w:val="auto"/>
        </w:rPr>
        <w:t>Section 6.5(d)(ii)</w:t>
      </w:r>
      <w:r>
        <w:rPr>
          <w:rFonts w:ascii="Arial" w:cs="Arial" w:eastAsia="Arial" w:hAnsi="Arial"/>
          <w:sz w:val="17"/>
          <w:szCs w:val="17"/>
          <w:color w:val="auto"/>
        </w:rPr>
        <w:t xml:space="preserve"> or (B) as a subdivision or combination of shares of stock as provided in </w:t>
      </w:r>
      <w:r>
        <w:rPr>
          <w:rFonts w:ascii="Arial" w:cs="Arial" w:eastAsia="Arial" w:hAnsi="Arial"/>
          <w:sz w:val="17"/>
          <w:szCs w:val="17"/>
          <w:u w:val="single" w:color="auto"/>
          <w:color w:val="auto"/>
        </w:rPr>
        <w:t>Section 6.5(d)(i))</w:t>
      </w:r>
      <w:r>
        <w:rPr>
          <w:rFonts w:ascii="Arial" w:cs="Arial" w:eastAsia="Arial" w:hAnsi="Arial"/>
          <w:sz w:val="17"/>
          <w:szCs w:val="17"/>
          <w:color w:val="auto"/>
        </w:rPr>
        <w:t xml:space="preserve"> for an Effective Price (determined in accordance with GAAP) less than the then-effective Series C Conversion Price, then and in each such case the then-existing Series C Conversion Price will be reduced, as of the opening of business on the date of such issue or sale, by multiplying it by the number determined by the following formula:</w:t>
      </w:r>
    </w:p>
    <w:p>
      <w:pPr>
        <w:spacing w:after="0" w:line="176" w:lineRule="exact"/>
        <w:rPr>
          <w:sz w:val="20"/>
          <w:szCs w:val="20"/>
          <w:color w:val="auto"/>
        </w:rPr>
      </w:pPr>
    </w:p>
    <w:p>
      <w:pPr>
        <w:ind w:left="626"/>
        <w:spacing w:after="0"/>
        <w:rPr>
          <w:sz w:val="20"/>
          <w:szCs w:val="20"/>
          <w:color w:val="auto"/>
        </w:rPr>
      </w:pPr>
      <w:r>
        <w:rPr>
          <w:rFonts w:ascii="Arial" w:cs="Arial" w:eastAsia="Arial" w:hAnsi="Arial"/>
          <w:sz w:val="17"/>
          <w:szCs w:val="17"/>
          <w:color w:val="auto"/>
        </w:rPr>
        <w:t>1/(1+w), where</w:t>
      </w:r>
    </w:p>
    <w:p>
      <w:pPr>
        <w:spacing w:after="0" w:line="224" w:lineRule="exact"/>
        <w:rPr>
          <w:sz w:val="20"/>
          <w:szCs w:val="20"/>
          <w:color w:val="auto"/>
        </w:rPr>
      </w:pPr>
    </w:p>
    <w:tbl>
      <w:tblPr>
        <w:tblLayout w:type="fixed"/>
        <w:tblInd w:w="626" w:type="dxa"/>
        <w:tblCellMar>
          <w:top w:w="0" w:type="dxa"/>
          <w:left w:w="0" w:type="dxa"/>
          <w:bottom w:w="0" w:type="dxa"/>
          <w:right w:w="0" w:type="dxa"/>
        </w:tblCellMar>
      </w:tblPr>
      <w:tr>
        <w:trPr>
          <w:trHeight w:val="222"/>
        </w:trPr>
        <w:tc>
          <w:tcPr>
            <w:tcW w:w="380" w:type="dxa"/>
            <w:vAlign w:val="bottom"/>
          </w:tcPr>
          <w:p>
            <w:pPr>
              <w:spacing w:after="0"/>
              <w:rPr>
                <w:sz w:val="20"/>
                <w:szCs w:val="20"/>
                <w:color w:val="auto"/>
              </w:rPr>
            </w:pPr>
            <w:r>
              <w:rPr>
                <w:rFonts w:ascii="Arial" w:cs="Arial" w:eastAsia="Arial" w:hAnsi="Arial"/>
                <w:sz w:val="17"/>
                <w:szCs w:val="17"/>
                <w:color w:val="auto"/>
              </w:rPr>
              <w:t>w =</w:t>
            </w:r>
          </w:p>
        </w:tc>
        <w:tc>
          <w:tcPr>
            <w:tcW w:w="9760" w:type="dxa"/>
            <w:vAlign w:val="bottom"/>
            <w:gridSpan w:val="5"/>
          </w:tcPr>
          <w:p>
            <w:pPr>
              <w:ind w:left="140"/>
              <w:spacing w:after="0"/>
              <w:rPr>
                <w:sz w:val="20"/>
                <w:szCs w:val="20"/>
                <w:color w:val="auto"/>
              </w:rPr>
            </w:pPr>
            <w:r>
              <w:rPr>
                <w:rFonts w:ascii="Arial" w:cs="Arial" w:eastAsia="Arial" w:hAnsi="Arial"/>
                <w:sz w:val="17"/>
                <w:szCs w:val="17"/>
                <w:color w:val="auto"/>
              </w:rPr>
              <w:t>[((X+Z)/(X+Y))—1]/(1—P);</w:t>
            </w:r>
          </w:p>
        </w:tc>
      </w:tr>
      <w:tr>
        <w:trPr>
          <w:trHeight w:val="419"/>
        </w:trPr>
        <w:tc>
          <w:tcPr>
            <w:tcW w:w="380" w:type="dxa"/>
            <w:vAlign w:val="bottom"/>
          </w:tcPr>
          <w:p>
            <w:pPr>
              <w:spacing w:after="0"/>
              <w:rPr>
                <w:sz w:val="20"/>
                <w:szCs w:val="20"/>
                <w:color w:val="auto"/>
              </w:rPr>
            </w:pPr>
            <w:r>
              <w:rPr>
                <w:rFonts w:ascii="Arial" w:cs="Arial" w:eastAsia="Arial" w:hAnsi="Arial"/>
                <w:sz w:val="17"/>
                <w:szCs w:val="17"/>
                <w:color w:val="auto"/>
              </w:rPr>
              <w:t>P=</w:t>
            </w:r>
          </w:p>
        </w:tc>
        <w:tc>
          <w:tcPr>
            <w:tcW w:w="9760" w:type="dxa"/>
            <w:vAlign w:val="bottom"/>
            <w:gridSpan w:val="5"/>
          </w:tcPr>
          <w:p>
            <w:pPr>
              <w:ind w:left="140"/>
              <w:spacing w:after="0"/>
              <w:rPr>
                <w:sz w:val="20"/>
                <w:szCs w:val="20"/>
                <w:color w:val="auto"/>
              </w:rPr>
            </w:pPr>
            <w:r>
              <w:rPr>
                <w:rFonts w:ascii="Arial" w:cs="Arial" w:eastAsia="Arial" w:hAnsi="Arial"/>
                <w:sz w:val="17"/>
                <w:szCs w:val="17"/>
                <w:color w:val="auto"/>
              </w:rPr>
              <w:t>C/(X+Y);</w:t>
            </w:r>
          </w:p>
        </w:tc>
      </w:tr>
      <w:tr>
        <w:trPr>
          <w:trHeight w:val="408"/>
        </w:trPr>
        <w:tc>
          <w:tcPr>
            <w:tcW w:w="380" w:type="dxa"/>
            <w:vAlign w:val="bottom"/>
          </w:tcPr>
          <w:p>
            <w:pPr>
              <w:spacing w:after="0"/>
              <w:rPr>
                <w:sz w:val="20"/>
                <w:szCs w:val="20"/>
                <w:color w:val="auto"/>
              </w:rPr>
            </w:pPr>
            <w:r>
              <w:rPr>
                <w:rFonts w:ascii="Arial" w:cs="Arial" w:eastAsia="Arial" w:hAnsi="Arial"/>
                <w:sz w:val="17"/>
                <w:szCs w:val="17"/>
                <w:color w:val="auto"/>
              </w:rPr>
              <w:t>C=</w:t>
            </w:r>
          </w:p>
        </w:tc>
        <w:tc>
          <w:tcPr>
            <w:tcW w:w="9760" w:type="dxa"/>
            <w:vAlign w:val="bottom"/>
            <w:gridSpan w:val="5"/>
          </w:tcPr>
          <w:p>
            <w:pPr>
              <w:ind w:left="120"/>
              <w:spacing w:after="0"/>
              <w:rPr>
                <w:sz w:val="20"/>
                <w:szCs w:val="20"/>
                <w:color w:val="auto"/>
              </w:rPr>
            </w:pPr>
            <w:r>
              <w:rPr>
                <w:rFonts w:ascii="Arial" w:cs="Arial" w:eastAsia="Arial" w:hAnsi="Arial"/>
                <w:sz w:val="17"/>
                <w:szCs w:val="17"/>
                <w:color w:val="auto"/>
                <w:w w:val="95"/>
              </w:rPr>
              <w:t>the number of shares of Series C Preferred Stock immediately prior to the time of such issuance or sale multiplied by the then-effective</w:t>
            </w:r>
          </w:p>
        </w:tc>
      </w:tr>
      <w:tr>
        <w:trPr>
          <w:trHeight w:val="222"/>
        </w:trPr>
        <w:tc>
          <w:tcPr>
            <w:tcW w:w="380" w:type="dxa"/>
            <w:vAlign w:val="bottom"/>
          </w:tcPr>
          <w:p>
            <w:pPr>
              <w:spacing w:after="0"/>
              <w:rPr>
                <w:sz w:val="19"/>
                <w:szCs w:val="19"/>
                <w:color w:val="auto"/>
              </w:rPr>
            </w:pPr>
          </w:p>
        </w:tc>
        <w:tc>
          <w:tcPr>
            <w:tcW w:w="9760" w:type="dxa"/>
            <w:vAlign w:val="bottom"/>
            <w:gridSpan w:val="5"/>
          </w:tcPr>
          <w:p>
            <w:pPr>
              <w:ind w:left="120"/>
              <w:spacing w:after="0"/>
              <w:rPr>
                <w:sz w:val="20"/>
                <w:szCs w:val="20"/>
                <w:color w:val="auto"/>
              </w:rPr>
            </w:pPr>
            <w:r>
              <w:rPr>
                <w:rFonts w:ascii="Arial" w:cs="Arial" w:eastAsia="Arial" w:hAnsi="Arial"/>
                <w:sz w:val="17"/>
                <w:szCs w:val="17"/>
                <w:color w:val="auto"/>
              </w:rPr>
              <w:t>Series C Conversion Amount (the quotient of the Series C Purchase Price divided by the Series C Conversion Price); and</w:t>
            </w:r>
          </w:p>
        </w:tc>
      </w:tr>
      <w:tr>
        <w:trPr>
          <w:trHeight w:val="408"/>
        </w:trPr>
        <w:tc>
          <w:tcPr>
            <w:tcW w:w="380" w:type="dxa"/>
            <w:vAlign w:val="bottom"/>
          </w:tcPr>
          <w:p>
            <w:pPr>
              <w:spacing w:after="0"/>
              <w:rPr>
                <w:sz w:val="20"/>
                <w:szCs w:val="20"/>
                <w:color w:val="auto"/>
              </w:rPr>
            </w:pPr>
            <w:r>
              <w:rPr>
                <w:rFonts w:ascii="Arial" w:cs="Arial" w:eastAsia="Arial" w:hAnsi="Arial"/>
                <w:sz w:val="17"/>
                <w:szCs w:val="17"/>
                <w:color w:val="auto"/>
              </w:rPr>
              <w:t>X=</w:t>
            </w:r>
          </w:p>
        </w:tc>
        <w:tc>
          <w:tcPr>
            <w:tcW w:w="9760" w:type="dxa"/>
            <w:vAlign w:val="bottom"/>
            <w:gridSpan w:val="5"/>
          </w:tcPr>
          <w:p>
            <w:pPr>
              <w:ind w:left="140"/>
              <w:spacing w:after="0"/>
              <w:rPr>
                <w:sz w:val="20"/>
                <w:szCs w:val="20"/>
                <w:color w:val="auto"/>
              </w:rPr>
            </w:pPr>
            <w:r>
              <w:rPr>
                <w:rFonts w:ascii="Arial" w:cs="Arial" w:eastAsia="Arial" w:hAnsi="Arial"/>
                <w:sz w:val="17"/>
                <w:szCs w:val="17"/>
                <w:color w:val="auto"/>
                <w:w w:val="92"/>
              </w:rPr>
              <w:t>the sum of the following (i) the total number of shares of Common Stock issued and outstanding, or deemed to be issued and outstanding</w:t>
            </w:r>
          </w:p>
        </w:tc>
      </w:tr>
      <w:tr>
        <w:trPr>
          <w:trHeight w:val="183"/>
        </w:trPr>
        <w:tc>
          <w:tcPr>
            <w:tcW w:w="380" w:type="dxa"/>
            <w:vAlign w:val="bottom"/>
          </w:tcPr>
          <w:p>
            <w:pPr>
              <w:spacing w:after="0"/>
              <w:rPr>
                <w:sz w:val="15"/>
                <w:szCs w:val="15"/>
                <w:color w:val="auto"/>
              </w:rPr>
            </w:pPr>
          </w:p>
        </w:tc>
        <w:tc>
          <w:tcPr>
            <w:tcW w:w="9760" w:type="dxa"/>
            <w:vAlign w:val="bottom"/>
            <w:gridSpan w:val="5"/>
          </w:tcPr>
          <w:p>
            <w:pPr>
              <w:ind w:left="120"/>
              <w:spacing w:after="0" w:line="183" w:lineRule="exact"/>
              <w:rPr>
                <w:sz w:val="20"/>
                <w:szCs w:val="20"/>
                <w:color w:val="auto"/>
              </w:rPr>
            </w:pPr>
            <w:r>
              <w:rPr>
                <w:rFonts w:ascii="Arial" w:cs="Arial" w:eastAsia="Arial" w:hAnsi="Arial"/>
                <w:sz w:val="17"/>
                <w:szCs w:val="17"/>
                <w:color w:val="auto"/>
                <w:w w:val="97"/>
              </w:rPr>
              <w:t>under this Section 6.5(d)(iii), (ii) the total number of shares of Common Stock reserved for nonexercised stock options granted, and</w:t>
            </w:r>
          </w:p>
        </w:tc>
      </w:tr>
      <w:tr>
        <w:trPr>
          <w:trHeight w:val="20"/>
        </w:trPr>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7"/>
        </w:trPr>
        <w:tc>
          <w:tcPr>
            <w:tcW w:w="380" w:type="dxa"/>
            <w:vAlign w:val="bottom"/>
          </w:tcPr>
          <w:p>
            <w:pPr>
              <w:spacing w:after="0"/>
              <w:rPr>
                <w:sz w:val="18"/>
                <w:szCs w:val="18"/>
                <w:color w:val="auto"/>
              </w:rPr>
            </w:pPr>
          </w:p>
        </w:tc>
        <w:tc>
          <w:tcPr>
            <w:tcW w:w="9760" w:type="dxa"/>
            <w:vAlign w:val="bottom"/>
            <w:gridSpan w:val="5"/>
          </w:tcPr>
          <w:p>
            <w:pPr>
              <w:ind w:left="120"/>
              <w:spacing w:after="0"/>
              <w:rPr>
                <w:sz w:val="20"/>
                <w:szCs w:val="20"/>
                <w:color w:val="auto"/>
              </w:rPr>
            </w:pPr>
            <w:r>
              <w:rPr>
                <w:rFonts w:ascii="Arial" w:cs="Arial" w:eastAsia="Arial" w:hAnsi="Arial"/>
                <w:sz w:val="17"/>
                <w:szCs w:val="17"/>
                <w:color w:val="auto"/>
                <w:w w:val="95"/>
              </w:rPr>
              <w:t>(iii) the total number of shares of Common Stock reserved and available for issuance under stock option plans, immediately prior to the</w:t>
            </w:r>
          </w:p>
        </w:tc>
      </w:tr>
      <w:tr>
        <w:trPr>
          <w:trHeight w:val="222"/>
        </w:trPr>
        <w:tc>
          <w:tcPr>
            <w:tcW w:w="380" w:type="dxa"/>
            <w:vAlign w:val="bottom"/>
          </w:tcPr>
          <w:p>
            <w:pPr>
              <w:spacing w:after="0"/>
              <w:rPr>
                <w:sz w:val="19"/>
                <w:szCs w:val="19"/>
                <w:color w:val="auto"/>
              </w:rPr>
            </w:pPr>
          </w:p>
        </w:tc>
        <w:tc>
          <w:tcPr>
            <w:tcW w:w="9760" w:type="dxa"/>
            <w:vAlign w:val="bottom"/>
            <w:gridSpan w:val="5"/>
          </w:tcPr>
          <w:p>
            <w:pPr>
              <w:ind w:left="120"/>
              <w:spacing w:after="0"/>
              <w:rPr>
                <w:sz w:val="20"/>
                <w:szCs w:val="20"/>
                <w:color w:val="auto"/>
              </w:rPr>
            </w:pPr>
            <w:r>
              <w:rPr>
                <w:rFonts w:ascii="Arial" w:cs="Arial" w:eastAsia="Arial" w:hAnsi="Arial"/>
                <w:sz w:val="17"/>
                <w:szCs w:val="17"/>
                <w:color w:val="auto"/>
              </w:rPr>
              <w:t>time of such issuance or sale;</w:t>
            </w:r>
          </w:p>
        </w:tc>
      </w:tr>
      <w:tr>
        <w:trPr>
          <w:trHeight w:val="408"/>
        </w:trPr>
        <w:tc>
          <w:tcPr>
            <w:tcW w:w="380" w:type="dxa"/>
            <w:vAlign w:val="bottom"/>
          </w:tcPr>
          <w:p>
            <w:pPr>
              <w:spacing w:after="0"/>
              <w:rPr>
                <w:sz w:val="20"/>
                <w:szCs w:val="20"/>
                <w:color w:val="auto"/>
              </w:rPr>
            </w:pPr>
            <w:r>
              <w:rPr>
                <w:rFonts w:ascii="Arial" w:cs="Arial" w:eastAsia="Arial" w:hAnsi="Arial"/>
                <w:sz w:val="17"/>
                <w:szCs w:val="17"/>
                <w:color w:val="auto"/>
              </w:rPr>
              <w:t>Y=</w:t>
            </w:r>
          </w:p>
        </w:tc>
        <w:tc>
          <w:tcPr>
            <w:tcW w:w="9760" w:type="dxa"/>
            <w:vAlign w:val="bottom"/>
            <w:gridSpan w:val="5"/>
          </w:tcPr>
          <w:p>
            <w:pPr>
              <w:ind w:left="140"/>
              <w:spacing w:after="0"/>
              <w:rPr>
                <w:sz w:val="20"/>
                <w:szCs w:val="20"/>
                <w:color w:val="auto"/>
              </w:rPr>
            </w:pPr>
            <w:r>
              <w:rPr>
                <w:rFonts w:ascii="Arial" w:cs="Arial" w:eastAsia="Arial" w:hAnsi="Arial"/>
                <w:sz w:val="17"/>
                <w:szCs w:val="17"/>
                <w:color w:val="auto"/>
                <w:w w:val="91"/>
              </w:rPr>
              <w:t>the number of shares of Common Stock that could have been purchased for the Aggregate Consideration at the Series C Conversion Price</w:t>
            </w:r>
          </w:p>
        </w:tc>
      </w:tr>
      <w:tr>
        <w:trPr>
          <w:trHeight w:val="222"/>
        </w:trPr>
        <w:tc>
          <w:tcPr>
            <w:tcW w:w="380" w:type="dxa"/>
            <w:vAlign w:val="bottom"/>
          </w:tcPr>
          <w:p>
            <w:pPr>
              <w:spacing w:after="0"/>
              <w:rPr>
                <w:sz w:val="19"/>
                <w:szCs w:val="19"/>
                <w:color w:val="auto"/>
              </w:rPr>
            </w:pPr>
          </w:p>
        </w:tc>
        <w:tc>
          <w:tcPr>
            <w:tcW w:w="9760" w:type="dxa"/>
            <w:vAlign w:val="bottom"/>
            <w:gridSpan w:val="5"/>
          </w:tcPr>
          <w:p>
            <w:pPr>
              <w:ind w:left="120"/>
              <w:spacing w:after="0"/>
              <w:rPr>
                <w:sz w:val="20"/>
                <w:szCs w:val="20"/>
                <w:color w:val="auto"/>
              </w:rPr>
            </w:pPr>
            <w:r>
              <w:rPr>
                <w:rFonts w:ascii="Arial" w:cs="Arial" w:eastAsia="Arial" w:hAnsi="Arial"/>
                <w:sz w:val="17"/>
                <w:szCs w:val="17"/>
                <w:color w:val="auto"/>
              </w:rPr>
              <w:t>in effect immediately prior to such reduction;</w:t>
            </w:r>
          </w:p>
        </w:tc>
      </w:tr>
      <w:tr>
        <w:trPr>
          <w:trHeight w:val="381"/>
        </w:trPr>
        <w:tc>
          <w:tcPr>
            <w:tcW w:w="380" w:type="dxa"/>
            <w:vAlign w:val="bottom"/>
          </w:tcPr>
          <w:p>
            <w:pPr>
              <w:spacing w:after="0"/>
              <w:rPr>
                <w:sz w:val="20"/>
                <w:szCs w:val="20"/>
                <w:color w:val="auto"/>
              </w:rPr>
            </w:pPr>
            <w:r>
              <w:rPr>
                <w:rFonts w:ascii="Arial" w:cs="Arial" w:eastAsia="Arial" w:hAnsi="Arial"/>
                <w:sz w:val="17"/>
                <w:szCs w:val="17"/>
                <w:color w:val="auto"/>
              </w:rPr>
              <w:t>Z=</w:t>
            </w:r>
          </w:p>
        </w:tc>
        <w:tc>
          <w:tcPr>
            <w:tcW w:w="9760" w:type="dxa"/>
            <w:vAlign w:val="bottom"/>
            <w:gridSpan w:val="5"/>
          </w:tcPr>
          <w:p>
            <w:pPr>
              <w:ind w:left="140"/>
              <w:spacing w:after="0"/>
              <w:rPr>
                <w:sz w:val="20"/>
                <w:szCs w:val="20"/>
                <w:color w:val="auto"/>
              </w:rPr>
            </w:pPr>
            <w:r>
              <w:rPr>
                <w:rFonts w:ascii="Arial" w:cs="Arial" w:eastAsia="Arial" w:hAnsi="Arial"/>
                <w:sz w:val="17"/>
                <w:szCs w:val="17"/>
                <w:color w:val="auto"/>
                <w:w w:val="93"/>
              </w:rPr>
              <w:t>the number of shares of Common Stock issued or sold, or deemed to be issued or sold under Section 6.5(d)(iii), in such issuance or sale.</w:t>
            </w:r>
          </w:p>
        </w:tc>
      </w:tr>
      <w:tr>
        <w:trPr>
          <w:trHeight w:val="20"/>
        </w:trPr>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24" w:lineRule="exact"/>
        <w:rPr>
          <w:sz w:val="20"/>
          <w:szCs w:val="20"/>
          <w:color w:val="auto"/>
        </w:rPr>
      </w:pPr>
    </w:p>
    <w:p>
      <w:pPr>
        <w:ind w:left="626" w:firstLine="633"/>
        <w:spacing w:after="0" w:line="262" w:lineRule="auto"/>
        <w:tabs>
          <w:tab w:leader="none" w:pos="1944"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Adjustment for Stock Splits and Combinations</w:t>
      </w:r>
      <w:r>
        <w:rPr>
          <w:rFonts w:ascii="Arial" w:cs="Arial" w:eastAsia="Arial" w:hAnsi="Arial"/>
          <w:sz w:val="17"/>
          <w:szCs w:val="17"/>
          <w:color w:val="auto"/>
        </w:rPr>
        <w:t xml:space="preserve">. If the Corporation at any time or from time to time after the Restatement Date effects a subdivision of the outstanding Common Stock without a corresponding subdivision of the Series C Preferred Stock, the Series C Conversion Price in effect immediately before that subdivision will be proportionately decreased. Conversely, if the Corporation at any time or from time to time after the Restatement Date combines the outstanding shares of Common Stock into a smaller number of shares without a corresponding combination of the Series C Preferred Stock, the Series C Conversion Price in effect immediately before the combination will be proportionately increased. Any adjustment under this </w:t>
      </w:r>
      <w:r>
        <w:rPr>
          <w:rFonts w:ascii="Arial" w:cs="Arial" w:eastAsia="Arial" w:hAnsi="Arial"/>
          <w:sz w:val="17"/>
          <w:szCs w:val="17"/>
          <w:u w:val="single" w:color="auto"/>
          <w:color w:val="auto"/>
        </w:rPr>
        <w:t>Section 6.5(d)(i)</w:t>
      </w:r>
      <w:r>
        <w:rPr>
          <w:rFonts w:ascii="Arial" w:cs="Arial" w:eastAsia="Arial" w:hAnsi="Arial"/>
          <w:sz w:val="17"/>
          <w:szCs w:val="17"/>
          <w:color w:val="auto"/>
        </w:rPr>
        <w:t xml:space="preserve"> will become effective at the close of business on the date the subdivision or combination becomes effective.</w:t>
      </w:r>
    </w:p>
    <w:p>
      <w:pPr>
        <w:spacing w:after="0" w:line="184" w:lineRule="exact"/>
        <w:rPr>
          <w:sz w:val="20"/>
          <w:szCs w:val="20"/>
          <w:color w:val="auto"/>
        </w:rPr>
      </w:pPr>
    </w:p>
    <w:p>
      <w:pPr>
        <w:ind w:left="4986"/>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26" w:right="20" w:firstLine="633"/>
        <w:spacing w:after="0" w:line="265" w:lineRule="auto"/>
        <w:tabs>
          <w:tab w:leader="none" w:pos="1949"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Adjustment for Common Stock Dividends and Distributions</w:t>
      </w:r>
      <w:r>
        <w:rPr>
          <w:rFonts w:ascii="Arial" w:cs="Arial" w:eastAsia="Arial" w:hAnsi="Arial"/>
          <w:sz w:val="17"/>
          <w:szCs w:val="17"/>
          <w:color w:val="auto"/>
        </w:rPr>
        <w:t>. If the Corporation at any time or from time to time after the Restatement Date makes, or fixes a record date for the determination of holders of Common Stock entitled to receive, a dividend or other distribution payable in additional shares of Common Stock, in each such event the Series C Conversion Price that is then in effect will be decreased as of the time of such issuance or, in the event such record date is fixed, as of the close of business on such record date, by multiplying the Series C Conversion Price then in effect by the result of the following formula:</w:t>
      </w:r>
    </w:p>
    <w:p>
      <w:pPr>
        <w:spacing w:after="0" w:line="179" w:lineRule="exact"/>
        <w:rPr>
          <w:sz w:val="20"/>
          <w:szCs w:val="20"/>
          <w:color w:val="auto"/>
        </w:rPr>
      </w:pPr>
    </w:p>
    <w:p>
      <w:pPr>
        <w:ind w:left="626"/>
        <w:spacing w:after="0"/>
        <w:rPr>
          <w:sz w:val="20"/>
          <w:szCs w:val="20"/>
          <w:color w:val="auto"/>
        </w:rPr>
      </w:pPr>
      <w:r>
        <w:rPr>
          <w:rFonts w:ascii="Arial" w:cs="Arial" w:eastAsia="Arial" w:hAnsi="Arial"/>
          <w:sz w:val="17"/>
          <w:szCs w:val="17"/>
          <w:color w:val="auto"/>
        </w:rPr>
        <w:t>X / (Y+Z), where</w:t>
      </w:r>
    </w:p>
    <w:p>
      <w:pPr>
        <w:spacing w:after="0" w:line="224" w:lineRule="exact"/>
        <w:rPr>
          <w:sz w:val="20"/>
          <w:szCs w:val="20"/>
          <w:color w:val="auto"/>
        </w:rPr>
      </w:pPr>
    </w:p>
    <w:p>
      <w:pPr>
        <w:ind w:left="1126" w:right="540" w:hanging="502"/>
        <w:spacing w:after="0" w:line="289" w:lineRule="auto"/>
        <w:tabs>
          <w:tab w:leader="none" w:pos="1105" w:val="left"/>
        </w:tabs>
        <w:rPr>
          <w:sz w:val="20"/>
          <w:szCs w:val="20"/>
          <w:color w:val="auto"/>
        </w:rPr>
      </w:pPr>
      <w:r>
        <w:rPr>
          <w:rFonts w:ascii="Arial" w:cs="Arial" w:eastAsia="Arial" w:hAnsi="Arial"/>
          <w:sz w:val="17"/>
          <w:szCs w:val="17"/>
          <w:color w:val="auto"/>
        </w:rPr>
        <w:t>X =</w:t>
        <w:tab/>
        <w:t>the total number of shares of Common Stock issued and outstanding immediately prior to the time of such issuance or the close of business on such record date;</w:t>
      </w:r>
    </w:p>
    <w:p>
      <w:pPr>
        <w:spacing w:after="0" w:line="158" w:lineRule="exact"/>
        <w:rPr>
          <w:sz w:val="20"/>
          <w:szCs w:val="20"/>
          <w:color w:val="auto"/>
        </w:rPr>
      </w:pPr>
    </w:p>
    <w:p>
      <w:pPr>
        <w:ind w:left="1126" w:right="540" w:hanging="502"/>
        <w:spacing w:after="0" w:line="289" w:lineRule="auto"/>
        <w:tabs>
          <w:tab w:leader="none" w:pos="1105" w:val="left"/>
        </w:tabs>
        <w:rPr>
          <w:sz w:val="20"/>
          <w:szCs w:val="20"/>
          <w:color w:val="auto"/>
        </w:rPr>
      </w:pPr>
      <w:r>
        <w:rPr>
          <w:rFonts w:ascii="Arial" w:cs="Arial" w:eastAsia="Arial" w:hAnsi="Arial"/>
          <w:sz w:val="17"/>
          <w:szCs w:val="17"/>
          <w:color w:val="auto"/>
        </w:rPr>
        <w:t>Y =</w:t>
        <w:tab/>
        <w:t>the total number of shares of Common Stock issued and outstanding immediately prior to the time of such issuance or the close of business on such record date; and</w:t>
      </w:r>
    </w:p>
    <w:p>
      <w:pPr>
        <w:spacing w:after="0" w:line="158" w:lineRule="exact"/>
        <w:rPr>
          <w:sz w:val="20"/>
          <w:szCs w:val="20"/>
          <w:color w:val="auto"/>
        </w:rPr>
      </w:pPr>
    </w:p>
    <w:p>
      <w:pPr>
        <w:ind w:left="626"/>
        <w:spacing w:after="0"/>
        <w:tabs>
          <w:tab w:leader="none" w:pos="1125" w:val="left"/>
        </w:tabs>
        <w:rPr>
          <w:sz w:val="20"/>
          <w:szCs w:val="20"/>
          <w:color w:val="auto"/>
        </w:rPr>
      </w:pPr>
      <w:r>
        <w:rPr>
          <w:rFonts w:ascii="Arial" w:cs="Arial" w:eastAsia="Arial" w:hAnsi="Arial"/>
          <w:sz w:val="17"/>
          <w:szCs w:val="17"/>
          <w:color w:val="auto"/>
        </w:rPr>
        <w:t>Z =</w:t>
      </w:r>
      <w:r>
        <w:rPr>
          <w:sz w:val="20"/>
          <w:szCs w:val="20"/>
          <w:color w:val="auto"/>
        </w:rPr>
        <w:tab/>
      </w:r>
      <w:r>
        <w:rPr>
          <w:rFonts w:ascii="Arial" w:cs="Arial" w:eastAsia="Arial" w:hAnsi="Arial"/>
          <w:sz w:val="15"/>
          <w:szCs w:val="15"/>
          <w:color w:val="auto"/>
        </w:rPr>
        <w:t>the number of shares of Common Stock issuable in payment of such dividend or distribution;</w:t>
      </w:r>
    </w:p>
    <w:p>
      <w:pPr>
        <w:spacing w:after="0" w:line="224" w:lineRule="exact"/>
        <w:rPr>
          <w:sz w:val="20"/>
          <w:szCs w:val="20"/>
          <w:color w:val="auto"/>
        </w:rPr>
      </w:pPr>
    </w:p>
    <w:p>
      <w:pPr>
        <w:ind w:left="626"/>
        <w:spacing w:after="0" w:line="298" w:lineRule="auto"/>
        <w:rPr>
          <w:sz w:val="20"/>
          <w:szCs w:val="20"/>
          <w:color w:val="auto"/>
        </w:rPr>
      </w:pPr>
      <w:r>
        <w:rPr>
          <w:rFonts w:ascii="Arial" w:cs="Arial" w:eastAsia="Arial" w:hAnsi="Arial"/>
          <w:sz w:val="16"/>
          <w:szCs w:val="16"/>
          <w:color w:val="auto"/>
        </w:rPr>
        <w:t xml:space="preserve">provided, however, that if such record date is fixed and such dividend is not fully paid or if such distribution is not fully made on the date fixed therefor, the Series C Conversion Price will be recomputed accordingly as of the close of business on such record date and thereafter the Series C Conversion Price will be adjusted pursuant to this </w:t>
      </w:r>
      <w:r>
        <w:rPr>
          <w:rFonts w:ascii="Arial" w:cs="Arial" w:eastAsia="Arial" w:hAnsi="Arial"/>
          <w:sz w:val="16"/>
          <w:szCs w:val="16"/>
          <w:u w:val="single" w:color="auto"/>
          <w:color w:val="auto"/>
        </w:rPr>
        <w:t>Section 6.5(d)(ii)</w:t>
      </w:r>
      <w:r>
        <w:rPr>
          <w:rFonts w:ascii="Arial" w:cs="Arial" w:eastAsia="Arial" w:hAnsi="Arial"/>
          <w:sz w:val="16"/>
          <w:szCs w:val="16"/>
          <w:color w:val="auto"/>
        </w:rPr>
        <w:t xml:space="preserve"> to reflect the actual payment of such dividend or distribution.</w:t>
      </w:r>
    </w:p>
    <w:p>
      <w:pPr>
        <w:spacing w:after="0" w:line="154" w:lineRule="exact"/>
        <w:rPr>
          <w:sz w:val="20"/>
          <w:szCs w:val="20"/>
          <w:color w:val="auto"/>
        </w:rPr>
      </w:pPr>
    </w:p>
    <w:p>
      <w:pPr>
        <w:ind w:left="626" w:firstLine="633"/>
        <w:spacing w:after="0" w:line="305" w:lineRule="auto"/>
        <w:tabs>
          <w:tab w:leader="none" w:pos="1954" w:val="left"/>
        </w:tabs>
        <w:numPr>
          <w:ilvl w:val="0"/>
          <w:numId w:val="149"/>
        </w:numPr>
        <w:rPr>
          <w:rFonts w:ascii="Arial" w:cs="Arial" w:eastAsia="Arial" w:hAnsi="Arial"/>
          <w:sz w:val="15"/>
          <w:szCs w:val="15"/>
          <w:color w:val="auto"/>
        </w:rPr>
      </w:pPr>
      <w:r>
        <w:rPr>
          <w:rFonts w:ascii="Arial" w:cs="Arial" w:eastAsia="Arial" w:hAnsi="Arial"/>
          <w:sz w:val="15"/>
          <w:szCs w:val="15"/>
          <w:u w:val="single" w:color="auto"/>
          <w:color w:val="auto"/>
        </w:rPr>
        <w:t>Deemed Issuances or Sales</w:t>
      </w:r>
      <w:r>
        <w:rPr>
          <w:rFonts w:ascii="Arial" w:cs="Arial" w:eastAsia="Arial" w:hAnsi="Arial"/>
          <w:sz w:val="15"/>
          <w:szCs w:val="15"/>
          <w:color w:val="auto"/>
        </w:rPr>
        <w:t>. If the Corporation issues or sells any Convertible Securities after the Restatement Date and if the Effective Price of the Additional Common Stock underlying such Convertible Securities is less than the Series C Conversion Price, in each such case the Corporation will be deemed to have issued at the time of the issuance of such Convertible Securities the maximum number of shares of Additional Common Stock issuable upon exercise or conversion thereof and to have received as consideration for the issuance of such shares an amount equal to the total amount of the consideration, if any, received by the Corporation for the issuance of such Convertible Securities, plus, in the case of such rights or options, the minimum amounts of consideration, if any, payable to the Corporation upon the exercise or conversion of</w:t>
      </w:r>
    </w:p>
    <w:p>
      <w:pPr>
        <w:sectPr>
          <w:pgSz w:w="11900" w:h="16876" w:orient="portrait"/>
          <w:cols w:equalWidth="0" w:num="1">
            <w:col w:w="10786"/>
          </w:cols>
          <w:pgMar w:left="874" w:top="337" w:right="239" w:bottom="0" w:gutter="0" w:footer="0" w:header="0"/>
        </w:sectPr>
      </w:pPr>
    </w:p>
    <w:bookmarkStart w:id="205" w:name="page206"/>
    <w:bookmarkEnd w:id="205"/>
    <w:p>
      <w:pPr>
        <w:ind w:left="60" w:right="200"/>
        <w:spacing w:after="0" w:line="265" w:lineRule="auto"/>
        <w:rPr>
          <w:sz w:val="20"/>
          <w:szCs w:val="20"/>
          <w:color w:val="auto"/>
        </w:rPr>
      </w:pPr>
      <w:r>
        <w:rPr>
          <w:rFonts w:ascii="Arial" w:cs="Arial" w:eastAsia="Arial" w:hAnsi="Arial"/>
          <w:sz w:val="17"/>
          <w:szCs w:val="17"/>
          <w:color w:val="auto"/>
        </w:rPr>
        <w:t>such Convertible Securities (other than by cancellation of liabilities or obligations evidenced by such Convertible Securities) upon the conversion thereof; provided, that, if the minimum amount of consideration payable to the Corporation upon the exercise or conversion of Convertible Securities is reduced over time or on the occurrence or non-occurrence of specified events other than by reason of anti-dilution adjustments, the Effective Price will be recalculated at such time using the figure to which such minimum amount of consideration is reduced; provided further, that if the minimum amount of consideration payable to the Corporation</w:t>
      </w:r>
    </w:p>
    <w:p>
      <w:pPr>
        <w:spacing w:after="0" w:line="17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81280</wp:posOffset>
            </wp:positionV>
            <wp:extent cx="7271385" cy="292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40"/>
        <w:spacing w:after="0" w:line="262" w:lineRule="auto"/>
        <w:rPr>
          <w:sz w:val="20"/>
          <w:szCs w:val="20"/>
          <w:color w:val="auto"/>
        </w:rPr>
      </w:pPr>
      <w:r>
        <w:rPr>
          <w:rFonts w:ascii="Arial" w:cs="Arial" w:eastAsia="Arial" w:hAnsi="Arial"/>
          <w:sz w:val="17"/>
          <w:szCs w:val="17"/>
          <w:color w:val="auto"/>
        </w:rPr>
        <w:t>upon the exercise or conversion of such Convertible Securities is subsequently increased, the Effective Price will be again recalculated using the increased minimum amount of consideration payable to the Corporation upon the exercise or conversion of such Convertible Securities. No further adjustment of the Series C Conversion Price, as adjusted upon the issuance of such Convertible Securities, will be made as a result of the actual issuance of shares of Additional Common Stock on the exercise or conversion of any such Convertible Securities. If any Convertible Securities outstanding (including those outstanding as of the Restatement Date) expire without having been exercised or converted, the Series C Conversion Price will be adjusted to the Series C Conversion Price which would have been in effect absent the issuance of such expired Convertible Securities.</w:t>
      </w:r>
    </w:p>
    <w:p>
      <w:pPr>
        <w:spacing w:after="0" w:line="184" w:lineRule="exact"/>
        <w:rPr>
          <w:sz w:val="20"/>
          <w:szCs w:val="20"/>
          <w:color w:val="auto"/>
        </w:rPr>
      </w:pPr>
    </w:p>
    <w:p>
      <w:pPr>
        <w:ind w:left="-560" w:firstLine="623"/>
        <w:spacing w:after="0" w:line="277" w:lineRule="auto"/>
        <w:tabs>
          <w:tab w:leader="none" w:pos="743"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Issuance of Certificates; Time Conversion Effected</w:t>
      </w:r>
      <w:r>
        <w:rPr>
          <w:rFonts w:ascii="Arial" w:cs="Arial" w:eastAsia="Arial" w:hAnsi="Arial"/>
          <w:sz w:val="16"/>
          <w:szCs w:val="16"/>
          <w:color w:val="auto"/>
        </w:rPr>
        <w:t>. Promptly after the automatic or optional conversion and surrender of the certificate or certificates (and notice, as applicable) for the share or shares of Series C Preferred Stock to be converted, the Corporation will issue and deliver, or cause to be issued and delivered, to the holder thereof, registered in such name or names as such holder may direct, (A) a certificate or certificates for the number of whole shares of Common Stock issuable upon the conversion of such share or shares of Series C Preferred Stock and (B), in the case of a partial optional conversion, a certificate or certificates for the number of whole shares of Series C Preferred Stock which the notice delivered by such holder specified were not to be converted, unless and to the extent the Board adopts a resolution providing that the Common Stock or Series C Preferred Stock shall be uncertificated or registered in book entry form. With respect to an automatic conversion, effective immediately upon such conversion, regardless of whether the certificate or certificates for such share or shares shall have been surrendered, the rights of the holder of such share or shares of Series C Preferred Stock will cease, and the person(s) in whose name or names any certificate, certificates or book entry for shares of Common Stock issued upon such conversion will be deemed to have become the holder or holders of record of the shares represented thereby. With respect to an optional conversion, the certificate or certificates for such converted share or shares will have been surrendered as aforesaid, and at such time the rights of the holder of such converted share or shares of Series C Preferred Stock will cease, and the person(s) in whose name or names any certificate or certificates for shares of Common Stock (or Series C Preferred Stock, as applicable) will be issuable upon such conversion will be deemed to have become the holder or holders of record of the shares represented thereby.</w:t>
      </w:r>
    </w:p>
    <w:p>
      <w:pPr>
        <w:spacing w:after="0" w:line="173" w:lineRule="exact"/>
        <w:rPr>
          <w:rFonts w:ascii="Arial" w:cs="Arial" w:eastAsia="Arial" w:hAnsi="Arial"/>
          <w:sz w:val="16"/>
          <w:szCs w:val="16"/>
          <w:color w:val="auto"/>
        </w:rPr>
      </w:pPr>
    </w:p>
    <w:p>
      <w:pPr>
        <w:ind w:left="-560" w:right="40" w:firstLine="623"/>
        <w:spacing w:after="0" w:line="285" w:lineRule="auto"/>
        <w:tabs>
          <w:tab w:leader="none" w:pos="768"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Fractional Shares; Dividends; Partial Conversion</w:t>
      </w:r>
      <w:r>
        <w:rPr>
          <w:rFonts w:ascii="Arial" w:cs="Arial" w:eastAsia="Arial" w:hAnsi="Arial"/>
          <w:sz w:val="16"/>
          <w:szCs w:val="16"/>
          <w:color w:val="auto"/>
        </w:rPr>
        <w:t xml:space="preserve">. No fractional shares will be issued upon conversion of Series C Preferred Stock into Common Stock and no payment or adjustment will be made upon any conversion on account of any cash dividends on the Common Stock issued upon conversion. If any fractional share of Common Stock would, except for the provisions of the first sentence of this </w:t>
      </w:r>
      <w:r>
        <w:rPr>
          <w:rFonts w:ascii="Arial" w:cs="Arial" w:eastAsia="Arial" w:hAnsi="Arial"/>
          <w:sz w:val="16"/>
          <w:szCs w:val="16"/>
          <w:u w:val="single" w:color="auto"/>
          <w:color w:val="auto"/>
        </w:rPr>
        <w:t>Section 6.5(f)</w:t>
      </w:r>
      <w:r>
        <w:rPr>
          <w:rFonts w:ascii="Arial" w:cs="Arial" w:eastAsia="Arial" w:hAnsi="Arial"/>
          <w:sz w:val="16"/>
          <w:szCs w:val="16"/>
          <w:color w:val="auto"/>
        </w:rPr>
        <w:t>, be delivered upon such conversion, the Corporation, in lieu of delivering such fractional share, will pay to the holder surrendering the Series C Preferred Stock for conversion an amount in cash equal to the current market price of such fractional share as determined in good faith by the Board.</w:t>
      </w:r>
    </w:p>
    <w:p>
      <w:pPr>
        <w:spacing w:after="0" w:line="166"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81280</wp:posOffset>
            </wp:positionV>
            <wp:extent cx="7271385" cy="292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0" w:firstLine="623"/>
        <w:spacing w:after="0" w:line="263" w:lineRule="auto"/>
        <w:tabs>
          <w:tab w:leader="none" w:pos="753"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Stock to be Reserved</w:t>
      </w:r>
      <w:r>
        <w:rPr>
          <w:rFonts w:ascii="Arial" w:cs="Arial" w:eastAsia="Arial" w:hAnsi="Arial"/>
          <w:sz w:val="17"/>
          <w:szCs w:val="17"/>
          <w:color w:val="auto"/>
        </w:rPr>
        <w:t>. The Corporation will at all times reserve and keep available out of its authorized Common Stock, solely for the purpose of issuance upon the conversion of Series C Preferred Stock as herein provided, such number of shares of Common Stock as are then issuable upon the conversion of all outstanding shares of Series C Preferred Stock. All shares of Common Stock so issued will be duly and validly issued and fully paid and nonassessable. The Corporation will take all such action as may be necessary to assure that all such shares of Common Stock may be so issued without violation of any applicable law or regulation, or of any requirement of any national securities exchange upon which the Common Stock may be listed.</w:t>
      </w:r>
    </w:p>
    <w:p>
      <w:pPr>
        <w:spacing w:after="0" w:line="183" w:lineRule="exact"/>
        <w:rPr>
          <w:rFonts w:ascii="Arial" w:cs="Arial" w:eastAsia="Arial" w:hAnsi="Arial"/>
          <w:sz w:val="17"/>
          <w:szCs w:val="17"/>
          <w:color w:val="auto"/>
        </w:rPr>
      </w:pPr>
    </w:p>
    <w:p>
      <w:pPr>
        <w:ind w:left="-560" w:right="340" w:firstLine="623"/>
        <w:spacing w:after="0" w:line="273" w:lineRule="auto"/>
        <w:tabs>
          <w:tab w:leader="none" w:pos="753"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No Reissuance of Series C Preferred Stock</w:t>
      </w:r>
      <w:r>
        <w:rPr>
          <w:rFonts w:ascii="Arial" w:cs="Arial" w:eastAsia="Arial" w:hAnsi="Arial"/>
          <w:sz w:val="17"/>
          <w:szCs w:val="17"/>
          <w:color w:val="auto"/>
        </w:rPr>
        <w:t>. Shares of Series C Preferred Stock that are converted into shares of Common Stock as provided herein will not be reissued as Series C Preferred Stock but will be generally available to be reissued pursuant to a separate statement of resolution adopted by the Board.</w:t>
      </w:r>
    </w:p>
    <w:p>
      <w:pPr>
        <w:spacing w:after="0" w:line="171" w:lineRule="exact"/>
        <w:rPr>
          <w:rFonts w:ascii="Arial" w:cs="Arial" w:eastAsia="Arial" w:hAnsi="Arial"/>
          <w:sz w:val="17"/>
          <w:szCs w:val="17"/>
          <w:color w:val="auto"/>
        </w:rPr>
      </w:pPr>
    </w:p>
    <w:p>
      <w:pPr>
        <w:ind w:left="-560" w:right="60" w:firstLine="623"/>
        <w:spacing w:after="0" w:line="268" w:lineRule="auto"/>
        <w:tabs>
          <w:tab w:leader="none" w:pos="758"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Issue Tax</w:t>
      </w:r>
      <w:r>
        <w:rPr>
          <w:rFonts w:ascii="Arial" w:cs="Arial" w:eastAsia="Arial" w:hAnsi="Arial"/>
          <w:sz w:val="17"/>
          <w:szCs w:val="17"/>
          <w:color w:val="auto"/>
        </w:rPr>
        <w:t>. The issuance of certificates for shares of Common Stock upon conversion of Series C Preferred Stock will be made without charge to the holders thereof for any issuance tax in respect thereof, provided that the Corporation will not be required to pay any tax which may be payable in respect of any transfer involved in the issuance and delivery of any certificate in a name other than that of the holder of the Series C Preferred Stock which is being converted.</w:t>
      </w:r>
    </w:p>
    <w:p>
      <w:pPr>
        <w:spacing w:after="0" w:line="175" w:lineRule="exact"/>
        <w:rPr>
          <w:rFonts w:ascii="Arial" w:cs="Arial" w:eastAsia="Arial" w:hAnsi="Arial"/>
          <w:sz w:val="17"/>
          <w:szCs w:val="17"/>
          <w:color w:val="auto"/>
        </w:rPr>
      </w:pPr>
    </w:p>
    <w:p>
      <w:pPr>
        <w:jc w:val="both"/>
        <w:ind w:left="-560" w:right="220" w:firstLine="623"/>
        <w:spacing w:after="0" w:line="326" w:lineRule="auto"/>
        <w:tabs>
          <w:tab w:leader="none" w:pos="758" w:val="left"/>
        </w:tabs>
        <w:numPr>
          <w:ilvl w:val="0"/>
          <w:numId w:val="151"/>
        </w:numPr>
        <w:rPr>
          <w:rFonts w:ascii="Arial" w:cs="Arial" w:eastAsia="Arial" w:hAnsi="Arial"/>
          <w:sz w:val="15"/>
          <w:szCs w:val="15"/>
          <w:color w:val="auto"/>
        </w:rPr>
      </w:pPr>
      <w:r>
        <w:rPr>
          <w:rFonts w:ascii="Arial" w:cs="Arial" w:eastAsia="Arial" w:hAnsi="Arial"/>
          <w:sz w:val="15"/>
          <w:szCs w:val="15"/>
          <w:u w:val="single" w:color="auto"/>
          <w:color w:val="auto"/>
        </w:rPr>
        <w:t>Closing of Books</w:t>
      </w:r>
      <w:r>
        <w:rPr>
          <w:rFonts w:ascii="Arial" w:cs="Arial" w:eastAsia="Arial" w:hAnsi="Arial"/>
          <w:sz w:val="15"/>
          <w:szCs w:val="15"/>
          <w:color w:val="auto"/>
        </w:rPr>
        <w:t>. The Corporation will at no time close its transfer books against the transfer of any Series C Preferred Stock or of any shares of Common Stock issued or issuable upon the conversion of any shares of Series C Preferred Stock in any manner which interferes with the timely conversion of such Series C Preferred Stock, except as may otherwise be required to comply with applicable securities and corporate laws.</w:t>
      </w:r>
    </w:p>
    <w:p>
      <w:pPr>
        <w:spacing w:after="0" w:line="136" w:lineRule="exact"/>
        <w:rPr>
          <w:rFonts w:ascii="Arial" w:cs="Arial" w:eastAsia="Arial" w:hAnsi="Arial"/>
          <w:sz w:val="15"/>
          <w:szCs w:val="15"/>
          <w:color w:val="auto"/>
        </w:rPr>
      </w:pPr>
    </w:p>
    <w:p>
      <w:pPr>
        <w:ind w:left="-560" w:right="40" w:firstLine="623"/>
        <w:spacing w:after="0" w:line="299" w:lineRule="auto"/>
        <w:tabs>
          <w:tab w:leader="none" w:pos="753" w:val="left"/>
        </w:tabs>
        <w:numPr>
          <w:ilvl w:val="0"/>
          <w:numId w:val="151"/>
        </w:numPr>
        <w:rPr>
          <w:rFonts w:ascii="Arial" w:cs="Arial" w:eastAsia="Arial" w:hAnsi="Arial"/>
          <w:sz w:val="15"/>
          <w:szCs w:val="15"/>
          <w:color w:val="auto"/>
        </w:rPr>
      </w:pPr>
      <w:r>
        <w:rPr>
          <w:rFonts w:ascii="Arial" w:cs="Arial" w:eastAsia="Arial" w:hAnsi="Arial"/>
          <w:sz w:val="15"/>
          <w:szCs w:val="15"/>
          <w:u w:val="single" w:color="auto"/>
          <w:color w:val="auto"/>
        </w:rPr>
        <w:t>Reorganization or Reclassification</w:t>
      </w:r>
      <w:r>
        <w:rPr>
          <w:rFonts w:ascii="Arial" w:cs="Arial" w:eastAsia="Arial" w:hAnsi="Arial"/>
          <w:sz w:val="15"/>
          <w:szCs w:val="15"/>
          <w:color w:val="auto"/>
        </w:rPr>
        <w:t>. If any capital reorganization, reclassification of the capital stock of the Corporation, stock split, or stock dividend (each a “</w:t>
      </w:r>
      <w:r>
        <w:rPr>
          <w:rFonts w:ascii="Arial" w:cs="Arial" w:eastAsia="Arial" w:hAnsi="Arial"/>
          <w:sz w:val="15"/>
          <w:szCs w:val="15"/>
          <w:b w:val="1"/>
          <w:bCs w:val="1"/>
          <w:i w:val="1"/>
          <w:iCs w:val="1"/>
          <w:color w:val="auto"/>
        </w:rPr>
        <w:t>Distribution</w:t>
      </w:r>
      <w:r>
        <w:rPr>
          <w:rFonts w:ascii="Arial" w:cs="Arial" w:eastAsia="Arial" w:hAnsi="Arial"/>
          <w:sz w:val="15"/>
          <w:szCs w:val="15"/>
          <w:color w:val="auto"/>
        </w:rPr>
        <w:t>”) is effected in such a way that holders of Common Stock will be entitled to receive stock, securities or assets with respect to or in exchange for Common Stock, then, as a condition of such Distribution, lawful and adequate provisions will be made whereby each holder of a share or shares of Series C Preferred Stock will thereupon have the right to receive, subject to the terms and conditions specified herein and, as applicable, in lieu of the shares of Common Stock receivable upon the conversion of such share or shares of Series C Preferred Stock immediately prior to such Distribution, such shares of stock, securities or assets as may be issued or payable with respect to or, as applicable, in exchange for a number of outstanding shares of such Common Stock equal to the number of shares of such Common Stock receivable immediately prior to such Distribution upon such conversion had such Distribution not taken place. In any such case, appropriate adjustments to the provisions hereof shall be made with respect to the rights and interests of such holder of Series C Preferred Stock after the Distribution to the end that the provisions hereof will thereafter be applicable, as nearly as may be, in relation to any shares of stock, securities or assets thereafter deliverable upon the exercise of such conversion rights.</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81280</wp:posOffset>
            </wp:positionV>
            <wp:extent cx="7271385" cy="29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200"/>
          </w:cols>
          <w:pgMar w:left="1440" w:top="127" w:right="259" w:bottom="298" w:gutter="0" w:footer="0" w:header="0"/>
        </w:sectPr>
      </w:pPr>
    </w:p>
    <w:bookmarkStart w:id="206" w:name="page207"/>
    <w:bookmarkEnd w:id="206"/>
    <w:p>
      <w:pPr>
        <w:ind w:right="420" w:firstLine="629"/>
        <w:spacing w:after="0" w:line="289" w:lineRule="auto"/>
        <w:rPr>
          <w:sz w:val="20"/>
          <w:szCs w:val="20"/>
          <w:color w:val="auto"/>
        </w:rPr>
      </w:pPr>
      <w:r>
        <w:rPr>
          <w:rFonts w:ascii="Arial" w:cs="Arial" w:eastAsia="Arial" w:hAnsi="Arial"/>
          <w:sz w:val="17"/>
          <w:szCs w:val="17"/>
          <w:color w:val="auto"/>
        </w:rPr>
        <w:t xml:space="preserve">Section 6.6. </w:t>
      </w:r>
      <w:r>
        <w:rPr>
          <w:rFonts w:ascii="Arial" w:cs="Arial" w:eastAsia="Arial" w:hAnsi="Arial"/>
          <w:sz w:val="17"/>
          <w:szCs w:val="17"/>
          <w:u w:val="single" w:color="auto"/>
          <w:color w:val="auto"/>
        </w:rPr>
        <w:t>Senior Preferred Stock</w:t>
      </w:r>
      <w:r>
        <w:rPr>
          <w:rFonts w:ascii="Arial" w:cs="Arial" w:eastAsia="Arial" w:hAnsi="Arial"/>
          <w:sz w:val="17"/>
          <w:szCs w:val="17"/>
          <w:color w:val="auto"/>
        </w:rPr>
        <w:t xml:space="preserve">. Except as otherwise set forth in </w:t>
      </w:r>
      <w:r>
        <w:rPr>
          <w:rFonts w:ascii="Arial" w:cs="Arial" w:eastAsia="Arial" w:hAnsi="Arial"/>
          <w:sz w:val="17"/>
          <w:szCs w:val="17"/>
          <w:u w:val="single" w:color="auto"/>
          <w:color w:val="auto"/>
        </w:rPr>
        <w:t>Section 6.2(b)(i)(B)</w:t>
      </w:r>
      <w:r>
        <w:rPr>
          <w:rFonts w:ascii="Arial" w:cs="Arial" w:eastAsia="Arial" w:hAnsi="Arial"/>
          <w:sz w:val="17"/>
          <w:szCs w:val="17"/>
          <w:color w:val="auto"/>
        </w:rPr>
        <w:t xml:space="preserve">, the Corporation may, in its sole discretion, authorize additional classes and series of Preferred Stock with rights senior to, junior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Series C Preferred Stock.</w:t>
      </w:r>
    </w:p>
    <w:p>
      <w:pPr>
        <w:spacing w:after="0" w:line="158"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u w:val="single" w:color="auto"/>
          <w:color w:val="auto"/>
        </w:rPr>
        <w:t>Amendments to Series C Provisions of Articles</w:t>
      </w:r>
      <w:r>
        <w:rPr>
          <w:rFonts w:ascii="Arial" w:cs="Arial" w:eastAsia="Arial" w:hAnsi="Arial"/>
          <w:sz w:val="17"/>
          <w:szCs w:val="17"/>
          <w:color w:val="auto"/>
        </w:rPr>
        <w:t xml:space="preserve">. The Company may amend any of </w:t>
      </w:r>
      <w:r>
        <w:rPr>
          <w:rFonts w:ascii="Arial" w:cs="Arial" w:eastAsia="Arial" w:hAnsi="Arial"/>
          <w:sz w:val="17"/>
          <w:szCs w:val="17"/>
          <w:u w:val="single" w:color="auto"/>
          <w:color w:val="auto"/>
        </w:rPr>
        <w:t>ARTICLE SIX</w:t>
      </w:r>
      <w:r>
        <w:rPr>
          <w:rFonts w:ascii="Arial" w:cs="Arial" w:eastAsia="Arial" w:hAnsi="Arial"/>
          <w:sz w:val="17"/>
          <w:szCs w:val="17"/>
          <w:color w:val="auto"/>
        </w:rPr>
        <w:t xml:space="preserve"> with the consent or affirmative vote of two-thirds (2/3) of the issued and outstanding shares of Series C Preferred Stock on the date of such consent or vote.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SEVEN— SERIES D PREFERRED STOCK.</w:t>
      </w:r>
    </w:p>
    <w:p>
      <w:pPr>
        <w:spacing w:after="0" w:line="224" w:lineRule="exact"/>
        <w:rPr>
          <w:sz w:val="20"/>
          <w:szCs w:val="20"/>
          <w:color w:val="auto"/>
        </w:rPr>
      </w:pPr>
    </w:p>
    <w:p>
      <w:pPr>
        <w:ind w:right="200" w:firstLine="629"/>
        <w:spacing w:after="0" w:line="289"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Series D Preferred Stock</w:t>
      </w:r>
      <w:r>
        <w:rPr>
          <w:rFonts w:ascii="Arial" w:cs="Arial" w:eastAsia="Arial" w:hAnsi="Arial"/>
          <w:sz w:val="17"/>
          <w:szCs w:val="17"/>
          <w:color w:val="auto"/>
        </w:rPr>
        <w:t>. 11,800,000 shares of Preferred Stock will be designated Series D Preferred Stock (the “</w:t>
      </w:r>
      <w:r>
        <w:rPr>
          <w:rFonts w:ascii="Arial" w:cs="Arial" w:eastAsia="Arial" w:hAnsi="Arial"/>
          <w:sz w:val="17"/>
          <w:szCs w:val="17"/>
          <w:b w:val="1"/>
          <w:bCs w:val="1"/>
          <w:i w:val="1"/>
          <w:iCs w:val="1"/>
          <w:color w:val="auto"/>
        </w:rPr>
        <w:t>Series D Preferred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which will have the following powers, preferences, rights and restrictions:</w:t>
      </w:r>
    </w:p>
    <w:p>
      <w:pPr>
        <w:spacing w:after="0" w:line="158"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7.2.</w:t>
      </w:r>
      <w:r>
        <w:rPr>
          <w:sz w:val="20"/>
          <w:szCs w:val="20"/>
          <w:color w:val="auto"/>
        </w:rPr>
        <w:tab/>
      </w:r>
      <w:r>
        <w:rPr>
          <w:rFonts w:ascii="Arial" w:cs="Arial" w:eastAsia="Arial" w:hAnsi="Arial"/>
          <w:sz w:val="16"/>
          <w:szCs w:val="16"/>
          <w:color w:val="auto"/>
        </w:rPr>
        <w:t>Voting.</w:t>
      </w:r>
    </w:p>
    <w:p>
      <w:pPr>
        <w:spacing w:after="0" w:line="224" w:lineRule="exact"/>
        <w:rPr>
          <w:sz w:val="20"/>
          <w:szCs w:val="20"/>
          <w:color w:val="auto"/>
        </w:rPr>
      </w:pPr>
    </w:p>
    <w:p>
      <w:pPr>
        <w:ind w:left="640" w:right="140" w:firstLine="623"/>
        <w:spacing w:after="0" w:line="314" w:lineRule="auto"/>
        <w:tabs>
          <w:tab w:leader="none" w:pos="1943" w:val="left"/>
        </w:tabs>
        <w:numPr>
          <w:ilvl w:val="0"/>
          <w:numId w:val="152"/>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xml:space="preserve">. Except as may be otherwise required by the DGCL or set forth in this </w:t>
      </w:r>
      <w:r>
        <w:rPr>
          <w:rFonts w:ascii="Arial" w:cs="Arial" w:eastAsia="Arial" w:hAnsi="Arial"/>
          <w:sz w:val="15"/>
          <w:szCs w:val="15"/>
          <w:u w:val="single" w:color="auto"/>
          <w:color w:val="auto"/>
        </w:rPr>
        <w:t>Section 7.2</w:t>
      </w:r>
      <w:r>
        <w:rPr>
          <w:rFonts w:ascii="Arial" w:cs="Arial" w:eastAsia="Arial" w:hAnsi="Arial"/>
          <w:sz w:val="15"/>
          <w:szCs w:val="15"/>
          <w:color w:val="auto"/>
        </w:rPr>
        <w:t xml:space="preserve">, the Series D Preferred Stock will have the right to vote on all actions to be taken by the holders of Common Stock (other than the actions set forth in </w:t>
      </w:r>
      <w:r>
        <w:rPr>
          <w:rFonts w:ascii="Arial" w:cs="Arial" w:eastAsia="Arial" w:hAnsi="Arial"/>
          <w:sz w:val="15"/>
          <w:szCs w:val="15"/>
          <w:u w:val="single" w:color="auto"/>
          <w:color w:val="auto"/>
        </w:rPr>
        <w:t>Section 7.2(b)</w:t>
      </w:r>
      <w:r>
        <w:rPr>
          <w:rFonts w:ascii="Arial" w:cs="Arial" w:eastAsia="Arial" w:hAnsi="Arial"/>
          <w:sz w:val="15"/>
          <w:szCs w:val="15"/>
          <w:color w:val="auto"/>
        </w:rPr>
        <w:t>), and each share of Series D Preferred Stock will entitle the record holder thereof (each a “</w:t>
      </w:r>
      <w:r>
        <w:rPr>
          <w:rFonts w:ascii="Arial" w:cs="Arial" w:eastAsia="Arial" w:hAnsi="Arial"/>
          <w:sz w:val="15"/>
          <w:szCs w:val="15"/>
          <w:b w:val="1"/>
          <w:bCs w:val="1"/>
          <w:i w:val="1"/>
          <w:iCs w:val="1"/>
          <w:color w:val="auto"/>
        </w:rPr>
        <w:t>Series D Holder</w:t>
      </w:r>
      <w:r>
        <w:rPr>
          <w:rFonts w:ascii="Arial" w:cs="Arial" w:eastAsia="Arial" w:hAnsi="Arial"/>
          <w:sz w:val="15"/>
          <w:szCs w:val="15"/>
          <w:color w:val="auto"/>
        </w:rPr>
        <w:t>”) to such number of votes per share on each such action as will equal the number of shares of Common Stock (including fractions of a share) into which such share of Series D Preferred Stock is then convertible.</w:t>
      </w:r>
    </w:p>
    <w:p>
      <w:pPr>
        <w:spacing w:after="0" w:line="146" w:lineRule="exact"/>
        <w:rPr>
          <w:rFonts w:ascii="Arial" w:cs="Arial" w:eastAsia="Arial" w:hAnsi="Arial"/>
          <w:sz w:val="15"/>
          <w:szCs w:val="15"/>
          <w:color w:val="auto"/>
        </w:rPr>
      </w:pPr>
    </w:p>
    <w:p>
      <w:pPr>
        <w:ind w:left="640" w:right="40" w:firstLine="623"/>
        <w:spacing w:after="0" w:line="265" w:lineRule="auto"/>
        <w:tabs>
          <w:tab w:leader="none" w:pos="1953"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Class Voting</w:t>
      </w:r>
      <w:r>
        <w:rPr>
          <w:rFonts w:ascii="Arial" w:cs="Arial" w:eastAsia="Arial" w:hAnsi="Arial"/>
          <w:sz w:val="17"/>
          <w:szCs w:val="17"/>
          <w:color w:val="auto"/>
        </w:rPr>
        <w:t>. So long as at least 60% of the greatest number of shares of Series D Preferred Stock (subject to adjustment for any stock split, reverse stock split, stock dividend or other such transaction applicable to the Series D Preferred Stock) ever outstanding remain outstanding, the Series D Preferred Stock will have the right to vote, as a separate class and not together with the holders of other stock, with respect to the following matters, each of which will require the consent or affirmative vote of two-thirds (2/3) of the issued and outstanding shares of Series D Preferred Stock on the date of such vote:</w:t>
      </w:r>
    </w:p>
    <w:p>
      <w:pPr>
        <w:spacing w:after="0" w:line="179" w:lineRule="exact"/>
        <w:rPr>
          <w:rFonts w:ascii="Arial" w:cs="Arial" w:eastAsia="Arial" w:hAnsi="Arial"/>
          <w:sz w:val="17"/>
          <w:szCs w:val="17"/>
          <w:color w:val="auto"/>
        </w:rPr>
      </w:pPr>
    </w:p>
    <w:p>
      <w:pPr>
        <w:ind w:left="1260" w:right="40" w:firstLine="633"/>
        <w:spacing w:after="0" w:line="273" w:lineRule="auto"/>
        <w:tabs>
          <w:tab w:leader="none" w:pos="2578" w:val="left"/>
        </w:tabs>
        <w:numPr>
          <w:ilvl w:val="1"/>
          <w:numId w:val="152"/>
        </w:numPr>
        <w:rPr>
          <w:rFonts w:ascii="Arial" w:cs="Arial" w:eastAsia="Arial" w:hAnsi="Arial"/>
          <w:sz w:val="17"/>
          <w:szCs w:val="17"/>
          <w:color w:val="auto"/>
        </w:rPr>
      </w:pPr>
      <w:r>
        <w:rPr>
          <w:rFonts w:ascii="Arial" w:cs="Arial" w:eastAsia="Arial" w:hAnsi="Arial"/>
          <w:sz w:val="17"/>
          <w:szCs w:val="17"/>
          <w:color w:val="auto"/>
        </w:rPr>
        <w:t>Any amendment, alteration or repeal of any provision of the Certificate of Incorporation of the Corporation, as amended from time to time, that affects adversely the voting or other powers, preferences or other special rights or privileges or restrictions of the Series D Preferred Stock;</w:t>
      </w:r>
    </w:p>
    <w:p>
      <w:pPr>
        <w:spacing w:after="0" w:line="171" w:lineRule="exact"/>
        <w:rPr>
          <w:rFonts w:ascii="Arial" w:cs="Arial" w:eastAsia="Arial" w:hAnsi="Arial"/>
          <w:sz w:val="17"/>
          <w:szCs w:val="17"/>
          <w:color w:val="auto"/>
        </w:rPr>
      </w:pPr>
    </w:p>
    <w:p>
      <w:pPr>
        <w:ind w:left="1260" w:right="320" w:firstLine="633"/>
        <w:spacing w:after="0" w:line="268" w:lineRule="auto"/>
        <w:tabs>
          <w:tab w:leader="none" w:pos="2583" w:val="left"/>
        </w:tabs>
        <w:numPr>
          <w:ilvl w:val="1"/>
          <w:numId w:val="152"/>
        </w:numPr>
        <w:rPr>
          <w:rFonts w:ascii="Arial" w:cs="Arial" w:eastAsia="Arial" w:hAnsi="Arial"/>
          <w:sz w:val="17"/>
          <w:szCs w:val="17"/>
          <w:color w:val="auto"/>
        </w:rPr>
      </w:pPr>
      <w:r>
        <w:rPr>
          <w:rFonts w:ascii="Arial" w:cs="Arial" w:eastAsia="Arial" w:hAnsi="Arial"/>
          <w:sz w:val="17"/>
          <w:szCs w:val="17"/>
          <w:color w:val="auto"/>
        </w:rPr>
        <w:t>Any authorization or any designation, whether by reclassification or otherwise, of any new class or series of stock or any other securities convertible into equity securities of the Corporation ranking senior to the Series D Preferred Stock in right of liquidation preference or dividends (“</w:t>
      </w:r>
      <w:r>
        <w:rPr>
          <w:rFonts w:ascii="Arial" w:cs="Arial" w:eastAsia="Arial" w:hAnsi="Arial"/>
          <w:sz w:val="17"/>
          <w:szCs w:val="17"/>
          <w:b w:val="1"/>
          <w:bCs w:val="1"/>
          <w:i w:val="1"/>
          <w:iCs w:val="1"/>
          <w:color w:val="auto"/>
        </w:rPr>
        <w:t>Series D Senior Securities</w:t>
      </w:r>
      <w:r>
        <w:rPr>
          <w:rFonts w:ascii="Arial" w:cs="Arial" w:eastAsia="Arial" w:hAnsi="Arial"/>
          <w:sz w:val="17"/>
          <w:szCs w:val="17"/>
          <w:color w:val="auto"/>
        </w:rPr>
        <w:t>”, which shall include the Series E Preferred Stock, the Series F Preferred Stock and the Series G Preferred Stock);</w:t>
      </w:r>
    </w:p>
    <w:p>
      <w:pPr>
        <w:spacing w:after="0" w:line="175" w:lineRule="exact"/>
        <w:rPr>
          <w:rFonts w:ascii="Arial" w:cs="Arial" w:eastAsia="Arial" w:hAnsi="Arial"/>
          <w:sz w:val="17"/>
          <w:szCs w:val="17"/>
          <w:color w:val="auto"/>
        </w:rPr>
      </w:pPr>
    </w:p>
    <w:p>
      <w:pPr>
        <w:ind w:left="2600" w:hanging="707"/>
        <w:spacing w:after="0"/>
        <w:tabs>
          <w:tab w:leader="none" w:pos="26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Any redemption of any shares of Common Stock (other than pursuant to equity incentive agreements with employees or</w:t>
      </w:r>
    </w:p>
    <w:p>
      <w:pPr>
        <w:spacing w:after="0" w:line="37"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7"/>
          <w:szCs w:val="17"/>
          <w:color w:val="auto"/>
        </w:rPr>
        <w:t>service providers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giving the Corporation the right to repurchase shares upon the termination of employment or services);</w:t>
      </w:r>
    </w:p>
    <w:p>
      <w:pPr>
        <w:spacing w:after="0" w:line="224" w:lineRule="exact"/>
        <w:rPr>
          <w:sz w:val="20"/>
          <w:szCs w:val="20"/>
          <w:color w:val="auto"/>
        </w:rPr>
      </w:pPr>
    </w:p>
    <w:p>
      <w:pPr>
        <w:ind w:left="1260" w:right="340" w:firstLine="633"/>
        <w:spacing w:after="0" w:line="289" w:lineRule="auto"/>
        <w:tabs>
          <w:tab w:leader="none" w:pos="257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Any amendment of, or waiver with respect to, any provision of this </w:t>
      </w:r>
      <w:r>
        <w:rPr>
          <w:rFonts w:ascii="Arial" w:cs="Arial" w:eastAsia="Arial" w:hAnsi="Arial"/>
          <w:sz w:val="17"/>
          <w:szCs w:val="17"/>
          <w:u w:val="single" w:color="auto"/>
          <w:color w:val="auto"/>
        </w:rPr>
        <w:t>ARTICLE SEVEN</w:t>
      </w:r>
      <w:r>
        <w:rPr>
          <w:rFonts w:ascii="Arial" w:cs="Arial" w:eastAsia="Arial" w:hAnsi="Arial"/>
          <w:sz w:val="17"/>
          <w:szCs w:val="17"/>
          <w:color w:val="auto"/>
        </w:rPr>
        <w:t xml:space="preserve"> or the Corporation’s Certificate of Incorporation or bylaws directly relating to the Series D Preferred Stock;</w:t>
      </w:r>
    </w:p>
    <w:p>
      <w:pPr>
        <w:spacing w:after="0" w:line="158" w:lineRule="exact"/>
        <w:rPr>
          <w:rFonts w:ascii="Arial" w:cs="Arial" w:eastAsia="Arial" w:hAnsi="Arial"/>
          <w:sz w:val="17"/>
          <w:szCs w:val="17"/>
          <w:color w:val="auto"/>
        </w:rPr>
      </w:pPr>
    </w:p>
    <w:p>
      <w:pPr>
        <w:ind w:left="2580" w:hanging="687"/>
        <w:spacing w:after="0"/>
        <w:tabs>
          <w:tab w:leader="none" w:pos="25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Any increase in the authorized size of the Board; and</w:t>
      </w:r>
    </w:p>
    <w:p>
      <w:pPr>
        <w:spacing w:after="0" w:line="224" w:lineRule="exact"/>
        <w:rPr>
          <w:rFonts w:ascii="Arial" w:cs="Arial" w:eastAsia="Arial" w:hAnsi="Arial"/>
          <w:sz w:val="17"/>
          <w:szCs w:val="17"/>
          <w:color w:val="auto"/>
        </w:rPr>
      </w:pPr>
    </w:p>
    <w:p>
      <w:pPr>
        <w:ind w:left="1260" w:right="100" w:firstLine="633"/>
        <w:spacing w:after="0" w:line="360" w:lineRule="auto"/>
        <w:tabs>
          <w:tab w:leader="none" w:pos="2578"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declaration or payment of any dividend in respect of any Series D Junior Securities. “</w:t>
      </w:r>
      <w:r>
        <w:rPr>
          <w:rFonts w:ascii="Arial" w:cs="Arial" w:eastAsia="Arial" w:hAnsi="Arial"/>
          <w:sz w:val="15"/>
          <w:szCs w:val="15"/>
          <w:b w:val="1"/>
          <w:bCs w:val="1"/>
          <w:i w:val="1"/>
          <w:iCs w:val="1"/>
          <w:color w:val="auto"/>
        </w:rPr>
        <w:t>Series D Junior Securities</w:t>
      </w:r>
      <w:r>
        <w:rPr>
          <w:rFonts w:ascii="Arial" w:cs="Arial" w:eastAsia="Arial" w:hAnsi="Arial"/>
          <w:sz w:val="15"/>
          <w:szCs w:val="15"/>
          <w:color w:val="auto"/>
        </w:rPr>
        <w:t>” means any shares of Common Stock or other stock that is junior to the Series D Preferred Stock in right of dividends or in respect of Liquidation.</w:t>
      </w:r>
    </w:p>
    <w:p>
      <w:pPr>
        <w:spacing w:after="0" w:line="112" w:lineRule="exact"/>
        <w:rPr>
          <w:sz w:val="20"/>
          <w:szCs w:val="20"/>
          <w:color w:val="auto"/>
        </w:rPr>
      </w:pPr>
    </w:p>
    <w:p>
      <w:pPr>
        <w:ind w:right="120" w:firstLine="629"/>
        <w:spacing w:after="0" w:line="268"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Dividends</w:t>
      </w:r>
      <w:r>
        <w:rPr>
          <w:rFonts w:ascii="Arial" w:cs="Arial" w:eastAsia="Arial" w:hAnsi="Arial"/>
          <w:sz w:val="17"/>
          <w:szCs w:val="17"/>
          <w:color w:val="auto"/>
        </w:rPr>
        <w:t>. No Series D Holder will have the right to receive any dividends in respect of any share of Series D Preferred Stock unless, and only to the extent, such dividends are declared by the Board and funds are legally available therefor. No dividends will be declared or paid in respect of the Common Stock or any shares ranking junior to the Series D Preferred Stock in respect of dividends unless an identical dividend amount (on an as-converted, per-share basis) is also simultaneously declared and paid in respect of the Series D Preferred Stock.</w:t>
      </w:r>
    </w:p>
    <w:p>
      <w:pPr>
        <w:spacing w:after="0" w:line="176"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7.4.</w:t>
      </w:r>
      <w:r>
        <w:rPr>
          <w:sz w:val="20"/>
          <w:szCs w:val="20"/>
          <w:color w:val="auto"/>
        </w:rPr>
        <w:tab/>
      </w:r>
      <w:r>
        <w:rPr>
          <w:rFonts w:ascii="Arial" w:cs="Arial" w:eastAsia="Arial" w:hAnsi="Arial"/>
          <w:sz w:val="16"/>
          <w:szCs w:val="16"/>
          <w:u w:val="single" w:color="auto"/>
          <w:color w:val="auto"/>
        </w:rPr>
        <w:t>Liquidation Preference</w:t>
      </w:r>
      <w:r>
        <w:rPr>
          <w:rFonts w:ascii="Arial" w:cs="Arial" w:eastAsia="Arial" w:hAnsi="Arial"/>
          <w:sz w:val="16"/>
          <w:szCs w:val="16"/>
          <w:color w:val="auto"/>
        </w:rPr>
        <w:t>.</w:t>
      </w:r>
    </w:p>
    <w:p>
      <w:pPr>
        <w:spacing w:after="0" w:line="224" w:lineRule="exact"/>
        <w:rPr>
          <w:sz w:val="20"/>
          <w:szCs w:val="20"/>
          <w:color w:val="auto"/>
        </w:rPr>
      </w:pPr>
    </w:p>
    <w:p>
      <w:pPr>
        <w:ind w:left="640" w:firstLine="623"/>
        <w:spacing w:after="0" w:line="277" w:lineRule="auto"/>
        <w:tabs>
          <w:tab w:leader="none" w:pos="194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Upon any Liquidation, the Series D Holders will be entitled to receive, out of assets of the Corporation which remain after satisfaction in full of all valid claims of the Corporation’s creditors and which are available for payment to stockholders (and subject to the rights of the holders of any Series D Senior Securities or the holders of shares of the Corporation ranking on a parity with the Series D Preferred Stock in respect of liquidation (“</w:t>
      </w:r>
      <w:r>
        <w:rPr>
          <w:rFonts w:ascii="Arial" w:cs="Arial" w:eastAsia="Arial" w:hAnsi="Arial"/>
          <w:sz w:val="16"/>
          <w:szCs w:val="16"/>
          <w:b w:val="1"/>
          <w:bCs w:val="1"/>
          <w:i w:val="1"/>
          <w:iCs w:val="1"/>
          <w:color w:val="auto"/>
        </w:rPr>
        <w:t>Series D Parity Securities</w:t>
      </w:r>
      <w:r>
        <w:rPr>
          <w:rFonts w:ascii="Arial" w:cs="Arial" w:eastAsia="Arial" w:hAnsi="Arial"/>
          <w:sz w:val="16"/>
          <w:szCs w:val="16"/>
          <w:color w:val="auto"/>
        </w:rPr>
        <w:t>”)), before any amount will be paid to or distributed among the holders of Series D Junior Securities, distributions per share of Series D Preferred Stock equal to the sum of (i) $1.25 (the “</w:t>
      </w:r>
      <w:r>
        <w:rPr>
          <w:rFonts w:ascii="Arial" w:cs="Arial" w:eastAsia="Arial" w:hAnsi="Arial"/>
          <w:sz w:val="16"/>
          <w:szCs w:val="16"/>
          <w:b w:val="1"/>
          <w:bCs w:val="1"/>
          <w:i w:val="1"/>
          <w:iCs w:val="1"/>
          <w:color w:val="auto"/>
        </w:rPr>
        <w:t>Series D Purchase Price</w:t>
      </w:r>
      <w:r>
        <w:rPr>
          <w:rFonts w:ascii="Arial" w:cs="Arial" w:eastAsia="Arial" w:hAnsi="Arial"/>
          <w:sz w:val="16"/>
          <w:szCs w:val="16"/>
          <w:color w:val="auto"/>
        </w:rPr>
        <w:t>”) (subject to adjustment for any stock split, reverse stock split, stock dividend or other such transaction applicable to the Series D Preferred Stock), plus (ii) the greater of (A) any dividends declared but unpaid in respect of such share and (B) the Series D Preferential Return (defined below). If upon any Liquidation the Series D Liquidation Payment and any amounts payable in respect of any Series D Parity Securities as to any such distribution are not paid in full, the Series D Holders and the holders of Series D Parity Securities will share ratably in any distribution of assets in proportion to the full respective amounts to which they are entitled. “</w:t>
      </w:r>
      <w:r>
        <w:rPr>
          <w:rFonts w:ascii="Arial" w:cs="Arial" w:eastAsia="Arial" w:hAnsi="Arial"/>
          <w:sz w:val="16"/>
          <w:szCs w:val="16"/>
          <w:b w:val="1"/>
          <w:bCs w:val="1"/>
          <w:i w:val="1"/>
          <w:iCs w:val="1"/>
          <w:color w:val="auto"/>
        </w:rPr>
        <w:t>Series 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Preferential Return</w:t>
      </w:r>
      <w:r>
        <w:rPr>
          <w:rFonts w:ascii="Arial" w:cs="Arial" w:eastAsia="Arial" w:hAnsi="Arial"/>
          <w:sz w:val="16"/>
          <w:szCs w:val="16"/>
          <w:color w:val="auto"/>
        </w:rPr>
        <w:t>” means an amount equal to the lesser of (x) the Series D Purchase Price and (y) the amount of simple interest, calculated monthly,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would have accrued on a hypothetical principal amount equal to the Series D Purchase Price for the period beginning on June 17, 2005 (the “</w:t>
      </w:r>
      <w:r>
        <w:rPr>
          <w:rFonts w:ascii="Arial" w:cs="Arial" w:eastAsia="Arial" w:hAnsi="Arial"/>
          <w:sz w:val="16"/>
          <w:szCs w:val="16"/>
          <w:b w:val="1"/>
          <w:bCs w:val="1"/>
          <w:i w:val="1"/>
          <w:iCs w:val="1"/>
          <w:color w:val="auto"/>
        </w:rPr>
        <w:t>Series D Purchase Date</w:t>
      </w:r>
      <w:r>
        <w:rPr>
          <w:rFonts w:ascii="Arial" w:cs="Arial" w:eastAsia="Arial" w:hAnsi="Arial"/>
          <w:sz w:val="16"/>
          <w:szCs w:val="16"/>
          <w:color w:val="auto"/>
        </w:rPr>
        <w:t>”) and ending on the date of the Liquidation payment at an interest rate for such period equal to the rate announced by Citibank N.A. as its prime rate two business days before the date of the Liquidation payment plus one percent.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220" w:firstLine="623"/>
        <w:spacing w:after="0" w:line="322" w:lineRule="auto"/>
        <w:tabs>
          <w:tab w:leader="none" w:pos="195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The Corporation will give written notice of any Liquidation to the Series D Holders, stating the payment date or dates when, and the place or places where, any payments under this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will be payable, at least 20 days prior to any payment date stated therein.</w:t>
      </w:r>
    </w:p>
    <w:p>
      <w:pPr>
        <w:spacing w:after="0" w:line="135" w:lineRule="exact"/>
        <w:rPr>
          <w:rFonts w:ascii="Arial" w:cs="Arial" w:eastAsia="Arial" w:hAnsi="Arial"/>
          <w:sz w:val="16"/>
          <w:szCs w:val="16"/>
          <w:color w:val="auto"/>
        </w:rPr>
      </w:pPr>
    </w:p>
    <w:p>
      <w:pPr>
        <w:ind w:left="1940" w:hanging="677"/>
        <w:spacing w:after="0"/>
        <w:tabs>
          <w:tab w:leader="none" w:pos="19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 Sale/Merger Transaction will be deemed to be a Liquidation.</w:t>
      </w:r>
    </w:p>
    <w:p>
      <w:pPr>
        <w:sectPr>
          <w:pgSz w:w="11900" w:h="16838" w:orient="portrait"/>
          <w:cols w:equalWidth="0" w:num="1">
            <w:col w:w="11420"/>
          </w:cols>
          <w:pgMar w:left="240" w:top="127" w:right="239" w:bottom="0" w:gutter="0" w:footer="0" w:header="0"/>
        </w:sectPr>
      </w:pPr>
    </w:p>
    <w:bookmarkStart w:id="207" w:name="page208"/>
    <w:bookmarkEnd w:id="207"/>
    <w:p>
      <w:pPr>
        <w:spacing w:after="0"/>
        <w:tabs>
          <w:tab w:leader="none" w:pos="1280" w:val="left"/>
        </w:tabs>
        <w:rPr>
          <w:sz w:val="20"/>
          <w:szCs w:val="20"/>
          <w:color w:val="auto"/>
        </w:rPr>
      </w:pPr>
      <w:r>
        <w:rPr>
          <w:rFonts w:ascii="Arial" w:cs="Arial" w:eastAsia="Arial" w:hAnsi="Arial"/>
          <w:sz w:val="17"/>
          <w:szCs w:val="17"/>
          <w:color w:val="auto"/>
        </w:rPr>
        <w:t>Section 7.5.</w:t>
      </w:r>
      <w:r>
        <w:rPr>
          <w:sz w:val="20"/>
          <w:szCs w:val="20"/>
          <w:color w:val="auto"/>
        </w:rPr>
        <w:tab/>
      </w:r>
      <w:r>
        <w:rPr>
          <w:rFonts w:ascii="Arial" w:cs="Arial" w:eastAsia="Arial" w:hAnsi="Arial"/>
          <w:sz w:val="16"/>
          <w:szCs w:val="16"/>
          <w:u w:val="single" w:color="auto"/>
          <w:color w:val="auto"/>
        </w:rPr>
        <w:t>Conversion</w:t>
      </w:r>
      <w:r>
        <w:rPr>
          <w:rFonts w:ascii="Arial" w:cs="Arial" w:eastAsia="Arial" w:hAnsi="Arial"/>
          <w:sz w:val="16"/>
          <w:szCs w:val="16"/>
          <w:color w:val="auto"/>
        </w:rPr>
        <w:t>.</w:t>
      </w:r>
    </w:p>
    <w:p>
      <w:pPr>
        <w:spacing w:after="0" w:line="224" w:lineRule="exact"/>
        <w:rPr>
          <w:sz w:val="20"/>
          <w:szCs w:val="20"/>
          <w:color w:val="auto"/>
        </w:rPr>
      </w:pPr>
    </w:p>
    <w:p>
      <w:pPr>
        <w:ind w:right="120" w:firstLine="623"/>
        <w:spacing w:after="0" w:line="263" w:lineRule="auto"/>
        <w:tabs>
          <w:tab w:leader="none" w:pos="1303"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Optional Conversion</w:t>
      </w:r>
      <w:r>
        <w:rPr>
          <w:rFonts w:ascii="Arial" w:cs="Arial" w:eastAsia="Arial" w:hAnsi="Arial"/>
          <w:sz w:val="17"/>
          <w:szCs w:val="17"/>
          <w:color w:val="auto"/>
        </w:rPr>
        <w:t xml:space="preserve">. Subject to and in compliance with this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any share of Series D Preferred Stock may, at the option of the holder thereof, be converted at any time and from time to time into a number of shares of Common Stock equal to the then-applicable Series D Conversion Amount (defined below). Each Series D Holder who desires to convert any of its Series D Preferred Stock into Common Stock pursuant to this </w:t>
      </w:r>
      <w:r>
        <w:rPr>
          <w:rFonts w:ascii="Arial" w:cs="Arial" w:eastAsia="Arial" w:hAnsi="Arial"/>
          <w:sz w:val="17"/>
          <w:szCs w:val="17"/>
          <w:u w:val="single" w:color="auto"/>
          <w:color w:val="auto"/>
        </w:rPr>
        <w:t>Section 7.5(a)</w:t>
      </w:r>
      <w:r>
        <w:rPr>
          <w:rFonts w:ascii="Arial" w:cs="Arial" w:eastAsia="Arial" w:hAnsi="Arial"/>
          <w:sz w:val="17"/>
          <w:szCs w:val="17"/>
          <w:color w:val="auto"/>
        </w:rPr>
        <w:t xml:space="preserve"> will surrender the certificate or certificates therefor, duly endorsed, at the office of the Corporation, and will give written notice to the Corporation at such office that such Series D Holder desires to convert such shares. Such notice will state the number of shares of Series D Preferred Stock being converted.</w:t>
      </w:r>
    </w:p>
    <w:p>
      <w:pPr>
        <w:spacing w:after="0" w:line="183" w:lineRule="exact"/>
        <w:rPr>
          <w:rFonts w:ascii="Arial" w:cs="Arial" w:eastAsia="Arial" w:hAnsi="Arial"/>
          <w:sz w:val="17"/>
          <w:szCs w:val="17"/>
          <w:color w:val="auto"/>
        </w:rPr>
      </w:pPr>
    </w:p>
    <w:p>
      <w:pPr>
        <w:ind w:right="240" w:firstLine="623"/>
        <w:spacing w:after="0" w:line="289" w:lineRule="auto"/>
        <w:tabs>
          <w:tab w:leader="none" w:pos="1313"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Automatic Conversion</w:t>
      </w:r>
      <w:r>
        <w:rPr>
          <w:rFonts w:ascii="Arial" w:cs="Arial" w:eastAsia="Arial" w:hAnsi="Arial"/>
          <w:sz w:val="17"/>
          <w:szCs w:val="17"/>
          <w:color w:val="auto"/>
        </w:rPr>
        <w:t>. Each share of Series D Preferred Stock will automatically be converted into a number of shares of Common Stock equal to the then-applicable Series D Conversion Amount (defined below):</w:t>
      </w:r>
    </w:p>
    <w:p>
      <w:pPr>
        <w:spacing w:after="0" w:line="158" w:lineRule="exact"/>
        <w:rPr>
          <w:rFonts w:ascii="Arial" w:cs="Arial" w:eastAsia="Arial" w:hAnsi="Arial"/>
          <w:sz w:val="17"/>
          <w:szCs w:val="17"/>
          <w:color w:val="auto"/>
        </w:rPr>
      </w:pPr>
    </w:p>
    <w:p>
      <w:pPr>
        <w:ind w:left="620" w:right="120" w:firstLine="633"/>
        <w:spacing w:after="0" w:line="273" w:lineRule="auto"/>
        <w:tabs>
          <w:tab w:leader="none" w:pos="1938" w:val="left"/>
        </w:tabs>
        <w:numPr>
          <w:ilvl w:val="1"/>
          <w:numId w:val="156"/>
        </w:numPr>
        <w:rPr>
          <w:rFonts w:ascii="Arial" w:cs="Arial" w:eastAsia="Arial" w:hAnsi="Arial"/>
          <w:sz w:val="17"/>
          <w:szCs w:val="17"/>
          <w:color w:val="auto"/>
        </w:rPr>
      </w:pPr>
      <w:r>
        <w:rPr>
          <w:rFonts w:ascii="Arial" w:cs="Arial" w:eastAsia="Arial" w:hAnsi="Arial"/>
          <w:sz w:val="17"/>
          <w:szCs w:val="17"/>
          <w:color w:val="auto"/>
        </w:rPr>
        <w:t>simultaneously with the closing of the first underwritten public offering under an effective registration statement under the Securities Act of 1933, as amended, covering the offering and sale of Common Stock for the account of the Corporation on a firm commitment basis for proceeds of at least $30 million (before deduction of underwriting costs, commissions and expenses);</w:t>
      </w:r>
    </w:p>
    <w:p>
      <w:pPr>
        <w:spacing w:after="0" w:line="171" w:lineRule="exact"/>
        <w:rPr>
          <w:rFonts w:ascii="Arial" w:cs="Arial" w:eastAsia="Arial" w:hAnsi="Arial"/>
          <w:sz w:val="17"/>
          <w:szCs w:val="17"/>
          <w:color w:val="auto"/>
        </w:rPr>
      </w:pPr>
    </w:p>
    <w:p>
      <w:pPr>
        <w:ind w:left="620" w:right="180" w:firstLine="633"/>
        <w:spacing w:after="0" w:line="289" w:lineRule="auto"/>
        <w:tabs>
          <w:tab w:leader="none" w:pos="1943" w:val="left"/>
        </w:tabs>
        <w:numPr>
          <w:ilvl w:val="1"/>
          <w:numId w:val="156"/>
        </w:numPr>
        <w:rPr>
          <w:rFonts w:ascii="Arial" w:cs="Arial" w:eastAsia="Arial" w:hAnsi="Arial"/>
          <w:sz w:val="17"/>
          <w:szCs w:val="17"/>
          <w:color w:val="auto"/>
        </w:rPr>
      </w:pPr>
      <w:r>
        <w:rPr>
          <w:rFonts w:ascii="Arial" w:cs="Arial" w:eastAsia="Arial" w:hAnsi="Arial"/>
          <w:sz w:val="17"/>
          <w:szCs w:val="17"/>
          <w:color w:val="auto"/>
        </w:rPr>
        <w:t>at the election of the holders of a number of shares of Series D Preferred Stock equal to at least two-thirds (2/3) of the then-outstanding shares of Series D Preferred Stock; or</w:t>
      </w:r>
    </w:p>
    <w:p>
      <w:pPr>
        <w:spacing w:after="0" w:line="158" w:lineRule="exact"/>
        <w:rPr>
          <w:rFonts w:ascii="Arial" w:cs="Arial" w:eastAsia="Arial" w:hAnsi="Arial"/>
          <w:sz w:val="17"/>
          <w:szCs w:val="17"/>
          <w:color w:val="auto"/>
        </w:rPr>
      </w:pPr>
    </w:p>
    <w:p>
      <w:pPr>
        <w:ind w:left="620" w:right="140" w:firstLine="633"/>
        <w:spacing w:after="0" w:line="273" w:lineRule="auto"/>
        <w:tabs>
          <w:tab w:leader="none" w:pos="1948" w:val="left"/>
        </w:tabs>
        <w:numPr>
          <w:ilvl w:val="1"/>
          <w:numId w:val="156"/>
        </w:numPr>
        <w:rPr>
          <w:rFonts w:ascii="Arial" w:cs="Arial" w:eastAsia="Arial" w:hAnsi="Arial"/>
          <w:sz w:val="17"/>
          <w:szCs w:val="17"/>
          <w:color w:val="auto"/>
        </w:rPr>
      </w:pPr>
      <w:r>
        <w:rPr>
          <w:rFonts w:ascii="Arial" w:cs="Arial" w:eastAsia="Arial" w:hAnsi="Arial"/>
          <w:sz w:val="17"/>
          <w:szCs w:val="17"/>
          <w:color w:val="auto"/>
        </w:rPr>
        <w:t>upon the conversion of a number of shares of Series D Preferred Stock equal to at least 60% of the shares of Series D Preferred Stock outstanding (subject to adjustment for any stock split, reverse stock split, stock dividend or other such transaction applicable to the Series D Preferred Stock) on the Series D Purchase Date.</w:t>
      </w:r>
    </w:p>
    <w:p>
      <w:pPr>
        <w:spacing w:after="0" w:line="172" w:lineRule="exact"/>
        <w:rPr>
          <w:sz w:val="20"/>
          <w:szCs w:val="20"/>
          <w:color w:val="auto"/>
        </w:rPr>
      </w:pPr>
    </w:p>
    <w:p>
      <w:pPr>
        <w:ind w:right="260"/>
        <w:spacing w:after="0" w:line="360" w:lineRule="auto"/>
        <w:rPr>
          <w:sz w:val="20"/>
          <w:szCs w:val="20"/>
          <w:color w:val="auto"/>
        </w:rPr>
      </w:pPr>
      <w:r>
        <w:rPr>
          <w:rFonts w:ascii="Arial" w:cs="Arial" w:eastAsia="Arial" w:hAnsi="Arial"/>
          <w:sz w:val="15"/>
          <w:szCs w:val="15"/>
          <w:color w:val="auto"/>
        </w:rPr>
        <w:t>Upon the occurrence of an automatic conversion of the Series D Preferred Stock, the Series D Holders will surrender the certificates representing their shares at the office of the Corporation or transfer agent, and the rights, preferences and restrictions of the Series D Preferred Stock will terminate.</w:t>
      </w:r>
    </w:p>
    <w:p>
      <w:pPr>
        <w:spacing w:after="0" w:line="11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00" w:hanging="677"/>
        <w:spacing w:after="0"/>
        <w:tabs>
          <w:tab w:leader="none" w:pos="1300"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Anti-Dilution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940" w:hanging="687"/>
        <w:spacing w:after="0"/>
        <w:tabs>
          <w:tab w:leader="none" w:pos="1940" w:val="left"/>
        </w:tabs>
        <w:numPr>
          <w:ilvl w:val="1"/>
          <w:numId w:val="157"/>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260" w:firstLine="622"/>
        <w:spacing w:after="0" w:line="279" w:lineRule="auto"/>
        <w:tabs>
          <w:tab w:leader="none" w:pos="2569" w:val="left"/>
        </w:tabs>
        <w:numPr>
          <w:ilvl w:val="2"/>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Additional Common Stock</w:t>
      </w:r>
      <w:r>
        <w:rPr>
          <w:rFonts w:ascii="Arial" w:cs="Arial" w:eastAsia="Arial" w:hAnsi="Arial"/>
          <w:sz w:val="16"/>
          <w:szCs w:val="16"/>
          <w:color w:val="auto"/>
        </w:rPr>
        <w:t xml:space="preserve">” for this </w:t>
      </w:r>
      <w:r>
        <w:rPr>
          <w:rFonts w:ascii="Arial" w:cs="Arial" w:eastAsia="Arial" w:hAnsi="Arial"/>
          <w:sz w:val="16"/>
          <w:szCs w:val="16"/>
          <w:u w:val="single" w:color="auto"/>
          <w:color w:val="auto"/>
        </w:rPr>
        <w:t>ARTICLE SEVEN</w:t>
      </w:r>
      <w:r>
        <w:rPr>
          <w:rFonts w:ascii="Arial" w:cs="Arial" w:eastAsia="Arial" w:hAnsi="Arial"/>
          <w:sz w:val="16"/>
          <w:szCs w:val="16"/>
          <w:color w:val="auto"/>
        </w:rPr>
        <w:t xml:space="preserve"> means shares of Common Stock issued by the Corporation or deemed to be issued under </w:t>
      </w:r>
      <w:r>
        <w:rPr>
          <w:rFonts w:ascii="Arial" w:cs="Arial" w:eastAsia="Arial" w:hAnsi="Arial"/>
          <w:sz w:val="16"/>
          <w:szCs w:val="16"/>
          <w:u w:val="single" w:color="auto"/>
          <w:color w:val="auto"/>
        </w:rPr>
        <w:t>Section 7.5(d)(iii)</w:t>
      </w:r>
      <w:r>
        <w:rPr>
          <w:rFonts w:ascii="Arial" w:cs="Arial" w:eastAsia="Arial" w:hAnsi="Arial"/>
          <w:sz w:val="16"/>
          <w:szCs w:val="16"/>
          <w:color w:val="auto"/>
        </w:rPr>
        <w:t>, whether or not subsequently reacquired or retired by the Corporation, other than shares issued (or deemed to be issued) (1) upon conversion of the Series D Preferred Stock; (2) to employees, officers or directors of, or consultants or advisors to, the Corporation or any subsidiary pursuant to stock purchase or stock option plans or other arrangements that are approved by the Board; (3) pursuant to the exercise of options, warrants or convertible securities outstanding as of the Restatement Date; (4) in connection with a Sale/Merger Transaction; (5) pursuant to any equipment leasing arrangement, commercial credit arrangement or debt financing from a bank or similar financial institution; (6) in connection with a transaction that causes an automatic conversion of the Series D Preferred Stock; and (7) for consideration other than cash pursuant to a merger, consolidation, share exchange, acquisition or similar business combination approved by the Board.</w:t>
      </w:r>
    </w:p>
    <w:p>
      <w:pPr>
        <w:spacing w:after="0" w:line="172" w:lineRule="exact"/>
        <w:rPr>
          <w:rFonts w:ascii="Arial" w:cs="Arial" w:eastAsia="Arial" w:hAnsi="Arial"/>
          <w:sz w:val="16"/>
          <w:szCs w:val="16"/>
          <w:color w:val="auto"/>
        </w:rPr>
      </w:pPr>
    </w:p>
    <w:p>
      <w:pPr>
        <w:ind w:left="1260" w:right="120" w:firstLine="622"/>
        <w:spacing w:after="0" w:line="322" w:lineRule="auto"/>
        <w:tabs>
          <w:tab w:leader="none" w:pos="2559" w:val="left"/>
        </w:tabs>
        <w:numPr>
          <w:ilvl w:val="2"/>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Aggregate Consideration</w:t>
      </w:r>
      <w:r>
        <w:rPr>
          <w:rFonts w:ascii="Arial" w:cs="Arial" w:eastAsia="Arial" w:hAnsi="Arial"/>
          <w:sz w:val="16"/>
          <w:szCs w:val="16"/>
          <w:color w:val="auto"/>
        </w:rPr>
        <w:t xml:space="preserve">” for this </w:t>
      </w:r>
      <w:r>
        <w:rPr>
          <w:rFonts w:ascii="Arial" w:cs="Arial" w:eastAsia="Arial" w:hAnsi="Arial"/>
          <w:sz w:val="16"/>
          <w:szCs w:val="16"/>
          <w:u w:val="single" w:color="auto"/>
          <w:color w:val="auto"/>
        </w:rPr>
        <w:t>ARTICLE SEVEN</w:t>
      </w:r>
      <w:r>
        <w:rPr>
          <w:rFonts w:ascii="Arial" w:cs="Arial" w:eastAsia="Arial" w:hAnsi="Arial"/>
          <w:sz w:val="16"/>
          <w:szCs w:val="16"/>
          <w:color w:val="auto"/>
        </w:rPr>
        <w:t xml:space="preserve"> means, for any issuance or sale, or deemed issuance or sale, of Additional Common Stock, the net consideration received by the Corporation, as determined in accordance with GAAP.</w:t>
      </w:r>
    </w:p>
    <w:p>
      <w:pPr>
        <w:spacing w:after="0" w:line="135" w:lineRule="exact"/>
        <w:rPr>
          <w:rFonts w:ascii="Arial" w:cs="Arial" w:eastAsia="Arial" w:hAnsi="Arial"/>
          <w:sz w:val="16"/>
          <w:szCs w:val="16"/>
          <w:color w:val="auto"/>
        </w:rPr>
      </w:pPr>
    </w:p>
    <w:p>
      <w:pPr>
        <w:ind w:left="1260" w:right="280" w:firstLine="622"/>
        <w:spacing w:after="0" w:line="289" w:lineRule="auto"/>
        <w:tabs>
          <w:tab w:leader="none" w:pos="2559" w:val="left"/>
        </w:tabs>
        <w:numPr>
          <w:ilvl w:val="2"/>
          <w:numId w:val="1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Convertible Securities</w:t>
      </w:r>
      <w:r>
        <w:rPr>
          <w:rFonts w:ascii="Arial" w:cs="Arial" w:eastAsia="Arial" w:hAnsi="Arial"/>
          <w:sz w:val="17"/>
          <w:szCs w:val="17"/>
          <w:color w:val="auto"/>
        </w:rPr>
        <w:t xml:space="preserve">” for this </w:t>
      </w:r>
      <w:r>
        <w:rPr>
          <w:rFonts w:ascii="Arial" w:cs="Arial" w:eastAsia="Arial" w:hAnsi="Arial"/>
          <w:sz w:val="17"/>
          <w:szCs w:val="17"/>
          <w:u w:val="single" w:color="auto"/>
          <w:color w:val="auto"/>
        </w:rPr>
        <w:t>ARTICLE SEVEN</w:t>
      </w:r>
      <w:r>
        <w:rPr>
          <w:rFonts w:ascii="Arial" w:cs="Arial" w:eastAsia="Arial" w:hAnsi="Arial"/>
          <w:sz w:val="17"/>
          <w:szCs w:val="17"/>
          <w:color w:val="auto"/>
        </w:rPr>
        <w:t xml:space="preserve"> means rights or options for the purchase of, or stock or other securities convertible into, Additional Common Stock.</w:t>
      </w:r>
    </w:p>
    <w:p>
      <w:pPr>
        <w:spacing w:after="0" w:line="158" w:lineRule="exact"/>
        <w:rPr>
          <w:rFonts w:ascii="Arial" w:cs="Arial" w:eastAsia="Arial" w:hAnsi="Arial"/>
          <w:sz w:val="17"/>
          <w:szCs w:val="17"/>
          <w:color w:val="auto"/>
        </w:rPr>
      </w:pPr>
    </w:p>
    <w:p>
      <w:pPr>
        <w:ind w:left="1260" w:right="180" w:firstLine="622"/>
        <w:spacing w:after="0" w:line="273" w:lineRule="auto"/>
        <w:tabs>
          <w:tab w:leader="none" w:pos="2569" w:val="left"/>
        </w:tabs>
        <w:numPr>
          <w:ilvl w:val="2"/>
          <w:numId w:val="1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Price</w:t>
      </w:r>
      <w:r>
        <w:rPr>
          <w:rFonts w:ascii="Arial" w:cs="Arial" w:eastAsia="Arial" w:hAnsi="Arial"/>
          <w:sz w:val="17"/>
          <w:szCs w:val="17"/>
          <w:color w:val="auto"/>
        </w:rPr>
        <w:t xml:space="preserve">” for this </w:t>
      </w:r>
      <w:r>
        <w:rPr>
          <w:rFonts w:ascii="Arial" w:cs="Arial" w:eastAsia="Arial" w:hAnsi="Arial"/>
          <w:sz w:val="17"/>
          <w:szCs w:val="17"/>
          <w:u w:val="single" w:color="auto"/>
          <w:color w:val="auto"/>
        </w:rPr>
        <w:t>ARTICLE SEVEN</w:t>
      </w:r>
      <w:r>
        <w:rPr>
          <w:rFonts w:ascii="Arial" w:cs="Arial" w:eastAsia="Arial" w:hAnsi="Arial"/>
          <w:sz w:val="17"/>
          <w:szCs w:val="17"/>
          <w:color w:val="auto"/>
        </w:rPr>
        <w:t xml:space="preserve"> means the quotient of (1) the Aggregate Consideration received in an issuance or sale (or deemed issuance or sale) of Additional Common Stock divided by (2) the total number of shares of Additional Common Stock issued or sold (or deemed to have been issued or sold) in such transaction.</w:t>
      </w:r>
    </w:p>
    <w:p>
      <w:pPr>
        <w:spacing w:after="0" w:line="171" w:lineRule="exact"/>
        <w:rPr>
          <w:rFonts w:ascii="Arial" w:cs="Arial" w:eastAsia="Arial" w:hAnsi="Arial"/>
          <w:sz w:val="17"/>
          <w:szCs w:val="17"/>
          <w:color w:val="auto"/>
        </w:rPr>
      </w:pPr>
    </w:p>
    <w:p>
      <w:pPr>
        <w:ind w:left="2580" w:hanging="698"/>
        <w:spacing w:after="0"/>
        <w:tabs>
          <w:tab w:leader="none" w:pos="2580" w:val="left"/>
        </w:tabs>
        <w:numPr>
          <w:ilvl w:val="2"/>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Series D Conversion Amount</w:t>
      </w:r>
      <w:r>
        <w:rPr>
          <w:rFonts w:ascii="Arial" w:cs="Arial" w:eastAsia="Arial" w:hAnsi="Arial"/>
          <w:sz w:val="16"/>
          <w:szCs w:val="16"/>
          <w:color w:val="auto"/>
        </w:rPr>
        <w:t>” means the quotient of (1) the Series D Purchase Price divided by (2) the Series D</w:t>
      </w:r>
    </w:p>
    <w:p>
      <w:pPr>
        <w:spacing w:after="0" w:line="37"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7"/>
          <w:szCs w:val="17"/>
          <w:color w:val="auto"/>
        </w:rPr>
        <w:t>Conversion Price.</w:t>
      </w:r>
    </w:p>
    <w:p>
      <w:pPr>
        <w:spacing w:after="0" w:line="212" w:lineRule="exact"/>
        <w:rPr>
          <w:rFonts w:ascii="Arial" w:cs="Arial" w:eastAsia="Arial" w:hAnsi="Arial"/>
          <w:sz w:val="16"/>
          <w:szCs w:val="16"/>
          <w:color w:val="auto"/>
        </w:rPr>
      </w:pPr>
    </w:p>
    <w:p>
      <w:pPr>
        <w:jc w:val="both"/>
        <w:ind w:left="1260" w:right="180" w:firstLine="622"/>
        <w:spacing w:after="0" w:line="273" w:lineRule="auto"/>
        <w:tabs>
          <w:tab w:leader="none" w:pos="2583" w:val="left"/>
        </w:tabs>
        <w:numPr>
          <w:ilvl w:val="2"/>
          <w:numId w:val="1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D Conversion Price</w:t>
      </w:r>
      <w:r>
        <w:rPr>
          <w:rFonts w:ascii="Arial" w:cs="Arial" w:eastAsia="Arial" w:hAnsi="Arial"/>
          <w:sz w:val="17"/>
          <w:szCs w:val="17"/>
          <w:color w:val="auto"/>
        </w:rPr>
        <w:t xml:space="preserve">” means, as of the Restatement Date, $0.49291, and will be adjusted from time to time thereafter in accordance with this </w:t>
      </w:r>
      <w:r>
        <w:rPr>
          <w:rFonts w:ascii="Arial" w:cs="Arial" w:eastAsia="Arial" w:hAnsi="Arial"/>
          <w:sz w:val="17"/>
          <w:szCs w:val="17"/>
          <w:u w:val="single" w:color="auto"/>
          <w:color w:val="auto"/>
        </w:rPr>
        <w:t>Section 7.5</w:t>
      </w:r>
      <w:r>
        <w:rPr>
          <w:rFonts w:ascii="Arial" w:cs="Arial" w:eastAsia="Arial" w:hAnsi="Arial"/>
          <w:sz w:val="17"/>
          <w:szCs w:val="17"/>
          <w:color w:val="auto"/>
        </w:rPr>
        <w:t>. All references to the Series D Conversion Price are to the Series D Conversion Price as so adjusted.</w:t>
      </w:r>
    </w:p>
    <w:p>
      <w:pPr>
        <w:spacing w:after="0" w:line="171" w:lineRule="exact"/>
        <w:rPr>
          <w:rFonts w:ascii="Arial" w:cs="Arial" w:eastAsia="Arial" w:hAnsi="Arial"/>
          <w:sz w:val="17"/>
          <w:szCs w:val="17"/>
          <w:color w:val="auto"/>
        </w:rPr>
      </w:pPr>
    </w:p>
    <w:p>
      <w:pPr>
        <w:ind w:right="40" w:firstLine="623"/>
        <w:spacing w:after="0" w:line="278" w:lineRule="auto"/>
        <w:tabs>
          <w:tab w:leader="none" w:pos="1313"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Adjustment for Diluting Issues</w:t>
      </w:r>
      <w:r>
        <w:rPr>
          <w:rFonts w:ascii="Arial" w:cs="Arial" w:eastAsia="Arial" w:hAnsi="Arial"/>
          <w:sz w:val="16"/>
          <w:szCs w:val="16"/>
          <w:color w:val="auto"/>
        </w:rPr>
        <w:t>. If at any time or from time to time after the Restatement Date the Corporation issues or sells, or is deemed by the express provisions of this Section to have issued or sold, for gross proceeds of at least $200,000, Additional Common Stock (other than as a dividend or other distribution on any class of stock, or as a subdivision or combination of shares of stock, in either case as provided in this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u w:val="single" w:color="auto"/>
          <w:color w:val="auto"/>
        </w:rPr>
        <w:t>Section 7.5(d)</w:t>
      </w:r>
      <w:r>
        <w:rPr>
          <w:rFonts w:ascii="Arial" w:cs="Arial" w:eastAsia="Arial" w:hAnsi="Arial"/>
          <w:sz w:val="17"/>
          <w:szCs w:val="17"/>
          <w:color w:val="auto"/>
        </w:rPr>
        <w:t>) for an Effective Price (determined in accordance with GAAP) less</w:t>
      </w:r>
    </w:p>
    <w:p>
      <w:pPr>
        <w:spacing w:after="0" w:line="21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spacing w:after="0" w:line="322" w:lineRule="auto"/>
        <w:rPr>
          <w:sz w:val="20"/>
          <w:szCs w:val="20"/>
          <w:color w:val="auto"/>
        </w:rPr>
      </w:pPr>
      <w:r>
        <w:rPr>
          <w:rFonts w:ascii="Arial" w:cs="Arial" w:eastAsia="Arial" w:hAnsi="Arial"/>
          <w:sz w:val="16"/>
          <w:szCs w:val="16"/>
          <w:color w:val="auto"/>
        </w:rPr>
        <w:t>than the then-effective Series D Conversion Price, then and in each such case the then-existing Series D Conversion Price will be reduced, as of the opening of business on the date of such issue or sale, by multiplying it by the number determined by the following formula:</w:t>
      </w:r>
    </w:p>
    <w:p>
      <w:pPr>
        <w:spacing w:after="0" w:line="136"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1/(1+w), where</w:t>
      </w:r>
    </w:p>
    <w:p>
      <w:pPr>
        <w:spacing w:after="0" w:line="224" w:lineRule="exact"/>
        <w:rPr>
          <w:sz w:val="20"/>
          <w:szCs w:val="20"/>
          <w:color w:val="auto"/>
        </w:rPr>
      </w:pPr>
    </w:p>
    <w:p>
      <w:pPr>
        <w:ind w:left="620"/>
        <w:spacing w:after="0"/>
        <w:tabs>
          <w:tab w:leader="none" w:pos="1120" w:val="left"/>
        </w:tabs>
        <w:rPr>
          <w:sz w:val="20"/>
          <w:szCs w:val="20"/>
          <w:color w:val="auto"/>
        </w:rPr>
      </w:pPr>
      <w:r>
        <w:rPr>
          <w:rFonts w:ascii="Arial" w:cs="Arial" w:eastAsia="Arial" w:hAnsi="Arial"/>
          <w:sz w:val="17"/>
          <w:szCs w:val="17"/>
          <w:color w:val="auto"/>
        </w:rPr>
        <w:t>w =</w:t>
        <w:tab/>
        <w:t>[((X+Z)/(X+Y))–1]/(1–P);</w:t>
      </w:r>
    </w:p>
    <w:p>
      <w:pPr>
        <w:sectPr>
          <w:pgSz w:w="11900" w:h="16838" w:orient="portrait"/>
          <w:cols w:equalWidth="0" w:num="1">
            <w:col w:w="10760"/>
          </w:cols>
          <w:pgMar w:left="880" w:top="337" w:right="259" w:bottom="0" w:gutter="0" w:footer="0" w:header="0"/>
        </w:sectPr>
      </w:pPr>
    </w:p>
    <w:bookmarkStart w:id="208" w:name="page209"/>
    <w:bookmarkEnd w:id="208"/>
    <w:p>
      <w:pPr>
        <w:spacing w:after="0" w:line="38"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360" w:type="dxa"/>
            <w:vAlign w:val="bottom"/>
          </w:tcPr>
          <w:p>
            <w:pPr>
              <w:spacing w:after="0"/>
              <w:rPr>
                <w:sz w:val="20"/>
                <w:szCs w:val="20"/>
                <w:color w:val="auto"/>
              </w:rPr>
            </w:pPr>
            <w:r>
              <w:rPr>
                <w:rFonts w:ascii="Arial" w:cs="Arial" w:eastAsia="Arial" w:hAnsi="Arial"/>
                <w:sz w:val="17"/>
                <w:szCs w:val="17"/>
                <w:color w:val="auto"/>
              </w:rPr>
              <w:t>P=</w:t>
            </w:r>
          </w:p>
        </w:tc>
        <w:tc>
          <w:tcPr>
            <w:tcW w:w="9800" w:type="dxa"/>
            <w:vAlign w:val="bottom"/>
            <w:gridSpan w:val="5"/>
          </w:tcPr>
          <w:p>
            <w:pPr>
              <w:ind w:left="160"/>
              <w:spacing w:after="0"/>
              <w:rPr>
                <w:sz w:val="20"/>
                <w:szCs w:val="20"/>
                <w:color w:val="auto"/>
              </w:rPr>
            </w:pPr>
            <w:r>
              <w:rPr>
                <w:rFonts w:ascii="Arial" w:cs="Arial" w:eastAsia="Arial" w:hAnsi="Arial"/>
                <w:sz w:val="17"/>
                <w:szCs w:val="17"/>
                <w:color w:val="auto"/>
              </w:rPr>
              <w:t>C/(X+Y);</w:t>
            </w:r>
          </w:p>
        </w:tc>
      </w:tr>
      <w:tr>
        <w:trPr>
          <w:trHeight w:val="408"/>
        </w:trPr>
        <w:tc>
          <w:tcPr>
            <w:tcW w:w="360" w:type="dxa"/>
            <w:vAlign w:val="bottom"/>
          </w:tcPr>
          <w:p>
            <w:pPr>
              <w:spacing w:after="0"/>
              <w:rPr>
                <w:sz w:val="20"/>
                <w:szCs w:val="20"/>
                <w:color w:val="auto"/>
              </w:rPr>
            </w:pPr>
            <w:r>
              <w:rPr>
                <w:rFonts w:ascii="Arial" w:cs="Arial" w:eastAsia="Arial" w:hAnsi="Arial"/>
                <w:sz w:val="17"/>
                <w:szCs w:val="17"/>
                <w:color w:val="auto"/>
              </w:rPr>
              <w:t>C=</w:t>
            </w:r>
          </w:p>
        </w:tc>
        <w:tc>
          <w:tcPr>
            <w:tcW w:w="9800" w:type="dxa"/>
            <w:vAlign w:val="bottom"/>
            <w:gridSpan w:val="5"/>
          </w:tcPr>
          <w:p>
            <w:pPr>
              <w:ind w:left="140"/>
              <w:spacing w:after="0"/>
              <w:rPr>
                <w:sz w:val="20"/>
                <w:szCs w:val="20"/>
                <w:color w:val="auto"/>
              </w:rPr>
            </w:pPr>
            <w:r>
              <w:rPr>
                <w:rFonts w:ascii="Arial" w:cs="Arial" w:eastAsia="Arial" w:hAnsi="Arial"/>
                <w:sz w:val="17"/>
                <w:szCs w:val="17"/>
                <w:color w:val="auto"/>
                <w:w w:val="95"/>
              </w:rPr>
              <w:t>the number of shares of Series D Preferred Stock immediately prior to the time of such issuance or sale multiplied by the then-effective</w:t>
            </w:r>
          </w:p>
        </w:tc>
      </w:tr>
      <w:tr>
        <w:trPr>
          <w:trHeight w:val="222"/>
        </w:trPr>
        <w:tc>
          <w:tcPr>
            <w:tcW w:w="360" w:type="dxa"/>
            <w:vAlign w:val="bottom"/>
          </w:tcPr>
          <w:p>
            <w:pPr>
              <w:spacing w:after="0"/>
              <w:rPr>
                <w:sz w:val="19"/>
                <w:szCs w:val="19"/>
                <w:color w:val="auto"/>
              </w:rPr>
            </w:pPr>
          </w:p>
        </w:tc>
        <w:tc>
          <w:tcPr>
            <w:tcW w:w="9800" w:type="dxa"/>
            <w:vAlign w:val="bottom"/>
            <w:gridSpan w:val="5"/>
          </w:tcPr>
          <w:p>
            <w:pPr>
              <w:ind w:left="140"/>
              <w:spacing w:after="0"/>
              <w:rPr>
                <w:sz w:val="20"/>
                <w:szCs w:val="20"/>
                <w:color w:val="auto"/>
              </w:rPr>
            </w:pPr>
            <w:r>
              <w:rPr>
                <w:rFonts w:ascii="Arial" w:cs="Arial" w:eastAsia="Arial" w:hAnsi="Arial"/>
                <w:sz w:val="17"/>
                <w:szCs w:val="17"/>
                <w:color w:val="auto"/>
              </w:rPr>
              <w:t>Series D Conversion Amount (the quotient of the Series D Purchase Price divided by the Series D Conversion Price); and</w:t>
            </w:r>
          </w:p>
        </w:tc>
      </w:tr>
      <w:tr>
        <w:trPr>
          <w:trHeight w:val="408"/>
        </w:trPr>
        <w:tc>
          <w:tcPr>
            <w:tcW w:w="360" w:type="dxa"/>
            <w:vAlign w:val="bottom"/>
          </w:tcPr>
          <w:p>
            <w:pPr>
              <w:spacing w:after="0"/>
              <w:rPr>
                <w:sz w:val="20"/>
                <w:szCs w:val="20"/>
                <w:color w:val="auto"/>
              </w:rPr>
            </w:pPr>
            <w:r>
              <w:rPr>
                <w:rFonts w:ascii="Arial" w:cs="Arial" w:eastAsia="Arial" w:hAnsi="Arial"/>
                <w:sz w:val="17"/>
                <w:szCs w:val="17"/>
                <w:color w:val="auto"/>
              </w:rPr>
              <w:t>X=</w:t>
            </w:r>
          </w:p>
        </w:tc>
        <w:tc>
          <w:tcPr>
            <w:tcW w:w="9800" w:type="dxa"/>
            <w:vAlign w:val="bottom"/>
            <w:gridSpan w:val="5"/>
          </w:tcPr>
          <w:p>
            <w:pPr>
              <w:ind w:left="160"/>
              <w:spacing w:after="0"/>
              <w:rPr>
                <w:sz w:val="20"/>
                <w:szCs w:val="20"/>
                <w:color w:val="auto"/>
              </w:rPr>
            </w:pPr>
            <w:r>
              <w:rPr>
                <w:rFonts w:ascii="Arial" w:cs="Arial" w:eastAsia="Arial" w:hAnsi="Arial"/>
                <w:sz w:val="17"/>
                <w:szCs w:val="17"/>
                <w:color w:val="auto"/>
                <w:w w:val="93"/>
              </w:rPr>
              <w:t>the sum of the following (i) the total number of shares of Common Stock issued and outstanding, or deemed to be issued and outstanding</w:t>
            </w:r>
          </w:p>
        </w:tc>
      </w:tr>
      <w:tr>
        <w:trPr>
          <w:trHeight w:val="183"/>
        </w:trPr>
        <w:tc>
          <w:tcPr>
            <w:tcW w:w="360" w:type="dxa"/>
            <w:vAlign w:val="bottom"/>
          </w:tcPr>
          <w:p>
            <w:pPr>
              <w:spacing w:after="0"/>
              <w:rPr>
                <w:sz w:val="15"/>
                <w:szCs w:val="15"/>
                <w:color w:val="auto"/>
              </w:rPr>
            </w:pPr>
          </w:p>
        </w:tc>
        <w:tc>
          <w:tcPr>
            <w:tcW w:w="9800" w:type="dxa"/>
            <w:vAlign w:val="bottom"/>
            <w:gridSpan w:val="5"/>
          </w:tcPr>
          <w:p>
            <w:pPr>
              <w:ind w:left="140"/>
              <w:spacing w:after="0" w:line="183" w:lineRule="exact"/>
              <w:rPr>
                <w:sz w:val="20"/>
                <w:szCs w:val="20"/>
                <w:color w:val="auto"/>
              </w:rPr>
            </w:pPr>
            <w:r>
              <w:rPr>
                <w:rFonts w:ascii="Arial" w:cs="Arial" w:eastAsia="Arial" w:hAnsi="Arial"/>
                <w:sz w:val="17"/>
                <w:szCs w:val="17"/>
                <w:color w:val="auto"/>
                <w:w w:val="98"/>
              </w:rPr>
              <w:t>under this Section 7.5(d)(iii), (ii) the total number of shares of Common Stock reserved for nonexercised stock options granted, and</w:t>
            </w:r>
          </w:p>
        </w:tc>
      </w:tr>
      <w:tr>
        <w:trPr>
          <w:trHeight w:val="20"/>
        </w:trPr>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7"/>
        </w:trPr>
        <w:tc>
          <w:tcPr>
            <w:tcW w:w="360" w:type="dxa"/>
            <w:vAlign w:val="bottom"/>
          </w:tcPr>
          <w:p>
            <w:pPr>
              <w:spacing w:after="0"/>
              <w:rPr>
                <w:sz w:val="18"/>
                <w:szCs w:val="18"/>
                <w:color w:val="auto"/>
              </w:rPr>
            </w:pPr>
          </w:p>
        </w:tc>
        <w:tc>
          <w:tcPr>
            <w:tcW w:w="9800" w:type="dxa"/>
            <w:vAlign w:val="bottom"/>
            <w:gridSpan w:val="5"/>
          </w:tcPr>
          <w:p>
            <w:pPr>
              <w:ind w:left="140"/>
              <w:spacing w:after="0"/>
              <w:rPr>
                <w:sz w:val="20"/>
                <w:szCs w:val="20"/>
                <w:color w:val="auto"/>
              </w:rPr>
            </w:pPr>
            <w:r>
              <w:rPr>
                <w:rFonts w:ascii="Arial" w:cs="Arial" w:eastAsia="Arial" w:hAnsi="Arial"/>
                <w:sz w:val="17"/>
                <w:szCs w:val="17"/>
                <w:color w:val="auto"/>
                <w:w w:val="95"/>
              </w:rPr>
              <w:t>(iii) the total number of shares of Common Stock reserved and available for issuance under stock option plans, immediately prior to the</w:t>
            </w:r>
          </w:p>
        </w:tc>
      </w:tr>
      <w:tr>
        <w:trPr>
          <w:trHeight w:val="222"/>
        </w:trPr>
        <w:tc>
          <w:tcPr>
            <w:tcW w:w="360" w:type="dxa"/>
            <w:vAlign w:val="bottom"/>
          </w:tcPr>
          <w:p>
            <w:pPr>
              <w:spacing w:after="0"/>
              <w:rPr>
                <w:sz w:val="19"/>
                <w:szCs w:val="19"/>
                <w:color w:val="auto"/>
              </w:rPr>
            </w:pPr>
          </w:p>
        </w:tc>
        <w:tc>
          <w:tcPr>
            <w:tcW w:w="9800" w:type="dxa"/>
            <w:vAlign w:val="bottom"/>
            <w:gridSpan w:val="5"/>
          </w:tcPr>
          <w:p>
            <w:pPr>
              <w:ind w:left="140"/>
              <w:spacing w:after="0"/>
              <w:rPr>
                <w:sz w:val="20"/>
                <w:szCs w:val="20"/>
                <w:color w:val="auto"/>
              </w:rPr>
            </w:pPr>
            <w:r>
              <w:rPr>
                <w:rFonts w:ascii="Arial" w:cs="Arial" w:eastAsia="Arial" w:hAnsi="Arial"/>
                <w:sz w:val="17"/>
                <w:szCs w:val="17"/>
                <w:color w:val="auto"/>
              </w:rPr>
              <w:t>time of such issuance or sale;</w:t>
            </w:r>
          </w:p>
        </w:tc>
      </w:tr>
      <w:tr>
        <w:trPr>
          <w:trHeight w:val="408"/>
        </w:trPr>
        <w:tc>
          <w:tcPr>
            <w:tcW w:w="360" w:type="dxa"/>
            <w:vAlign w:val="bottom"/>
          </w:tcPr>
          <w:p>
            <w:pPr>
              <w:spacing w:after="0"/>
              <w:rPr>
                <w:sz w:val="20"/>
                <w:szCs w:val="20"/>
                <w:color w:val="auto"/>
              </w:rPr>
            </w:pPr>
            <w:r>
              <w:rPr>
                <w:rFonts w:ascii="Arial" w:cs="Arial" w:eastAsia="Arial" w:hAnsi="Arial"/>
                <w:sz w:val="17"/>
                <w:szCs w:val="17"/>
                <w:color w:val="auto"/>
              </w:rPr>
              <w:t>Y=</w:t>
            </w:r>
          </w:p>
        </w:tc>
        <w:tc>
          <w:tcPr>
            <w:tcW w:w="9800" w:type="dxa"/>
            <w:vAlign w:val="bottom"/>
            <w:gridSpan w:val="5"/>
          </w:tcPr>
          <w:p>
            <w:pPr>
              <w:ind w:left="160"/>
              <w:spacing w:after="0"/>
              <w:rPr>
                <w:sz w:val="20"/>
                <w:szCs w:val="20"/>
                <w:color w:val="auto"/>
              </w:rPr>
            </w:pPr>
            <w:r>
              <w:rPr>
                <w:rFonts w:ascii="Arial" w:cs="Arial" w:eastAsia="Arial" w:hAnsi="Arial"/>
                <w:sz w:val="17"/>
                <w:szCs w:val="17"/>
                <w:color w:val="auto"/>
                <w:w w:val="92"/>
              </w:rPr>
              <w:t>the number of shares of Common Stock that could have been purchased for the Aggregate Consideration at the Series D Conversion Price</w:t>
            </w:r>
          </w:p>
        </w:tc>
      </w:tr>
      <w:tr>
        <w:trPr>
          <w:trHeight w:val="222"/>
        </w:trPr>
        <w:tc>
          <w:tcPr>
            <w:tcW w:w="360" w:type="dxa"/>
            <w:vAlign w:val="bottom"/>
          </w:tcPr>
          <w:p>
            <w:pPr>
              <w:spacing w:after="0"/>
              <w:rPr>
                <w:sz w:val="19"/>
                <w:szCs w:val="19"/>
                <w:color w:val="auto"/>
              </w:rPr>
            </w:pPr>
          </w:p>
        </w:tc>
        <w:tc>
          <w:tcPr>
            <w:tcW w:w="9800" w:type="dxa"/>
            <w:vAlign w:val="bottom"/>
            <w:gridSpan w:val="5"/>
          </w:tcPr>
          <w:p>
            <w:pPr>
              <w:ind w:left="140"/>
              <w:spacing w:after="0"/>
              <w:rPr>
                <w:sz w:val="20"/>
                <w:szCs w:val="20"/>
                <w:color w:val="auto"/>
              </w:rPr>
            </w:pPr>
            <w:r>
              <w:rPr>
                <w:rFonts w:ascii="Arial" w:cs="Arial" w:eastAsia="Arial" w:hAnsi="Arial"/>
                <w:sz w:val="17"/>
                <w:szCs w:val="17"/>
                <w:color w:val="auto"/>
              </w:rPr>
              <w:t>in effect immediately prior to such reduction;</w:t>
            </w:r>
          </w:p>
        </w:tc>
      </w:tr>
      <w:tr>
        <w:trPr>
          <w:trHeight w:val="381"/>
        </w:trPr>
        <w:tc>
          <w:tcPr>
            <w:tcW w:w="360" w:type="dxa"/>
            <w:vAlign w:val="bottom"/>
          </w:tcPr>
          <w:p>
            <w:pPr>
              <w:spacing w:after="0"/>
              <w:rPr>
                <w:sz w:val="20"/>
                <w:szCs w:val="20"/>
                <w:color w:val="auto"/>
              </w:rPr>
            </w:pPr>
            <w:r>
              <w:rPr>
                <w:rFonts w:ascii="Arial" w:cs="Arial" w:eastAsia="Arial" w:hAnsi="Arial"/>
                <w:sz w:val="17"/>
                <w:szCs w:val="17"/>
                <w:color w:val="auto"/>
              </w:rPr>
              <w:t>Z=</w:t>
            </w:r>
          </w:p>
        </w:tc>
        <w:tc>
          <w:tcPr>
            <w:tcW w:w="9800" w:type="dxa"/>
            <w:vAlign w:val="bottom"/>
            <w:gridSpan w:val="5"/>
          </w:tcPr>
          <w:p>
            <w:pPr>
              <w:ind w:left="160"/>
              <w:spacing w:after="0"/>
              <w:rPr>
                <w:sz w:val="20"/>
                <w:szCs w:val="20"/>
                <w:color w:val="auto"/>
              </w:rPr>
            </w:pPr>
            <w:r>
              <w:rPr>
                <w:rFonts w:ascii="Arial" w:cs="Arial" w:eastAsia="Arial" w:hAnsi="Arial"/>
                <w:sz w:val="17"/>
                <w:szCs w:val="17"/>
                <w:color w:val="auto"/>
                <w:w w:val="94"/>
              </w:rPr>
              <w:t>the number of shares of Common Stock issued or sold, or deemed to be issued or sold under this Section 7.5(d)(iii), in such issuance or</w:t>
            </w:r>
          </w:p>
        </w:tc>
      </w:tr>
      <w:tr>
        <w:trPr>
          <w:trHeight w:val="229"/>
        </w:trPr>
        <w:tc>
          <w:tcPr>
            <w:tcW w:w="360" w:type="dxa"/>
            <w:vAlign w:val="bottom"/>
          </w:tcPr>
          <w:p>
            <w:pPr>
              <w:spacing w:after="0"/>
              <w:rPr>
                <w:sz w:val="19"/>
                <w:szCs w:val="19"/>
                <w:color w:val="auto"/>
              </w:rPr>
            </w:pPr>
          </w:p>
        </w:tc>
        <w:tc>
          <w:tcPr>
            <w:tcW w:w="6940" w:type="dxa"/>
            <w:vAlign w:val="bottom"/>
            <w:gridSpan w:val="3"/>
          </w:tcPr>
          <w:p>
            <w:pPr>
              <w:ind w:left="140"/>
              <w:spacing w:after="0"/>
              <w:rPr>
                <w:sz w:val="20"/>
                <w:szCs w:val="20"/>
                <w:color w:val="auto"/>
              </w:rPr>
            </w:pPr>
            <w:r>
              <w:rPr>
                <w:rFonts w:ascii="Arial" w:cs="Arial" w:eastAsia="Arial" w:hAnsi="Arial"/>
                <w:sz w:val="17"/>
                <w:szCs w:val="17"/>
                <w:color w:val="auto"/>
              </w:rPr>
              <w:t>sale.</w:t>
            </w:r>
          </w:p>
        </w:tc>
        <w:tc>
          <w:tcPr>
            <w:tcW w:w="1240" w:type="dxa"/>
            <w:vAlign w:val="bottom"/>
            <w:tcBorders>
              <w:top w:val="single" w:sz="8" w:color="auto"/>
            </w:tcBorders>
          </w:tcPr>
          <w:p>
            <w:pPr>
              <w:spacing w:after="0"/>
              <w:rPr>
                <w:sz w:val="19"/>
                <w:szCs w:val="19"/>
                <w:color w:val="auto"/>
              </w:rPr>
            </w:pPr>
          </w:p>
        </w:tc>
        <w:tc>
          <w:tcPr>
            <w:tcW w:w="1620" w:type="dxa"/>
            <w:vAlign w:val="bottom"/>
          </w:tcPr>
          <w:p>
            <w:pPr>
              <w:spacing w:after="0"/>
              <w:rPr>
                <w:sz w:val="19"/>
                <w:szCs w:val="19"/>
                <w:color w:val="auto"/>
              </w:rPr>
            </w:pPr>
          </w:p>
        </w:tc>
      </w:tr>
    </w:tbl>
    <w:p>
      <w:pPr>
        <w:spacing w:after="0" w:line="198" w:lineRule="exact"/>
        <w:rPr>
          <w:sz w:val="20"/>
          <w:szCs w:val="20"/>
          <w:color w:val="auto"/>
        </w:rPr>
      </w:pPr>
    </w:p>
    <w:p>
      <w:pPr>
        <w:ind w:left="60" w:firstLine="633"/>
        <w:spacing w:after="0" w:line="262" w:lineRule="auto"/>
        <w:tabs>
          <w:tab w:leader="none" w:pos="1378"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Adjustment for Stock Splits and Combinations</w:t>
      </w:r>
      <w:r>
        <w:rPr>
          <w:rFonts w:ascii="Arial" w:cs="Arial" w:eastAsia="Arial" w:hAnsi="Arial"/>
          <w:sz w:val="17"/>
          <w:szCs w:val="17"/>
          <w:color w:val="auto"/>
        </w:rPr>
        <w:t xml:space="preserve">. If the Corporation at any time or from time to time after the Restatement Date effects a subdivision of the outstanding Common Stock without a corresponding subdivision of the Series D Preferred Stock, the Series D Conversion Price in effect immediately before that subdivision will be proportionately decreased. Conversely, if the Corporation at any time or from time to time combines the outstanding shares of Common Stock into a smaller number of shares without a corresponding combination of the Series D Preferred Stock, the Series D Conversion Price in effect immediately before the combination will be proportionately increased. Any adjustment under this </w:t>
      </w:r>
      <w:r>
        <w:rPr>
          <w:rFonts w:ascii="Arial" w:cs="Arial" w:eastAsia="Arial" w:hAnsi="Arial"/>
          <w:sz w:val="17"/>
          <w:szCs w:val="17"/>
          <w:u w:val="single" w:color="auto"/>
          <w:color w:val="auto"/>
        </w:rPr>
        <w:t>Section 7.5(d)(i)</w:t>
      </w:r>
      <w:r>
        <w:rPr>
          <w:rFonts w:ascii="Arial" w:cs="Arial" w:eastAsia="Arial" w:hAnsi="Arial"/>
          <w:sz w:val="17"/>
          <w:szCs w:val="17"/>
          <w:color w:val="auto"/>
        </w:rPr>
        <w:t xml:space="preserve"> will become effective at the close of business on the date the subdivision or combination becomes effective.</w:t>
      </w:r>
    </w:p>
    <w:p>
      <w:pPr>
        <w:spacing w:after="0" w:line="184" w:lineRule="exact"/>
        <w:rPr>
          <w:rFonts w:ascii="Arial" w:cs="Arial" w:eastAsia="Arial" w:hAnsi="Arial"/>
          <w:sz w:val="17"/>
          <w:szCs w:val="17"/>
          <w:color w:val="auto"/>
        </w:rPr>
      </w:pPr>
    </w:p>
    <w:p>
      <w:pPr>
        <w:ind w:left="60" w:right="320" w:firstLine="633"/>
        <w:spacing w:after="0" w:line="289" w:lineRule="auto"/>
        <w:tabs>
          <w:tab w:leader="none" w:pos="1383"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Adjustment for Common Stock Dividends and Distributions</w:t>
      </w:r>
      <w:r>
        <w:rPr>
          <w:rFonts w:ascii="Arial" w:cs="Arial" w:eastAsia="Arial" w:hAnsi="Arial"/>
          <w:sz w:val="17"/>
          <w:szCs w:val="17"/>
          <w:color w:val="auto"/>
        </w:rPr>
        <w:t>. If the Corporation at any time or from time to time after the Restatement Date makes, or fixes a record date for the determination of holders of Common Stock entitled to</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81280</wp:posOffset>
            </wp:positionV>
            <wp:extent cx="7271385" cy="29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80"/>
        <w:spacing w:after="0" w:line="273" w:lineRule="auto"/>
        <w:rPr>
          <w:sz w:val="20"/>
          <w:szCs w:val="20"/>
          <w:color w:val="auto"/>
        </w:rPr>
      </w:pPr>
      <w:r>
        <w:rPr>
          <w:rFonts w:ascii="Arial" w:cs="Arial" w:eastAsia="Arial" w:hAnsi="Arial"/>
          <w:sz w:val="17"/>
          <w:szCs w:val="17"/>
          <w:color w:val="auto"/>
        </w:rPr>
        <w:t>receive, a dividend or other distribution payable in additional shares of Common Stock, in each such event the Series D Conversion Price that is then in effect will be decreased as of the time of such issuance or, in the event such record date is fixed, as of the close of business on such record date, by multiplying the Series D Conversion Price then in effect by the result of the following formula:</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X / (Y+Z), where</w:t>
      </w:r>
    </w:p>
    <w:p>
      <w:pPr>
        <w:spacing w:after="0" w:line="224" w:lineRule="exact"/>
        <w:rPr>
          <w:sz w:val="20"/>
          <w:szCs w:val="20"/>
          <w:color w:val="auto"/>
        </w:rPr>
      </w:pPr>
    </w:p>
    <w:p>
      <w:pPr>
        <w:ind w:left="560" w:right="540" w:hanging="502"/>
        <w:spacing w:after="0" w:line="289" w:lineRule="auto"/>
        <w:tabs>
          <w:tab w:leader="none" w:pos="540" w:val="left"/>
        </w:tabs>
        <w:rPr>
          <w:sz w:val="20"/>
          <w:szCs w:val="20"/>
          <w:color w:val="auto"/>
        </w:rPr>
      </w:pPr>
      <w:r>
        <w:rPr>
          <w:rFonts w:ascii="Arial" w:cs="Arial" w:eastAsia="Arial" w:hAnsi="Arial"/>
          <w:sz w:val="17"/>
          <w:szCs w:val="17"/>
          <w:color w:val="auto"/>
        </w:rPr>
        <w:t>X =</w:t>
        <w:tab/>
        <w:t>the total number of shares of Common Stock issued and outstanding immediately prior to the time of such issuance or the close of business on such record date;</w:t>
      </w:r>
    </w:p>
    <w:p>
      <w:pPr>
        <w:spacing w:after="0" w:line="158" w:lineRule="exact"/>
        <w:rPr>
          <w:sz w:val="20"/>
          <w:szCs w:val="20"/>
          <w:color w:val="auto"/>
        </w:rPr>
      </w:pPr>
    </w:p>
    <w:p>
      <w:pPr>
        <w:ind w:left="560" w:right="540" w:hanging="502"/>
        <w:spacing w:after="0" w:line="289" w:lineRule="auto"/>
        <w:tabs>
          <w:tab w:leader="none" w:pos="540" w:val="left"/>
        </w:tabs>
        <w:rPr>
          <w:sz w:val="20"/>
          <w:szCs w:val="20"/>
          <w:color w:val="auto"/>
        </w:rPr>
      </w:pPr>
      <w:r>
        <w:rPr>
          <w:rFonts w:ascii="Arial" w:cs="Arial" w:eastAsia="Arial" w:hAnsi="Arial"/>
          <w:sz w:val="17"/>
          <w:szCs w:val="17"/>
          <w:color w:val="auto"/>
        </w:rPr>
        <w:t>Y =</w:t>
        <w:tab/>
        <w:t>the total number of shares of Common Stock issued and outstanding immediately prior to the time of such issuance or the close of business on such record date; and</w:t>
      </w:r>
    </w:p>
    <w:p>
      <w:pPr>
        <w:spacing w:after="0" w:line="158"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7"/>
          <w:szCs w:val="17"/>
          <w:color w:val="auto"/>
        </w:rPr>
        <w:t>Z =</w:t>
      </w:r>
      <w:r>
        <w:rPr>
          <w:sz w:val="20"/>
          <w:szCs w:val="20"/>
          <w:color w:val="auto"/>
        </w:rPr>
        <w:tab/>
      </w:r>
      <w:r>
        <w:rPr>
          <w:rFonts w:ascii="Arial" w:cs="Arial" w:eastAsia="Arial" w:hAnsi="Arial"/>
          <w:sz w:val="15"/>
          <w:szCs w:val="15"/>
          <w:color w:val="auto"/>
        </w:rPr>
        <w:t>the number of shares of Common Stock issuable in payment of such dividend or distribution;</w:t>
      </w:r>
    </w:p>
    <w:p>
      <w:pPr>
        <w:spacing w:after="0" w:line="224" w:lineRule="exact"/>
        <w:rPr>
          <w:sz w:val="20"/>
          <w:szCs w:val="20"/>
          <w:color w:val="auto"/>
        </w:rPr>
      </w:pPr>
    </w:p>
    <w:p>
      <w:pPr>
        <w:ind w:left="60" w:right="160"/>
        <w:spacing w:after="0" w:line="298" w:lineRule="auto"/>
        <w:rPr>
          <w:sz w:val="20"/>
          <w:szCs w:val="20"/>
          <w:color w:val="auto"/>
        </w:rPr>
      </w:pPr>
      <w:r>
        <w:rPr>
          <w:rFonts w:ascii="Arial" w:cs="Arial" w:eastAsia="Arial" w:hAnsi="Arial"/>
          <w:sz w:val="16"/>
          <w:szCs w:val="16"/>
          <w:color w:val="auto"/>
        </w:rPr>
        <w:t xml:space="preserve">provided, however, that if such record date is fixed and such dividend is not fully paid or if such distribution is not fully made on the date fixed therefor, the Series D Conversion Price will be recomputed accordingly as of the close of business on such record date and thereafter the Series D Conversion Price will be adjusted pursuant to this </w:t>
      </w:r>
      <w:r>
        <w:rPr>
          <w:rFonts w:ascii="Arial" w:cs="Arial" w:eastAsia="Arial" w:hAnsi="Arial"/>
          <w:sz w:val="16"/>
          <w:szCs w:val="16"/>
          <w:u w:val="single" w:color="auto"/>
          <w:color w:val="auto"/>
        </w:rPr>
        <w:t>Section 7.5(d)(ii)</w:t>
      </w:r>
      <w:r>
        <w:rPr>
          <w:rFonts w:ascii="Arial" w:cs="Arial" w:eastAsia="Arial" w:hAnsi="Arial"/>
          <w:sz w:val="16"/>
          <w:szCs w:val="16"/>
          <w:color w:val="auto"/>
        </w:rPr>
        <w:t xml:space="preserve"> to reflect the actual payment of such dividend or distribution.</w:t>
      </w:r>
    </w:p>
    <w:p>
      <w:pPr>
        <w:spacing w:after="0" w:line="154" w:lineRule="exact"/>
        <w:rPr>
          <w:sz w:val="20"/>
          <w:szCs w:val="20"/>
          <w:color w:val="auto"/>
        </w:rPr>
      </w:pPr>
    </w:p>
    <w:p>
      <w:pPr>
        <w:ind w:left="60" w:firstLine="633"/>
        <w:spacing w:after="0" w:line="277" w:lineRule="auto"/>
        <w:tabs>
          <w:tab w:leader="none" w:pos="1388"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Deemed Issuances or Sales</w:t>
      </w:r>
      <w:r>
        <w:rPr>
          <w:rFonts w:ascii="Arial" w:cs="Arial" w:eastAsia="Arial" w:hAnsi="Arial"/>
          <w:sz w:val="16"/>
          <w:szCs w:val="16"/>
          <w:color w:val="auto"/>
        </w:rPr>
        <w:t>. If the Corporation issues or sells any Convertible Securities after the Restatement Date and if the Effective Price of the Additional Common Stock underlying such Convertible Securities is less than the Series D Conversion Price, in each such case the Corporation will be deemed to have issued at the time of the issuance of such Convertible Securities the maximum number of shares of Additional Common Stock issuable upon exercise or conversion thereof and to have received as consideration for the issuance of such shares an amount equal to the total amount of the consideration, if any, received by the Corporation for the issuance of such Convertible Securities, plus, in the case of such rights or options, the minimum amounts of consideration, if any, payable to the Corporation upon the exercise or conversion of such Convertible Securities (other than by cancellation of liabilities or obligations evidenced by such Convertible Securities) upon the conversion thereof; provided, that, if the minimum amount of consideration payable to the Corporation upon the exercise or conversion of Convertible Securities is reduced over time or on the occurrence or non-occurrence of specified events other than by reason of anti-dilution adjustments, the Effective Price will be recalculated at such time using the figure to which such minimum amount of consideration is reduced; provided further, that if the minimum amount of consideration payable to the Corporation upon the exercise or conversion of such Convertible Securities is subsequently increased, the Effective Price will be again recalculated using the increased minimum amount of consideration payable to the Corporation upon the exercise or conversion of such Convertible Securities. No further adjustment of the Series</w:t>
      </w:r>
    </w:p>
    <w:p>
      <w:pPr>
        <w:spacing w:after="0" w:line="176"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81280</wp:posOffset>
            </wp:positionV>
            <wp:extent cx="7271385" cy="29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0"/>
        <w:spacing w:after="0" w:line="290" w:lineRule="auto"/>
        <w:rPr>
          <w:sz w:val="20"/>
          <w:szCs w:val="20"/>
          <w:color w:val="auto"/>
        </w:rPr>
      </w:pPr>
      <w:r>
        <w:rPr>
          <w:rFonts w:ascii="Arial" w:cs="Arial" w:eastAsia="Arial" w:hAnsi="Arial"/>
          <w:sz w:val="16"/>
          <w:szCs w:val="16"/>
          <w:color w:val="auto"/>
        </w:rPr>
        <w:t>D Conversion Price, as adjusted upon the issuance of such Convertible Securities, will be made as a result of the actual issuance of shares of Additional Common Stock on the exercise or conversion of any such Convertible Securities. If any Convertible Securities outstanding (including those outstanding as of the Restatement Date) expire without having been exercised or converted, the Series D Conversion Price will be adjusted to the Series D Conversion Price which would have been in effect absent the issuance of such expired Convertible Securities.</w:t>
      </w:r>
    </w:p>
    <w:p>
      <w:pPr>
        <w:spacing w:after="0" w:line="159" w:lineRule="exact"/>
        <w:rPr>
          <w:sz w:val="20"/>
          <w:szCs w:val="20"/>
          <w:color w:val="auto"/>
        </w:rPr>
      </w:pPr>
    </w:p>
    <w:p>
      <w:pPr>
        <w:ind w:left="-560" w:right="20" w:firstLine="623"/>
        <w:spacing w:after="0" w:line="305" w:lineRule="auto"/>
        <w:tabs>
          <w:tab w:leader="none" w:pos="743" w:val="left"/>
        </w:tabs>
        <w:numPr>
          <w:ilvl w:val="0"/>
          <w:numId w:val="160"/>
        </w:numPr>
        <w:rPr>
          <w:rFonts w:ascii="Arial" w:cs="Arial" w:eastAsia="Arial" w:hAnsi="Arial"/>
          <w:sz w:val="15"/>
          <w:szCs w:val="15"/>
          <w:color w:val="auto"/>
        </w:rPr>
      </w:pPr>
      <w:r>
        <w:rPr>
          <w:rFonts w:ascii="Arial" w:cs="Arial" w:eastAsia="Arial" w:hAnsi="Arial"/>
          <w:sz w:val="15"/>
          <w:szCs w:val="15"/>
          <w:u w:val="single" w:color="auto"/>
          <w:color w:val="auto"/>
        </w:rPr>
        <w:t>Issuance of Certificates; Time Conversion Effected</w:t>
      </w:r>
      <w:r>
        <w:rPr>
          <w:rFonts w:ascii="Arial" w:cs="Arial" w:eastAsia="Arial" w:hAnsi="Arial"/>
          <w:sz w:val="15"/>
          <w:szCs w:val="15"/>
          <w:color w:val="auto"/>
        </w:rPr>
        <w:t>. Promptly after the automatic or optional conversion and surrender of the certificate or certificates (and notice, as applicable) for the share or shares of Series D Preferred Stock to be converted, the Corporation will issue and deliver, or cause to be issued and delivered, to the holder thereof, registered in such name or names as such holder may direct, (A) a certificate or certificates for the number of whole shares of Common Stock issuable upon the conversion of such share or shares of Series D Preferred Stock and (B), in the case of a partial optional conversion, a certificate or certificates for the number of whole shares of Series D Preferred Stock which the notice delivered by such holder specified were not to be converted, unless and to the extent the Board adopts a resolution providing that the Series D Preferred Stock or Common</w:t>
      </w:r>
    </w:p>
    <w:p>
      <w:pPr>
        <w:sectPr>
          <w:pgSz w:w="11900" w:h="16876" w:orient="portrait"/>
          <w:cols w:equalWidth="0" w:num="1">
            <w:col w:w="10220"/>
          </w:cols>
          <w:pgMar w:left="1440" w:top="127" w:right="239" w:bottom="0" w:gutter="0" w:footer="0" w:header="0"/>
        </w:sectPr>
      </w:pPr>
    </w:p>
    <w:bookmarkStart w:id="209" w:name="page210"/>
    <w:bookmarkEnd w:id="209"/>
    <w:p>
      <w:pPr>
        <w:spacing w:after="0" w:line="55" w:lineRule="exact"/>
        <w:rPr>
          <w:sz w:val="20"/>
          <w:szCs w:val="20"/>
          <w:color w:val="auto"/>
        </w:rPr>
      </w:pPr>
    </w:p>
    <w:p>
      <w:pPr>
        <w:ind w:left="640"/>
        <w:spacing w:after="0" w:line="280" w:lineRule="auto"/>
        <w:rPr>
          <w:sz w:val="20"/>
          <w:szCs w:val="20"/>
          <w:color w:val="auto"/>
        </w:rPr>
      </w:pPr>
      <w:r>
        <w:rPr>
          <w:rFonts w:ascii="Arial" w:cs="Arial" w:eastAsia="Arial" w:hAnsi="Arial"/>
          <w:sz w:val="16"/>
          <w:szCs w:val="16"/>
          <w:color w:val="auto"/>
        </w:rPr>
        <w:t>Stock shall be uncertificated or registered in book entry form. With respect to an automatic conversion, effective immediately upon such conversion, regardless of whether the certificate or certificates for such share or shares shall have been surrendered, the rights of the holder of such share or shares of Series D Preferred Stock will cease, and the person(s) in whose name or names any certificate, certificates or book entry for shares of Common Stock issued upon such conversion will be deemed to have become the holder or holders of record of the shares represented thereby. With respect to an optional conversion, the certificate or certificates for such converted share or shares will have been surrendered as aforesaid, and at such time the rights of the holder of such converted share or shares of Series D Preferred Stock will cease, and the person(s) in whose name or names any certificate or certificates for shares of Common Stock (or Series D Preferred Stock, as applicable) will be issuable upon such conversion will be deemed to have become the holder or holders of record of the shares represented thereby.</w:t>
      </w:r>
    </w:p>
    <w:p>
      <w:pPr>
        <w:spacing w:after="0" w:line="171" w:lineRule="exact"/>
        <w:rPr>
          <w:sz w:val="20"/>
          <w:szCs w:val="20"/>
          <w:color w:val="auto"/>
        </w:rPr>
      </w:pPr>
    </w:p>
    <w:p>
      <w:pPr>
        <w:ind w:left="640" w:right="40" w:firstLine="623"/>
        <w:spacing w:after="0" w:line="285" w:lineRule="auto"/>
        <w:tabs>
          <w:tab w:leader="none" w:pos="1968"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Fractional Shares; Dividends; Partial Conversion</w:t>
      </w:r>
      <w:r>
        <w:rPr>
          <w:rFonts w:ascii="Arial" w:cs="Arial" w:eastAsia="Arial" w:hAnsi="Arial"/>
          <w:sz w:val="16"/>
          <w:szCs w:val="16"/>
          <w:color w:val="auto"/>
        </w:rPr>
        <w:t xml:space="preserve">. No fractional shares will be issued upon conversion of Series D Preferred Stock into Common Stock and no payment or adjustment will be made upon any conversion on account of any cash dividends on the Common Stock issued upon conversion. If any fractional share of Common Stock would, except for the provisions of the first sentence of this </w:t>
      </w:r>
      <w:r>
        <w:rPr>
          <w:rFonts w:ascii="Arial" w:cs="Arial" w:eastAsia="Arial" w:hAnsi="Arial"/>
          <w:sz w:val="16"/>
          <w:szCs w:val="16"/>
          <w:u w:val="single" w:color="auto"/>
          <w:color w:val="auto"/>
        </w:rPr>
        <w:t>Section 7.5(f)</w:t>
      </w:r>
      <w:r>
        <w:rPr>
          <w:rFonts w:ascii="Arial" w:cs="Arial" w:eastAsia="Arial" w:hAnsi="Arial"/>
          <w:sz w:val="16"/>
          <w:szCs w:val="16"/>
          <w:color w:val="auto"/>
        </w:rPr>
        <w:t>, be delivered upon such conversion, the Corporation, in lieu of delivering such fractional share, will pay to the holder surrendering the Series D Preferred Stock for conversion an amount in cash equal to the current market price of such fractional share as determined in good faith by the Board.</w:t>
      </w:r>
    </w:p>
    <w:p>
      <w:pPr>
        <w:spacing w:after="0" w:line="166" w:lineRule="exact"/>
        <w:rPr>
          <w:rFonts w:ascii="Arial" w:cs="Arial" w:eastAsia="Arial" w:hAnsi="Arial"/>
          <w:sz w:val="16"/>
          <w:szCs w:val="16"/>
          <w:color w:val="auto"/>
        </w:rPr>
      </w:pPr>
    </w:p>
    <w:p>
      <w:pPr>
        <w:ind w:left="640" w:right="140" w:firstLine="623"/>
        <w:spacing w:after="0" w:line="289" w:lineRule="auto"/>
        <w:tabs>
          <w:tab w:leader="none" w:pos="1953"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Stock to be Reserved</w:t>
      </w:r>
      <w:r>
        <w:rPr>
          <w:rFonts w:ascii="Arial" w:cs="Arial" w:eastAsia="Arial" w:hAnsi="Arial"/>
          <w:sz w:val="17"/>
          <w:szCs w:val="17"/>
          <w:color w:val="auto"/>
        </w:rPr>
        <w:t>. The Corporation will at all times reserve and keep available out of its authorized Common Stock, solely for the purpose of issuance upon the conversion of Series D Preferred Stock as herein provided, such number of shares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20"/>
        <w:spacing w:after="0" w:line="268" w:lineRule="auto"/>
        <w:rPr>
          <w:sz w:val="20"/>
          <w:szCs w:val="20"/>
          <w:color w:val="auto"/>
        </w:rPr>
      </w:pPr>
      <w:r>
        <w:rPr>
          <w:rFonts w:ascii="Arial" w:cs="Arial" w:eastAsia="Arial" w:hAnsi="Arial"/>
          <w:sz w:val="17"/>
          <w:szCs w:val="17"/>
          <w:color w:val="auto"/>
        </w:rPr>
        <w:t>Common Stock as are then issuable upon the conversion of all outstanding shares of Series D Preferred Stock. All shares of Common Stock so issued will be duly and validly issued and fully paid and nonassessable. The Corporation will take all such action as may be necessary to assure that all such shares of Common Stock may be so issued without violation of any applicable law or regulation, or of any requirement of any national securities exchange upon which the Common Stock may be listed.</w:t>
      </w:r>
    </w:p>
    <w:p>
      <w:pPr>
        <w:spacing w:after="0" w:line="176" w:lineRule="exact"/>
        <w:rPr>
          <w:sz w:val="20"/>
          <w:szCs w:val="20"/>
          <w:color w:val="auto"/>
        </w:rPr>
      </w:pPr>
    </w:p>
    <w:p>
      <w:pPr>
        <w:ind w:left="640" w:right="340" w:firstLine="623"/>
        <w:spacing w:after="0" w:line="273" w:lineRule="auto"/>
        <w:tabs>
          <w:tab w:leader="none" w:pos="1953"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No Reissuance of Series D Preferred Stock</w:t>
      </w:r>
      <w:r>
        <w:rPr>
          <w:rFonts w:ascii="Arial" w:cs="Arial" w:eastAsia="Arial" w:hAnsi="Arial"/>
          <w:sz w:val="17"/>
          <w:szCs w:val="17"/>
          <w:color w:val="auto"/>
        </w:rPr>
        <w:t>. Shares of Series D Preferred Stock that are converted into shares of Common Stock as provided herein will not be reissued as Series D Preferred Stock but will be generally available to be reissued pursuant to a separate statement of resolution adopted by the Board.</w:t>
      </w:r>
    </w:p>
    <w:p>
      <w:pPr>
        <w:spacing w:after="0" w:line="171" w:lineRule="exact"/>
        <w:rPr>
          <w:rFonts w:ascii="Arial" w:cs="Arial" w:eastAsia="Arial" w:hAnsi="Arial"/>
          <w:sz w:val="17"/>
          <w:szCs w:val="17"/>
          <w:color w:val="auto"/>
        </w:rPr>
      </w:pPr>
    </w:p>
    <w:p>
      <w:pPr>
        <w:ind w:left="640" w:right="60" w:firstLine="623"/>
        <w:spacing w:after="0" w:line="268" w:lineRule="auto"/>
        <w:tabs>
          <w:tab w:leader="none" w:pos="1958"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Issue Tax</w:t>
      </w:r>
      <w:r>
        <w:rPr>
          <w:rFonts w:ascii="Arial" w:cs="Arial" w:eastAsia="Arial" w:hAnsi="Arial"/>
          <w:sz w:val="17"/>
          <w:szCs w:val="17"/>
          <w:color w:val="auto"/>
        </w:rPr>
        <w:t>. The issuance of certificates for shares of Common Stock upon conversion of Series D Preferred Stock will be made without charge to the holders thereof for any issuance tax in respect thereof, provided that the Corporation will not be required to pay any tax which may be payable in respect of any transfer involved in the issuance and delivery of any certificate in a name other than that of the holder of the Series D Preferred Stock which is being converted.</w:t>
      </w:r>
    </w:p>
    <w:p>
      <w:pPr>
        <w:spacing w:after="0" w:line="175" w:lineRule="exact"/>
        <w:rPr>
          <w:rFonts w:ascii="Arial" w:cs="Arial" w:eastAsia="Arial" w:hAnsi="Arial"/>
          <w:sz w:val="17"/>
          <w:szCs w:val="17"/>
          <w:color w:val="auto"/>
        </w:rPr>
      </w:pPr>
    </w:p>
    <w:p>
      <w:pPr>
        <w:jc w:val="both"/>
        <w:ind w:left="640" w:right="240" w:firstLine="623"/>
        <w:spacing w:after="0" w:line="326" w:lineRule="auto"/>
        <w:tabs>
          <w:tab w:leader="none" w:pos="1958" w:val="left"/>
        </w:tabs>
        <w:numPr>
          <w:ilvl w:val="0"/>
          <w:numId w:val="162"/>
        </w:numPr>
        <w:rPr>
          <w:rFonts w:ascii="Arial" w:cs="Arial" w:eastAsia="Arial" w:hAnsi="Arial"/>
          <w:sz w:val="15"/>
          <w:szCs w:val="15"/>
          <w:color w:val="auto"/>
        </w:rPr>
      </w:pPr>
      <w:r>
        <w:rPr>
          <w:rFonts w:ascii="Arial" w:cs="Arial" w:eastAsia="Arial" w:hAnsi="Arial"/>
          <w:sz w:val="15"/>
          <w:szCs w:val="15"/>
          <w:u w:val="single" w:color="auto"/>
          <w:color w:val="auto"/>
        </w:rPr>
        <w:t>Closing of Books</w:t>
      </w:r>
      <w:r>
        <w:rPr>
          <w:rFonts w:ascii="Arial" w:cs="Arial" w:eastAsia="Arial" w:hAnsi="Arial"/>
          <w:sz w:val="15"/>
          <w:szCs w:val="15"/>
          <w:color w:val="auto"/>
        </w:rPr>
        <w:t>. The Corporation will at no time close its transfer books against the transfer of any Series D Preferred Stock or of any shares of Common Stock issued or issuable upon the conversion of any shares of Series D Preferred Stock in any manner which interferes with the timely conversion of such Series D Preferred Stock, except as may otherwise be required to comply with applicable securities and corporate laws.</w:t>
      </w:r>
    </w:p>
    <w:p>
      <w:pPr>
        <w:spacing w:after="0" w:line="136" w:lineRule="exact"/>
        <w:rPr>
          <w:rFonts w:ascii="Arial" w:cs="Arial" w:eastAsia="Arial" w:hAnsi="Arial"/>
          <w:sz w:val="15"/>
          <w:szCs w:val="15"/>
          <w:color w:val="auto"/>
        </w:rPr>
      </w:pPr>
    </w:p>
    <w:p>
      <w:pPr>
        <w:ind w:left="640" w:right="60" w:firstLine="623"/>
        <w:spacing w:after="0" w:line="299" w:lineRule="auto"/>
        <w:tabs>
          <w:tab w:leader="none" w:pos="1953" w:val="left"/>
        </w:tabs>
        <w:numPr>
          <w:ilvl w:val="0"/>
          <w:numId w:val="162"/>
        </w:numPr>
        <w:rPr>
          <w:rFonts w:ascii="Arial" w:cs="Arial" w:eastAsia="Arial" w:hAnsi="Arial"/>
          <w:sz w:val="15"/>
          <w:szCs w:val="15"/>
          <w:color w:val="auto"/>
        </w:rPr>
      </w:pPr>
      <w:r>
        <w:rPr>
          <w:rFonts w:ascii="Arial" w:cs="Arial" w:eastAsia="Arial" w:hAnsi="Arial"/>
          <w:sz w:val="15"/>
          <w:szCs w:val="15"/>
          <w:u w:val="single" w:color="auto"/>
          <w:color w:val="auto"/>
        </w:rPr>
        <w:t>Reorganization or Reclassification</w:t>
      </w:r>
      <w:r>
        <w:rPr>
          <w:rFonts w:ascii="Arial" w:cs="Arial" w:eastAsia="Arial" w:hAnsi="Arial"/>
          <w:sz w:val="15"/>
          <w:szCs w:val="15"/>
          <w:color w:val="auto"/>
        </w:rPr>
        <w:t>. If any capital reorganization, reclassification of the capital stock of the Corporation, stock split, or stock dividend (each a “</w:t>
      </w:r>
      <w:r>
        <w:rPr>
          <w:rFonts w:ascii="Arial" w:cs="Arial" w:eastAsia="Arial" w:hAnsi="Arial"/>
          <w:sz w:val="15"/>
          <w:szCs w:val="15"/>
          <w:b w:val="1"/>
          <w:bCs w:val="1"/>
          <w:i w:val="1"/>
          <w:iCs w:val="1"/>
          <w:color w:val="auto"/>
        </w:rPr>
        <w:t>Distribution</w:t>
      </w:r>
      <w:r>
        <w:rPr>
          <w:rFonts w:ascii="Arial" w:cs="Arial" w:eastAsia="Arial" w:hAnsi="Arial"/>
          <w:sz w:val="15"/>
          <w:szCs w:val="15"/>
          <w:color w:val="auto"/>
        </w:rPr>
        <w:t>”) is effected in such a way that holders of Common Stock will be entitled to receive stock, securities or assets with respect to or in exchange for Common Stock, then, as a condition of such Distribution, lawful and adequate provisions will be made whereby each holder of a share or shares of Series D Preferred Stock will thereupon have the right to receive, subject to the terms and conditions specified herein and, as applicable, in lieu of the shares of Common Stock receivable upon the conversion of such share or shares of Series D Preferred Stock immediately prior to such Distribution, such shares of stock, securities or assets as may be issued or payable with respect to or, as applicable, in exchange for a number of outstanding shares of such Common Stock equal to the number of shares of such Common Stock receivable immediately prior to such Distribution upon such conversion had such Distribution not taken place. In any such case, appropriate adjustments to the provisions hereof shall be made with respect to the rights and interests of such holder of Series D Preferred Stock after the Distribution to the end that the provisions hereof will thereafter be applicable, as nearly as may be, in relation to any shares of stock, securities or assets thereafter deliverable upon the exercise of such conversion rights.</w:t>
      </w:r>
    </w:p>
    <w:p>
      <w:pPr>
        <w:spacing w:after="0" w:line="158" w:lineRule="exact"/>
        <w:rPr>
          <w:sz w:val="20"/>
          <w:szCs w:val="20"/>
          <w:color w:val="auto"/>
        </w:rPr>
      </w:pPr>
    </w:p>
    <w:p>
      <w:pPr>
        <w:ind w:right="600" w:firstLine="629"/>
        <w:spacing w:after="0" w:line="289"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u w:val="single" w:color="auto"/>
          <w:color w:val="auto"/>
        </w:rPr>
        <w:t>Senior Preferred Stock</w:t>
      </w:r>
      <w:r>
        <w:rPr>
          <w:rFonts w:ascii="Arial" w:cs="Arial" w:eastAsia="Arial" w:hAnsi="Arial"/>
          <w:sz w:val="17"/>
          <w:szCs w:val="17"/>
          <w:color w:val="auto"/>
        </w:rPr>
        <w:t xml:space="preserve">. Except as otherwise set forth in </w:t>
      </w:r>
      <w:r>
        <w:rPr>
          <w:rFonts w:ascii="Arial" w:cs="Arial" w:eastAsia="Arial" w:hAnsi="Arial"/>
          <w:sz w:val="17"/>
          <w:szCs w:val="17"/>
          <w:u w:val="single" w:color="auto"/>
          <w:color w:val="auto"/>
        </w:rPr>
        <w:t>Section 7.2(b)(ii)</w:t>
      </w:r>
      <w:r>
        <w:rPr>
          <w:rFonts w:ascii="Arial" w:cs="Arial" w:eastAsia="Arial" w:hAnsi="Arial"/>
          <w:sz w:val="17"/>
          <w:szCs w:val="17"/>
          <w:color w:val="auto"/>
        </w:rPr>
        <w:t>, the Corporation may, in its sole discretion, authorize additional classes and series of Preferred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Stock with rights senior to, junior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Series D Preferred Stock.</w:t>
      </w:r>
    </w:p>
    <w:p>
      <w:pPr>
        <w:spacing w:after="0" w:line="224" w:lineRule="exact"/>
        <w:rPr>
          <w:sz w:val="20"/>
          <w:szCs w:val="20"/>
          <w:color w:val="auto"/>
        </w:rPr>
      </w:pPr>
    </w:p>
    <w:p>
      <w:pPr>
        <w:ind w:right="680" w:firstLine="629"/>
        <w:spacing w:after="0" w:line="289" w:lineRule="auto"/>
        <w:rPr>
          <w:sz w:val="20"/>
          <w:szCs w:val="20"/>
          <w:color w:val="auto"/>
        </w:rPr>
      </w:pPr>
      <w:r>
        <w:rPr>
          <w:rFonts w:ascii="Arial" w:cs="Arial" w:eastAsia="Arial" w:hAnsi="Arial"/>
          <w:sz w:val="17"/>
          <w:szCs w:val="17"/>
          <w:color w:val="auto"/>
        </w:rPr>
        <w:t xml:space="preserve">Section 7.7. </w:t>
      </w:r>
      <w:r>
        <w:rPr>
          <w:rFonts w:ascii="Arial" w:cs="Arial" w:eastAsia="Arial" w:hAnsi="Arial"/>
          <w:sz w:val="17"/>
          <w:szCs w:val="17"/>
          <w:u w:val="single" w:color="auto"/>
          <w:color w:val="auto"/>
        </w:rPr>
        <w:t>Amendments to Series D Provisions of Articles</w:t>
      </w:r>
      <w:r>
        <w:rPr>
          <w:rFonts w:ascii="Arial" w:cs="Arial" w:eastAsia="Arial" w:hAnsi="Arial"/>
          <w:sz w:val="17"/>
          <w:szCs w:val="17"/>
          <w:color w:val="auto"/>
        </w:rPr>
        <w:t xml:space="preserve">. The Company may amend any of this </w:t>
      </w:r>
      <w:r>
        <w:rPr>
          <w:rFonts w:ascii="Arial" w:cs="Arial" w:eastAsia="Arial" w:hAnsi="Arial"/>
          <w:sz w:val="17"/>
          <w:szCs w:val="17"/>
          <w:u w:val="single" w:color="auto"/>
          <w:color w:val="auto"/>
        </w:rPr>
        <w:t>ARTICLE SEVEN</w:t>
      </w:r>
      <w:r>
        <w:rPr>
          <w:rFonts w:ascii="Arial" w:cs="Arial" w:eastAsia="Arial" w:hAnsi="Arial"/>
          <w:sz w:val="17"/>
          <w:szCs w:val="17"/>
          <w:color w:val="auto"/>
        </w:rPr>
        <w:t xml:space="preserve"> with the consent or affirmative vote of two-thirds (2/3) of the issued and outstanding shares of Series D Preferred Stock on the date of such consent or vote.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EIGHT— SERIES E PREFERRED STOCK.</w:t>
      </w:r>
    </w:p>
    <w:p>
      <w:pPr>
        <w:spacing w:after="0" w:line="224"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Series E Preferred Stock</w:t>
      </w:r>
      <w:r>
        <w:rPr>
          <w:rFonts w:ascii="Arial" w:cs="Arial" w:eastAsia="Arial" w:hAnsi="Arial"/>
          <w:sz w:val="17"/>
          <w:szCs w:val="17"/>
          <w:color w:val="auto"/>
        </w:rPr>
        <w:t>. 11,000,000 shares of Preferred Stock will be designated Series E Preferred Stock (the “</w:t>
      </w:r>
      <w:r>
        <w:rPr>
          <w:rFonts w:ascii="Arial" w:cs="Arial" w:eastAsia="Arial" w:hAnsi="Arial"/>
          <w:sz w:val="17"/>
          <w:szCs w:val="17"/>
          <w:b w:val="1"/>
          <w:bCs w:val="1"/>
          <w:i w:val="1"/>
          <w:iCs w:val="1"/>
          <w:color w:val="auto"/>
        </w:rPr>
        <w:t>Series E Preferred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which will have the following powers, preferences, rights and restrictions:</w:t>
      </w:r>
    </w:p>
    <w:p>
      <w:pPr>
        <w:spacing w:after="0" w:line="158"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8.2.</w:t>
      </w:r>
      <w:r>
        <w:rPr>
          <w:sz w:val="20"/>
          <w:szCs w:val="20"/>
          <w:color w:val="auto"/>
        </w:rPr>
        <w:tab/>
      </w:r>
      <w:r>
        <w:rPr>
          <w:rFonts w:ascii="Arial" w:cs="Arial" w:eastAsia="Arial" w:hAnsi="Arial"/>
          <w:sz w:val="16"/>
          <w:szCs w:val="16"/>
          <w:color w:val="auto"/>
        </w:rPr>
        <w:t>Voting.</w:t>
      </w:r>
    </w:p>
    <w:p>
      <w:pPr>
        <w:spacing w:after="0" w:line="224" w:lineRule="exact"/>
        <w:rPr>
          <w:sz w:val="20"/>
          <w:szCs w:val="20"/>
          <w:color w:val="auto"/>
        </w:rPr>
      </w:pPr>
    </w:p>
    <w:p>
      <w:pPr>
        <w:ind w:left="640" w:right="160" w:firstLine="623"/>
        <w:spacing w:after="0" w:line="314" w:lineRule="auto"/>
        <w:tabs>
          <w:tab w:leader="none" w:pos="1943" w:val="left"/>
        </w:tabs>
        <w:numPr>
          <w:ilvl w:val="0"/>
          <w:numId w:val="163"/>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xml:space="preserve">. Except as may be otherwise required by the DGCL or set forth in this </w:t>
      </w:r>
      <w:r>
        <w:rPr>
          <w:rFonts w:ascii="Arial" w:cs="Arial" w:eastAsia="Arial" w:hAnsi="Arial"/>
          <w:sz w:val="15"/>
          <w:szCs w:val="15"/>
          <w:u w:val="single" w:color="auto"/>
          <w:color w:val="auto"/>
        </w:rPr>
        <w:t>Section 8.2</w:t>
      </w:r>
      <w:r>
        <w:rPr>
          <w:rFonts w:ascii="Arial" w:cs="Arial" w:eastAsia="Arial" w:hAnsi="Arial"/>
          <w:sz w:val="15"/>
          <w:szCs w:val="15"/>
          <w:color w:val="auto"/>
        </w:rPr>
        <w:t xml:space="preserve">, the Series E Preferred Stock will have the right to vote on all actions to be taken by the holders of Common Stock (other than the actions set forth in </w:t>
      </w:r>
      <w:r>
        <w:rPr>
          <w:rFonts w:ascii="Arial" w:cs="Arial" w:eastAsia="Arial" w:hAnsi="Arial"/>
          <w:sz w:val="15"/>
          <w:szCs w:val="15"/>
          <w:u w:val="single" w:color="auto"/>
          <w:color w:val="auto"/>
        </w:rPr>
        <w:t>Section 8.2(b)</w:t>
      </w:r>
      <w:r>
        <w:rPr>
          <w:rFonts w:ascii="Arial" w:cs="Arial" w:eastAsia="Arial" w:hAnsi="Arial"/>
          <w:sz w:val="15"/>
          <w:szCs w:val="15"/>
          <w:color w:val="auto"/>
        </w:rPr>
        <w:t>), and each share of Series E Preferred Stock will entitle the record holder thereof (each a “</w:t>
      </w:r>
      <w:r>
        <w:rPr>
          <w:rFonts w:ascii="Arial" w:cs="Arial" w:eastAsia="Arial" w:hAnsi="Arial"/>
          <w:sz w:val="15"/>
          <w:szCs w:val="15"/>
          <w:b w:val="1"/>
          <w:bCs w:val="1"/>
          <w:i w:val="1"/>
          <w:iCs w:val="1"/>
          <w:color w:val="auto"/>
        </w:rPr>
        <w:t>Series E Holder</w:t>
      </w:r>
      <w:r>
        <w:rPr>
          <w:rFonts w:ascii="Arial" w:cs="Arial" w:eastAsia="Arial" w:hAnsi="Arial"/>
          <w:sz w:val="15"/>
          <w:szCs w:val="15"/>
          <w:color w:val="auto"/>
        </w:rPr>
        <w:t>”) to such number of votes per share on each such action as will equal the number of shares of Common Stock (including fractions of a share) into which such share of Series E Preferred Stock is then convertible.</w:t>
      </w:r>
    </w:p>
    <w:p>
      <w:pPr>
        <w:spacing w:after="0" w:line="146" w:lineRule="exact"/>
        <w:rPr>
          <w:rFonts w:ascii="Arial" w:cs="Arial" w:eastAsia="Arial" w:hAnsi="Arial"/>
          <w:sz w:val="15"/>
          <w:szCs w:val="15"/>
          <w:color w:val="auto"/>
        </w:rPr>
      </w:pPr>
    </w:p>
    <w:p>
      <w:pPr>
        <w:ind w:left="640" w:right="60" w:firstLine="623"/>
        <w:spacing w:after="0" w:line="326" w:lineRule="auto"/>
        <w:tabs>
          <w:tab w:leader="none" w:pos="1953" w:val="left"/>
        </w:tabs>
        <w:numPr>
          <w:ilvl w:val="0"/>
          <w:numId w:val="163"/>
        </w:numPr>
        <w:rPr>
          <w:rFonts w:ascii="Arial" w:cs="Arial" w:eastAsia="Arial" w:hAnsi="Arial"/>
          <w:sz w:val="15"/>
          <w:szCs w:val="15"/>
          <w:color w:val="auto"/>
        </w:rPr>
      </w:pPr>
      <w:r>
        <w:rPr>
          <w:rFonts w:ascii="Arial" w:cs="Arial" w:eastAsia="Arial" w:hAnsi="Arial"/>
          <w:sz w:val="15"/>
          <w:szCs w:val="15"/>
          <w:u w:val="single" w:color="auto"/>
          <w:color w:val="auto"/>
        </w:rPr>
        <w:t>Class Voting</w:t>
      </w:r>
      <w:r>
        <w:rPr>
          <w:rFonts w:ascii="Arial" w:cs="Arial" w:eastAsia="Arial" w:hAnsi="Arial"/>
          <w:sz w:val="15"/>
          <w:szCs w:val="15"/>
          <w:color w:val="auto"/>
        </w:rPr>
        <w:t>. So long as at least 60% of the greatest number of shares of Series E Preferred Stock (subject to adjustment for any stock split, reverse stock split, stock dividend or other such transaction applicable to the Series E Preferred Stock) ever outstanding remain outstanding, the Series E Preferred Stock will have the right to vote, as a separate class and not together with the holders of other stock, with respect to the following</w:t>
      </w:r>
    </w:p>
    <w:p>
      <w:pPr>
        <w:sectPr>
          <w:pgSz w:w="11900" w:h="16893" w:orient="portrait"/>
          <w:cols w:equalWidth="0" w:num="1">
            <w:col w:w="11420"/>
          </w:cols>
          <w:pgMar w:left="240" w:top="127" w:right="239" w:bottom="0" w:gutter="0" w:footer="0" w:header="0"/>
        </w:sectPr>
      </w:pPr>
    </w:p>
    <w:bookmarkStart w:id="210" w:name="page211"/>
    <w:bookmarkEnd w:id="210"/>
    <w:p>
      <w:pPr>
        <w:ind w:left="640" w:right="100"/>
        <w:spacing w:after="0" w:line="289" w:lineRule="auto"/>
        <w:rPr>
          <w:sz w:val="20"/>
          <w:szCs w:val="20"/>
          <w:color w:val="auto"/>
        </w:rPr>
      </w:pPr>
      <w:r>
        <w:rPr>
          <w:rFonts w:ascii="Arial" w:cs="Arial" w:eastAsia="Arial" w:hAnsi="Arial"/>
          <w:sz w:val="17"/>
          <w:szCs w:val="17"/>
          <w:color w:val="auto"/>
        </w:rPr>
        <w:t>matters, each of which will require the consent or affirmative vote of two-thirds (2/3) of the issued and outstanding shares of Series E Preferred Stock on the date of such vote:</w:t>
      </w:r>
    </w:p>
    <w:p>
      <w:pPr>
        <w:spacing w:after="0" w:line="158" w:lineRule="exact"/>
        <w:rPr>
          <w:sz w:val="20"/>
          <w:szCs w:val="20"/>
          <w:color w:val="auto"/>
        </w:rPr>
      </w:pPr>
    </w:p>
    <w:p>
      <w:pPr>
        <w:ind w:left="1260" w:right="40" w:firstLine="633"/>
        <w:spacing w:after="0" w:line="273" w:lineRule="auto"/>
        <w:tabs>
          <w:tab w:leader="none" w:pos="257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Any amendment, alteration or repeal of any provision of the Certificate of Incorporation of the Corporation, as amended from time to time, that affects adversely the voting or other powers, preferences or other special rights or privileges or restrictions of the Series E Preferred Stock;</w:t>
      </w:r>
    </w:p>
    <w:p>
      <w:pPr>
        <w:spacing w:after="0" w:line="171" w:lineRule="exact"/>
        <w:rPr>
          <w:rFonts w:ascii="Arial" w:cs="Arial" w:eastAsia="Arial" w:hAnsi="Arial"/>
          <w:sz w:val="17"/>
          <w:szCs w:val="17"/>
          <w:color w:val="auto"/>
        </w:rPr>
      </w:pPr>
    </w:p>
    <w:p>
      <w:pPr>
        <w:ind w:left="1260" w:right="380" w:firstLine="633"/>
        <w:spacing w:after="0" w:line="326" w:lineRule="auto"/>
        <w:tabs>
          <w:tab w:leader="none" w:pos="2583" w:val="left"/>
        </w:tabs>
        <w:numPr>
          <w:ilvl w:val="0"/>
          <w:numId w:val="164"/>
        </w:numPr>
        <w:rPr>
          <w:rFonts w:ascii="Arial" w:cs="Arial" w:eastAsia="Arial" w:hAnsi="Arial"/>
          <w:sz w:val="15"/>
          <w:szCs w:val="15"/>
          <w:color w:val="auto"/>
        </w:rPr>
      </w:pPr>
      <w:r>
        <w:rPr>
          <w:rFonts w:ascii="Arial" w:cs="Arial" w:eastAsia="Arial" w:hAnsi="Arial"/>
          <w:sz w:val="15"/>
          <w:szCs w:val="15"/>
          <w:color w:val="auto"/>
        </w:rPr>
        <w:t>Any authorization or any designation, whether by reclassification or otherwise, of any new class or series of stock or any other securities convertible into equity securities of the Corporation ranking senior to the Series E Preferred Stock in right of liquidation preference or dividends (“</w:t>
      </w:r>
      <w:r>
        <w:rPr>
          <w:rFonts w:ascii="Arial" w:cs="Arial" w:eastAsia="Arial" w:hAnsi="Arial"/>
          <w:sz w:val="15"/>
          <w:szCs w:val="15"/>
          <w:b w:val="1"/>
          <w:bCs w:val="1"/>
          <w:i w:val="1"/>
          <w:iCs w:val="1"/>
          <w:color w:val="auto"/>
        </w:rPr>
        <w:t>Series E Senior Securities,</w:t>
      </w:r>
      <w:r>
        <w:rPr>
          <w:rFonts w:ascii="Arial" w:cs="Arial" w:eastAsia="Arial" w:hAnsi="Arial"/>
          <w:sz w:val="15"/>
          <w:szCs w:val="15"/>
          <w:color w:val="auto"/>
        </w:rPr>
        <w:t>” which shall include the Series F Preferred Stock and the Series G Preferred Stock);</w:t>
      </w:r>
    </w:p>
    <w:p>
      <w:pPr>
        <w:spacing w:after="0" w:line="136" w:lineRule="exact"/>
        <w:rPr>
          <w:rFonts w:ascii="Arial" w:cs="Arial" w:eastAsia="Arial" w:hAnsi="Arial"/>
          <w:sz w:val="15"/>
          <w:szCs w:val="15"/>
          <w:color w:val="auto"/>
        </w:rPr>
      </w:pPr>
    </w:p>
    <w:p>
      <w:pPr>
        <w:ind w:left="1260" w:right="420" w:firstLine="633"/>
        <w:spacing w:after="0" w:line="322" w:lineRule="auto"/>
        <w:tabs>
          <w:tab w:leader="none" w:pos="258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Any redemption of any shares of Common Stock (other than pursuant to equity incentive agreements with employees or service providers giving the Corporation the right to repurchase shares upon the termination of employment or services);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380" w:firstLine="633"/>
        <w:spacing w:after="0" w:line="289" w:lineRule="auto"/>
        <w:tabs>
          <w:tab w:leader="none" w:pos="257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Any amendment of, or waiver with respect to, any provision of this </w:t>
      </w:r>
      <w:r>
        <w:rPr>
          <w:rFonts w:ascii="Arial" w:cs="Arial" w:eastAsia="Arial" w:hAnsi="Arial"/>
          <w:sz w:val="17"/>
          <w:szCs w:val="17"/>
          <w:u w:val="single" w:color="auto"/>
          <w:color w:val="auto"/>
        </w:rPr>
        <w:t>ARTICLE EIGHT</w:t>
      </w:r>
      <w:r>
        <w:rPr>
          <w:rFonts w:ascii="Arial" w:cs="Arial" w:eastAsia="Arial" w:hAnsi="Arial"/>
          <w:sz w:val="17"/>
          <w:szCs w:val="17"/>
          <w:color w:val="auto"/>
        </w:rPr>
        <w:t xml:space="preserve"> or the Corporation’s Certificate of Incorporation or bylaws directly relating to the Series E Preferred Stock;</w:t>
      </w:r>
    </w:p>
    <w:p>
      <w:pPr>
        <w:spacing w:after="0" w:line="158" w:lineRule="exact"/>
        <w:rPr>
          <w:rFonts w:ascii="Arial" w:cs="Arial" w:eastAsia="Arial" w:hAnsi="Arial"/>
          <w:sz w:val="17"/>
          <w:szCs w:val="17"/>
          <w:color w:val="auto"/>
        </w:rPr>
      </w:pPr>
    </w:p>
    <w:p>
      <w:pPr>
        <w:ind w:left="2580" w:hanging="687"/>
        <w:spacing w:after="0"/>
        <w:tabs>
          <w:tab w:leader="none" w:pos="25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Any increase in the authorized size of the Board; and</w:t>
      </w:r>
    </w:p>
    <w:p>
      <w:pPr>
        <w:spacing w:after="0" w:line="224" w:lineRule="exact"/>
        <w:rPr>
          <w:rFonts w:ascii="Arial" w:cs="Arial" w:eastAsia="Arial" w:hAnsi="Arial"/>
          <w:sz w:val="17"/>
          <w:szCs w:val="17"/>
          <w:color w:val="auto"/>
        </w:rPr>
      </w:pPr>
    </w:p>
    <w:p>
      <w:pPr>
        <w:ind w:left="1260" w:right="120" w:firstLine="633"/>
        <w:spacing w:after="0" w:line="360" w:lineRule="auto"/>
        <w:tabs>
          <w:tab w:leader="none" w:pos="2578" w:val="left"/>
        </w:tabs>
        <w:numPr>
          <w:ilvl w:val="0"/>
          <w:numId w:val="165"/>
        </w:numPr>
        <w:rPr>
          <w:rFonts w:ascii="Arial" w:cs="Arial" w:eastAsia="Arial" w:hAnsi="Arial"/>
          <w:sz w:val="15"/>
          <w:szCs w:val="15"/>
          <w:color w:val="auto"/>
        </w:rPr>
      </w:pPr>
      <w:r>
        <w:rPr>
          <w:rFonts w:ascii="Arial" w:cs="Arial" w:eastAsia="Arial" w:hAnsi="Arial"/>
          <w:sz w:val="15"/>
          <w:szCs w:val="15"/>
          <w:color w:val="auto"/>
        </w:rPr>
        <w:t>The declaration or payment of any dividend in respect of any Series E Junior Securities. “</w:t>
      </w:r>
      <w:r>
        <w:rPr>
          <w:rFonts w:ascii="Arial" w:cs="Arial" w:eastAsia="Arial" w:hAnsi="Arial"/>
          <w:sz w:val="15"/>
          <w:szCs w:val="15"/>
          <w:b w:val="1"/>
          <w:bCs w:val="1"/>
          <w:i w:val="1"/>
          <w:iCs w:val="1"/>
          <w:color w:val="auto"/>
        </w:rPr>
        <w:t>Series E Junior Securities</w:t>
      </w:r>
      <w:r>
        <w:rPr>
          <w:rFonts w:ascii="Arial" w:cs="Arial" w:eastAsia="Arial" w:hAnsi="Arial"/>
          <w:sz w:val="15"/>
          <w:szCs w:val="15"/>
          <w:color w:val="auto"/>
        </w:rPr>
        <w:t>” means any shares of Common Stock or other stock that is junior to the Series E Preferred Stock in right of dividends or in respect of Liquidation.</w:t>
      </w:r>
    </w:p>
    <w:p>
      <w:pPr>
        <w:spacing w:after="0" w:line="112" w:lineRule="exact"/>
        <w:rPr>
          <w:sz w:val="20"/>
          <w:szCs w:val="20"/>
          <w:color w:val="auto"/>
        </w:rPr>
      </w:pPr>
    </w:p>
    <w:p>
      <w:pPr>
        <w:ind w:right="160" w:firstLine="629"/>
        <w:spacing w:after="0" w:line="268"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Dividends</w:t>
      </w:r>
      <w:r>
        <w:rPr>
          <w:rFonts w:ascii="Arial" w:cs="Arial" w:eastAsia="Arial" w:hAnsi="Arial"/>
          <w:sz w:val="17"/>
          <w:szCs w:val="17"/>
          <w:color w:val="auto"/>
        </w:rPr>
        <w:t>. No Series E Holder will have the right to receive any dividends in respect of any share of Series E Preferred Stock unless, and only to the extent, such dividends are declared by the Board and funds are legally available therefor. No dividends will be declared or paid in respect of the Common Stock or any shares ranking junior to the Series E Preferred Stock in respect of dividends unless an identical dividend amount (on an as-converted, per-share basis) is also simultaneously declared and paid in respect of the Series E Preferred Stock.</w:t>
      </w:r>
    </w:p>
    <w:p>
      <w:pPr>
        <w:spacing w:after="0" w:line="176"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8.4.</w:t>
      </w:r>
      <w:r>
        <w:rPr>
          <w:sz w:val="20"/>
          <w:szCs w:val="20"/>
          <w:color w:val="auto"/>
        </w:rPr>
        <w:tab/>
      </w:r>
      <w:r>
        <w:rPr>
          <w:rFonts w:ascii="Arial" w:cs="Arial" w:eastAsia="Arial" w:hAnsi="Arial"/>
          <w:sz w:val="16"/>
          <w:szCs w:val="16"/>
          <w:u w:val="single" w:color="auto"/>
          <w:color w:val="auto"/>
        </w:rPr>
        <w:t>Liquidation Preference</w:t>
      </w:r>
      <w:r>
        <w:rPr>
          <w:rFonts w:ascii="Arial" w:cs="Arial" w:eastAsia="Arial" w:hAnsi="Arial"/>
          <w:sz w:val="16"/>
          <w:szCs w:val="16"/>
          <w:color w:val="auto"/>
        </w:rPr>
        <w:t>.</w:t>
      </w:r>
    </w:p>
    <w:p>
      <w:pPr>
        <w:spacing w:after="0" w:line="224" w:lineRule="exact"/>
        <w:rPr>
          <w:sz w:val="20"/>
          <w:szCs w:val="20"/>
          <w:color w:val="auto"/>
        </w:rPr>
      </w:pPr>
    </w:p>
    <w:p>
      <w:pPr>
        <w:ind w:left="640" w:firstLine="623"/>
        <w:spacing w:after="0" w:line="277" w:lineRule="auto"/>
        <w:tabs>
          <w:tab w:leader="none" w:pos="194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Upon any Liquidation, the Series E Holders will be entitled to receive, out of assets of the Corporation which remain after satisfaction in full of all valid claims of the Corporation’s creditors and which are available for payment to stockholders (and subject to the rights of the holders of any Series E Senior Securities or the holders of shares of the Corporation ranking on a parity with the Series E Preferred Stock in respect of liquidation (“</w:t>
      </w:r>
      <w:r>
        <w:rPr>
          <w:rFonts w:ascii="Arial" w:cs="Arial" w:eastAsia="Arial" w:hAnsi="Arial"/>
          <w:sz w:val="16"/>
          <w:szCs w:val="16"/>
          <w:b w:val="1"/>
          <w:bCs w:val="1"/>
          <w:i w:val="1"/>
          <w:iCs w:val="1"/>
          <w:color w:val="auto"/>
        </w:rPr>
        <w:t>Series E Parity Securities</w:t>
      </w:r>
      <w:r>
        <w:rPr>
          <w:rFonts w:ascii="Arial" w:cs="Arial" w:eastAsia="Arial" w:hAnsi="Arial"/>
          <w:sz w:val="16"/>
          <w:szCs w:val="16"/>
          <w:color w:val="auto"/>
        </w:rPr>
        <w:t>”)), before any amount will be paid to or distributed among the holders of Series E Junior Securities, distributions per share of Series E Preferred Stock equal to the sum of (i) $2.68 (the “</w:t>
      </w:r>
      <w:r>
        <w:rPr>
          <w:rFonts w:ascii="Arial" w:cs="Arial" w:eastAsia="Arial" w:hAnsi="Arial"/>
          <w:sz w:val="16"/>
          <w:szCs w:val="16"/>
          <w:b w:val="1"/>
          <w:bCs w:val="1"/>
          <w:i w:val="1"/>
          <w:iCs w:val="1"/>
          <w:color w:val="auto"/>
        </w:rPr>
        <w:t>Series E Purchase Price</w:t>
      </w:r>
      <w:r>
        <w:rPr>
          <w:rFonts w:ascii="Arial" w:cs="Arial" w:eastAsia="Arial" w:hAnsi="Arial"/>
          <w:sz w:val="16"/>
          <w:szCs w:val="16"/>
          <w:color w:val="auto"/>
        </w:rPr>
        <w:t>”) (subject to adjustment for any stock split, reverse stock split, stock dividend or other such transaction applicable to the Series E Preferred Stock), plus (ii) the greater of (A) any dividends declared but unpaid in respect of such share and (B) the Series E Preferential Return (defined below). If upon any Liquidation the Series E Liquidation Payment and any amounts payable in respect of any Series E Parity Securities as to any such distribution are not paid in full, the Series E Holders and the holders of Series E Parity Securities will share ratably in any distribution of assets in proportion to the full respective amounts to which they are entitled. “</w:t>
      </w:r>
      <w:r>
        <w:rPr>
          <w:rFonts w:ascii="Arial" w:cs="Arial" w:eastAsia="Arial" w:hAnsi="Arial"/>
          <w:sz w:val="16"/>
          <w:szCs w:val="16"/>
          <w:b w:val="1"/>
          <w:bCs w:val="1"/>
          <w:i w:val="1"/>
          <w:iCs w:val="1"/>
          <w:color w:val="auto"/>
        </w:rPr>
        <w:t>Series E Preferential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Return</w:t>
      </w:r>
      <w:r>
        <w:rPr>
          <w:rFonts w:ascii="Arial" w:cs="Arial" w:eastAsia="Arial" w:hAnsi="Arial"/>
          <w:sz w:val="16"/>
          <w:szCs w:val="16"/>
          <w:color w:val="auto"/>
        </w:rPr>
        <w:t>” means an amount equal to the lesser of (x) the Series E Purchase Price and (y) the amount of simple interest, calculated monthly, which would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accrued on a hypothetical principal amount equal to the Series E Purchase Price for the period beginning on September 15, 2006 (the “</w:t>
      </w:r>
      <w:r>
        <w:rPr>
          <w:rFonts w:ascii="Arial" w:cs="Arial" w:eastAsia="Arial" w:hAnsi="Arial"/>
          <w:sz w:val="16"/>
          <w:szCs w:val="16"/>
          <w:b w:val="1"/>
          <w:bCs w:val="1"/>
          <w:i w:val="1"/>
          <w:iCs w:val="1"/>
          <w:color w:val="auto"/>
        </w:rPr>
        <w:t>Series 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Purchase Date</w:t>
      </w:r>
      <w:r>
        <w:rPr>
          <w:rFonts w:ascii="Arial" w:cs="Arial" w:eastAsia="Arial" w:hAnsi="Arial"/>
          <w:sz w:val="16"/>
          <w:szCs w:val="16"/>
          <w:color w:val="auto"/>
        </w:rPr>
        <w:t>”) and ending on the date of the Liquidation payment at an interest rate for such period equal to the rate announced by Citibank N.A. as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prime rate two business days before the date of the Liquidation payment plus one percent.</w:t>
      </w:r>
    </w:p>
    <w:p>
      <w:pPr>
        <w:spacing w:after="0" w:line="175" w:lineRule="exact"/>
        <w:rPr>
          <w:rFonts w:ascii="Arial" w:cs="Arial" w:eastAsia="Arial" w:hAnsi="Arial"/>
          <w:sz w:val="16"/>
          <w:szCs w:val="16"/>
          <w:color w:val="auto"/>
        </w:rPr>
      </w:pPr>
    </w:p>
    <w:p>
      <w:pPr>
        <w:ind w:left="640" w:right="240" w:firstLine="623"/>
        <w:spacing w:after="0" w:line="322" w:lineRule="auto"/>
        <w:tabs>
          <w:tab w:leader="none" w:pos="1953"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The Corporation will give written notice of any Liquidation to the Series E Holders, stating the payment date or dates when, and the place or places where, any payments under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will be payable, at least 20 days prior to any payment date stated therein.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940" w:hanging="677"/>
        <w:spacing w:after="0"/>
        <w:tabs>
          <w:tab w:leader="none" w:pos="19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 Sale/Merger Transaction will be deemed to be a Liquidation.</w:t>
      </w:r>
    </w:p>
    <w:p>
      <w:pPr>
        <w:spacing w:after="0" w:line="22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8.5.</w:t>
      </w:r>
      <w:r>
        <w:rPr>
          <w:sz w:val="20"/>
          <w:szCs w:val="20"/>
          <w:color w:val="auto"/>
        </w:rPr>
        <w:tab/>
      </w:r>
      <w:r>
        <w:rPr>
          <w:rFonts w:ascii="Arial" w:cs="Arial" w:eastAsia="Arial" w:hAnsi="Arial"/>
          <w:sz w:val="16"/>
          <w:szCs w:val="16"/>
          <w:u w:val="single" w:color="auto"/>
          <w:color w:val="auto"/>
        </w:rPr>
        <w:t>Conversion</w:t>
      </w:r>
      <w:r>
        <w:rPr>
          <w:rFonts w:ascii="Arial" w:cs="Arial" w:eastAsia="Arial" w:hAnsi="Arial"/>
          <w:sz w:val="16"/>
          <w:szCs w:val="16"/>
          <w:color w:val="auto"/>
        </w:rPr>
        <w:t>.</w:t>
      </w:r>
    </w:p>
    <w:p>
      <w:pPr>
        <w:spacing w:after="0" w:line="224" w:lineRule="exact"/>
        <w:rPr>
          <w:sz w:val="20"/>
          <w:szCs w:val="20"/>
          <w:color w:val="auto"/>
        </w:rPr>
      </w:pPr>
    </w:p>
    <w:p>
      <w:pPr>
        <w:ind w:left="640" w:right="140" w:firstLine="623"/>
        <w:spacing w:after="0" w:line="263" w:lineRule="auto"/>
        <w:tabs>
          <w:tab w:leader="none" w:pos="1943"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Optional Conversion</w:t>
      </w:r>
      <w:r>
        <w:rPr>
          <w:rFonts w:ascii="Arial" w:cs="Arial" w:eastAsia="Arial" w:hAnsi="Arial"/>
          <w:sz w:val="17"/>
          <w:szCs w:val="17"/>
          <w:color w:val="auto"/>
        </w:rPr>
        <w:t xml:space="preserve">. Subject to and in compliance with this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any share of Series E Preferred Stock may, at the option of the holder thereof, be converted at any time and from time to time into a number of shares of Common Stock equal to the then-applicable Series E Conversion Amount (defined below). Each Series E Holder who desires to convert any of its Series E Preferred Stock into Common Stock pursuant to this </w:t>
      </w:r>
      <w:r>
        <w:rPr>
          <w:rFonts w:ascii="Arial" w:cs="Arial" w:eastAsia="Arial" w:hAnsi="Arial"/>
          <w:sz w:val="17"/>
          <w:szCs w:val="17"/>
          <w:u w:val="single" w:color="auto"/>
          <w:color w:val="auto"/>
        </w:rPr>
        <w:t>Section 8.5(a)</w:t>
      </w:r>
      <w:r>
        <w:rPr>
          <w:rFonts w:ascii="Arial" w:cs="Arial" w:eastAsia="Arial" w:hAnsi="Arial"/>
          <w:sz w:val="17"/>
          <w:szCs w:val="17"/>
          <w:color w:val="auto"/>
        </w:rPr>
        <w:t xml:space="preserve"> will surrender the certificate or certificates therefor, duly endorsed, at the office of the Corporation, and will give written notice to the Corporation at such office that such Series E Holder desires to convert such shares. Such notice will state the number of shares of Series E Preferred Stock being converted.</w:t>
      </w:r>
    </w:p>
    <w:p>
      <w:pPr>
        <w:spacing w:after="0" w:line="183" w:lineRule="exact"/>
        <w:rPr>
          <w:rFonts w:ascii="Arial" w:cs="Arial" w:eastAsia="Arial" w:hAnsi="Arial"/>
          <w:sz w:val="17"/>
          <w:szCs w:val="17"/>
          <w:color w:val="auto"/>
        </w:rPr>
      </w:pPr>
    </w:p>
    <w:p>
      <w:pPr>
        <w:ind w:left="640" w:right="280" w:firstLine="623"/>
        <w:spacing w:after="0" w:line="289" w:lineRule="auto"/>
        <w:tabs>
          <w:tab w:leader="none" w:pos="1953"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Automatic Conversion</w:t>
      </w:r>
      <w:r>
        <w:rPr>
          <w:rFonts w:ascii="Arial" w:cs="Arial" w:eastAsia="Arial" w:hAnsi="Arial"/>
          <w:sz w:val="17"/>
          <w:szCs w:val="17"/>
          <w:color w:val="auto"/>
        </w:rPr>
        <w:t>. Each share of Series E Preferred Stock will automatically be converted into a number of shares of Common Stock equal to the then-applicable Series E Conversion Amount (defined below):</w:t>
      </w:r>
    </w:p>
    <w:p>
      <w:pPr>
        <w:spacing w:after="0" w:line="158" w:lineRule="exact"/>
        <w:rPr>
          <w:rFonts w:ascii="Arial" w:cs="Arial" w:eastAsia="Arial" w:hAnsi="Arial"/>
          <w:sz w:val="17"/>
          <w:szCs w:val="17"/>
          <w:color w:val="auto"/>
        </w:rPr>
      </w:pPr>
    </w:p>
    <w:p>
      <w:pPr>
        <w:ind w:left="1260" w:right="140" w:firstLine="633"/>
        <w:spacing w:after="0" w:line="273" w:lineRule="auto"/>
        <w:tabs>
          <w:tab w:leader="none" w:pos="2578" w:val="left"/>
        </w:tabs>
        <w:numPr>
          <w:ilvl w:val="1"/>
          <w:numId w:val="168"/>
        </w:numPr>
        <w:rPr>
          <w:rFonts w:ascii="Arial" w:cs="Arial" w:eastAsia="Arial" w:hAnsi="Arial"/>
          <w:sz w:val="17"/>
          <w:szCs w:val="17"/>
          <w:color w:val="auto"/>
        </w:rPr>
      </w:pPr>
      <w:r>
        <w:rPr>
          <w:rFonts w:ascii="Arial" w:cs="Arial" w:eastAsia="Arial" w:hAnsi="Arial"/>
          <w:sz w:val="17"/>
          <w:szCs w:val="17"/>
          <w:color w:val="auto"/>
        </w:rPr>
        <w:t>simultaneously with the closing of the first underwritten public offering under an effective registration statement under the Securities Act of 1933, as amended, covering the offering and sale of Common Stock for the account of the Corporation on a firm commitment basis for proceeds of at least $30 million (before deduction of underwriting costs, commissions and expenses);</w:t>
      </w:r>
    </w:p>
    <w:p>
      <w:pPr>
        <w:spacing w:after="0" w:line="171" w:lineRule="exact"/>
        <w:rPr>
          <w:rFonts w:ascii="Arial" w:cs="Arial" w:eastAsia="Arial" w:hAnsi="Arial"/>
          <w:sz w:val="17"/>
          <w:szCs w:val="17"/>
          <w:color w:val="auto"/>
        </w:rPr>
      </w:pPr>
    </w:p>
    <w:p>
      <w:pPr>
        <w:ind w:left="1260" w:right="220" w:firstLine="633"/>
        <w:spacing w:after="0" w:line="289" w:lineRule="auto"/>
        <w:tabs>
          <w:tab w:leader="none" w:pos="2583" w:val="left"/>
        </w:tabs>
        <w:numPr>
          <w:ilvl w:val="1"/>
          <w:numId w:val="168"/>
        </w:numPr>
        <w:rPr>
          <w:rFonts w:ascii="Arial" w:cs="Arial" w:eastAsia="Arial" w:hAnsi="Arial"/>
          <w:sz w:val="17"/>
          <w:szCs w:val="17"/>
          <w:color w:val="auto"/>
        </w:rPr>
      </w:pPr>
      <w:r>
        <w:rPr>
          <w:rFonts w:ascii="Arial" w:cs="Arial" w:eastAsia="Arial" w:hAnsi="Arial"/>
          <w:sz w:val="17"/>
          <w:szCs w:val="17"/>
          <w:color w:val="auto"/>
        </w:rPr>
        <w:t>at the election of the holders of a number of shares of Series E Preferred Stock equal to at least two-thirds (2/3) of the then-outstanding shares of Series E Preferred Stock; or</w:t>
      </w:r>
    </w:p>
    <w:p>
      <w:pPr>
        <w:spacing w:after="0" w:line="158" w:lineRule="exact"/>
        <w:rPr>
          <w:rFonts w:ascii="Arial" w:cs="Arial" w:eastAsia="Arial" w:hAnsi="Arial"/>
          <w:sz w:val="17"/>
          <w:szCs w:val="17"/>
          <w:color w:val="auto"/>
        </w:rPr>
      </w:pPr>
    </w:p>
    <w:p>
      <w:pPr>
        <w:ind w:left="1260" w:right="160" w:firstLine="633"/>
        <w:spacing w:after="0" w:line="273" w:lineRule="auto"/>
        <w:tabs>
          <w:tab w:leader="none" w:pos="2588" w:val="left"/>
        </w:tabs>
        <w:numPr>
          <w:ilvl w:val="1"/>
          <w:numId w:val="168"/>
        </w:numPr>
        <w:rPr>
          <w:rFonts w:ascii="Arial" w:cs="Arial" w:eastAsia="Arial" w:hAnsi="Arial"/>
          <w:sz w:val="17"/>
          <w:szCs w:val="17"/>
          <w:color w:val="auto"/>
        </w:rPr>
      </w:pPr>
      <w:r>
        <w:rPr>
          <w:rFonts w:ascii="Arial" w:cs="Arial" w:eastAsia="Arial" w:hAnsi="Arial"/>
          <w:sz w:val="17"/>
          <w:szCs w:val="17"/>
          <w:color w:val="auto"/>
        </w:rPr>
        <w:t>upon the conversion of a number of shares of Series E Preferred Stock equal to at least 60% of the shares of Series E Preferred Stock outstanding (subject to adjustment for any stock split, reverse stock split, stock dividend or other such transaction applicable to the Series E Preferred Stock) on the Series E Purchase Date.</w:t>
      </w:r>
    </w:p>
    <w:p>
      <w:pPr>
        <w:sectPr>
          <w:pgSz w:w="11900" w:h="16838" w:orient="portrait"/>
          <w:cols w:equalWidth="0" w:num="1">
            <w:col w:w="11420"/>
          </w:cols>
          <w:pgMar w:left="240" w:top="127" w:right="239" w:bottom="0" w:gutter="0" w:footer="0" w:header="0"/>
        </w:sectPr>
      </w:pPr>
    </w:p>
    <w:bookmarkStart w:id="211" w:name="page212"/>
    <w:bookmarkEnd w:id="211"/>
    <w:p>
      <w:pPr>
        <w:ind w:right="320"/>
        <w:spacing w:after="0" w:line="360" w:lineRule="auto"/>
        <w:rPr>
          <w:sz w:val="20"/>
          <w:szCs w:val="20"/>
          <w:color w:val="auto"/>
        </w:rPr>
      </w:pPr>
      <w:r>
        <w:rPr>
          <w:rFonts w:ascii="Arial" w:cs="Arial" w:eastAsia="Arial" w:hAnsi="Arial"/>
          <w:sz w:val="15"/>
          <w:szCs w:val="15"/>
          <w:color w:val="auto"/>
        </w:rPr>
        <w:t>Upon the occurrence of an automatic conversion of the Series E Preferred Stock, the Series E Holders will surrender the certificates representing their shares at the office of the Corporation or transfer agent, and the rights, preferences and restrictions of the Series E Preferred Stock will terminate.</w:t>
      </w:r>
    </w:p>
    <w:p>
      <w:pPr>
        <w:spacing w:after="0" w:line="112" w:lineRule="exact"/>
        <w:rPr>
          <w:sz w:val="20"/>
          <w:szCs w:val="20"/>
          <w:color w:val="auto"/>
        </w:rPr>
      </w:pPr>
    </w:p>
    <w:p>
      <w:pPr>
        <w:ind w:left="1300" w:hanging="677"/>
        <w:spacing w:after="0"/>
        <w:tabs>
          <w:tab w:leader="none" w:pos="1300"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Anti-Dilution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940" w:hanging="687"/>
        <w:spacing w:after="0"/>
        <w:tabs>
          <w:tab w:leader="none" w:pos="1940" w:val="left"/>
        </w:tabs>
        <w:numPr>
          <w:ilvl w:val="1"/>
          <w:numId w:val="169"/>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4" w:lineRule="exact"/>
        <w:rPr>
          <w:sz w:val="20"/>
          <w:szCs w:val="20"/>
          <w:color w:val="auto"/>
        </w:rPr>
      </w:pPr>
    </w:p>
    <w:p>
      <w:pPr>
        <w:ind w:left="1260" w:right="20" w:firstLine="622"/>
        <w:spacing w:after="0" w:line="273" w:lineRule="auto"/>
        <w:tabs>
          <w:tab w:leader="none" w:pos="256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Additional Common Stock</w:t>
      </w:r>
      <w:r>
        <w:rPr>
          <w:rFonts w:ascii="Arial" w:cs="Arial" w:eastAsia="Arial" w:hAnsi="Arial"/>
          <w:sz w:val="17"/>
          <w:szCs w:val="17"/>
          <w:color w:val="auto"/>
        </w:rPr>
        <w:t xml:space="preserve">” for this </w:t>
      </w:r>
      <w:r>
        <w:rPr>
          <w:rFonts w:ascii="Arial" w:cs="Arial" w:eastAsia="Arial" w:hAnsi="Arial"/>
          <w:sz w:val="17"/>
          <w:szCs w:val="17"/>
          <w:u w:val="single" w:color="auto"/>
          <w:color w:val="auto"/>
        </w:rPr>
        <w:t>ARTICLE EIGHT</w:t>
      </w:r>
      <w:r>
        <w:rPr>
          <w:rFonts w:ascii="Arial" w:cs="Arial" w:eastAsia="Arial" w:hAnsi="Arial"/>
          <w:sz w:val="17"/>
          <w:szCs w:val="17"/>
          <w:color w:val="auto"/>
        </w:rPr>
        <w:t xml:space="preserve"> means shares of Common Stock issued by the Corporation or deemed to be issued under </w:t>
      </w:r>
      <w:r>
        <w:rPr>
          <w:rFonts w:ascii="Arial" w:cs="Arial" w:eastAsia="Arial" w:hAnsi="Arial"/>
          <w:sz w:val="17"/>
          <w:szCs w:val="17"/>
          <w:u w:val="single" w:color="auto"/>
          <w:color w:val="auto"/>
        </w:rPr>
        <w:t>Section 8.5(d)(iii)</w:t>
      </w:r>
      <w:r>
        <w:rPr>
          <w:rFonts w:ascii="Arial" w:cs="Arial" w:eastAsia="Arial" w:hAnsi="Arial"/>
          <w:sz w:val="17"/>
          <w:szCs w:val="17"/>
          <w:color w:val="auto"/>
        </w:rPr>
        <w:t>, whether or not subsequently reacquired or retired by the Corporation, other than shares issued (or deemed to be issued) (1) upon conversion of the Series E Preferred Stock; (2) to</w:t>
      </w:r>
    </w:p>
    <w:p>
      <w:pPr>
        <w:spacing w:after="0" w:line="17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140"/>
        <w:spacing w:after="0" w:line="283" w:lineRule="auto"/>
        <w:rPr>
          <w:sz w:val="20"/>
          <w:szCs w:val="20"/>
          <w:color w:val="auto"/>
        </w:rPr>
      </w:pPr>
      <w:r>
        <w:rPr>
          <w:rFonts w:ascii="Arial" w:cs="Arial" w:eastAsia="Arial" w:hAnsi="Arial"/>
          <w:sz w:val="16"/>
          <w:szCs w:val="16"/>
          <w:color w:val="auto"/>
        </w:rPr>
        <w:t>employees, officers or directors of, or consultants or advisors to, the Corporation or any subsidiary pursuant to stock purchase or stock option plans or other arrangements that are approved by the Board; (3) pursuant to the exercise of options, warrants or convertible securities outstanding as of the Restatement Date; (4) in connection with a Sale/Merger Transaction; (5) pursuant to any equipment leasing arrangement, commercial credit arrangement or debt financing from a bank or similar financial institution; (6) in connection with a transaction that causes an automatic conversion of the Series E Preferred Stock; and (7) for consideration other than cash pursuant to a merger, consolidation, share exchange, acquisition or similar business combination approved by the Board.</w:t>
      </w:r>
    </w:p>
    <w:p>
      <w:pPr>
        <w:spacing w:after="0" w:line="167" w:lineRule="exact"/>
        <w:rPr>
          <w:sz w:val="20"/>
          <w:szCs w:val="20"/>
          <w:color w:val="auto"/>
        </w:rPr>
      </w:pPr>
    </w:p>
    <w:p>
      <w:pPr>
        <w:ind w:left="1260" w:right="160" w:firstLine="622"/>
        <w:spacing w:after="0" w:line="322" w:lineRule="auto"/>
        <w:tabs>
          <w:tab w:leader="none" w:pos="2559"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Aggregate Consideration</w:t>
      </w:r>
      <w:r>
        <w:rPr>
          <w:rFonts w:ascii="Arial" w:cs="Arial" w:eastAsia="Arial" w:hAnsi="Arial"/>
          <w:sz w:val="16"/>
          <w:szCs w:val="16"/>
          <w:color w:val="auto"/>
        </w:rPr>
        <w:t xml:space="preserve">” for this </w:t>
      </w:r>
      <w:r>
        <w:rPr>
          <w:rFonts w:ascii="Arial" w:cs="Arial" w:eastAsia="Arial" w:hAnsi="Arial"/>
          <w:sz w:val="16"/>
          <w:szCs w:val="16"/>
          <w:u w:val="single" w:color="auto"/>
          <w:color w:val="auto"/>
        </w:rPr>
        <w:t>ARTICLE EIGHT</w:t>
      </w:r>
      <w:r>
        <w:rPr>
          <w:rFonts w:ascii="Arial" w:cs="Arial" w:eastAsia="Arial" w:hAnsi="Arial"/>
          <w:sz w:val="16"/>
          <w:szCs w:val="16"/>
          <w:color w:val="auto"/>
        </w:rPr>
        <w:t xml:space="preserve"> means, for any issuance or sale, or deemed issuance or sale, of Additional Common Stock, the net consideration received by the Corporation, as determined in accordance with GAAP.</w:t>
      </w:r>
    </w:p>
    <w:p>
      <w:pPr>
        <w:spacing w:after="0" w:line="135" w:lineRule="exact"/>
        <w:rPr>
          <w:rFonts w:ascii="Arial" w:cs="Arial" w:eastAsia="Arial" w:hAnsi="Arial"/>
          <w:sz w:val="16"/>
          <w:szCs w:val="16"/>
          <w:color w:val="auto"/>
        </w:rPr>
      </w:pPr>
    </w:p>
    <w:p>
      <w:pPr>
        <w:ind w:left="1260" w:right="320" w:firstLine="622"/>
        <w:spacing w:after="0" w:line="289" w:lineRule="auto"/>
        <w:tabs>
          <w:tab w:leader="none" w:pos="2559" w:val="left"/>
        </w:tabs>
        <w:numPr>
          <w:ilvl w:val="0"/>
          <w:numId w:val="1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Convertible Securities</w:t>
      </w:r>
      <w:r>
        <w:rPr>
          <w:rFonts w:ascii="Arial" w:cs="Arial" w:eastAsia="Arial" w:hAnsi="Arial"/>
          <w:sz w:val="17"/>
          <w:szCs w:val="17"/>
          <w:color w:val="auto"/>
        </w:rPr>
        <w:t xml:space="preserve">” for this </w:t>
      </w:r>
      <w:r>
        <w:rPr>
          <w:rFonts w:ascii="Arial" w:cs="Arial" w:eastAsia="Arial" w:hAnsi="Arial"/>
          <w:sz w:val="17"/>
          <w:szCs w:val="17"/>
          <w:u w:val="single" w:color="auto"/>
          <w:color w:val="auto"/>
        </w:rPr>
        <w:t>ARTICLE EIGHT</w:t>
      </w:r>
      <w:r>
        <w:rPr>
          <w:rFonts w:ascii="Arial" w:cs="Arial" w:eastAsia="Arial" w:hAnsi="Arial"/>
          <w:sz w:val="17"/>
          <w:szCs w:val="17"/>
          <w:color w:val="auto"/>
        </w:rPr>
        <w:t xml:space="preserve"> means rights or options for the purchase of, or stock or other securities convertible into, Additional Common Stock.</w:t>
      </w:r>
    </w:p>
    <w:p>
      <w:pPr>
        <w:spacing w:after="0" w:line="158" w:lineRule="exact"/>
        <w:rPr>
          <w:rFonts w:ascii="Arial" w:cs="Arial" w:eastAsia="Arial" w:hAnsi="Arial"/>
          <w:sz w:val="17"/>
          <w:szCs w:val="17"/>
          <w:color w:val="auto"/>
        </w:rPr>
      </w:pPr>
    </w:p>
    <w:p>
      <w:pPr>
        <w:ind w:left="1260" w:right="240" w:firstLine="622"/>
        <w:spacing w:after="0" w:line="273" w:lineRule="auto"/>
        <w:tabs>
          <w:tab w:leader="none" w:pos="2569" w:val="left"/>
        </w:tabs>
        <w:numPr>
          <w:ilvl w:val="0"/>
          <w:numId w:val="1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Price</w:t>
      </w:r>
      <w:r>
        <w:rPr>
          <w:rFonts w:ascii="Arial" w:cs="Arial" w:eastAsia="Arial" w:hAnsi="Arial"/>
          <w:sz w:val="17"/>
          <w:szCs w:val="17"/>
          <w:color w:val="auto"/>
        </w:rPr>
        <w:t xml:space="preserve">” for this </w:t>
      </w:r>
      <w:r>
        <w:rPr>
          <w:rFonts w:ascii="Arial" w:cs="Arial" w:eastAsia="Arial" w:hAnsi="Arial"/>
          <w:sz w:val="17"/>
          <w:szCs w:val="17"/>
          <w:u w:val="single" w:color="auto"/>
          <w:color w:val="auto"/>
        </w:rPr>
        <w:t>ARTICLE EIGHT</w:t>
      </w:r>
      <w:r>
        <w:rPr>
          <w:rFonts w:ascii="Arial" w:cs="Arial" w:eastAsia="Arial" w:hAnsi="Arial"/>
          <w:sz w:val="17"/>
          <w:szCs w:val="17"/>
          <w:color w:val="auto"/>
        </w:rPr>
        <w:t xml:space="preserve"> means the quotient of (1) the Aggregate Consideration received in an issuance or sale (or deemed issuance or sale) of Additional Common Stock divided by (2) the total number of shares of Additional Common Stock issued or sold (or deemed to have been issued or sold) in such transaction.</w:t>
      </w:r>
    </w:p>
    <w:p>
      <w:pPr>
        <w:spacing w:after="0" w:line="171" w:lineRule="exact"/>
        <w:rPr>
          <w:rFonts w:ascii="Arial" w:cs="Arial" w:eastAsia="Arial" w:hAnsi="Arial"/>
          <w:sz w:val="17"/>
          <w:szCs w:val="17"/>
          <w:color w:val="auto"/>
        </w:rPr>
      </w:pPr>
    </w:p>
    <w:p>
      <w:pPr>
        <w:ind w:left="2580" w:hanging="698"/>
        <w:spacing w:after="0"/>
        <w:tabs>
          <w:tab w:leader="none" w:pos="25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Series E Conversion Amount</w:t>
      </w:r>
      <w:r>
        <w:rPr>
          <w:rFonts w:ascii="Arial" w:cs="Arial" w:eastAsia="Arial" w:hAnsi="Arial"/>
          <w:sz w:val="16"/>
          <w:szCs w:val="16"/>
          <w:color w:val="auto"/>
        </w:rPr>
        <w:t>” means the quotient of (1) the Series E Purchase Price divided by (2) the Series E</w:t>
      </w:r>
    </w:p>
    <w:p>
      <w:pPr>
        <w:spacing w:after="0" w:line="37"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7"/>
          <w:szCs w:val="17"/>
          <w:color w:val="auto"/>
        </w:rPr>
        <w:t>Conversion Price.</w:t>
      </w:r>
    </w:p>
    <w:p>
      <w:pPr>
        <w:spacing w:after="0" w:line="212" w:lineRule="exact"/>
        <w:rPr>
          <w:rFonts w:ascii="Arial" w:cs="Arial" w:eastAsia="Arial" w:hAnsi="Arial"/>
          <w:sz w:val="16"/>
          <w:szCs w:val="16"/>
          <w:color w:val="auto"/>
        </w:rPr>
      </w:pPr>
    </w:p>
    <w:p>
      <w:pPr>
        <w:ind w:left="1260" w:right="40" w:firstLine="622"/>
        <w:spacing w:after="0" w:line="273" w:lineRule="auto"/>
        <w:tabs>
          <w:tab w:leader="none" w:pos="2583" w:val="left"/>
        </w:tabs>
        <w:numPr>
          <w:ilvl w:val="0"/>
          <w:numId w:val="1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E Conversion Price</w:t>
      </w:r>
      <w:r>
        <w:rPr>
          <w:rFonts w:ascii="Arial" w:cs="Arial" w:eastAsia="Arial" w:hAnsi="Arial"/>
          <w:sz w:val="17"/>
          <w:szCs w:val="17"/>
          <w:color w:val="auto"/>
        </w:rPr>
        <w:t xml:space="preserve">” means, as of the Restatement Date, $0.74062, and will be adjusted from time to time thereafter in accordance with this </w:t>
      </w:r>
      <w:r>
        <w:rPr>
          <w:rFonts w:ascii="Arial" w:cs="Arial" w:eastAsia="Arial" w:hAnsi="Arial"/>
          <w:sz w:val="17"/>
          <w:szCs w:val="17"/>
          <w:u w:val="single" w:color="auto"/>
          <w:color w:val="auto"/>
        </w:rPr>
        <w:t>Section 8.5</w:t>
      </w:r>
      <w:r>
        <w:rPr>
          <w:rFonts w:ascii="Arial" w:cs="Arial" w:eastAsia="Arial" w:hAnsi="Arial"/>
          <w:sz w:val="17"/>
          <w:szCs w:val="17"/>
          <w:color w:val="auto"/>
        </w:rPr>
        <w:t>. All references to the Series E Conversion Price are to the Series E Conversion Price as so adjusted.</w:t>
      </w:r>
    </w:p>
    <w:p>
      <w:pPr>
        <w:spacing w:after="0" w:line="172" w:lineRule="exact"/>
        <w:rPr>
          <w:sz w:val="20"/>
          <w:szCs w:val="20"/>
          <w:color w:val="auto"/>
        </w:rPr>
      </w:pPr>
    </w:p>
    <w:p>
      <w:pPr>
        <w:ind w:right="60" w:firstLine="623"/>
        <w:spacing w:after="0" w:line="278" w:lineRule="auto"/>
        <w:tabs>
          <w:tab w:leader="none" w:pos="1313"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Adjustment for Diluting Issues</w:t>
      </w:r>
      <w:r>
        <w:rPr>
          <w:rFonts w:ascii="Arial" w:cs="Arial" w:eastAsia="Arial" w:hAnsi="Arial"/>
          <w:sz w:val="16"/>
          <w:szCs w:val="16"/>
          <w:color w:val="auto"/>
        </w:rPr>
        <w:t>. If at any time or from time to time after the Restatement Date the Corporation issues or sells, or is deemed by the express provisions of this Section to have issued or sold, for gross proceeds of at least $200,000, Additional Common Stock (other than as a dividend or other distribution on any class of stock, or as a subdivision or combination of shares of stock, in either case as provided in this</w:t>
      </w:r>
    </w:p>
    <w:p>
      <w:pPr>
        <w:spacing w:after="0" w:line="1" w:lineRule="exact"/>
        <w:rPr>
          <w:rFonts w:ascii="Arial" w:cs="Arial" w:eastAsia="Arial" w:hAnsi="Arial"/>
          <w:sz w:val="16"/>
          <w:szCs w:val="16"/>
          <w:color w:val="auto"/>
        </w:rPr>
      </w:pPr>
    </w:p>
    <w:p>
      <w:pPr>
        <w:ind w:right="60"/>
        <w:spacing w:after="0" w:line="266" w:lineRule="auto"/>
        <w:rPr>
          <w:rFonts w:ascii="Arial" w:cs="Arial" w:eastAsia="Arial" w:hAnsi="Arial"/>
          <w:sz w:val="16"/>
          <w:szCs w:val="16"/>
          <w:color w:val="auto"/>
        </w:rPr>
      </w:pPr>
      <w:r>
        <w:rPr>
          <w:rFonts w:ascii="Arial" w:cs="Arial" w:eastAsia="Arial" w:hAnsi="Arial"/>
          <w:sz w:val="17"/>
          <w:szCs w:val="17"/>
          <w:u w:val="single" w:color="auto"/>
          <w:color w:val="auto"/>
        </w:rPr>
        <w:t>Section 8.5(d)</w:t>
      </w:r>
      <w:r>
        <w:rPr>
          <w:rFonts w:ascii="Arial" w:cs="Arial" w:eastAsia="Arial" w:hAnsi="Arial"/>
          <w:sz w:val="17"/>
          <w:szCs w:val="17"/>
          <w:color w:val="auto"/>
        </w:rPr>
        <w:t>) for an Effective Price (determined in accordance with GAAP) less than the then-effective Series E Conversion Price, then and in each such case the then-existing Series E Conversion Price will be reduced, as of the opening of business on the date of such issue or sale, by multiplying it by the number determined by the following formula:</w:t>
      </w:r>
    </w:p>
    <w:p>
      <w:pPr>
        <w:spacing w:after="0" w:line="177"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620" w:type="dxa"/>
        <w:tblCellMar>
          <w:top w:w="0" w:type="dxa"/>
          <w:left w:w="0" w:type="dxa"/>
          <w:bottom w:w="0" w:type="dxa"/>
          <w:right w:w="0" w:type="dxa"/>
        </w:tblCellMar>
      </w:tblPr>
      <w:tr>
        <w:trPr>
          <w:trHeight w:val="222"/>
        </w:trPr>
        <w:tc>
          <w:tcPr>
            <w:tcW w:w="380" w:type="dxa"/>
            <w:vAlign w:val="bottom"/>
          </w:tcPr>
          <w:p>
            <w:pPr>
              <w:spacing w:after="0"/>
              <w:rPr>
                <w:sz w:val="19"/>
                <w:szCs w:val="19"/>
                <w:color w:val="auto"/>
              </w:rPr>
            </w:pPr>
          </w:p>
        </w:tc>
        <w:tc>
          <w:tcPr>
            <w:tcW w:w="9780" w:type="dxa"/>
            <w:vAlign w:val="bottom"/>
            <w:gridSpan w:val="5"/>
          </w:tcPr>
          <w:p>
            <w:pPr>
              <w:ind w:left="120"/>
              <w:spacing w:after="0"/>
              <w:rPr>
                <w:sz w:val="20"/>
                <w:szCs w:val="20"/>
                <w:color w:val="auto"/>
              </w:rPr>
            </w:pPr>
            <w:r>
              <w:rPr>
                <w:rFonts w:ascii="Arial" w:cs="Arial" w:eastAsia="Arial" w:hAnsi="Arial"/>
                <w:sz w:val="17"/>
                <w:szCs w:val="17"/>
                <w:color w:val="auto"/>
              </w:rPr>
              <w:t>1/(1+w), where</w:t>
            </w:r>
          </w:p>
        </w:tc>
      </w:tr>
      <w:tr>
        <w:trPr>
          <w:trHeight w:val="419"/>
        </w:trPr>
        <w:tc>
          <w:tcPr>
            <w:tcW w:w="380" w:type="dxa"/>
            <w:vAlign w:val="bottom"/>
          </w:tcPr>
          <w:p>
            <w:pPr>
              <w:spacing w:after="0"/>
              <w:rPr>
                <w:sz w:val="20"/>
                <w:szCs w:val="20"/>
                <w:color w:val="auto"/>
              </w:rPr>
            </w:pPr>
            <w:r>
              <w:rPr>
                <w:rFonts w:ascii="Arial" w:cs="Arial" w:eastAsia="Arial" w:hAnsi="Arial"/>
                <w:sz w:val="17"/>
                <w:szCs w:val="17"/>
                <w:color w:val="auto"/>
              </w:rPr>
              <w:t>w =</w:t>
            </w:r>
          </w:p>
        </w:tc>
        <w:tc>
          <w:tcPr>
            <w:tcW w:w="9780" w:type="dxa"/>
            <w:vAlign w:val="bottom"/>
            <w:gridSpan w:val="5"/>
          </w:tcPr>
          <w:p>
            <w:pPr>
              <w:ind w:left="140"/>
              <w:spacing w:after="0"/>
              <w:rPr>
                <w:sz w:val="20"/>
                <w:szCs w:val="20"/>
                <w:color w:val="auto"/>
              </w:rPr>
            </w:pPr>
            <w:r>
              <w:rPr>
                <w:rFonts w:ascii="Arial" w:cs="Arial" w:eastAsia="Arial" w:hAnsi="Arial"/>
                <w:sz w:val="17"/>
                <w:szCs w:val="17"/>
                <w:color w:val="auto"/>
              </w:rPr>
              <w:t>[((X+Z)/(X+Y))–1]/(1–P);</w:t>
            </w:r>
          </w:p>
        </w:tc>
      </w:tr>
      <w:tr>
        <w:trPr>
          <w:trHeight w:val="419"/>
        </w:trPr>
        <w:tc>
          <w:tcPr>
            <w:tcW w:w="380" w:type="dxa"/>
            <w:vAlign w:val="bottom"/>
          </w:tcPr>
          <w:p>
            <w:pPr>
              <w:spacing w:after="0"/>
              <w:rPr>
                <w:sz w:val="20"/>
                <w:szCs w:val="20"/>
                <w:color w:val="auto"/>
              </w:rPr>
            </w:pPr>
            <w:r>
              <w:rPr>
                <w:rFonts w:ascii="Arial" w:cs="Arial" w:eastAsia="Arial" w:hAnsi="Arial"/>
                <w:sz w:val="17"/>
                <w:szCs w:val="17"/>
                <w:color w:val="auto"/>
              </w:rPr>
              <w:t>P=</w:t>
            </w:r>
          </w:p>
        </w:tc>
        <w:tc>
          <w:tcPr>
            <w:tcW w:w="9780" w:type="dxa"/>
            <w:vAlign w:val="bottom"/>
            <w:gridSpan w:val="5"/>
          </w:tcPr>
          <w:p>
            <w:pPr>
              <w:ind w:left="140"/>
              <w:spacing w:after="0"/>
              <w:rPr>
                <w:sz w:val="20"/>
                <w:szCs w:val="20"/>
                <w:color w:val="auto"/>
              </w:rPr>
            </w:pPr>
            <w:r>
              <w:rPr>
                <w:rFonts w:ascii="Arial" w:cs="Arial" w:eastAsia="Arial" w:hAnsi="Arial"/>
                <w:sz w:val="17"/>
                <w:szCs w:val="17"/>
                <w:color w:val="auto"/>
              </w:rPr>
              <w:t>C/(X+Y);</w:t>
            </w:r>
          </w:p>
        </w:tc>
      </w:tr>
      <w:tr>
        <w:trPr>
          <w:trHeight w:val="408"/>
        </w:trPr>
        <w:tc>
          <w:tcPr>
            <w:tcW w:w="380" w:type="dxa"/>
            <w:vAlign w:val="bottom"/>
          </w:tcPr>
          <w:p>
            <w:pPr>
              <w:spacing w:after="0"/>
              <w:rPr>
                <w:sz w:val="20"/>
                <w:szCs w:val="20"/>
                <w:color w:val="auto"/>
              </w:rPr>
            </w:pPr>
            <w:r>
              <w:rPr>
                <w:rFonts w:ascii="Arial" w:cs="Arial" w:eastAsia="Arial" w:hAnsi="Arial"/>
                <w:sz w:val="17"/>
                <w:szCs w:val="17"/>
                <w:color w:val="auto"/>
              </w:rPr>
              <w:t>C=</w:t>
            </w:r>
          </w:p>
        </w:tc>
        <w:tc>
          <w:tcPr>
            <w:tcW w:w="9780" w:type="dxa"/>
            <w:vAlign w:val="bottom"/>
            <w:gridSpan w:val="5"/>
          </w:tcPr>
          <w:p>
            <w:pPr>
              <w:ind w:left="120"/>
              <w:spacing w:after="0"/>
              <w:rPr>
                <w:sz w:val="20"/>
                <w:szCs w:val="20"/>
                <w:color w:val="auto"/>
              </w:rPr>
            </w:pPr>
            <w:r>
              <w:rPr>
                <w:rFonts w:ascii="Arial" w:cs="Arial" w:eastAsia="Arial" w:hAnsi="Arial"/>
                <w:sz w:val="17"/>
                <w:szCs w:val="17"/>
                <w:color w:val="auto"/>
                <w:w w:val="95"/>
              </w:rPr>
              <w:t>the number of shares of Series E Preferred Stock immediately prior to the time of such issuance or sale multiplied by the then-effective</w:t>
            </w:r>
          </w:p>
        </w:tc>
      </w:tr>
      <w:tr>
        <w:trPr>
          <w:trHeight w:val="222"/>
        </w:trPr>
        <w:tc>
          <w:tcPr>
            <w:tcW w:w="380" w:type="dxa"/>
            <w:vAlign w:val="bottom"/>
          </w:tcPr>
          <w:p>
            <w:pPr>
              <w:spacing w:after="0"/>
              <w:rPr>
                <w:sz w:val="19"/>
                <w:szCs w:val="19"/>
                <w:color w:val="auto"/>
              </w:rPr>
            </w:pPr>
          </w:p>
        </w:tc>
        <w:tc>
          <w:tcPr>
            <w:tcW w:w="9780" w:type="dxa"/>
            <w:vAlign w:val="bottom"/>
            <w:gridSpan w:val="5"/>
          </w:tcPr>
          <w:p>
            <w:pPr>
              <w:ind w:left="120"/>
              <w:spacing w:after="0"/>
              <w:rPr>
                <w:sz w:val="20"/>
                <w:szCs w:val="20"/>
                <w:color w:val="auto"/>
              </w:rPr>
            </w:pPr>
            <w:r>
              <w:rPr>
                <w:rFonts w:ascii="Arial" w:cs="Arial" w:eastAsia="Arial" w:hAnsi="Arial"/>
                <w:sz w:val="17"/>
                <w:szCs w:val="17"/>
                <w:color w:val="auto"/>
              </w:rPr>
              <w:t>Series E Conversion Amount (the quotient of the Series E Purchase Price divided by the Series E Conversion Price); and</w:t>
            </w:r>
          </w:p>
        </w:tc>
      </w:tr>
      <w:tr>
        <w:trPr>
          <w:trHeight w:val="408"/>
        </w:trPr>
        <w:tc>
          <w:tcPr>
            <w:tcW w:w="380" w:type="dxa"/>
            <w:vAlign w:val="bottom"/>
          </w:tcPr>
          <w:p>
            <w:pPr>
              <w:spacing w:after="0"/>
              <w:rPr>
                <w:sz w:val="20"/>
                <w:szCs w:val="20"/>
                <w:color w:val="auto"/>
              </w:rPr>
            </w:pPr>
            <w:r>
              <w:rPr>
                <w:rFonts w:ascii="Arial" w:cs="Arial" w:eastAsia="Arial" w:hAnsi="Arial"/>
                <w:sz w:val="17"/>
                <w:szCs w:val="17"/>
                <w:color w:val="auto"/>
              </w:rPr>
              <w:t>X=</w:t>
            </w:r>
          </w:p>
        </w:tc>
        <w:tc>
          <w:tcPr>
            <w:tcW w:w="9780" w:type="dxa"/>
            <w:vAlign w:val="bottom"/>
            <w:gridSpan w:val="5"/>
          </w:tcPr>
          <w:p>
            <w:pPr>
              <w:ind w:left="140"/>
              <w:spacing w:after="0"/>
              <w:rPr>
                <w:sz w:val="20"/>
                <w:szCs w:val="20"/>
                <w:color w:val="auto"/>
              </w:rPr>
            </w:pPr>
            <w:r>
              <w:rPr>
                <w:rFonts w:ascii="Arial" w:cs="Arial" w:eastAsia="Arial" w:hAnsi="Arial"/>
                <w:sz w:val="17"/>
                <w:szCs w:val="17"/>
                <w:color w:val="auto"/>
                <w:w w:val="92"/>
              </w:rPr>
              <w:t>the sum of the following: (i) the total number of shares of Common Stock issued and outstanding, or deemed to be issued and outstanding</w:t>
            </w:r>
          </w:p>
        </w:tc>
      </w:tr>
      <w:tr>
        <w:trPr>
          <w:trHeight w:val="183"/>
        </w:trPr>
        <w:tc>
          <w:tcPr>
            <w:tcW w:w="380" w:type="dxa"/>
            <w:vAlign w:val="bottom"/>
          </w:tcPr>
          <w:p>
            <w:pPr>
              <w:spacing w:after="0"/>
              <w:rPr>
                <w:sz w:val="15"/>
                <w:szCs w:val="15"/>
                <w:color w:val="auto"/>
              </w:rPr>
            </w:pPr>
          </w:p>
        </w:tc>
        <w:tc>
          <w:tcPr>
            <w:tcW w:w="9780" w:type="dxa"/>
            <w:vAlign w:val="bottom"/>
            <w:gridSpan w:val="5"/>
          </w:tcPr>
          <w:p>
            <w:pPr>
              <w:ind w:left="120"/>
              <w:spacing w:after="0" w:line="183" w:lineRule="exact"/>
              <w:rPr>
                <w:sz w:val="20"/>
                <w:szCs w:val="20"/>
                <w:color w:val="auto"/>
              </w:rPr>
            </w:pPr>
            <w:r>
              <w:rPr>
                <w:rFonts w:ascii="Arial" w:cs="Arial" w:eastAsia="Arial" w:hAnsi="Arial"/>
                <w:sz w:val="17"/>
                <w:szCs w:val="17"/>
                <w:color w:val="auto"/>
                <w:w w:val="98"/>
              </w:rPr>
              <w:t>under this Section 8.5(d)(iii), (ii) the total number of shares of Common Stock reserved for nonexercised stock options granted, and</w:t>
            </w:r>
          </w:p>
        </w:tc>
      </w:tr>
      <w:tr>
        <w:trPr>
          <w:trHeight w:val="20"/>
        </w:trPr>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7"/>
        </w:trPr>
        <w:tc>
          <w:tcPr>
            <w:tcW w:w="380" w:type="dxa"/>
            <w:vAlign w:val="bottom"/>
          </w:tcPr>
          <w:p>
            <w:pPr>
              <w:spacing w:after="0"/>
              <w:rPr>
                <w:sz w:val="18"/>
                <w:szCs w:val="18"/>
                <w:color w:val="auto"/>
              </w:rPr>
            </w:pPr>
          </w:p>
        </w:tc>
        <w:tc>
          <w:tcPr>
            <w:tcW w:w="9780" w:type="dxa"/>
            <w:vAlign w:val="bottom"/>
            <w:gridSpan w:val="5"/>
          </w:tcPr>
          <w:p>
            <w:pPr>
              <w:ind w:left="120"/>
              <w:spacing w:after="0"/>
              <w:rPr>
                <w:sz w:val="20"/>
                <w:szCs w:val="20"/>
                <w:color w:val="auto"/>
              </w:rPr>
            </w:pPr>
            <w:r>
              <w:rPr>
                <w:rFonts w:ascii="Arial" w:cs="Arial" w:eastAsia="Arial" w:hAnsi="Arial"/>
                <w:sz w:val="17"/>
                <w:szCs w:val="17"/>
                <w:color w:val="auto"/>
                <w:w w:val="93"/>
              </w:rPr>
              <w:t>(iii) the total number of shares Common Stock reserved and available for issuance under stock option plans, immediately prior to the time</w:t>
            </w:r>
          </w:p>
        </w:tc>
      </w:tr>
      <w:tr>
        <w:trPr>
          <w:trHeight w:val="222"/>
        </w:trPr>
        <w:tc>
          <w:tcPr>
            <w:tcW w:w="380" w:type="dxa"/>
            <w:vAlign w:val="bottom"/>
          </w:tcPr>
          <w:p>
            <w:pPr>
              <w:spacing w:after="0"/>
              <w:rPr>
                <w:sz w:val="19"/>
                <w:szCs w:val="19"/>
                <w:color w:val="auto"/>
              </w:rPr>
            </w:pPr>
          </w:p>
        </w:tc>
        <w:tc>
          <w:tcPr>
            <w:tcW w:w="9780" w:type="dxa"/>
            <w:vAlign w:val="bottom"/>
            <w:gridSpan w:val="5"/>
          </w:tcPr>
          <w:p>
            <w:pPr>
              <w:ind w:left="120"/>
              <w:spacing w:after="0"/>
              <w:rPr>
                <w:sz w:val="20"/>
                <w:szCs w:val="20"/>
                <w:color w:val="auto"/>
              </w:rPr>
            </w:pPr>
            <w:r>
              <w:rPr>
                <w:rFonts w:ascii="Arial" w:cs="Arial" w:eastAsia="Arial" w:hAnsi="Arial"/>
                <w:sz w:val="17"/>
                <w:szCs w:val="17"/>
                <w:color w:val="auto"/>
              </w:rPr>
              <w:t>of such issuance or sale;</w:t>
            </w:r>
          </w:p>
        </w:tc>
      </w:tr>
      <w:tr>
        <w:trPr>
          <w:trHeight w:val="408"/>
        </w:trPr>
        <w:tc>
          <w:tcPr>
            <w:tcW w:w="380" w:type="dxa"/>
            <w:vAlign w:val="bottom"/>
          </w:tcPr>
          <w:p>
            <w:pPr>
              <w:spacing w:after="0"/>
              <w:rPr>
                <w:sz w:val="20"/>
                <w:szCs w:val="20"/>
                <w:color w:val="auto"/>
              </w:rPr>
            </w:pPr>
            <w:r>
              <w:rPr>
                <w:rFonts w:ascii="Arial" w:cs="Arial" w:eastAsia="Arial" w:hAnsi="Arial"/>
                <w:sz w:val="17"/>
                <w:szCs w:val="17"/>
                <w:color w:val="auto"/>
              </w:rPr>
              <w:t>Y=</w:t>
            </w:r>
          </w:p>
        </w:tc>
        <w:tc>
          <w:tcPr>
            <w:tcW w:w="9780" w:type="dxa"/>
            <w:vAlign w:val="bottom"/>
            <w:gridSpan w:val="5"/>
          </w:tcPr>
          <w:p>
            <w:pPr>
              <w:ind w:left="140"/>
              <w:spacing w:after="0"/>
              <w:rPr>
                <w:sz w:val="20"/>
                <w:szCs w:val="20"/>
                <w:color w:val="auto"/>
              </w:rPr>
            </w:pPr>
            <w:r>
              <w:rPr>
                <w:rFonts w:ascii="Arial" w:cs="Arial" w:eastAsia="Arial" w:hAnsi="Arial"/>
                <w:sz w:val="17"/>
                <w:szCs w:val="17"/>
                <w:color w:val="auto"/>
                <w:w w:val="92"/>
              </w:rPr>
              <w:t>the number of shares of Common Stock that could have been purchased for the Aggregate Consideration at the Series E Conversion Price</w:t>
            </w:r>
          </w:p>
        </w:tc>
      </w:tr>
      <w:tr>
        <w:trPr>
          <w:trHeight w:val="222"/>
        </w:trPr>
        <w:tc>
          <w:tcPr>
            <w:tcW w:w="380" w:type="dxa"/>
            <w:vAlign w:val="bottom"/>
          </w:tcPr>
          <w:p>
            <w:pPr>
              <w:spacing w:after="0"/>
              <w:rPr>
                <w:sz w:val="19"/>
                <w:szCs w:val="19"/>
                <w:color w:val="auto"/>
              </w:rPr>
            </w:pPr>
          </w:p>
        </w:tc>
        <w:tc>
          <w:tcPr>
            <w:tcW w:w="9780" w:type="dxa"/>
            <w:vAlign w:val="bottom"/>
            <w:gridSpan w:val="5"/>
          </w:tcPr>
          <w:p>
            <w:pPr>
              <w:ind w:left="120"/>
              <w:spacing w:after="0"/>
              <w:rPr>
                <w:sz w:val="20"/>
                <w:szCs w:val="20"/>
                <w:color w:val="auto"/>
              </w:rPr>
            </w:pPr>
            <w:r>
              <w:rPr>
                <w:rFonts w:ascii="Arial" w:cs="Arial" w:eastAsia="Arial" w:hAnsi="Arial"/>
                <w:sz w:val="17"/>
                <w:szCs w:val="17"/>
                <w:color w:val="auto"/>
              </w:rPr>
              <w:t>in effect immediately prior to such reduction;</w:t>
            </w:r>
          </w:p>
        </w:tc>
      </w:tr>
      <w:tr>
        <w:trPr>
          <w:trHeight w:val="381"/>
        </w:trPr>
        <w:tc>
          <w:tcPr>
            <w:tcW w:w="380" w:type="dxa"/>
            <w:vAlign w:val="bottom"/>
          </w:tcPr>
          <w:p>
            <w:pPr>
              <w:spacing w:after="0"/>
              <w:rPr>
                <w:sz w:val="20"/>
                <w:szCs w:val="20"/>
                <w:color w:val="auto"/>
              </w:rPr>
            </w:pPr>
            <w:r>
              <w:rPr>
                <w:rFonts w:ascii="Arial" w:cs="Arial" w:eastAsia="Arial" w:hAnsi="Arial"/>
                <w:sz w:val="17"/>
                <w:szCs w:val="17"/>
                <w:color w:val="auto"/>
              </w:rPr>
              <w:t>Z=</w:t>
            </w:r>
          </w:p>
        </w:tc>
        <w:tc>
          <w:tcPr>
            <w:tcW w:w="9780" w:type="dxa"/>
            <w:vAlign w:val="bottom"/>
            <w:gridSpan w:val="5"/>
          </w:tcPr>
          <w:p>
            <w:pPr>
              <w:ind w:left="140"/>
              <w:spacing w:after="0"/>
              <w:rPr>
                <w:sz w:val="20"/>
                <w:szCs w:val="20"/>
                <w:color w:val="auto"/>
              </w:rPr>
            </w:pPr>
            <w:r>
              <w:rPr>
                <w:rFonts w:ascii="Arial" w:cs="Arial" w:eastAsia="Arial" w:hAnsi="Arial"/>
                <w:sz w:val="17"/>
                <w:szCs w:val="17"/>
                <w:color w:val="auto"/>
                <w:w w:val="94"/>
              </w:rPr>
              <w:t>the number of shares of Common Stock issued or sold, or deemed to be issued or sold under this Section 8.5(d)(iii), in such issuance or</w:t>
            </w:r>
          </w:p>
        </w:tc>
      </w:tr>
      <w:tr>
        <w:trPr>
          <w:trHeight w:val="229"/>
        </w:trPr>
        <w:tc>
          <w:tcPr>
            <w:tcW w:w="38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7"/>
                <w:szCs w:val="17"/>
                <w:color w:val="auto"/>
              </w:rPr>
              <w:t>sale.</w:t>
            </w:r>
          </w:p>
        </w:tc>
        <w:tc>
          <w:tcPr>
            <w:tcW w:w="1240" w:type="dxa"/>
            <w:vAlign w:val="bottom"/>
            <w:tcBorders>
              <w:top w:val="single" w:sz="8" w:color="auto"/>
            </w:tcBorders>
          </w:tcPr>
          <w:p>
            <w:pPr>
              <w:spacing w:after="0"/>
              <w:rPr>
                <w:sz w:val="19"/>
                <w:szCs w:val="19"/>
                <w:color w:val="auto"/>
              </w:rPr>
            </w:pPr>
          </w:p>
        </w:tc>
        <w:tc>
          <w:tcPr>
            <w:tcW w:w="1620" w:type="dxa"/>
            <w:vAlign w:val="bottom"/>
          </w:tcPr>
          <w:p>
            <w:pPr>
              <w:spacing w:after="0"/>
              <w:rPr>
                <w:sz w:val="19"/>
                <w:szCs w:val="19"/>
                <w:color w:val="auto"/>
              </w:rPr>
            </w:pPr>
          </w:p>
        </w:tc>
      </w:tr>
    </w:tbl>
    <w:p>
      <w:pPr>
        <w:spacing w:after="0" w:line="198" w:lineRule="exact"/>
        <w:rPr>
          <w:sz w:val="20"/>
          <w:szCs w:val="20"/>
          <w:color w:val="auto"/>
        </w:rPr>
      </w:pPr>
    </w:p>
    <w:p>
      <w:pPr>
        <w:ind w:left="620" w:firstLine="633"/>
        <w:spacing w:after="0" w:line="262" w:lineRule="auto"/>
        <w:tabs>
          <w:tab w:leader="none" w:pos="1938"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Adjustment for Stock Splits and Combinations</w:t>
      </w:r>
      <w:r>
        <w:rPr>
          <w:rFonts w:ascii="Arial" w:cs="Arial" w:eastAsia="Arial" w:hAnsi="Arial"/>
          <w:sz w:val="17"/>
          <w:szCs w:val="17"/>
          <w:color w:val="auto"/>
        </w:rPr>
        <w:t xml:space="preserve">. If the Corporation at any time or from time to time after the Restatement Date effects a subdivision of the outstanding Common Stock without a corresponding subdivision of the Series E Preferred Stock, the Series E Conversion Price in effect immediately before that subdivision will be proportionately decreased. Conversely, if the Corporation at any time or from time to time combines the outstanding shares of Common Stock into a smaller number of shares without a corresponding combination of the Series E Preferred Stock, the Series E Conversion Price in effect immediately before the combination will be proportionately increased. Any adjustment under this </w:t>
      </w:r>
      <w:r>
        <w:rPr>
          <w:rFonts w:ascii="Arial" w:cs="Arial" w:eastAsia="Arial" w:hAnsi="Arial"/>
          <w:sz w:val="17"/>
          <w:szCs w:val="17"/>
          <w:u w:val="single" w:color="auto"/>
          <w:color w:val="auto"/>
        </w:rPr>
        <w:t>Section 8.5(d)(i)</w:t>
      </w:r>
      <w:r>
        <w:rPr>
          <w:rFonts w:ascii="Arial" w:cs="Arial" w:eastAsia="Arial" w:hAnsi="Arial"/>
          <w:sz w:val="17"/>
          <w:szCs w:val="17"/>
          <w:color w:val="auto"/>
        </w:rPr>
        <w:t xml:space="preserve"> will become effective at the close of business on the date the subdivision or combination becomes effective.</w:t>
      </w:r>
    </w:p>
    <w:p>
      <w:pPr>
        <w:sectPr>
          <w:pgSz w:w="11900" w:h="16838" w:orient="portrait"/>
          <w:cols w:equalWidth="0" w:num="1">
            <w:col w:w="10780"/>
          </w:cols>
          <w:pgMar w:left="880" w:top="127" w:right="239" w:bottom="0" w:gutter="0" w:footer="0" w:header="0"/>
        </w:sectPr>
      </w:pPr>
    </w:p>
    <w:bookmarkStart w:id="212" w:name="page213"/>
    <w:bookmarkEnd w:id="212"/>
    <w:p>
      <w:pPr>
        <w:ind w:left="60" w:right="20" w:firstLine="633"/>
        <w:spacing w:after="0" w:line="265" w:lineRule="auto"/>
        <w:tabs>
          <w:tab w:leader="none" w:pos="1383"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Adjustment for Common Stock Dividends and Distributions</w:t>
      </w:r>
      <w:r>
        <w:rPr>
          <w:rFonts w:ascii="Arial" w:cs="Arial" w:eastAsia="Arial" w:hAnsi="Arial"/>
          <w:sz w:val="17"/>
          <w:szCs w:val="17"/>
          <w:color w:val="auto"/>
        </w:rPr>
        <w:t>. If the Corporation at any time or from time to time after the Restatement Date makes, or fixes a record date for the determination of holders of Common Stock entitled to receive, a dividend or other distribution payable in additional shares of Common Stock, in each such event the Series E Conversion Price that is then in effect will be decreased as of the time of such issuance or, in the event such record date is fixed, as of the close of business on such record date, by multiplying the Series E Conversion Price then in effect by the result of the following formula:</w:t>
      </w:r>
    </w:p>
    <w:p>
      <w:pPr>
        <w:spacing w:after="0" w:line="17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81280</wp:posOffset>
            </wp:positionV>
            <wp:extent cx="7271385" cy="292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X / (Y+Z), where</w:t>
      </w:r>
    </w:p>
    <w:p>
      <w:pPr>
        <w:spacing w:after="0" w:line="224" w:lineRule="exact"/>
        <w:rPr>
          <w:sz w:val="20"/>
          <w:szCs w:val="20"/>
          <w:color w:val="auto"/>
        </w:rPr>
      </w:pPr>
    </w:p>
    <w:p>
      <w:pPr>
        <w:ind w:left="560" w:right="540" w:hanging="502"/>
        <w:spacing w:after="0" w:line="289" w:lineRule="auto"/>
        <w:tabs>
          <w:tab w:leader="none" w:pos="540" w:val="left"/>
        </w:tabs>
        <w:rPr>
          <w:sz w:val="20"/>
          <w:szCs w:val="20"/>
          <w:color w:val="auto"/>
        </w:rPr>
      </w:pPr>
      <w:r>
        <w:rPr>
          <w:rFonts w:ascii="Arial" w:cs="Arial" w:eastAsia="Arial" w:hAnsi="Arial"/>
          <w:sz w:val="17"/>
          <w:szCs w:val="17"/>
          <w:color w:val="auto"/>
        </w:rPr>
        <w:t>X =</w:t>
        <w:tab/>
        <w:t>the total number of shares of Common Stock issued and outstanding immediately prior to the time of such issuance or the close of business on such record date;</w:t>
      </w:r>
    </w:p>
    <w:p>
      <w:pPr>
        <w:spacing w:after="0" w:line="158" w:lineRule="exact"/>
        <w:rPr>
          <w:sz w:val="20"/>
          <w:szCs w:val="20"/>
          <w:color w:val="auto"/>
        </w:rPr>
      </w:pPr>
    </w:p>
    <w:p>
      <w:pPr>
        <w:ind w:left="560" w:right="540" w:hanging="502"/>
        <w:spacing w:after="0" w:line="289" w:lineRule="auto"/>
        <w:tabs>
          <w:tab w:leader="none" w:pos="540" w:val="left"/>
        </w:tabs>
        <w:rPr>
          <w:sz w:val="20"/>
          <w:szCs w:val="20"/>
          <w:color w:val="auto"/>
        </w:rPr>
      </w:pPr>
      <w:r>
        <w:rPr>
          <w:rFonts w:ascii="Arial" w:cs="Arial" w:eastAsia="Arial" w:hAnsi="Arial"/>
          <w:sz w:val="17"/>
          <w:szCs w:val="17"/>
          <w:color w:val="auto"/>
        </w:rPr>
        <w:t>Y =</w:t>
        <w:tab/>
        <w:t>the total number of shares of Common Stock issued and outstanding immediately prior to the time of such issuance or the close of business on such record date; and</w:t>
      </w:r>
    </w:p>
    <w:p>
      <w:pPr>
        <w:spacing w:after="0" w:line="158"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7"/>
          <w:szCs w:val="17"/>
          <w:color w:val="auto"/>
        </w:rPr>
        <w:t>Z =</w:t>
      </w:r>
      <w:r>
        <w:rPr>
          <w:sz w:val="20"/>
          <w:szCs w:val="20"/>
          <w:color w:val="auto"/>
        </w:rPr>
        <w:tab/>
      </w:r>
      <w:r>
        <w:rPr>
          <w:rFonts w:ascii="Arial" w:cs="Arial" w:eastAsia="Arial" w:hAnsi="Arial"/>
          <w:sz w:val="15"/>
          <w:szCs w:val="15"/>
          <w:color w:val="auto"/>
        </w:rPr>
        <w:t>the number of shares of Common Stock issuable in payment of such dividend or distribution;</w:t>
      </w:r>
    </w:p>
    <w:p>
      <w:pPr>
        <w:spacing w:after="0" w:line="224" w:lineRule="exact"/>
        <w:rPr>
          <w:sz w:val="20"/>
          <w:szCs w:val="20"/>
          <w:color w:val="auto"/>
        </w:rPr>
      </w:pPr>
    </w:p>
    <w:p>
      <w:pPr>
        <w:ind w:left="60" w:right="20"/>
        <w:spacing w:after="0" w:line="298" w:lineRule="auto"/>
        <w:rPr>
          <w:sz w:val="20"/>
          <w:szCs w:val="20"/>
          <w:color w:val="auto"/>
        </w:rPr>
      </w:pPr>
      <w:r>
        <w:rPr>
          <w:rFonts w:ascii="Arial" w:cs="Arial" w:eastAsia="Arial" w:hAnsi="Arial"/>
          <w:sz w:val="16"/>
          <w:szCs w:val="16"/>
          <w:color w:val="auto"/>
        </w:rPr>
        <w:t xml:space="preserve">provided, however, that if such record date is fixed and such dividend is not fully paid or if such distribution is not fully made on the date fixed therefor, the Series E Conversion Price will be recomputed accordingly as of the close of business on such record date and thereafter the Series E Conversion Price will be adjusted pursuant to this </w:t>
      </w:r>
      <w:r>
        <w:rPr>
          <w:rFonts w:ascii="Arial" w:cs="Arial" w:eastAsia="Arial" w:hAnsi="Arial"/>
          <w:sz w:val="16"/>
          <w:szCs w:val="16"/>
          <w:u w:val="single" w:color="auto"/>
          <w:color w:val="auto"/>
        </w:rPr>
        <w:t>Section 8.5(d)(ii)</w:t>
      </w:r>
      <w:r>
        <w:rPr>
          <w:rFonts w:ascii="Arial" w:cs="Arial" w:eastAsia="Arial" w:hAnsi="Arial"/>
          <w:sz w:val="16"/>
          <w:szCs w:val="16"/>
          <w:color w:val="auto"/>
        </w:rPr>
        <w:t xml:space="preserve"> to reflect the actual payment of such dividend or distribution.</w:t>
      </w:r>
    </w:p>
    <w:p>
      <w:pPr>
        <w:spacing w:after="0" w:line="154" w:lineRule="exact"/>
        <w:rPr>
          <w:sz w:val="20"/>
          <w:szCs w:val="20"/>
          <w:color w:val="auto"/>
        </w:rPr>
      </w:pPr>
    </w:p>
    <w:p>
      <w:pPr>
        <w:ind w:left="60" w:firstLine="633"/>
        <w:spacing w:after="0" w:line="276" w:lineRule="auto"/>
        <w:tabs>
          <w:tab w:leader="none" w:pos="1388"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Deemed Issuances or Sales</w:t>
      </w:r>
      <w:r>
        <w:rPr>
          <w:rFonts w:ascii="Arial" w:cs="Arial" w:eastAsia="Arial" w:hAnsi="Arial"/>
          <w:sz w:val="16"/>
          <w:szCs w:val="16"/>
          <w:color w:val="auto"/>
        </w:rPr>
        <w:t>. If the Corporation issues or sells any Convertible Securities after the Restatement Date and if the Effective Price of the Additional Common Stock underlying such Convertible Securities is less than the Series E Conversion Price, in each such case the Corporation will be deemed to have issued at the time of the issuance of such Convertible Securities the maximum number of shares of Additional Common Stock issuable upon exercise or conversion thereof and to have received as consideration for the issuance of such shares an amount equal to the total amount of the consideration, if any, received by the Corporation for the issuance of such Convertible Securities, plus, in the case of such rights or options, the minimum amounts of consideration, if any, payable to the Corporation upon the exercise or conversion of such Convertible Securities (other than by cancellation of liabilities or obligations evidenced by such Convertible Securities) upon the conversion thereof; provided, that, if the minimum amount of consideration payable to the Corporation upon the exercise or conversion of Convertible Securities is reduced over time or on the occurrence or non-occurrence of specified events other than by reason of anti-dilution adjustments, the Effective Price will be recalculated at such time using the figure to which such minimum amount of consideration is reduced; provided further, that if the minimum amount of consideration payable to the Corporation upon the exercise or conversion of such Convertible Securities is subsequently increased, the Effective Price will be again recalculated using the increased minimum amount of consideration payable to the Corporation upon the exercise or conversion of such Convertible Securities. No further adjustment of the Series E Conversion Price, as adjusted upon the issuance of such Convertible Securities, will be made as a result of the actual issuance of shares of Additional Common Stock on the exercise or conversion of any such Convertible Securities. If any Convertible Securities outstanding (including those outstanding as of the Restatement Date) expire without having been exercised or converted, the Series E Conversion Price will be adjusted to the Series E Conversion Price which</w:t>
      </w:r>
    </w:p>
    <w:p>
      <w:pPr>
        <w:spacing w:after="0" w:line="17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81280</wp:posOffset>
            </wp:positionV>
            <wp:extent cx="7271385" cy="29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7"/>
          <w:szCs w:val="17"/>
          <w:color w:val="auto"/>
        </w:rPr>
        <w:t>would have been in effect absent the issuance of such expired Convertible Securities.</w:t>
      </w:r>
    </w:p>
    <w:p>
      <w:pPr>
        <w:spacing w:after="0" w:line="224" w:lineRule="exact"/>
        <w:rPr>
          <w:sz w:val="20"/>
          <w:szCs w:val="20"/>
          <w:color w:val="auto"/>
        </w:rPr>
      </w:pPr>
    </w:p>
    <w:p>
      <w:pPr>
        <w:ind w:left="-560" w:right="20" w:firstLine="623"/>
        <w:spacing w:after="0" w:line="277" w:lineRule="auto"/>
        <w:tabs>
          <w:tab w:leader="none" w:pos="743"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Issuance of Certificates; Time Conversion Effected</w:t>
      </w:r>
      <w:r>
        <w:rPr>
          <w:rFonts w:ascii="Arial" w:cs="Arial" w:eastAsia="Arial" w:hAnsi="Arial"/>
          <w:sz w:val="16"/>
          <w:szCs w:val="16"/>
          <w:color w:val="auto"/>
        </w:rPr>
        <w:t>. Promptly after the automatic or optional conversion and surrender of the certificate or certificates (and notice, as applicable) for the share or shares of Series E Preferred Stock to be converted, the Corporation will issue and deliver, or cause to be issued and delivered, to the holder thereof, registered in such name or names as such holder may direct, (A) a certificate or certificates for the number of whole shares of Common Stock issuable upon the conversion of such share or shares of Series E Preferred Stock and (B), in the case of a partial optional conversion, a certificate or certificates for the number of whole shares of Series E Preferred Stock which the notice delivered by such holder specified were not to be converted, unless and to the extent the Board adopts a resolution providing that the Series E Preferred Stock or Common Stock shall be uncertificated or registered in book entry form. With respect to an automatic conversion, effective immediately upon such conversion, regardless of whether the certificate or certificates for such share or shares shall have been surrendered, the rights of the holder of such share or shares of Series E Preferred Stock will cease, and the person(s) in whose name or names any certificate, certificates or book entry for shares of Common Stock issued upon such conversion will be deemed to have become the holder or holders of record of the shares represented thereby. With respect to an optional conversion, the certificate or certificates for such converted share or shares will have been surrendered as aforesaid, and at such time the rights of the holder of such converted share or shares of Series E Preferred Stock will cease, and the person(s) in whose name or names any certificate or certificates for shares of Common Stock (or Series E Preferred Stock, as applicable) will be issuable upon such conversion will be deemed to have become the holder or holders of record of the shares represented thereby.</w:t>
      </w:r>
    </w:p>
    <w:p>
      <w:pPr>
        <w:spacing w:after="0" w:line="173" w:lineRule="exact"/>
        <w:rPr>
          <w:rFonts w:ascii="Arial" w:cs="Arial" w:eastAsia="Arial" w:hAnsi="Arial"/>
          <w:sz w:val="16"/>
          <w:szCs w:val="16"/>
          <w:color w:val="auto"/>
        </w:rPr>
      </w:pPr>
    </w:p>
    <w:p>
      <w:pPr>
        <w:ind w:left="-560" w:right="60" w:firstLine="623"/>
        <w:spacing w:after="0" w:line="285" w:lineRule="auto"/>
        <w:tabs>
          <w:tab w:leader="none" w:pos="768"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Fractional Shares; Dividends; Partial Conversion</w:t>
      </w:r>
      <w:r>
        <w:rPr>
          <w:rFonts w:ascii="Arial" w:cs="Arial" w:eastAsia="Arial" w:hAnsi="Arial"/>
          <w:sz w:val="16"/>
          <w:szCs w:val="16"/>
          <w:color w:val="auto"/>
        </w:rPr>
        <w:t xml:space="preserve">. No fractional shares will be issued upon conversion of Series E Preferred Stock into Common Stock and no payment or adjustment will be made upon any conversion on account of any cash dividends on the Common Stock issued upon conversion. If any fractional share of Common Stock would, except for the provisions of the first sentence of this </w:t>
      </w:r>
      <w:r>
        <w:rPr>
          <w:rFonts w:ascii="Arial" w:cs="Arial" w:eastAsia="Arial" w:hAnsi="Arial"/>
          <w:sz w:val="16"/>
          <w:szCs w:val="16"/>
          <w:u w:val="single" w:color="auto"/>
          <w:color w:val="auto"/>
        </w:rPr>
        <w:t>Section 8.5(f)</w:t>
      </w:r>
      <w:r>
        <w:rPr>
          <w:rFonts w:ascii="Arial" w:cs="Arial" w:eastAsia="Arial" w:hAnsi="Arial"/>
          <w:sz w:val="16"/>
          <w:szCs w:val="16"/>
          <w:color w:val="auto"/>
        </w:rPr>
        <w:t>, be delivered upon such conversion, the Corporation, in lieu of delivering such fractional share, will pay to the holder surrendering the Series E Preferred Stock for conversion an amount in cash equal to the current market price of such fractional share as determined in good faith by the Board.</w:t>
      </w:r>
    </w:p>
    <w:p>
      <w:pPr>
        <w:spacing w:after="0" w:line="166" w:lineRule="exact"/>
        <w:rPr>
          <w:rFonts w:ascii="Arial" w:cs="Arial" w:eastAsia="Arial" w:hAnsi="Arial"/>
          <w:sz w:val="16"/>
          <w:szCs w:val="16"/>
          <w:color w:val="auto"/>
        </w:rPr>
      </w:pPr>
    </w:p>
    <w:p>
      <w:pPr>
        <w:ind w:left="-560" w:right="20" w:firstLine="623"/>
        <w:spacing w:after="0" w:line="263" w:lineRule="auto"/>
        <w:tabs>
          <w:tab w:leader="none" w:pos="753"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Stock to be Reserved</w:t>
      </w:r>
      <w:r>
        <w:rPr>
          <w:rFonts w:ascii="Arial" w:cs="Arial" w:eastAsia="Arial" w:hAnsi="Arial"/>
          <w:sz w:val="17"/>
          <w:szCs w:val="17"/>
          <w:color w:val="auto"/>
        </w:rPr>
        <w:t>. The Corporation will at all times reserve and keep available out of its authorized Common Stock, solely for the purpose of issuance upon the conversion of Series E Preferred Stock as herein provided, such number of shares of Common Stock as are then issuable upon the conversion of all outstanding shares of Series E Preferred Stock. All shares of Common Stock so issued will be duly and validly issued and fully paid and nonassessable. The Corporation will take all such action as may be necessary to assure that all such shares of Common Stock may be so issued without violation of any applicable law or regulation, or of any requirement of any national securities exchange upon which the Common Stock may be listed.</w:t>
      </w:r>
    </w:p>
    <w:p>
      <w:pPr>
        <w:sectPr>
          <w:pgSz w:w="11900" w:h="16838" w:orient="portrait"/>
          <w:cols w:equalWidth="0" w:num="1">
            <w:col w:w="10220"/>
          </w:cols>
          <w:pgMar w:left="1440" w:top="127" w:right="239" w:bottom="0" w:gutter="0" w:footer="0" w:header="0"/>
        </w:sectPr>
      </w:pPr>
    </w:p>
    <w:p>
      <w:pPr>
        <w:spacing w:after="0" w:line="18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88900</wp:posOffset>
            </wp:positionV>
            <wp:extent cx="7271385" cy="29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220"/>
          </w:cols>
          <w:pgMar w:left="1440" w:top="127" w:right="239" w:bottom="0" w:gutter="0" w:footer="0" w:header="0"/>
          <w:type w:val="continuous"/>
        </w:sectPr>
      </w:pPr>
    </w:p>
    <w:bookmarkStart w:id="213" w:name="page214"/>
    <w:bookmarkEnd w:id="213"/>
    <w:p>
      <w:pPr>
        <w:ind w:left="640" w:right="380" w:firstLine="623"/>
        <w:spacing w:after="0" w:line="273" w:lineRule="auto"/>
        <w:tabs>
          <w:tab w:leader="none" w:pos="1953"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No Reissuance of Series E Preferred Stock</w:t>
      </w:r>
      <w:r>
        <w:rPr>
          <w:rFonts w:ascii="Arial" w:cs="Arial" w:eastAsia="Arial" w:hAnsi="Arial"/>
          <w:sz w:val="17"/>
          <w:szCs w:val="17"/>
          <w:color w:val="auto"/>
        </w:rPr>
        <w:t>. Shares of Series E Preferred Stock that are converted into shares of Common Stock as provided herein will not be reissued as Series E Preferred Stock but will be generally available to be reissued pursuant to a separate statement of resolution adopted by the Board.</w:t>
      </w:r>
    </w:p>
    <w:p>
      <w:pPr>
        <w:spacing w:after="0" w:line="171" w:lineRule="exact"/>
        <w:rPr>
          <w:rFonts w:ascii="Arial" w:cs="Arial" w:eastAsia="Arial" w:hAnsi="Arial"/>
          <w:sz w:val="17"/>
          <w:szCs w:val="17"/>
          <w:color w:val="auto"/>
        </w:rPr>
      </w:pPr>
    </w:p>
    <w:p>
      <w:pPr>
        <w:ind w:left="640" w:right="80" w:firstLine="623"/>
        <w:spacing w:after="0" w:line="268" w:lineRule="auto"/>
        <w:tabs>
          <w:tab w:leader="none" w:pos="1958"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Issue Tax</w:t>
      </w:r>
      <w:r>
        <w:rPr>
          <w:rFonts w:ascii="Arial" w:cs="Arial" w:eastAsia="Arial" w:hAnsi="Arial"/>
          <w:sz w:val="17"/>
          <w:szCs w:val="17"/>
          <w:color w:val="auto"/>
        </w:rPr>
        <w:t>. The issuance of certificates for shares of Common Stock upon conversion of Series E Preferred Stock will be made without charge to the holders thereof for any issuance tax in respect thereof, provided that the Corporation will not be required to pay any tax which may be payable in respect of any transfer involved in the issuance and delivery of any certificate in a name other than that of the holder of the Series E Preferred Stock which is being converted.</w:t>
      </w:r>
    </w:p>
    <w:p>
      <w:pPr>
        <w:spacing w:after="0" w:line="175" w:lineRule="exact"/>
        <w:rPr>
          <w:rFonts w:ascii="Arial" w:cs="Arial" w:eastAsia="Arial" w:hAnsi="Arial"/>
          <w:sz w:val="17"/>
          <w:szCs w:val="17"/>
          <w:color w:val="auto"/>
        </w:rPr>
      </w:pPr>
    </w:p>
    <w:p>
      <w:pPr>
        <w:jc w:val="both"/>
        <w:ind w:left="640" w:firstLine="623"/>
        <w:spacing w:after="0" w:line="298" w:lineRule="auto"/>
        <w:tabs>
          <w:tab w:leader="none" w:pos="1958"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Closing of Books</w:t>
      </w:r>
      <w:r>
        <w:rPr>
          <w:rFonts w:ascii="Arial" w:cs="Arial" w:eastAsia="Arial" w:hAnsi="Arial"/>
          <w:sz w:val="16"/>
          <w:szCs w:val="16"/>
          <w:color w:val="auto"/>
        </w:rPr>
        <w:t>. The Corporation will at no time close its transfer books against the transfer of any Series E Preferred Stock or of any shares of Common Stock issued or issuable upon the conversion of any shares of Series E Preferred Stock in any manner which interferes with the timely conversion of such Series E Preferred Stock, except as may otherwise be required to comply with applicable securities and corporate laws.</w:t>
      </w:r>
    </w:p>
    <w:p>
      <w:pPr>
        <w:spacing w:after="0" w:line="153" w:lineRule="exact"/>
        <w:rPr>
          <w:rFonts w:ascii="Arial" w:cs="Arial" w:eastAsia="Arial" w:hAnsi="Arial"/>
          <w:sz w:val="16"/>
          <w:szCs w:val="16"/>
          <w:color w:val="auto"/>
        </w:rPr>
      </w:pPr>
    </w:p>
    <w:p>
      <w:pPr>
        <w:ind w:left="640" w:firstLine="623"/>
        <w:spacing w:after="0" w:line="299" w:lineRule="auto"/>
        <w:tabs>
          <w:tab w:leader="none" w:pos="1953" w:val="left"/>
        </w:tabs>
        <w:numPr>
          <w:ilvl w:val="0"/>
          <w:numId w:val="177"/>
        </w:numPr>
        <w:rPr>
          <w:rFonts w:ascii="Arial" w:cs="Arial" w:eastAsia="Arial" w:hAnsi="Arial"/>
          <w:sz w:val="15"/>
          <w:szCs w:val="15"/>
          <w:color w:val="auto"/>
        </w:rPr>
      </w:pPr>
      <w:r>
        <w:rPr>
          <w:rFonts w:ascii="Arial" w:cs="Arial" w:eastAsia="Arial" w:hAnsi="Arial"/>
          <w:sz w:val="15"/>
          <w:szCs w:val="15"/>
          <w:u w:val="single" w:color="auto"/>
          <w:color w:val="auto"/>
        </w:rPr>
        <w:t>Reorganization or Reclassification</w:t>
      </w:r>
      <w:r>
        <w:rPr>
          <w:rFonts w:ascii="Arial" w:cs="Arial" w:eastAsia="Arial" w:hAnsi="Arial"/>
          <w:sz w:val="15"/>
          <w:szCs w:val="15"/>
          <w:color w:val="auto"/>
        </w:rPr>
        <w:t>. If any capital reorganization, reclassification of the capital stock of the Corporation, stock split, or stock dividend (each a “</w:t>
      </w:r>
      <w:r>
        <w:rPr>
          <w:rFonts w:ascii="Arial" w:cs="Arial" w:eastAsia="Arial" w:hAnsi="Arial"/>
          <w:sz w:val="15"/>
          <w:szCs w:val="15"/>
          <w:b w:val="1"/>
          <w:bCs w:val="1"/>
          <w:i w:val="1"/>
          <w:iCs w:val="1"/>
          <w:color w:val="auto"/>
        </w:rPr>
        <w:t>Distribution</w:t>
      </w:r>
      <w:r>
        <w:rPr>
          <w:rFonts w:ascii="Arial" w:cs="Arial" w:eastAsia="Arial" w:hAnsi="Arial"/>
          <w:sz w:val="15"/>
          <w:szCs w:val="15"/>
          <w:color w:val="auto"/>
        </w:rPr>
        <w:t>”) is effected in such a way that holders of Common Stock will be entitled to receive stock, securities or assets with respect to or in exchange for Common Stock, then, as a condition of such Distribution, lawful and adequate provisions will be made whereby each holder of a share or shares of Series E Preferred Stock will thereupon have the right to receive, subject to the terms and conditions specified herein and, as applicable, in lieu of the shares of Common Stock receivable upon the conversion of such share or shares of Series E Preferred Stock immediately prior to such Distribution, such shares of stock, securities or assets as may be issued or payable with respect to or, as applicable, in exchange for a number of outstanding shares of such Common Stock equal to the number of shares of such Common Stock receivable immediately prior to such Distribution upon such conversion had such Distribution not taken place. In any such case, appropriate adjustments to the provisions hereof shall be made with respect to the rights and interests of such holder of Series E Preferred Stock after the Distribution to the end that the provisions hereof will thereafter be applicable, as nearly as may be, in relation to any shares of stock, securities or assets thereafter deliverable upon the exercise of such conversion rights.</w:t>
      </w:r>
    </w:p>
    <w:p>
      <w:pPr>
        <w:spacing w:after="0" w:line="158" w:lineRule="exact"/>
        <w:rPr>
          <w:sz w:val="20"/>
          <w:szCs w:val="20"/>
          <w:color w:val="auto"/>
        </w:rPr>
      </w:pPr>
    </w:p>
    <w:p>
      <w:pPr>
        <w:ind w:right="600" w:firstLine="629"/>
        <w:spacing w:after="0" w:line="289" w:lineRule="auto"/>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Senior Preferred Stock</w:t>
      </w:r>
      <w:r>
        <w:rPr>
          <w:rFonts w:ascii="Arial" w:cs="Arial" w:eastAsia="Arial" w:hAnsi="Arial"/>
          <w:sz w:val="17"/>
          <w:szCs w:val="17"/>
          <w:color w:val="auto"/>
        </w:rPr>
        <w:t xml:space="preserve">. Except as otherwise set forth in </w:t>
      </w:r>
      <w:r>
        <w:rPr>
          <w:rFonts w:ascii="Arial" w:cs="Arial" w:eastAsia="Arial" w:hAnsi="Arial"/>
          <w:sz w:val="17"/>
          <w:szCs w:val="17"/>
          <w:u w:val="single" w:color="auto"/>
          <w:color w:val="auto"/>
        </w:rPr>
        <w:t>Section 8.2(b)(ii)</w:t>
      </w:r>
      <w:r>
        <w:rPr>
          <w:rFonts w:ascii="Arial" w:cs="Arial" w:eastAsia="Arial" w:hAnsi="Arial"/>
          <w:sz w:val="17"/>
          <w:szCs w:val="17"/>
          <w:color w:val="auto"/>
        </w:rPr>
        <w:t xml:space="preserve">, the Corporation may, in its sole discretion, authorize additional classes and series of Preferred Stock with rights senior to, junior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Series E Preferred Stock.</w:t>
      </w:r>
    </w:p>
    <w:p>
      <w:pPr>
        <w:spacing w:after="0" w:line="158" w:lineRule="exact"/>
        <w:rPr>
          <w:sz w:val="20"/>
          <w:szCs w:val="20"/>
          <w:color w:val="auto"/>
        </w:rPr>
      </w:pPr>
    </w:p>
    <w:p>
      <w:pPr>
        <w:ind w:right="740" w:firstLine="629"/>
        <w:spacing w:after="0" w:line="289" w:lineRule="auto"/>
        <w:rPr>
          <w:sz w:val="20"/>
          <w:szCs w:val="20"/>
          <w:color w:val="auto"/>
        </w:rPr>
      </w:pPr>
      <w:r>
        <w:rPr>
          <w:rFonts w:ascii="Arial" w:cs="Arial" w:eastAsia="Arial" w:hAnsi="Arial"/>
          <w:sz w:val="17"/>
          <w:szCs w:val="17"/>
          <w:color w:val="auto"/>
        </w:rPr>
        <w:t xml:space="preserve">Section 8.7. </w:t>
      </w:r>
      <w:r>
        <w:rPr>
          <w:rFonts w:ascii="Arial" w:cs="Arial" w:eastAsia="Arial" w:hAnsi="Arial"/>
          <w:sz w:val="17"/>
          <w:szCs w:val="17"/>
          <w:u w:val="single" w:color="auto"/>
          <w:color w:val="auto"/>
        </w:rPr>
        <w:t>Amendments to Series E Provisions of Articles</w:t>
      </w:r>
      <w:r>
        <w:rPr>
          <w:rFonts w:ascii="Arial" w:cs="Arial" w:eastAsia="Arial" w:hAnsi="Arial"/>
          <w:sz w:val="17"/>
          <w:szCs w:val="17"/>
          <w:color w:val="auto"/>
        </w:rPr>
        <w:t xml:space="preserve">. The Company may amend any of this </w:t>
      </w:r>
      <w:r>
        <w:rPr>
          <w:rFonts w:ascii="Arial" w:cs="Arial" w:eastAsia="Arial" w:hAnsi="Arial"/>
          <w:sz w:val="17"/>
          <w:szCs w:val="17"/>
          <w:u w:val="single" w:color="auto"/>
          <w:color w:val="auto"/>
        </w:rPr>
        <w:t>ARTICLE EIGHT</w:t>
      </w:r>
      <w:r>
        <w:rPr>
          <w:rFonts w:ascii="Arial" w:cs="Arial" w:eastAsia="Arial" w:hAnsi="Arial"/>
          <w:sz w:val="17"/>
          <w:szCs w:val="17"/>
          <w:color w:val="auto"/>
        </w:rPr>
        <w:t xml:space="preserve"> with the consent or affirmative vote of two-thirds (2/3) of the issued and outstanding shares of Series E Preferred Stock on the date of such consent or vote.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NINE— SERIES F PREFERRED STOCK.</w:t>
      </w:r>
    </w:p>
    <w:p>
      <w:pPr>
        <w:spacing w:after="0" w:line="224"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Series F Preferred Stock</w:t>
      </w:r>
      <w:r>
        <w:rPr>
          <w:rFonts w:ascii="Arial" w:cs="Arial" w:eastAsia="Arial" w:hAnsi="Arial"/>
          <w:sz w:val="17"/>
          <w:szCs w:val="17"/>
          <w:color w:val="auto"/>
        </w:rPr>
        <w:t>. 82,000,000 shares of Preferred Stock will be designated Series F Preferred Stock (the “</w:t>
      </w:r>
      <w:r>
        <w:rPr>
          <w:rFonts w:ascii="Arial" w:cs="Arial" w:eastAsia="Arial" w:hAnsi="Arial"/>
          <w:sz w:val="17"/>
          <w:szCs w:val="17"/>
          <w:b w:val="1"/>
          <w:bCs w:val="1"/>
          <w:i w:val="1"/>
          <w:iCs w:val="1"/>
          <w:color w:val="auto"/>
        </w:rPr>
        <w:t>Series F Preferred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which will have the following powers, preferences, rights and restrictions:</w:t>
      </w:r>
    </w:p>
    <w:p>
      <w:pPr>
        <w:spacing w:after="0" w:line="158"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9.2.</w:t>
      </w:r>
      <w:r>
        <w:rPr>
          <w:sz w:val="20"/>
          <w:szCs w:val="20"/>
          <w:color w:val="auto"/>
        </w:rPr>
        <w:tab/>
      </w:r>
      <w:r>
        <w:rPr>
          <w:rFonts w:ascii="Arial" w:cs="Arial" w:eastAsia="Arial" w:hAnsi="Arial"/>
          <w:sz w:val="16"/>
          <w:szCs w:val="16"/>
          <w:color w:val="auto"/>
        </w:rPr>
        <w:t>Voting.</w:t>
      </w:r>
    </w:p>
    <w:p>
      <w:pPr>
        <w:spacing w:after="0" w:line="224" w:lineRule="exact"/>
        <w:rPr>
          <w:sz w:val="20"/>
          <w:szCs w:val="20"/>
          <w:color w:val="auto"/>
        </w:rPr>
      </w:pPr>
    </w:p>
    <w:p>
      <w:pPr>
        <w:ind w:left="640" w:right="160" w:firstLine="623"/>
        <w:spacing w:after="0" w:line="290" w:lineRule="auto"/>
        <w:tabs>
          <w:tab w:leader="none" w:pos="1943"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Except as may be otherwise required by the DGCL or set forth in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the Series F Preferred Stock will have the right to vote on all actions to be taken by the holders of Common Stock (other than the actions set forth in </w:t>
      </w:r>
      <w:r>
        <w:rPr>
          <w:rFonts w:ascii="Arial" w:cs="Arial" w:eastAsia="Arial" w:hAnsi="Arial"/>
          <w:sz w:val="16"/>
          <w:szCs w:val="16"/>
          <w:u w:val="single" w:color="auto"/>
          <w:color w:val="auto"/>
        </w:rPr>
        <w:t>Section 9.2(b)</w:t>
      </w:r>
      <w:r>
        <w:rPr>
          <w:rFonts w:ascii="Arial" w:cs="Arial" w:eastAsia="Arial" w:hAnsi="Arial"/>
          <w:sz w:val="16"/>
          <w:szCs w:val="16"/>
          <w:color w:val="auto"/>
        </w:rPr>
        <w:t>, and each share of Series F Preferred Stock will entitle the record holder thereof (each a “</w:t>
      </w:r>
      <w:r>
        <w:rPr>
          <w:rFonts w:ascii="Arial" w:cs="Arial" w:eastAsia="Arial" w:hAnsi="Arial"/>
          <w:sz w:val="16"/>
          <w:szCs w:val="16"/>
          <w:b w:val="1"/>
          <w:bCs w:val="1"/>
          <w:i w:val="1"/>
          <w:iCs w:val="1"/>
          <w:color w:val="auto"/>
        </w:rPr>
        <w:t>Series F Holder</w:t>
      </w:r>
      <w:r>
        <w:rPr>
          <w:rFonts w:ascii="Arial" w:cs="Arial" w:eastAsia="Arial" w:hAnsi="Arial"/>
          <w:sz w:val="16"/>
          <w:szCs w:val="16"/>
          <w:color w:val="auto"/>
        </w:rPr>
        <w:t>”) to such number of votes per share on each such action as will equal the number of shares of Common Stock (including fractions of a share) into which such share of Series F Preferred Stock is then convertible.</w:t>
      </w:r>
    </w:p>
    <w:p>
      <w:pPr>
        <w:spacing w:after="0" w:line="159" w:lineRule="exact"/>
        <w:rPr>
          <w:rFonts w:ascii="Arial" w:cs="Arial" w:eastAsia="Arial" w:hAnsi="Arial"/>
          <w:sz w:val="16"/>
          <w:szCs w:val="16"/>
          <w:color w:val="auto"/>
        </w:rPr>
      </w:pPr>
    </w:p>
    <w:p>
      <w:pPr>
        <w:ind w:left="640" w:right="80" w:firstLine="623"/>
        <w:spacing w:after="0" w:line="265" w:lineRule="auto"/>
        <w:tabs>
          <w:tab w:leader="none" w:pos="1953"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Class Voting</w:t>
      </w:r>
      <w:r>
        <w:rPr>
          <w:rFonts w:ascii="Arial" w:cs="Arial" w:eastAsia="Arial" w:hAnsi="Arial"/>
          <w:sz w:val="17"/>
          <w:szCs w:val="17"/>
          <w:color w:val="auto"/>
        </w:rPr>
        <w:t>. So long as at least 60% of the greatest number of shares of Series F Preferred Stock (subject to adjustment for any stock split, reverse stock split, stock dividend or other such transaction applicable to the Series F Preferred Stock) ever outstanding remain outstanding, the Series F Preferred Stock will have the right to vote, as a separate class and not together with the holders of other stock, with respect to the following matters, each of which will require the consent or affirmative vote of two-thirds (2/3) of the issued and outstanding shares of Series F Preferred Stock on the date of such vote:</w:t>
      </w:r>
    </w:p>
    <w:p>
      <w:pPr>
        <w:spacing w:after="0" w:line="179" w:lineRule="exact"/>
        <w:rPr>
          <w:rFonts w:ascii="Arial" w:cs="Arial" w:eastAsia="Arial" w:hAnsi="Arial"/>
          <w:sz w:val="17"/>
          <w:szCs w:val="17"/>
          <w:color w:val="auto"/>
        </w:rPr>
      </w:pPr>
    </w:p>
    <w:p>
      <w:pPr>
        <w:ind w:left="1260" w:right="40" w:firstLine="633"/>
        <w:spacing w:after="0" w:line="273" w:lineRule="auto"/>
        <w:tabs>
          <w:tab w:leader="none" w:pos="2578" w:val="left"/>
        </w:tabs>
        <w:numPr>
          <w:ilvl w:val="1"/>
          <w:numId w:val="178"/>
        </w:numPr>
        <w:rPr>
          <w:rFonts w:ascii="Arial" w:cs="Arial" w:eastAsia="Arial" w:hAnsi="Arial"/>
          <w:sz w:val="17"/>
          <w:szCs w:val="17"/>
          <w:color w:val="auto"/>
        </w:rPr>
      </w:pPr>
      <w:r>
        <w:rPr>
          <w:rFonts w:ascii="Arial" w:cs="Arial" w:eastAsia="Arial" w:hAnsi="Arial"/>
          <w:sz w:val="17"/>
          <w:szCs w:val="17"/>
          <w:color w:val="auto"/>
        </w:rPr>
        <w:t>Any amendment, alteration or repeal of any provision of the Certificate of Incorporation of the Corporation, as amended from time to time, that affects adversely the voting or other powers, preferences or other special rights or privileges or restrictions of the Series F Preferred Stock;</w:t>
      </w:r>
    </w:p>
    <w:p>
      <w:pPr>
        <w:spacing w:after="0" w:line="171" w:lineRule="exact"/>
        <w:rPr>
          <w:rFonts w:ascii="Arial" w:cs="Arial" w:eastAsia="Arial" w:hAnsi="Arial"/>
          <w:sz w:val="17"/>
          <w:szCs w:val="17"/>
          <w:color w:val="auto"/>
        </w:rPr>
      </w:pPr>
    </w:p>
    <w:p>
      <w:pPr>
        <w:ind w:left="1260" w:right="380" w:firstLine="633"/>
        <w:spacing w:after="0" w:line="273" w:lineRule="auto"/>
        <w:tabs>
          <w:tab w:leader="none" w:pos="2583" w:val="left"/>
        </w:tabs>
        <w:numPr>
          <w:ilvl w:val="1"/>
          <w:numId w:val="178"/>
        </w:numPr>
        <w:rPr>
          <w:rFonts w:ascii="Arial" w:cs="Arial" w:eastAsia="Arial" w:hAnsi="Arial"/>
          <w:sz w:val="17"/>
          <w:szCs w:val="17"/>
          <w:color w:val="auto"/>
        </w:rPr>
      </w:pPr>
      <w:r>
        <w:rPr>
          <w:rFonts w:ascii="Arial" w:cs="Arial" w:eastAsia="Arial" w:hAnsi="Arial"/>
          <w:sz w:val="17"/>
          <w:szCs w:val="17"/>
          <w:color w:val="auto"/>
        </w:rPr>
        <w:t>Any authorization or any designation, whether by reclassification or otherwise, of any new class or series of stock or any other securities convertible into equity securities of the Corporation ranking senior to the Series F Preferred Stock in right of liquidation preference or dividends (“</w:t>
      </w:r>
      <w:r>
        <w:rPr>
          <w:rFonts w:ascii="Arial" w:cs="Arial" w:eastAsia="Arial" w:hAnsi="Arial"/>
          <w:sz w:val="17"/>
          <w:szCs w:val="17"/>
          <w:b w:val="1"/>
          <w:bCs w:val="1"/>
          <w:i w:val="1"/>
          <w:iCs w:val="1"/>
          <w:color w:val="auto"/>
        </w:rPr>
        <w:t>Series F Senior Securities</w:t>
      </w:r>
      <w:r>
        <w:rPr>
          <w:rFonts w:ascii="Arial" w:cs="Arial" w:eastAsia="Arial" w:hAnsi="Arial"/>
          <w:sz w:val="17"/>
          <w:szCs w:val="17"/>
          <w:color w:val="auto"/>
        </w:rPr>
        <w:t>”, which shall include the Series G Preferred Stock);</w:t>
      </w:r>
    </w:p>
    <w:p>
      <w:pPr>
        <w:spacing w:after="0" w:line="171" w:lineRule="exact"/>
        <w:rPr>
          <w:rFonts w:ascii="Arial" w:cs="Arial" w:eastAsia="Arial" w:hAnsi="Arial"/>
          <w:sz w:val="17"/>
          <w:szCs w:val="17"/>
          <w:color w:val="auto"/>
        </w:rPr>
      </w:pPr>
    </w:p>
    <w:p>
      <w:pPr>
        <w:ind w:left="1260" w:right="420" w:firstLine="633"/>
        <w:spacing w:after="0" w:line="322" w:lineRule="auto"/>
        <w:tabs>
          <w:tab w:leader="none" w:pos="2588" w:val="left"/>
        </w:tabs>
        <w:numPr>
          <w:ilvl w:val="1"/>
          <w:numId w:val="178"/>
        </w:numPr>
        <w:rPr>
          <w:rFonts w:ascii="Arial" w:cs="Arial" w:eastAsia="Arial" w:hAnsi="Arial"/>
          <w:sz w:val="16"/>
          <w:szCs w:val="16"/>
          <w:color w:val="auto"/>
        </w:rPr>
      </w:pPr>
      <w:r>
        <w:rPr>
          <w:rFonts w:ascii="Arial" w:cs="Arial" w:eastAsia="Arial" w:hAnsi="Arial"/>
          <w:sz w:val="16"/>
          <w:szCs w:val="16"/>
          <w:color w:val="auto"/>
        </w:rPr>
        <w:t>Any redemption of any shares of Common Stock (other than pursuant to equity incentive agreements with employees or service providers giving the Corporation the right to repurchase shares upon the termination of employment or services);</w:t>
      </w:r>
    </w:p>
    <w:p>
      <w:pPr>
        <w:spacing w:after="0" w:line="135" w:lineRule="exact"/>
        <w:rPr>
          <w:rFonts w:ascii="Arial" w:cs="Arial" w:eastAsia="Arial" w:hAnsi="Arial"/>
          <w:sz w:val="16"/>
          <w:szCs w:val="16"/>
          <w:color w:val="auto"/>
        </w:rPr>
      </w:pPr>
    </w:p>
    <w:p>
      <w:pPr>
        <w:ind w:left="1260" w:right="480" w:firstLine="633"/>
        <w:spacing w:after="0" w:line="289" w:lineRule="auto"/>
        <w:tabs>
          <w:tab w:leader="none" w:pos="2578" w:val="left"/>
        </w:tabs>
        <w:numPr>
          <w:ilvl w:val="1"/>
          <w:numId w:val="178"/>
        </w:numPr>
        <w:rPr>
          <w:rFonts w:ascii="Arial" w:cs="Arial" w:eastAsia="Arial" w:hAnsi="Arial"/>
          <w:sz w:val="17"/>
          <w:szCs w:val="17"/>
          <w:color w:val="auto"/>
        </w:rPr>
      </w:pPr>
      <w:r>
        <w:rPr>
          <w:rFonts w:ascii="Arial" w:cs="Arial" w:eastAsia="Arial" w:hAnsi="Arial"/>
          <w:sz w:val="17"/>
          <w:szCs w:val="17"/>
          <w:color w:val="auto"/>
        </w:rPr>
        <w:t>Any amendment of, or waiver with respect to, any provision of this ARTICLE NINE or the Corporation’s Certificate of Incorporation or bylaws directly relating to the Series F Preferred Stock;</w:t>
      </w:r>
    </w:p>
    <w:p>
      <w:pPr>
        <w:spacing w:after="0" w:line="158" w:lineRule="exact"/>
        <w:rPr>
          <w:rFonts w:ascii="Arial" w:cs="Arial" w:eastAsia="Arial" w:hAnsi="Arial"/>
          <w:sz w:val="17"/>
          <w:szCs w:val="17"/>
          <w:color w:val="auto"/>
        </w:rPr>
      </w:pPr>
    </w:p>
    <w:p>
      <w:pPr>
        <w:ind w:left="2580" w:hanging="687"/>
        <w:spacing w:after="0"/>
        <w:tabs>
          <w:tab w:leader="none" w:pos="258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Any increase in the authorized size of the Board; 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140" w:firstLine="633"/>
        <w:spacing w:after="0" w:line="360" w:lineRule="auto"/>
        <w:tabs>
          <w:tab w:leader="none" w:pos="2578" w:val="left"/>
        </w:tabs>
        <w:numPr>
          <w:ilvl w:val="0"/>
          <w:numId w:val="179"/>
        </w:numPr>
        <w:rPr>
          <w:rFonts w:ascii="Arial" w:cs="Arial" w:eastAsia="Arial" w:hAnsi="Arial"/>
          <w:sz w:val="15"/>
          <w:szCs w:val="15"/>
          <w:color w:val="auto"/>
        </w:rPr>
      </w:pPr>
      <w:r>
        <w:rPr>
          <w:rFonts w:ascii="Arial" w:cs="Arial" w:eastAsia="Arial" w:hAnsi="Arial"/>
          <w:sz w:val="15"/>
          <w:szCs w:val="15"/>
          <w:color w:val="auto"/>
        </w:rPr>
        <w:t>The declaration or payment of any dividend in respect of any Series F Junior Securities. “</w:t>
      </w:r>
      <w:r>
        <w:rPr>
          <w:rFonts w:ascii="Arial" w:cs="Arial" w:eastAsia="Arial" w:hAnsi="Arial"/>
          <w:sz w:val="15"/>
          <w:szCs w:val="15"/>
          <w:b w:val="1"/>
          <w:bCs w:val="1"/>
          <w:i w:val="1"/>
          <w:iCs w:val="1"/>
          <w:color w:val="auto"/>
        </w:rPr>
        <w:t>Series F Junior Securities</w:t>
      </w:r>
      <w:r>
        <w:rPr>
          <w:rFonts w:ascii="Arial" w:cs="Arial" w:eastAsia="Arial" w:hAnsi="Arial"/>
          <w:sz w:val="15"/>
          <w:szCs w:val="15"/>
          <w:color w:val="auto"/>
        </w:rPr>
        <w:t>” means any shares of Common Stock or other stock that is junior to the Series F Preferred Stock in right of dividends or in respect of Liquidation.</w:t>
      </w:r>
    </w:p>
    <w:p>
      <w:pPr>
        <w:sectPr>
          <w:pgSz w:w="11900" w:h="16838" w:orient="portrait"/>
          <w:cols w:equalWidth="0" w:num="1">
            <w:col w:w="11420"/>
          </w:cols>
          <w:pgMar w:left="240" w:top="573" w:right="239" w:bottom="0" w:gutter="0" w:footer="0" w:header="0"/>
        </w:sectPr>
      </w:pPr>
    </w:p>
    <w:bookmarkStart w:id="214" w:name="page215"/>
    <w:bookmarkEnd w:id="214"/>
    <w:p>
      <w:pPr>
        <w:spacing w:after="0" w:line="29" w:lineRule="exact"/>
        <w:rPr>
          <w:sz w:val="20"/>
          <w:szCs w:val="20"/>
          <w:color w:val="auto"/>
        </w:rPr>
      </w:pPr>
    </w:p>
    <w:p>
      <w:pPr>
        <w:ind w:right="160" w:firstLine="629"/>
        <w:spacing w:after="0" w:line="268"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Dividends</w:t>
      </w:r>
      <w:r>
        <w:rPr>
          <w:rFonts w:ascii="Arial" w:cs="Arial" w:eastAsia="Arial" w:hAnsi="Arial"/>
          <w:sz w:val="17"/>
          <w:szCs w:val="17"/>
          <w:color w:val="auto"/>
        </w:rPr>
        <w:t>. No Series F Holder will have the right to receive any dividends in respect of any share of Series F Preferred Stock unless, and only to the extent, such dividends are declared by the Board and funds are legally available therefor. No dividends will be declared or paid in respect of the Common Stock or any shares ranking junior to the Series F Preferred Stock in respect of dividends unless an identical dividend amount (on an as-converted, per-share basis) is also simultaneously declared and paid in respect of the Series F Preferred Stock.</w:t>
      </w:r>
    </w:p>
    <w:p>
      <w:pPr>
        <w:spacing w:after="0" w:line="176"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9.4.</w:t>
      </w:r>
      <w:r>
        <w:rPr>
          <w:sz w:val="20"/>
          <w:szCs w:val="20"/>
          <w:color w:val="auto"/>
        </w:rPr>
        <w:tab/>
      </w:r>
      <w:r>
        <w:rPr>
          <w:rFonts w:ascii="Arial" w:cs="Arial" w:eastAsia="Arial" w:hAnsi="Arial"/>
          <w:sz w:val="16"/>
          <w:szCs w:val="16"/>
          <w:u w:val="single" w:color="auto"/>
          <w:color w:val="auto"/>
        </w:rPr>
        <w:t>Liquidation Preference</w:t>
      </w:r>
      <w:r>
        <w:rPr>
          <w:rFonts w:ascii="Arial" w:cs="Arial" w:eastAsia="Arial" w:hAnsi="Arial"/>
          <w:sz w:val="16"/>
          <w:szCs w:val="16"/>
          <w:color w:val="auto"/>
        </w:rPr>
        <w:t>.</w:t>
      </w:r>
    </w:p>
    <w:p>
      <w:pPr>
        <w:spacing w:after="0" w:line="224" w:lineRule="exact"/>
        <w:rPr>
          <w:sz w:val="20"/>
          <w:szCs w:val="20"/>
          <w:color w:val="auto"/>
        </w:rPr>
      </w:pPr>
    </w:p>
    <w:p>
      <w:pPr>
        <w:ind w:left="640" w:firstLine="623"/>
        <w:spacing w:after="0" w:line="277" w:lineRule="auto"/>
        <w:tabs>
          <w:tab w:leader="none" w:pos="194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Upon any Liquidation, the Series F Holders will be entitled to receive, out of assets of the Corporation which remain after satisfaction in full of all valid claims of the Corporation’s creditors and which are available for payment to stockholders (and subject to the rights of the holders of any Series F Senior Securities or the holders of shares of the Corporation ranking on a parity with the Series F Preferred Stock in respect of liquidation (“</w:t>
      </w:r>
      <w:r>
        <w:rPr>
          <w:rFonts w:ascii="Arial" w:cs="Arial" w:eastAsia="Arial" w:hAnsi="Arial"/>
          <w:sz w:val="16"/>
          <w:szCs w:val="16"/>
          <w:b w:val="1"/>
          <w:bCs w:val="1"/>
          <w:i w:val="1"/>
          <w:iCs w:val="1"/>
          <w:color w:val="auto"/>
        </w:rPr>
        <w:t>Series F Parity Securities</w:t>
      </w:r>
      <w:r>
        <w:rPr>
          <w:rFonts w:ascii="Arial" w:cs="Arial" w:eastAsia="Arial" w:hAnsi="Arial"/>
          <w:sz w:val="16"/>
          <w:szCs w:val="16"/>
          <w:color w:val="auto"/>
        </w:rPr>
        <w:t>”)), before any amount will be paid to or distributed among the holders of Series F Junior Securities, distributions per share of Series F Preferred Stock equal to the sum of (i) $0.25 (the “</w:t>
      </w:r>
      <w:r>
        <w:rPr>
          <w:rFonts w:ascii="Arial" w:cs="Arial" w:eastAsia="Arial" w:hAnsi="Arial"/>
          <w:sz w:val="16"/>
          <w:szCs w:val="16"/>
          <w:b w:val="1"/>
          <w:bCs w:val="1"/>
          <w:i w:val="1"/>
          <w:iCs w:val="1"/>
          <w:color w:val="auto"/>
        </w:rPr>
        <w:t>Series F Purchase Price</w:t>
      </w:r>
      <w:r>
        <w:rPr>
          <w:rFonts w:ascii="Arial" w:cs="Arial" w:eastAsia="Arial" w:hAnsi="Arial"/>
          <w:sz w:val="16"/>
          <w:szCs w:val="16"/>
          <w:color w:val="auto"/>
        </w:rPr>
        <w:t>”) (subject to adjustment for any stock split, reverse stock split, stock dividend or other such transaction applicable to the Series F Preferred Stock), plus (ii) the greater of (A) any dividends declared but unpaid in respect of such share and (B) the Series F Preferential Return (defined below). If upon any Liquidation the Series F Liquidation Payment and any amounts payable in respect of any Series F Parity Securities as to any such distribution are not paid in full, the Series F Holders and the holders of Series F Parity Securities will share ratably in any distribution of assets in proportion to the full respective amounts to which they are entitled. “</w:t>
      </w:r>
      <w:r>
        <w:rPr>
          <w:rFonts w:ascii="Arial" w:cs="Arial" w:eastAsia="Arial" w:hAnsi="Arial"/>
          <w:sz w:val="16"/>
          <w:szCs w:val="16"/>
          <w:b w:val="1"/>
          <w:bCs w:val="1"/>
          <w:i w:val="1"/>
          <w:iCs w:val="1"/>
          <w:color w:val="auto"/>
        </w:rPr>
        <w:t>Series F Preferential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Return</w:t>
      </w:r>
      <w:r>
        <w:rPr>
          <w:rFonts w:ascii="Arial" w:cs="Arial" w:eastAsia="Arial" w:hAnsi="Arial"/>
          <w:sz w:val="16"/>
          <w:szCs w:val="16"/>
          <w:color w:val="auto"/>
        </w:rPr>
        <w:t>” means an amount equal to the lesser of (x) the Series F Purchase Price and (y) the amount of simple interest, calculated monthly, which would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accrued on a hypothetical principal amount equal to the Series F Purchase Price for the period beginning on March 27, 2009 (the “</w:t>
      </w:r>
      <w:r>
        <w:rPr>
          <w:rFonts w:ascii="Arial" w:cs="Arial" w:eastAsia="Arial" w:hAnsi="Arial"/>
          <w:sz w:val="16"/>
          <w:szCs w:val="16"/>
          <w:b w:val="1"/>
          <w:bCs w:val="1"/>
          <w:i w:val="1"/>
          <w:iCs w:val="1"/>
          <w:color w:val="auto"/>
        </w:rPr>
        <w:t>Series 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Purchase Date</w:t>
      </w:r>
      <w:r>
        <w:rPr>
          <w:rFonts w:ascii="Arial" w:cs="Arial" w:eastAsia="Arial" w:hAnsi="Arial"/>
          <w:sz w:val="16"/>
          <w:szCs w:val="16"/>
          <w:color w:val="auto"/>
        </w:rPr>
        <w:t>”) and ending on the date of the Liquidation payment at an interest rate for such period equal to the rate announced by Citibank N.A. as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prime rate two business days before the date of the Liquidation payment plus one percent.</w:t>
      </w:r>
    </w:p>
    <w:p>
      <w:pPr>
        <w:spacing w:after="0" w:line="175" w:lineRule="exact"/>
        <w:rPr>
          <w:rFonts w:ascii="Arial" w:cs="Arial" w:eastAsia="Arial" w:hAnsi="Arial"/>
          <w:sz w:val="16"/>
          <w:szCs w:val="16"/>
          <w:color w:val="auto"/>
        </w:rPr>
      </w:pPr>
    </w:p>
    <w:p>
      <w:pPr>
        <w:ind w:left="640" w:right="260" w:firstLine="623"/>
        <w:spacing w:after="0" w:line="322" w:lineRule="auto"/>
        <w:tabs>
          <w:tab w:leader="none" w:pos="1953"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The Corporation will give written notice of any Liquidation to the Series F Holders, stating the payment date or dates when, and the place or places where, any payments under this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will be payable, at least 20 days prior to any payment date stated therein.</w:t>
      </w:r>
    </w:p>
    <w:p>
      <w:pPr>
        <w:spacing w:after="0" w:line="135" w:lineRule="exact"/>
        <w:rPr>
          <w:rFonts w:ascii="Arial" w:cs="Arial" w:eastAsia="Arial" w:hAnsi="Arial"/>
          <w:sz w:val="16"/>
          <w:szCs w:val="16"/>
          <w:color w:val="auto"/>
        </w:rPr>
      </w:pPr>
    </w:p>
    <w:p>
      <w:pPr>
        <w:ind w:left="1940" w:hanging="677"/>
        <w:spacing w:after="0"/>
        <w:tabs>
          <w:tab w:leader="none" w:pos="19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 Sale/Merger Transaction will be deemed to be a Liquidation.</w:t>
      </w:r>
    </w:p>
    <w:p>
      <w:pPr>
        <w:spacing w:after="0" w:line="22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9.5.</w:t>
      </w:r>
      <w:r>
        <w:rPr>
          <w:sz w:val="20"/>
          <w:szCs w:val="20"/>
          <w:color w:val="auto"/>
        </w:rPr>
        <w:tab/>
      </w:r>
      <w:r>
        <w:rPr>
          <w:rFonts w:ascii="Arial" w:cs="Arial" w:eastAsia="Arial" w:hAnsi="Arial"/>
          <w:sz w:val="16"/>
          <w:szCs w:val="16"/>
          <w:u w:val="single" w:color="auto"/>
          <w:color w:val="auto"/>
        </w:rPr>
        <w:t>Conversion</w:t>
      </w:r>
      <w:r>
        <w:rPr>
          <w:rFonts w:ascii="Arial" w:cs="Arial" w:eastAsia="Arial" w:hAnsi="Arial"/>
          <w:sz w:val="16"/>
          <w:szCs w:val="16"/>
          <w:color w:val="auto"/>
        </w:rPr>
        <w:t>.</w:t>
      </w:r>
    </w:p>
    <w:p>
      <w:pPr>
        <w:spacing w:after="0" w:line="224" w:lineRule="exact"/>
        <w:rPr>
          <w:sz w:val="20"/>
          <w:szCs w:val="20"/>
          <w:color w:val="auto"/>
        </w:rPr>
      </w:pPr>
    </w:p>
    <w:p>
      <w:pPr>
        <w:ind w:left="5620" w:right="4380" w:hanging="4357"/>
        <w:spacing w:after="0" w:line="547" w:lineRule="auto"/>
        <w:tabs>
          <w:tab w:leader="none" w:pos="1931"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Optional Conversion</w:t>
      </w:r>
      <w:r>
        <w:rPr>
          <w:rFonts w:ascii="Arial" w:cs="Arial" w:eastAsia="Arial" w:hAnsi="Arial"/>
          <w:sz w:val="17"/>
          <w:szCs w:val="17"/>
          <w:color w:val="auto"/>
        </w:rPr>
        <w:t xml:space="preserve">. Subject to and in compliance with this </w:t>
      </w:r>
      <w:r>
        <w:rPr>
          <w:rFonts w:ascii="Arial" w:cs="Arial" w:eastAsia="Arial" w:hAnsi="Arial"/>
          <w:sz w:val="17"/>
          <w:szCs w:val="17"/>
          <w:u w:val="single" w:color="auto"/>
          <w:color w:val="auto"/>
        </w:rPr>
        <w:t>Section 9.5</w:t>
      </w:r>
      <w:r>
        <w:rPr>
          <w:rFonts w:ascii="Arial" w:cs="Arial" w:eastAsia="Arial" w:hAnsi="Arial"/>
          <w:sz w:val="17"/>
          <w:szCs w:val="17"/>
          <w:color w:val="auto"/>
        </w:rPr>
        <w: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271385" cy="292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640" w:right="180"/>
        <w:spacing w:after="0" w:line="265" w:lineRule="auto"/>
        <w:rPr>
          <w:sz w:val="20"/>
          <w:szCs w:val="20"/>
          <w:color w:val="auto"/>
        </w:rPr>
      </w:pPr>
      <w:r>
        <w:rPr>
          <w:rFonts w:ascii="Arial" w:cs="Arial" w:eastAsia="Arial" w:hAnsi="Arial"/>
          <w:sz w:val="17"/>
          <w:szCs w:val="17"/>
          <w:color w:val="auto"/>
        </w:rPr>
        <w:t xml:space="preserve">any share of Series F Preferred Stock may, at the option of the holder thereof, be converted at any time and from time to time into a number of shares of Common Stock equal to the then-applicable Series F Conversion Amount (defined below). Each Series F Holder who desires to convert any of its Series F Preferred Stock into Common Stock pursuant to this </w:t>
      </w:r>
      <w:r>
        <w:rPr>
          <w:rFonts w:ascii="Arial" w:cs="Arial" w:eastAsia="Arial" w:hAnsi="Arial"/>
          <w:sz w:val="17"/>
          <w:szCs w:val="17"/>
          <w:u w:val="single" w:color="auto"/>
          <w:color w:val="auto"/>
        </w:rPr>
        <w:t>Section 9.5(a)</w:t>
      </w:r>
      <w:r>
        <w:rPr>
          <w:rFonts w:ascii="Arial" w:cs="Arial" w:eastAsia="Arial" w:hAnsi="Arial"/>
          <w:sz w:val="17"/>
          <w:szCs w:val="17"/>
          <w:color w:val="auto"/>
        </w:rPr>
        <w:t xml:space="preserve"> will surrender the certificate or certificates therefor, duly endorsed, at the office of the Corporation, and will give written notice to the Corporation at such office that such Series F Holder desires to convert such shares. Such notice will state the number of shares of Series F Preferred Stock being converted.</w:t>
      </w:r>
    </w:p>
    <w:p>
      <w:pPr>
        <w:spacing w:after="0" w:line="179" w:lineRule="exact"/>
        <w:rPr>
          <w:sz w:val="20"/>
          <w:szCs w:val="20"/>
          <w:color w:val="auto"/>
        </w:rPr>
      </w:pPr>
    </w:p>
    <w:p>
      <w:pPr>
        <w:ind w:left="640" w:right="280" w:firstLine="623"/>
        <w:spacing w:after="0" w:line="289" w:lineRule="auto"/>
        <w:tabs>
          <w:tab w:leader="none" w:pos="1953"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Automatic Conversion</w:t>
      </w:r>
      <w:r>
        <w:rPr>
          <w:rFonts w:ascii="Arial" w:cs="Arial" w:eastAsia="Arial" w:hAnsi="Arial"/>
          <w:sz w:val="17"/>
          <w:szCs w:val="17"/>
          <w:color w:val="auto"/>
        </w:rPr>
        <w:t>. Each share of Series F Preferred Stock will automatically be converted into a number of shares of Common Stock equal to the then-applicable Series F Conversion Amount (defined below):</w:t>
      </w:r>
    </w:p>
    <w:p>
      <w:pPr>
        <w:spacing w:after="0" w:line="158" w:lineRule="exact"/>
        <w:rPr>
          <w:rFonts w:ascii="Arial" w:cs="Arial" w:eastAsia="Arial" w:hAnsi="Arial"/>
          <w:sz w:val="17"/>
          <w:szCs w:val="17"/>
          <w:color w:val="auto"/>
        </w:rPr>
      </w:pPr>
    </w:p>
    <w:p>
      <w:pPr>
        <w:ind w:left="1260" w:right="140" w:firstLine="633"/>
        <w:spacing w:after="0" w:line="273" w:lineRule="auto"/>
        <w:tabs>
          <w:tab w:leader="none" w:pos="2578" w:val="left"/>
        </w:tabs>
        <w:numPr>
          <w:ilvl w:val="1"/>
          <w:numId w:val="182"/>
        </w:numPr>
        <w:rPr>
          <w:rFonts w:ascii="Arial" w:cs="Arial" w:eastAsia="Arial" w:hAnsi="Arial"/>
          <w:sz w:val="17"/>
          <w:szCs w:val="17"/>
          <w:color w:val="auto"/>
        </w:rPr>
      </w:pPr>
      <w:r>
        <w:rPr>
          <w:rFonts w:ascii="Arial" w:cs="Arial" w:eastAsia="Arial" w:hAnsi="Arial"/>
          <w:sz w:val="17"/>
          <w:szCs w:val="17"/>
          <w:color w:val="auto"/>
        </w:rPr>
        <w:t>simultaneously with the closing of the first underwritten public offering under an effective registration statement under the Securities Act of 1933, as amended, covering the offering and sale of Common Stock for the account of the Corporation on a firm commitment basis for proceeds of at least $30 million (before deduction of underwriting costs, commissions and expenses);</w:t>
      </w:r>
    </w:p>
    <w:p>
      <w:pPr>
        <w:spacing w:after="0" w:line="171" w:lineRule="exact"/>
        <w:rPr>
          <w:rFonts w:ascii="Arial" w:cs="Arial" w:eastAsia="Arial" w:hAnsi="Arial"/>
          <w:sz w:val="17"/>
          <w:szCs w:val="17"/>
          <w:color w:val="auto"/>
        </w:rPr>
      </w:pPr>
    </w:p>
    <w:p>
      <w:pPr>
        <w:ind w:left="1260" w:right="220" w:firstLine="633"/>
        <w:spacing w:after="0" w:line="289" w:lineRule="auto"/>
        <w:tabs>
          <w:tab w:leader="none" w:pos="2583" w:val="left"/>
        </w:tabs>
        <w:numPr>
          <w:ilvl w:val="1"/>
          <w:numId w:val="182"/>
        </w:numPr>
        <w:rPr>
          <w:rFonts w:ascii="Arial" w:cs="Arial" w:eastAsia="Arial" w:hAnsi="Arial"/>
          <w:sz w:val="17"/>
          <w:szCs w:val="17"/>
          <w:color w:val="auto"/>
        </w:rPr>
      </w:pPr>
      <w:r>
        <w:rPr>
          <w:rFonts w:ascii="Arial" w:cs="Arial" w:eastAsia="Arial" w:hAnsi="Arial"/>
          <w:sz w:val="17"/>
          <w:szCs w:val="17"/>
          <w:color w:val="auto"/>
        </w:rPr>
        <w:t>at the election of the holders of a number of shares of Series F Preferred Stock equal to at least two-thirds (2/3) of the then-outstanding shares of Series F Preferred Stock; or</w:t>
      </w:r>
    </w:p>
    <w:p>
      <w:pPr>
        <w:spacing w:after="0" w:line="158" w:lineRule="exact"/>
        <w:rPr>
          <w:rFonts w:ascii="Arial" w:cs="Arial" w:eastAsia="Arial" w:hAnsi="Arial"/>
          <w:sz w:val="17"/>
          <w:szCs w:val="17"/>
          <w:color w:val="auto"/>
        </w:rPr>
      </w:pPr>
    </w:p>
    <w:p>
      <w:pPr>
        <w:ind w:left="1260" w:firstLine="633"/>
        <w:spacing w:after="0" w:line="273" w:lineRule="auto"/>
        <w:tabs>
          <w:tab w:leader="none" w:pos="2588" w:val="left"/>
        </w:tabs>
        <w:numPr>
          <w:ilvl w:val="1"/>
          <w:numId w:val="182"/>
        </w:numPr>
        <w:rPr>
          <w:rFonts w:ascii="Arial" w:cs="Arial" w:eastAsia="Arial" w:hAnsi="Arial"/>
          <w:sz w:val="17"/>
          <w:szCs w:val="17"/>
          <w:color w:val="auto"/>
        </w:rPr>
      </w:pPr>
      <w:r>
        <w:rPr>
          <w:rFonts w:ascii="Arial" w:cs="Arial" w:eastAsia="Arial" w:hAnsi="Arial"/>
          <w:sz w:val="17"/>
          <w:szCs w:val="17"/>
          <w:color w:val="auto"/>
        </w:rPr>
        <w:t>upon the conversion of a number of shares of Series F Preferred Stock equal to at least 60% of the shares of Series F Preferred Stock outstanding (subject to adjustment for any stock split, reverse stock split, stock dividend or other such transaction applicable to the Series F Preferred Stock) on the Series F Purchase Date.</w:t>
      </w:r>
    </w:p>
    <w:p>
      <w:pPr>
        <w:spacing w:after="0" w:line="172" w:lineRule="exact"/>
        <w:rPr>
          <w:sz w:val="20"/>
          <w:szCs w:val="20"/>
          <w:color w:val="auto"/>
        </w:rPr>
      </w:pPr>
    </w:p>
    <w:p>
      <w:pPr>
        <w:ind w:left="640" w:right="340"/>
        <w:spacing w:after="0" w:line="360" w:lineRule="auto"/>
        <w:rPr>
          <w:sz w:val="20"/>
          <w:szCs w:val="20"/>
          <w:color w:val="auto"/>
        </w:rPr>
      </w:pPr>
      <w:r>
        <w:rPr>
          <w:rFonts w:ascii="Arial" w:cs="Arial" w:eastAsia="Arial" w:hAnsi="Arial"/>
          <w:sz w:val="15"/>
          <w:szCs w:val="15"/>
          <w:color w:val="auto"/>
        </w:rPr>
        <w:t>Upon the occurrence of an automatic conversion of the Series F Preferred Stock, the Series F Holders will surrender the certificates representing their shares at the office of the Corporation or transfer agent, and the rights, preferences and restrictions of the Series F Preferred Stock will terminate.</w:t>
      </w:r>
    </w:p>
    <w:p>
      <w:pPr>
        <w:spacing w:after="0" w:line="112" w:lineRule="exact"/>
        <w:rPr>
          <w:sz w:val="20"/>
          <w:szCs w:val="20"/>
          <w:color w:val="auto"/>
        </w:rPr>
      </w:pPr>
    </w:p>
    <w:p>
      <w:pPr>
        <w:ind w:left="1940" w:hanging="677"/>
        <w:spacing w:after="0"/>
        <w:tabs>
          <w:tab w:leader="none" w:pos="1940"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Anti-Dilution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2580" w:hanging="687"/>
        <w:spacing w:after="0"/>
        <w:tabs>
          <w:tab w:leader="none" w:pos="2580" w:val="left"/>
        </w:tabs>
        <w:numPr>
          <w:ilvl w:val="1"/>
          <w:numId w:val="183"/>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900" w:right="20" w:firstLine="622"/>
        <w:spacing w:after="0" w:line="263" w:lineRule="auto"/>
        <w:tabs>
          <w:tab w:leader="none" w:pos="3209" w:val="left"/>
        </w:tabs>
        <w:numPr>
          <w:ilvl w:val="2"/>
          <w:numId w:val="1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Additional Common Stock</w:t>
      </w:r>
      <w:r>
        <w:rPr>
          <w:rFonts w:ascii="Arial" w:cs="Arial" w:eastAsia="Arial" w:hAnsi="Arial"/>
          <w:sz w:val="17"/>
          <w:szCs w:val="17"/>
          <w:color w:val="auto"/>
        </w:rPr>
        <w:t xml:space="preserve">” for this </w:t>
      </w:r>
      <w:r>
        <w:rPr>
          <w:rFonts w:ascii="Arial" w:cs="Arial" w:eastAsia="Arial" w:hAnsi="Arial"/>
          <w:sz w:val="17"/>
          <w:szCs w:val="17"/>
          <w:u w:val="single" w:color="auto"/>
          <w:color w:val="auto"/>
        </w:rPr>
        <w:t>ARTICLE NINE</w:t>
      </w:r>
      <w:r>
        <w:rPr>
          <w:rFonts w:ascii="Arial" w:cs="Arial" w:eastAsia="Arial" w:hAnsi="Arial"/>
          <w:sz w:val="17"/>
          <w:szCs w:val="17"/>
          <w:color w:val="auto"/>
        </w:rPr>
        <w:t xml:space="preserve"> means shares of Common Stock issued by the Corporation or deemed to be issued under </w:t>
      </w:r>
      <w:r>
        <w:rPr>
          <w:rFonts w:ascii="Arial" w:cs="Arial" w:eastAsia="Arial" w:hAnsi="Arial"/>
          <w:sz w:val="17"/>
          <w:szCs w:val="17"/>
          <w:u w:val="single" w:color="auto"/>
          <w:color w:val="auto"/>
        </w:rPr>
        <w:t>Section 9.5(d)(iii)</w:t>
      </w:r>
      <w:r>
        <w:rPr>
          <w:rFonts w:ascii="Arial" w:cs="Arial" w:eastAsia="Arial" w:hAnsi="Arial"/>
          <w:sz w:val="17"/>
          <w:szCs w:val="17"/>
          <w:color w:val="auto"/>
        </w:rPr>
        <w:t>, whether or not subsequently reacquired or retired by the Corporation, other than shares issued (or deemed to be issued) (1) upon conversion of the Series F Preferred Stock; (2) to employees, officers or directors of, or consultants or advisors to, the Corporation or any subsidiary pursuant to stock purchase or stock option plans or other arrangements that are approved by the Board; (3) pursuant to the exercise of options, warrants or convertible securities outstanding as of the Restatement Date; (4) in connection with a Sale/Merger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900" w:right="260"/>
        <w:spacing w:after="0" w:line="268" w:lineRule="auto"/>
        <w:rPr>
          <w:sz w:val="20"/>
          <w:szCs w:val="20"/>
          <w:color w:val="auto"/>
        </w:rPr>
      </w:pPr>
      <w:r>
        <w:rPr>
          <w:rFonts w:ascii="Arial" w:cs="Arial" w:eastAsia="Arial" w:hAnsi="Arial"/>
          <w:sz w:val="17"/>
          <w:szCs w:val="17"/>
          <w:color w:val="auto"/>
        </w:rPr>
        <w:t>Transaction; (5) pursuant to any equipment leasing arrangement, commercial credit arrangement or debt financing from a bank or similar financial institution; (6) in connection with a transaction that causes an automatic conversion of the Series F Preferred Stock; and (7) for consideration other than cash pursuant to a merger, consolidation, share exchange, acquisition or similar business combination approved by the Board.</w:t>
      </w:r>
    </w:p>
    <w:p>
      <w:pPr>
        <w:spacing w:after="0" w:line="176" w:lineRule="exact"/>
        <w:rPr>
          <w:sz w:val="20"/>
          <w:szCs w:val="20"/>
          <w:color w:val="auto"/>
        </w:rPr>
      </w:pPr>
    </w:p>
    <w:p>
      <w:pPr>
        <w:ind w:left="1900" w:right="80" w:firstLine="622"/>
        <w:spacing w:after="0" w:line="322" w:lineRule="auto"/>
        <w:tabs>
          <w:tab w:leader="none" w:pos="3199" w:val="left"/>
        </w:tabs>
        <w:numPr>
          <w:ilvl w:val="0"/>
          <w:numId w:val="1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Aggregate Consideration</w:t>
      </w:r>
      <w:r>
        <w:rPr>
          <w:rFonts w:ascii="Arial" w:cs="Arial" w:eastAsia="Arial" w:hAnsi="Arial"/>
          <w:sz w:val="16"/>
          <w:szCs w:val="16"/>
          <w:color w:val="auto"/>
        </w:rPr>
        <w:t xml:space="preserve">” for this </w:t>
      </w:r>
      <w:r>
        <w:rPr>
          <w:rFonts w:ascii="Arial" w:cs="Arial" w:eastAsia="Arial" w:hAnsi="Arial"/>
          <w:sz w:val="16"/>
          <w:szCs w:val="16"/>
          <w:u w:val="single" w:color="auto"/>
          <w:color w:val="auto"/>
        </w:rPr>
        <w:t>ARTICLE NINE</w:t>
      </w:r>
      <w:r>
        <w:rPr>
          <w:rFonts w:ascii="Arial" w:cs="Arial" w:eastAsia="Arial" w:hAnsi="Arial"/>
          <w:sz w:val="16"/>
          <w:szCs w:val="16"/>
          <w:color w:val="auto"/>
        </w:rPr>
        <w:t xml:space="preserve"> means, for any issuance or sale, or deemed issuance or sale, of Additional Common Stock, the net consideration received by the Corporation, as determined in accordance with GAAP.</w:t>
      </w:r>
    </w:p>
    <w:p>
      <w:pPr>
        <w:sectPr>
          <w:pgSz w:w="11900" w:h="16867" w:orient="portrait"/>
          <w:cols w:equalWidth="0" w:num="1">
            <w:col w:w="11420"/>
          </w:cols>
          <w:pgMar w:left="240" w:top="127" w:right="239" w:bottom="0" w:gutter="0" w:footer="0" w:header="0"/>
        </w:sectPr>
      </w:pPr>
    </w:p>
    <w:bookmarkStart w:id="215" w:name="page216"/>
    <w:bookmarkEnd w:id="215"/>
    <w:p>
      <w:pPr>
        <w:spacing w:after="0" w:line="37" w:lineRule="exact"/>
        <w:rPr>
          <w:sz w:val="20"/>
          <w:szCs w:val="20"/>
          <w:color w:val="auto"/>
        </w:rPr>
      </w:pPr>
    </w:p>
    <w:p>
      <w:pPr>
        <w:ind w:left="1900" w:right="480" w:firstLine="622"/>
        <w:spacing w:after="0" w:line="289" w:lineRule="auto"/>
        <w:tabs>
          <w:tab w:leader="none" w:pos="3199" w:val="left"/>
        </w:tabs>
        <w:numPr>
          <w:ilvl w:val="0"/>
          <w:numId w:val="1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Convertible Securities</w:t>
      </w:r>
      <w:r>
        <w:rPr>
          <w:rFonts w:ascii="Arial" w:cs="Arial" w:eastAsia="Arial" w:hAnsi="Arial"/>
          <w:sz w:val="17"/>
          <w:szCs w:val="17"/>
          <w:color w:val="auto"/>
        </w:rPr>
        <w:t xml:space="preserve">” for this </w:t>
      </w:r>
      <w:r>
        <w:rPr>
          <w:rFonts w:ascii="Arial" w:cs="Arial" w:eastAsia="Arial" w:hAnsi="Arial"/>
          <w:sz w:val="17"/>
          <w:szCs w:val="17"/>
          <w:u w:val="single" w:color="auto"/>
          <w:color w:val="auto"/>
        </w:rPr>
        <w:t>ARTICLE NINE</w:t>
      </w:r>
      <w:r>
        <w:rPr>
          <w:rFonts w:ascii="Arial" w:cs="Arial" w:eastAsia="Arial" w:hAnsi="Arial"/>
          <w:sz w:val="17"/>
          <w:szCs w:val="17"/>
          <w:color w:val="auto"/>
        </w:rPr>
        <w:t xml:space="preserve"> means rights or options for the purchase of, or stock or other securities convertible into, Additional Common Stock.</w:t>
      </w:r>
    </w:p>
    <w:p>
      <w:pPr>
        <w:spacing w:after="0" w:line="158" w:lineRule="exact"/>
        <w:rPr>
          <w:rFonts w:ascii="Arial" w:cs="Arial" w:eastAsia="Arial" w:hAnsi="Arial"/>
          <w:sz w:val="17"/>
          <w:szCs w:val="17"/>
          <w:color w:val="auto"/>
        </w:rPr>
      </w:pPr>
    </w:p>
    <w:p>
      <w:pPr>
        <w:jc w:val="both"/>
        <w:ind w:left="1900" w:right="400" w:firstLine="622"/>
        <w:spacing w:after="0" w:line="273" w:lineRule="auto"/>
        <w:tabs>
          <w:tab w:leader="none" w:pos="3209" w:val="left"/>
        </w:tabs>
        <w:numPr>
          <w:ilvl w:val="0"/>
          <w:numId w:val="1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Price</w:t>
      </w:r>
      <w:r>
        <w:rPr>
          <w:rFonts w:ascii="Arial" w:cs="Arial" w:eastAsia="Arial" w:hAnsi="Arial"/>
          <w:sz w:val="17"/>
          <w:szCs w:val="17"/>
          <w:color w:val="auto"/>
        </w:rPr>
        <w:t xml:space="preserve">” for this </w:t>
      </w:r>
      <w:r>
        <w:rPr>
          <w:rFonts w:ascii="Arial" w:cs="Arial" w:eastAsia="Arial" w:hAnsi="Arial"/>
          <w:sz w:val="17"/>
          <w:szCs w:val="17"/>
          <w:u w:val="single" w:color="auto"/>
          <w:color w:val="auto"/>
        </w:rPr>
        <w:t>ARTICLE NINE</w:t>
      </w:r>
      <w:r>
        <w:rPr>
          <w:rFonts w:ascii="Arial" w:cs="Arial" w:eastAsia="Arial" w:hAnsi="Arial"/>
          <w:sz w:val="17"/>
          <w:szCs w:val="17"/>
          <w:color w:val="auto"/>
        </w:rPr>
        <w:t xml:space="preserve"> means the quotient of (1) the Aggregate Consideration received in an issuance or sale (or deemed issuance or sale) of Additional Common Stock divided by (2) the total number of shares of Additional Common Stock issued or sold (or deemed to have been issued or sold) in such transaction.</w:t>
      </w:r>
    </w:p>
    <w:p>
      <w:pPr>
        <w:spacing w:after="0" w:line="171" w:lineRule="exact"/>
        <w:rPr>
          <w:rFonts w:ascii="Arial" w:cs="Arial" w:eastAsia="Arial" w:hAnsi="Arial"/>
          <w:sz w:val="17"/>
          <w:szCs w:val="17"/>
          <w:color w:val="auto"/>
        </w:rPr>
      </w:pPr>
    </w:p>
    <w:p>
      <w:pPr>
        <w:ind w:left="3220" w:hanging="698"/>
        <w:spacing w:after="0"/>
        <w:tabs>
          <w:tab w:leader="none" w:pos="322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Series F Conversion Amount</w:t>
      </w:r>
      <w:r>
        <w:rPr>
          <w:rFonts w:ascii="Arial" w:cs="Arial" w:eastAsia="Arial" w:hAnsi="Arial"/>
          <w:sz w:val="16"/>
          <w:szCs w:val="16"/>
          <w:color w:val="auto"/>
        </w:rPr>
        <w:t>” means the quotient of (1) the Series F Purchase Price divided by (2) the Series F</w:t>
      </w:r>
    </w:p>
    <w:p>
      <w:pPr>
        <w:spacing w:after="0" w:line="37" w:lineRule="exact"/>
        <w:rPr>
          <w:rFonts w:ascii="Arial" w:cs="Arial" w:eastAsia="Arial" w:hAnsi="Arial"/>
          <w:sz w:val="16"/>
          <w:szCs w:val="16"/>
          <w:color w:val="auto"/>
        </w:rPr>
      </w:pPr>
    </w:p>
    <w:p>
      <w:pPr>
        <w:ind w:left="1900"/>
        <w:spacing w:after="0"/>
        <w:rPr>
          <w:rFonts w:ascii="Arial" w:cs="Arial" w:eastAsia="Arial" w:hAnsi="Arial"/>
          <w:sz w:val="16"/>
          <w:szCs w:val="16"/>
          <w:color w:val="auto"/>
        </w:rPr>
      </w:pPr>
      <w:r>
        <w:rPr>
          <w:rFonts w:ascii="Arial" w:cs="Arial" w:eastAsia="Arial" w:hAnsi="Arial"/>
          <w:sz w:val="17"/>
          <w:szCs w:val="17"/>
          <w:color w:val="auto"/>
        </w:rPr>
        <w:t>Conversion Price.</w:t>
      </w:r>
    </w:p>
    <w:p>
      <w:pPr>
        <w:spacing w:after="0" w:line="212" w:lineRule="exact"/>
        <w:rPr>
          <w:rFonts w:ascii="Arial" w:cs="Arial" w:eastAsia="Arial" w:hAnsi="Arial"/>
          <w:sz w:val="16"/>
          <w:szCs w:val="16"/>
          <w:color w:val="auto"/>
        </w:rPr>
      </w:pPr>
    </w:p>
    <w:p>
      <w:pPr>
        <w:ind w:left="1900" w:right="100" w:firstLine="622"/>
        <w:spacing w:after="0" w:line="273" w:lineRule="auto"/>
        <w:tabs>
          <w:tab w:leader="none" w:pos="3223" w:val="left"/>
        </w:tabs>
        <w:numPr>
          <w:ilvl w:val="0"/>
          <w:numId w:val="1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F Conversion Price</w:t>
      </w:r>
      <w:r>
        <w:rPr>
          <w:rFonts w:ascii="Arial" w:cs="Arial" w:eastAsia="Arial" w:hAnsi="Arial"/>
          <w:sz w:val="17"/>
          <w:szCs w:val="17"/>
          <w:color w:val="auto"/>
        </w:rPr>
        <w:t xml:space="preserve">” means, as of the Restatement Date, $0.20833, and will be adjusted from time to time thereafter in accordance with this </w:t>
      </w:r>
      <w:r>
        <w:rPr>
          <w:rFonts w:ascii="Arial" w:cs="Arial" w:eastAsia="Arial" w:hAnsi="Arial"/>
          <w:sz w:val="17"/>
          <w:szCs w:val="17"/>
          <w:u w:val="single" w:color="auto"/>
          <w:color w:val="auto"/>
        </w:rPr>
        <w:t>Section 9.5</w:t>
      </w:r>
      <w:r>
        <w:rPr>
          <w:rFonts w:ascii="Arial" w:cs="Arial" w:eastAsia="Arial" w:hAnsi="Arial"/>
          <w:sz w:val="17"/>
          <w:szCs w:val="17"/>
          <w:color w:val="auto"/>
        </w:rPr>
        <w:t>. All references to the Series F Conversion Price are to the Series F Conversion Price as so adjusted.</w:t>
      </w:r>
    </w:p>
    <w:p>
      <w:pPr>
        <w:spacing w:after="0" w:line="172" w:lineRule="exact"/>
        <w:rPr>
          <w:sz w:val="20"/>
          <w:szCs w:val="20"/>
          <w:color w:val="auto"/>
        </w:rPr>
      </w:pPr>
    </w:p>
    <w:p>
      <w:pPr>
        <w:ind w:left="640" w:right="100" w:firstLine="623"/>
        <w:spacing w:after="0" w:line="278" w:lineRule="auto"/>
        <w:tabs>
          <w:tab w:leader="none" w:pos="1953"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Adjustment for Diluting Issues</w:t>
      </w:r>
      <w:r>
        <w:rPr>
          <w:rFonts w:ascii="Arial" w:cs="Arial" w:eastAsia="Arial" w:hAnsi="Arial"/>
          <w:sz w:val="16"/>
          <w:szCs w:val="16"/>
          <w:color w:val="auto"/>
        </w:rPr>
        <w:t>. If at any time or from time to time after the Restatement Date the Corporation issues or sells, or is deemed by the express provisions of this Section to have issued or sold, for gross proceeds of at least $200,000, Additional Common Stock (other than as a dividend or other distribution on any class of stock, or as a subdivision or combination of shares of stock, in either case as provided in this</w:t>
      </w:r>
    </w:p>
    <w:p>
      <w:pPr>
        <w:spacing w:after="0" w:line="1" w:lineRule="exact"/>
        <w:rPr>
          <w:rFonts w:ascii="Arial" w:cs="Arial" w:eastAsia="Arial" w:hAnsi="Arial"/>
          <w:sz w:val="16"/>
          <w:szCs w:val="16"/>
          <w:color w:val="auto"/>
        </w:rPr>
      </w:pPr>
    </w:p>
    <w:p>
      <w:pPr>
        <w:ind w:left="640" w:right="40"/>
        <w:spacing w:after="0" w:line="266" w:lineRule="auto"/>
        <w:rPr>
          <w:rFonts w:ascii="Arial" w:cs="Arial" w:eastAsia="Arial" w:hAnsi="Arial"/>
          <w:sz w:val="16"/>
          <w:szCs w:val="16"/>
          <w:color w:val="auto"/>
        </w:rPr>
      </w:pPr>
      <w:r>
        <w:rPr>
          <w:rFonts w:ascii="Arial" w:cs="Arial" w:eastAsia="Arial" w:hAnsi="Arial"/>
          <w:sz w:val="17"/>
          <w:szCs w:val="17"/>
          <w:u w:val="single" w:color="auto"/>
          <w:color w:val="auto"/>
        </w:rPr>
        <w:t>Section 9.5(d)</w:t>
      </w:r>
      <w:r>
        <w:rPr>
          <w:rFonts w:ascii="Arial" w:cs="Arial" w:eastAsia="Arial" w:hAnsi="Arial"/>
          <w:sz w:val="17"/>
          <w:szCs w:val="17"/>
          <w:color w:val="auto"/>
        </w:rPr>
        <w:t>) for an Effective Price (determined in accordance with GAAP) less than the then-effective Series F Conversion Price, then and in each such case the then-existing Series F Conversion Price will be reduced, as of the opening of business on the date of such issue or sale, by multiplying it by the number determined by the following formula: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40" w:type="dxa"/>
            <w:vAlign w:val="bottom"/>
          </w:tcPr>
          <w:p>
            <w:pPr>
              <w:spacing w:after="0"/>
              <w:rPr>
                <w:sz w:val="19"/>
                <w:szCs w:val="19"/>
                <w:color w:val="auto"/>
              </w:rPr>
            </w:pPr>
          </w:p>
        </w:tc>
        <w:tc>
          <w:tcPr>
            <w:tcW w:w="9820" w:type="dxa"/>
            <w:vAlign w:val="bottom"/>
            <w:gridSpan w:val="5"/>
          </w:tcPr>
          <w:p>
            <w:pPr>
              <w:ind w:left="120"/>
              <w:spacing w:after="0"/>
              <w:rPr>
                <w:sz w:val="20"/>
                <w:szCs w:val="20"/>
                <w:color w:val="auto"/>
              </w:rPr>
            </w:pPr>
            <w:r>
              <w:rPr>
                <w:rFonts w:ascii="Arial" w:cs="Arial" w:eastAsia="Arial" w:hAnsi="Arial"/>
                <w:sz w:val="17"/>
                <w:szCs w:val="17"/>
                <w:color w:val="auto"/>
              </w:rPr>
              <w:t>1/(1+w), where</w:t>
            </w:r>
          </w:p>
        </w:tc>
      </w:tr>
      <w:tr>
        <w:trPr>
          <w:trHeight w:val="419"/>
        </w:trPr>
        <w:tc>
          <w:tcPr>
            <w:tcW w:w="1640" w:type="dxa"/>
            <w:vAlign w:val="bottom"/>
          </w:tcPr>
          <w:p>
            <w:pPr>
              <w:ind w:left="1260"/>
              <w:spacing w:after="0"/>
              <w:rPr>
                <w:sz w:val="20"/>
                <w:szCs w:val="20"/>
                <w:color w:val="auto"/>
              </w:rPr>
            </w:pPr>
            <w:r>
              <w:rPr>
                <w:rFonts w:ascii="Arial" w:cs="Arial" w:eastAsia="Arial" w:hAnsi="Arial"/>
                <w:sz w:val="17"/>
                <w:szCs w:val="17"/>
                <w:color w:val="auto"/>
              </w:rPr>
              <w:t>w =</w:t>
            </w:r>
          </w:p>
        </w:tc>
        <w:tc>
          <w:tcPr>
            <w:tcW w:w="9820" w:type="dxa"/>
            <w:vAlign w:val="bottom"/>
            <w:gridSpan w:val="5"/>
          </w:tcPr>
          <w:p>
            <w:pPr>
              <w:ind w:left="140"/>
              <w:spacing w:after="0"/>
              <w:rPr>
                <w:sz w:val="20"/>
                <w:szCs w:val="20"/>
                <w:color w:val="auto"/>
              </w:rPr>
            </w:pPr>
            <w:r>
              <w:rPr>
                <w:rFonts w:ascii="Arial" w:cs="Arial" w:eastAsia="Arial" w:hAnsi="Arial"/>
                <w:sz w:val="17"/>
                <w:szCs w:val="17"/>
                <w:color w:val="auto"/>
              </w:rPr>
              <w:t>[((X+Z)/(X+Y))–1]/(1–P);</w:t>
            </w:r>
          </w:p>
        </w:tc>
      </w:tr>
      <w:tr>
        <w:trPr>
          <w:trHeight w:val="419"/>
        </w:trPr>
        <w:tc>
          <w:tcPr>
            <w:tcW w:w="1640" w:type="dxa"/>
            <w:vAlign w:val="bottom"/>
          </w:tcPr>
          <w:p>
            <w:pPr>
              <w:ind w:left="1260"/>
              <w:spacing w:after="0"/>
              <w:rPr>
                <w:sz w:val="20"/>
                <w:szCs w:val="20"/>
                <w:color w:val="auto"/>
              </w:rPr>
            </w:pPr>
            <w:r>
              <w:rPr>
                <w:rFonts w:ascii="Arial" w:cs="Arial" w:eastAsia="Arial" w:hAnsi="Arial"/>
                <w:sz w:val="17"/>
                <w:szCs w:val="17"/>
                <w:color w:val="auto"/>
              </w:rPr>
              <w:t>P=</w:t>
            </w:r>
          </w:p>
        </w:tc>
        <w:tc>
          <w:tcPr>
            <w:tcW w:w="9820" w:type="dxa"/>
            <w:vAlign w:val="bottom"/>
            <w:gridSpan w:val="5"/>
          </w:tcPr>
          <w:p>
            <w:pPr>
              <w:ind w:left="140"/>
              <w:spacing w:after="0"/>
              <w:rPr>
                <w:sz w:val="20"/>
                <w:szCs w:val="20"/>
                <w:color w:val="auto"/>
              </w:rPr>
            </w:pPr>
            <w:r>
              <w:rPr>
                <w:rFonts w:ascii="Arial" w:cs="Arial" w:eastAsia="Arial" w:hAnsi="Arial"/>
                <w:sz w:val="17"/>
                <w:szCs w:val="17"/>
                <w:color w:val="auto"/>
              </w:rPr>
              <w:t>C/(X+Y);</w:t>
            </w:r>
          </w:p>
        </w:tc>
      </w:tr>
      <w:tr>
        <w:trPr>
          <w:trHeight w:val="419"/>
        </w:trPr>
        <w:tc>
          <w:tcPr>
            <w:tcW w:w="1640" w:type="dxa"/>
            <w:vAlign w:val="bottom"/>
          </w:tcPr>
          <w:p>
            <w:pPr>
              <w:spacing w:after="0"/>
              <w:rPr>
                <w:sz w:val="24"/>
                <w:szCs w:val="24"/>
                <w:color w:val="auto"/>
              </w:rPr>
            </w:pPr>
          </w:p>
        </w:tc>
        <w:tc>
          <w:tcPr>
            <w:tcW w:w="6920" w:type="dxa"/>
            <w:vAlign w:val="bottom"/>
            <w:gridSpan w:val="3"/>
          </w:tcPr>
          <w:p>
            <w:pPr>
              <w:ind w:left="3980"/>
              <w:spacing w:after="0"/>
              <w:rPr>
                <w:sz w:val="20"/>
                <w:szCs w:val="20"/>
                <w:color w:val="auto"/>
              </w:rPr>
            </w:pPr>
            <w:r>
              <w:rPr>
                <w:rFonts w:ascii="Arial" w:cs="Arial" w:eastAsia="Arial" w:hAnsi="Arial"/>
                <w:sz w:val="17"/>
                <w:szCs w:val="17"/>
                <w:color w:val="auto"/>
              </w:rPr>
              <w:t>37</w:t>
            </w:r>
          </w:p>
        </w:tc>
        <w:tc>
          <w:tcPr>
            <w:tcW w:w="1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28"/>
        </w:trPr>
        <w:tc>
          <w:tcPr>
            <w:tcW w:w="164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480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660" w:type="dxa"/>
            <w:vAlign w:val="bottom"/>
            <w:tcBorders>
              <w:bottom w:val="single" w:sz="8" w:color="010101"/>
            </w:tcBorders>
          </w:tcPr>
          <w:p>
            <w:pPr>
              <w:spacing w:after="0"/>
              <w:rPr>
                <w:sz w:val="11"/>
                <w:szCs w:val="11"/>
                <w:color w:val="auto"/>
              </w:rPr>
            </w:pPr>
          </w:p>
        </w:tc>
      </w:tr>
      <w:tr>
        <w:trPr>
          <w:trHeight w:val="745"/>
        </w:trPr>
        <w:tc>
          <w:tcPr>
            <w:tcW w:w="1640" w:type="dxa"/>
            <w:vAlign w:val="bottom"/>
          </w:tcPr>
          <w:p>
            <w:pPr>
              <w:ind w:left="1260"/>
              <w:spacing w:after="0"/>
              <w:rPr>
                <w:sz w:val="20"/>
                <w:szCs w:val="20"/>
                <w:color w:val="auto"/>
              </w:rPr>
            </w:pPr>
            <w:r>
              <w:rPr>
                <w:rFonts w:ascii="Arial" w:cs="Arial" w:eastAsia="Arial" w:hAnsi="Arial"/>
                <w:sz w:val="17"/>
                <w:szCs w:val="17"/>
                <w:color w:val="auto"/>
              </w:rPr>
              <w:t>C=</w:t>
            </w:r>
          </w:p>
        </w:tc>
        <w:tc>
          <w:tcPr>
            <w:tcW w:w="9820" w:type="dxa"/>
            <w:vAlign w:val="bottom"/>
            <w:gridSpan w:val="5"/>
          </w:tcPr>
          <w:p>
            <w:pPr>
              <w:ind w:left="120"/>
              <w:spacing w:after="0"/>
              <w:rPr>
                <w:sz w:val="20"/>
                <w:szCs w:val="20"/>
                <w:color w:val="auto"/>
              </w:rPr>
            </w:pPr>
            <w:r>
              <w:rPr>
                <w:rFonts w:ascii="Arial" w:cs="Arial" w:eastAsia="Arial" w:hAnsi="Arial"/>
                <w:sz w:val="17"/>
                <w:szCs w:val="17"/>
                <w:color w:val="auto"/>
                <w:w w:val="95"/>
              </w:rPr>
              <w:t>the number of shares of Series F Preferred Stock immediately prior to the time of such issuance or sale multiplied by the then-effective</w:t>
            </w:r>
          </w:p>
        </w:tc>
      </w:tr>
      <w:tr>
        <w:trPr>
          <w:trHeight w:val="222"/>
        </w:trPr>
        <w:tc>
          <w:tcPr>
            <w:tcW w:w="1640" w:type="dxa"/>
            <w:vAlign w:val="bottom"/>
          </w:tcPr>
          <w:p>
            <w:pPr>
              <w:spacing w:after="0"/>
              <w:rPr>
                <w:sz w:val="19"/>
                <w:szCs w:val="19"/>
                <w:color w:val="auto"/>
              </w:rPr>
            </w:pPr>
          </w:p>
        </w:tc>
        <w:tc>
          <w:tcPr>
            <w:tcW w:w="9820" w:type="dxa"/>
            <w:vAlign w:val="bottom"/>
            <w:gridSpan w:val="5"/>
          </w:tcPr>
          <w:p>
            <w:pPr>
              <w:ind w:left="120"/>
              <w:spacing w:after="0"/>
              <w:rPr>
                <w:sz w:val="20"/>
                <w:szCs w:val="20"/>
                <w:color w:val="auto"/>
              </w:rPr>
            </w:pPr>
            <w:r>
              <w:rPr>
                <w:rFonts w:ascii="Arial" w:cs="Arial" w:eastAsia="Arial" w:hAnsi="Arial"/>
                <w:sz w:val="17"/>
                <w:szCs w:val="17"/>
                <w:color w:val="auto"/>
              </w:rPr>
              <w:t>Series F Conversion Amount (the quotient of the Series F Purchase Price divided by the Series F Conversion Price); and</w:t>
            </w:r>
          </w:p>
        </w:tc>
      </w:tr>
      <w:tr>
        <w:trPr>
          <w:trHeight w:val="408"/>
        </w:trPr>
        <w:tc>
          <w:tcPr>
            <w:tcW w:w="1640" w:type="dxa"/>
            <w:vAlign w:val="bottom"/>
          </w:tcPr>
          <w:p>
            <w:pPr>
              <w:ind w:left="1260"/>
              <w:spacing w:after="0"/>
              <w:rPr>
                <w:sz w:val="20"/>
                <w:szCs w:val="20"/>
                <w:color w:val="auto"/>
              </w:rPr>
            </w:pPr>
            <w:r>
              <w:rPr>
                <w:rFonts w:ascii="Arial" w:cs="Arial" w:eastAsia="Arial" w:hAnsi="Arial"/>
                <w:sz w:val="17"/>
                <w:szCs w:val="17"/>
                <w:color w:val="auto"/>
              </w:rPr>
              <w:t>X=</w:t>
            </w:r>
          </w:p>
        </w:tc>
        <w:tc>
          <w:tcPr>
            <w:tcW w:w="9820" w:type="dxa"/>
            <w:vAlign w:val="bottom"/>
            <w:gridSpan w:val="5"/>
          </w:tcPr>
          <w:p>
            <w:pPr>
              <w:ind w:left="140"/>
              <w:spacing w:after="0"/>
              <w:rPr>
                <w:sz w:val="20"/>
                <w:szCs w:val="20"/>
                <w:color w:val="auto"/>
              </w:rPr>
            </w:pPr>
            <w:r>
              <w:rPr>
                <w:rFonts w:ascii="Arial" w:cs="Arial" w:eastAsia="Arial" w:hAnsi="Arial"/>
                <w:sz w:val="17"/>
                <w:szCs w:val="17"/>
                <w:color w:val="auto"/>
                <w:w w:val="93"/>
              </w:rPr>
              <w:t>the sum of the following: (i) the total number of shares of Common Stock issued and outstanding, or deemed to be issued and outstanding</w:t>
            </w:r>
          </w:p>
        </w:tc>
      </w:tr>
      <w:tr>
        <w:trPr>
          <w:trHeight w:val="183"/>
        </w:trPr>
        <w:tc>
          <w:tcPr>
            <w:tcW w:w="1640" w:type="dxa"/>
            <w:vAlign w:val="bottom"/>
          </w:tcPr>
          <w:p>
            <w:pPr>
              <w:spacing w:after="0"/>
              <w:rPr>
                <w:sz w:val="15"/>
                <w:szCs w:val="15"/>
                <w:color w:val="auto"/>
              </w:rPr>
            </w:pPr>
          </w:p>
        </w:tc>
        <w:tc>
          <w:tcPr>
            <w:tcW w:w="9820" w:type="dxa"/>
            <w:vAlign w:val="bottom"/>
            <w:gridSpan w:val="5"/>
          </w:tcPr>
          <w:p>
            <w:pPr>
              <w:ind w:left="120"/>
              <w:spacing w:after="0" w:line="183" w:lineRule="exact"/>
              <w:rPr>
                <w:sz w:val="20"/>
                <w:szCs w:val="20"/>
                <w:color w:val="auto"/>
              </w:rPr>
            </w:pPr>
            <w:r>
              <w:rPr>
                <w:rFonts w:ascii="Arial" w:cs="Arial" w:eastAsia="Arial" w:hAnsi="Arial"/>
                <w:sz w:val="17"/>
                <w:szCs w:val="17"/>
                <w:color w:val="auto"/>
                <w:w w:val="98"/>
              </w:rPr>
              <w:t>under this Section 9.5(d)(iii), (ii) the total number of shares of Common Stock reserved for nonexercised stock options granted, and</w:t>
            </w:r>
          </w:p>
        </w:tc>
      </w:tr>
      <w:tr>
        <w:trPr>
          <w:trHeight w:val="20"/>
        </w:trPr>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7"/>
        </w:trPr>
        <w:tc>
          <w:tcPr>
            <w:tcW w:w="1640" w:type="dxa"/>
            <w:vAlign w:val="bottom"/>
          </w:tcPr>
          <w:p>
            <w:pPr>
              <w:spacing w:after="0"/>
              <w:rPr>
                <w:sz w:val="18"/>
                <w:szCs w:val="18"/>
                <w:color w:val="auto"/>
              </w:rPr>
            </w:pPr>
          </w:p>
        </w:tc>
        <w:tc>
          <w:tcPr>
            <w:tcW w:w="9820" w:type="dxa"/>
            <w:vAlign w:val="bottom"/>
            <w:gridSpan w:val="5"/>
          </w:tcPr>
          <w:p>
            <w:pPr>
              <w:ind w:left="120"/>
              <w:spacing w:after="0"/>
              <w:rPr>
                <w:sz w:val="20"/>
                <w:szCs w:val="20"/>
                <w:color w:val="auto"/>
              </w:rPr>
            </w:pPr>
            <w:r>
              <w:rPr>
                <w:rFonts w:ascii="Arial" w:cs="Arial" w:eastAsia="Arial" w:hAnsi="Arial"/>
                <w:sz w:val="17"/>
                <w:szCs w:val="17"/>
                <w:color w:val="auto"/>
                <w:w w:val="95"/>
              </w:rPr>
              <w:t>(iii) the total number of shares of Common Stock reserved and available for issuance under stock option plans, immediately prior to the</w:t>
            </w:r>
          </w:p>
        </w:tc>
      </w:tr>
      <w:tr>
        <w:trPr>
          <w:trHeight w:val="222"/>
        </w:trPr>
        <w:tc>
          <w:tcPr>
            <w:tcW w:w="1640" w:type="dxa"/>
            <w:vAlign w:val="bottom"/>
          </w:tcPr>
          <w:p>
            <w:pPr>
              <w:spacing w:after="0"/>
              <w:rPr>
                <w:sz w:val="19"/>
                <w:szCs w:val="19"/>
                <w:color w:val="auto"/>
              </w:rPr>
            </w:pPr>
          </w:p>
        </w:tc>
        <w:tc>
          <w:tcPr>
            <w:tcW w:w="9820" w:type="dxa"/>
            <w:vAlign w:val="bottom"/>
            <w:gridSpan w:val="5"/>
          </w:tcPr>
          <w:p>
            <w:pPr>
              <w:ind w:left="120"/>
              <w:spacing w:after="0"/>
              <w:rPr>
                <w:sz w:val="20"/>
                <w:szCs w:val="20"/>
                <w:color w:val="auto"/>
              </w:rPr>
            </w:pPr>
            <w:r>
              <w:rPr>
                <w:rFonts w:ascii="Arial" w:cs="Arial" w:eastAsia="Arial" w:hAnsi="Arial"/>
                <w:sz w:val="17"/>
                <w:szCs w:val="17"/>
                <w:color w:val="auto"/>
              </w:rPr>
              <w:t>time of such issuance or sale;</w:t>
            </w:r>
          </w:p>
        </w:tc>
      </w:tr>
      <w:tr>
        <w:trPr>
          <w:trHeight w:val="408"/>
        </w:trPr>
        <w:tc>
          <w:tcPr>
            <w:tcW w:w="1640" w:type="dxa"/>
            <w:vAlign w:val="bottom"/>
          </w:tcPr>
          <w:p>
            <w:pPr>
              <w:ind w:left="1260"/>
              <w:spacing w:after="0"/>
              <w:rPr>
                <w:sz w:val="20"/>
                <w:szCs w:val="20"/>
                <w:color w:val="auto"/>
              </w:rPr>
            </w:pPr>
            <w:r>
              <w:rPr>
                <w:rFonts w:ascii="Arial" w:cs="Arial" w:eastAsia="Arial" w:hAnsi="Arial"/>
                <w:sz w:val="17"/>
                <w:szCs w:val="17"/>
                <w:color w:val="auto"/>
              </w:rPr>
              <w:t>Y=</w:t>
            </w:r>
          </w:p>
        </w:tc>
        <w:tc>
          <w:tcPr>
            <w:tcW w:w="9820" w:type="dxa"/>
            <w:vAlign w:val="bottom"/>
            <w:gridSpan w:val="5"/>
          </w:tcPr>
          <w:p>
            <w:pPr>
              <w:ind w:left="140"/>
              <w:spacing w:after="0"/>
              <w:rPr>
                <w:sz w:val="20"/>
                <w:szCs w:val="20"/>
                <w:color w:val="auto"/>
              </w:rPr>
            </w:pPr>
            <w:r>
              <w:rPr>
                <w:rFonts w:ascii="Arial" w:cs="Arial" w:eastAsia="Arial" w:hAnsi="Arial"/>
                <w:sz w:val="17"/>
                <w:szCs w:val="17"/>
                <w:color w:val="auto"/>
                <w:w w:val="92"/>
              </w:rPr>
              <w:t>the number of shares of Common Stock that could have been purchased for the Aggregate Consideration at the Series F Conversion Price</w:t>
            </w:r>
          </w:p>
        </w:tc>
      </w:tr>
      <w:tr>
        <w:trPr>
          <w:trHeight w:val="222"/>
        </w:trPr>
        <w:tc>
          <w:tcPr>
            <w:tcW w:w="1640" w:type="dxa"/>
            <w:vAlign w:val="bottom"/>
          </w:tcPr>
          <w:p>
            <w:pPr>
              <w:spacing w:after="0"/>
              <w:rPr>
                <w:sz w:val="19"/>
                <w:szCs w:val="19"/>
                <w:color w:val="auto"/>
              </w:rPr>
            </w:pPr>
          </w:p>
        </w:tc>
        <w:tc>
          <w:tcPr>
            <w:tcW w:w="9820" w:type="dxa"/>
            <w:vAlign w:val="bottom"/>
            <w:gridSpan w:val="5"/>
          </w:tcPr>
          <w:p>
            <w:pPr>
              <w:ind w:left="120"/>
              <w:spacing w:after="0"/>
              <w:rPr>
                <w:sz w:val="20"/>
                <w:szCs w:val="20"/>
                <w:color w:val="auto"/>
              </w:rPr>
            </w:pPr>
            <w:r>
              <w:rPr>
                <w:rFonts w:ascii="Arial" w:cs="Arial" w:eastAsia="Arial" w:hAnsi="Arial"/>
                <w:sz w:val="17"/>
                <w:szCs w:val="17"/>
                <w:color w:val="auto"/>
              </w:rPr>
              <w:t>in effect immediately prior to such reduction;</w:t>
            </w:r>
          </w:p>
        </w:tc>
      </w:tr>
      <w:tr>
        <w:trPr>
          <w:trHeight w:val="381"/>
        </w:trPr>
        <w:tc>
          <w:tcPr>
            <w:tcW w:w="1640" w:type="dxa"/>
            <w:vAlign w:val="bottom"/>
          </w:tcPr>
          <w:p>
            <w:pPr>
              <w:ind w:left="1260"/>
              <w:spacing w:after="0"/>
              <w:rPr>
                <w:sz w:val="20"/>
                <w:szCs w:val="20"/>
                <w:color w:val="auto"/>
              </w:rPr>
            </w:pPr>
            <w:r>
              <w:rPr>
                <w:rFonts w:ascii="Arial" w:cs="Arial" w:eastAsia="Arial" w:hAnsi="Arial"/>
                <w:sz w:val="17"/>
                <w:szCs w:val="17"/>
                <w:color w:val="auto"/>
              </w:rPr>
              <w:t>Z=</w:t>
            </w:r>
          </w:p>
        </w:tc>
        <w:tc>
          <w:tcPr>
            <w:tcW w:w="9820" w:type="dxa"/>
            <w:vAlign w:val="bottom"/>
            <w:gridSpan w:val="5"/>
          </w:tcPr>
          <w:p>
            <w:pPr>
              <w:ind w:left="140"/>
              <w:spacing w:after="0"/>
              <w:rPr>
                <w:sz w:val="20"/>
                <w:szCs w:val="20"/>
                <w:color w:val="auto"/>
              </w:rPr>
            </w:pPr>
            <w:r>
              <w:rPr>
                <w:rFonts w:ascii="Arial" w:cs="Arial" w:eastAsia="Arial" w:hAnsi="Arial"/>
                <w:sz w:val="17"/>
                <w:szCs w:val="17"/>
                <w:color w:val="auto"/>
                <w:w w:val="94"/>
              </w:rPr>
              <w:t>the number of shares of Common Stock issued or sold, or deemed to be issued or sold under this Section 9.5(d)(iii), in such issuance or</w:t>
            </w:r>
          </w:p>
        </w:tc>
      </w:tr>
      <w:tr>
        <w:trPr>
          <w:trHeight w:val="229"/>
        </w:trPr>
        <w:tc>
          <w:tcPr>
            <w:tcW w:w="164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7"/>
                <w:szCs w:val="17"/>
                <w:color w:val="auto"/>
              </w:rPr>
              <w:t>sale.</w:t>
            </w:r>
          </w:p>
        </w:tc>
        <w:tc>
          <w:tcPr>
            <w:tcW w:w="1240" w:type="dxa"/>
            <w:vAlign w:val="bottom"/>
            <w:tcBorders>
              <w:top w:val="single" w:sz="8" w:color="auto"/>
            </w:tcBorders>
          </w:tcPr>
          <w:p>
            <w:pPr>
              <w:spacing w:after="0"/>
              <w:rPr>
                <w:sz w:val="19"/>
                <w:szCs w:val="19"/>
                <w:color w:val="auto"/>
              </w:rPr>
            </w:pPr>
          </w:p>
        </w:tc>
        <w:tc>
          <w:tcPr>
            <w:tcW w:w="16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-2107565</wp:posOffset>
            </wp:positionV>
            <wp:extent cx="12700" cy="292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-2107565</wp:posOffset>
            </wp:positionV>
            <wp:extent cx="12700" cy="292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ind w:left="1260" w:right="40" w:firstLine="633"/>
        <w:spacing w:after="0" w:line="262" w:lineRule="auto"/>
        <w:tabs>
          <w:tab w:leader="none" w:pos="2578"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Adjustment for Stock Splits and Combinations</w:t>
      </w:r>
      <w:r>
        <w:rPr>
          <w:rFonts w:ascii="Arial" w:cs="Arial" w:eastAsia="Arial" w:hAnsi="Arial"/>
          <w:sz w:val="17"/>
          <w:szCs w:val="17"/>
          <w:color w:val="auto"/>
        </w:rPr>
        <w:t xml:space="preserve">. If the Corporation at any time or from time to time after the Restatement Date effects a subdivision of the outstanding Common Stock without a corresponding subdivision of the Series F Preferred Stock, the Series F Conversion Price in effect immediately before that subdivision will be proportionately decreased. Conversely, if the Corporation at any time or from time to time combines the outstanding shares of Common Stock into a smaller number of shares without a corresponding combination of the Series F Preferred Stock, the Series F Conversion Price in effect immediately before the combination will be proportionately increased. Any adjustment under this </w:t>
      </w:r>
      <w:r>
        <w:rPr>
          <w:rFonts w:ascii="Arial" w:cs="Arial" w:eastAsia="Arial" w:hAnsi="Arial"/>
          <w:sz w:val="17"/>
          <w:szCs w:val="17"/>
          <w:u w:val="single" w:color="auto"/>
          <w:color w:val="auto"/>
        </w:rPr>
        <w:t>Section 9.5(d)(i)</w:t>
      </w:r>
      <w:r>
        <w:rPr>
          <w:rFonts w:ascii="Arial" w:cs="Arial" w:eastAsia="Arial" w:hAnsi="Arial"/>
          <w:sz w:val="17"/>
          <w:szCs w:val="17"/>
          <w:color w:val="auto"/>
        </w:rPr>
        <w:t xml:space="preserve"> will become effective at the close of business on the date the subdivision or combination becomes effective.</w:t>
      </w:r>
    </w:p>
    <w:p>
      <w:pPr>
        <w:spacing w:after="0" w:line="184" w:lineRule="exact"/>
        <w:rPr>
          <w:rFonts w:ascii="Arial" w:cs="Arial" w:eastAsia="Arial" w:hAnsi="Arial"/>
          <w:sz w:val="17"/>
          <w:szCs w:val="17"/>
          <w:color w:val="auto"/>
        </w:rPr>
      </w:pPr>
    </w:p>
    <w:p>
      <w:pPr>
        <w:ind w:left="1260" w:right="60" w:firstLine="633"/>
        <w:spacing w:after="0" w:line="265" w:lineRule="auto"/>
        <w:tabs>
          <w:tab w:leader="none" w:pos="2583"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Adjustment for Common Stock Dividends and Distributions</w:t>
      </w:r>
      <w:r>
        <w:rPr>
          <w:rFonts w:ascii="Arial" w:cs="Arial" w:eastAsia="Arial" w:hAnsi="Arial"/>
          <w:sz w:val="17"/>
          <w:szCs w:val="17"/>
          <w:color w:val="auto"/>
        </w:rPr>
        <w:t>. If the Corporation at any time or from time to time after the Restatement Date makes, or fixes a record date for the determination of holders of Common Stock entitled to receive, a dividend or other distribution payable in additional shares of Common Stock, in each such event the Series F Conversion Price that is then in effect will be decreased as of the time of such issuance or, in the event such record date is fixed, as of the close of business on such record date, by multiplying the Series F Conversion Price then in effect by the result of the following formula:</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X / (Y+Z), where</w:t>
      </w:r>
    </w:p>
    <w:p>
      <w:pPr>
        <w:spacing w:after="0" w:line="224"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7"/>
          <w:szCs w:val="17"/>
          <w:color w:val="auto"/>
        </w:rPr>
        <w:t>X =</w:t>
      </w:r>
      <w:r>
        <w:rPr>
          <w:sz w:val="20"/>
          <w:szCs w:val="20"/>
          <w:color w:val="auto"/>
        </w:rPr>
        <w:tab/>
      </w:r>
      <w:r>
        <w:rPr>
          <w:rFonts w:ascii="Arial" w:cs="Arial" w:eastAsia="Arial" w:hAnsi="Arial"/>
          <w:sz w:val="15"/>
          <w:szCs w:val="15"/>
          <w:color w:val="auto"/>
        </w:rPr>
        <w:t>the total number of shares of Common Stock issued and outstanding immediately prior to the time of such issuance or the close of</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business on such record date;</w:t>
      </w:r>
    </w:p>
    <w:p>
      <w:pPr>
        <w:spacing w:after="0" w:line="224" w:lineRule="exact"/>
        <w:rPr>
          <w:sz w:val="20"/>
          <w:szCs w:val="20"/>
          <w:color w:val="auto"/>
        </w:rPr>
      </w:pPr>
    </w:p>
    <w:p>
      <w:pPr>
        <w:ind w:left="1760" w:right="580" w:hanging="502"/>
        <w:spacing w:after="0" w:line="289" w:lineRule="auto"/>
        <w:tabs>
          <w:tab w:leader="none" w:pos="1740" w:val="left"/>
        </w:tabs>
        <w:rPr>
          <w:sz w:val="20"/>
          <w:szCs w:val="20"/>
          <w:color w:val="auto"/>
        </w:rPr>
      </w:pPr>
      <w:r>
        <w:rPr>
          <w:rFonts w:ascii="Arial" w:cs="Arial" w:eastAsia="Arial" w:hAnsi="Arial"/>
          <w:sz w:val="17"/>
          <w:szCs w:val="17"/>
          <w:color w:val="auto"/>
        </w:rPr>
        <w:t>Y =</w:t>
        <w:tab/>
        <w:t>the total number of shares of Common Stock issued and outstanding immediately prior to the time of such issuance or the close of business on such record date; and</w:t>
      </w:r>
    </w:p>
    <w:p>
      <w:pPr>
        <w:spacing w:after="0" w:line="158"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7"/>
          <w:szCs w:val="17"/>
          <w:color w:val="auto"/>
        </w:rPr>
        <w:t>Z =</w:t>
      </w:r>
      <w:r>
        <w:rPr>
          <w:sz w:val="20"/>
          <w:szCs w:val="20"/>
          <w:color w:val="auto"/>
        </w:rPr>
        <w:tab/>
      </w:r>
      <w:r>
        <w:rPr>
          <w:rFonts w:ascii="Arial" w:cs="Arial" w:eastAsia="Arial" w:hAnsi="Arial"/>
          <w:sz w:val="15"/>
          <w:szCs w:val="15"/>
          <w:color w:val="auto"/>
        </w:rPr>
        <w:t>the number of shares of Common Stock issuable in payment of such dividend or distribution;</w:t>
      </w:r>
    </w:p>
    <w:p>
      <w:pPr>
        <w:spacing w:after="0" w:line="224" w:lineRule="exact"/>
        <w:rPr>
          <w:sz w:val="20"/>
          <w:szCs w:val="20"/>
          <w:color w:val="auto"/>
        </w:rPr>
      </w:pPr>
    </w:p>
    <w:p>
      <w:pPr>
        <w:ind w:left="1260" w:right="80"/>
        <w:spacing w:after="0" w:line="298" w:lineRule="auto"/>
        <w:rPr>
          <w:sz w:val="20"/>
          <w:szCs w:val="20"/>
          <w:color w:val="auto"/>
        </w:rPr>
      </w:pPr>
      <w:r>
        <w:rPr>
          <w:rFonts w:ascii="Arial" w:cs="Arial" w:eastAsia="Arial" w:hAnsi="Arial"/>
          <w:sz w:val="16"/>
          <w:szCs w:val="16"/>
          <w:color w:val="auto"/>
        </w:rPr>
        <w:t xml:space="preserve">provided, however, that if such record date is fixed and such dividend is not fully paid or if such distribution is not fully made on the date fixed therefor, the Series F Conversion Price will be recomputed accordingly as of the close of business on such record date and thereafter the Series F Conversion Price will be adjusted pursuant to this </w:t>
      </w:r>
      <w:r>
        <w:rPr>
          <w:rFonts w:ascii="Arial" w:cs="Arial" w:eastAsia="Arial" w:hAnsi="Arial"/>
          <w:sz w:val="16"/>
          <w:szCs w:val="16"/>
          <w:u w:val="single" w:color="auto"/>
          <w:color w:val="auto"/>
        </w:rPr>
        <w:t>Section 9.5(d)(ii)</w:t>
      </w:r>
      <w:r>
        <w:rPr>
          <w:rFonts w:ascii="Arial" w:cs="Arial" w:eastAsia="Arial" w:hAnsi="Arial"/>
          <w:sz w:val="16"/>
          <w:szCs w:val="16"/>
          <w:color w:val="auto"/>
        </w:rPr>
        <w:t xml:space="preserve"> to reflect the actual payment of such dividend or distribution.</w:t>
      </w:r>
    </w:p>
    <w:p>
      <w:pPr>
        <w:sectPr>
          <w:pgSz w:w="11900" w:h="16875" w:orient="portrait"/>
          <w:cols w:equalWidth="0" w:num="1">
            <w:col w:w="11460"/>
          </w:cols>
          <w:pgMar w:left="240" w:top="337" w:right="199" w:bottom="0" w:gutter="0" w:footer="0" w:header="0"/>
        </w:sectPr>
      </w:pPr>
    </w:p>
    <w:bookmarkStart w:id="216" w:name="page217"/>
    <w:bookmarkEnd w:id="216"/>
    <w:p>
      <w:pPr>
        <w:spacing w:after="0" w:line="34" w:lineRule="exact"/>
        <w:rPr>
          <w:sz w:val="20"/>
          <w:szCs w:val="20"/>
          <w:color w:val="auto"/>
        </w:rPr>
      </w:pPr>
    </w:p>
    <w:p>
      <w:pPr>
        <w:ind w:left="620" w:firstLine="633"/>
        <w:spacing w:after="0" w:line="276" w:lineRule="auto"/>
        <w:tabs>
          <w:tab w:leader="none" w:pos="1948" w:val="left"/>
        </w:tabs>
        <w:numPr>
          <w:ilvl w:val="1"/>
          <w:numId w:val="188"/>
        </w:numPr>
        <w:rPr>
          <w:rFonts w:ascii="Arial" w:cs="Arial" w:eastAsia="Arial" w:hAnsi="Arial"/>
          <w:sz w:val="16"/>
          <w:szCs w:val="16"/>
          <w:color w:val="auto"/>
        </w:rPr>
      </w:pPr>
      <w:r>
        <w:rPr>
          <w:rFonts w:ascii="Arial" w:cs="Arial" w:eastAsia="Arial" w:hAnsi="Arial"/>
          <w:sz w:val="16"/>
          <w:szCs w:val="16"/>
          <w:u w:val="single" w:color="auto"/>
          <w:color w:val="auto"/>
        </w:rPr>
        <w:t>Deemed Issuances or Sales</w:t>
      </w:r>
      <w:r>
        <w:rPr>
          <w:rFonts w:ascii="Arial" w:cs="Arial" w:eastAsia="Arial" w:hAnsi="Arial"/>
          <w:sz w:val="16"/>
          <w:szCs w:val="16"/>
          <w:color w:val="auto"/>
        </w:rPr>
        <w:t>. If the Corporation issues or sells any Convertible Securities after the Restatement Date and if the Effective Price of the Additional Common Stock underlying such Convertible Securities is less than the Series F Conversion Price, in each such case the Corporation will be deemed to have issued at the time of the issuance of such Convertible Securities the maximum number of shares of Additional Common Stock issuable upon exercise or conversion thereof and to have received as consideration for the issuance of such shares an amount equal to the total amount of the consideration, if any, received by the Corporation for the issuance of such Convertible Securities, plus, in the case of such rights or options, the minimum amounts of consideration, if any, payable to the Corporation upon the exercise or conversion of such Convertible Securities (other than by cancellation of liabilities or obligations evidenced by such Convertible Securities) upon the conversion thereof; provided, that, if the minimum amount of consideration payable to the Corporation upon the exercise or conversion of Convertible Securities is reduced over time or on the occurrence or non-occurrence of specified events other than by reason of anti-dilution adjustments, the Effective Price will be recalculated at such time using the figure to which such minimum amount of consideration is reduced; provided further, that if the minimum amount of consideration payable to the Corporation upon the exercise or conversion of such Convertible Securities is subsequently increased, the Effective Price will be again recalculated using the increased minimum amount of consideration payable to the Corporation upon the exercise or conversion of such Convertible Securities. No further adjustment of the Series F Conversion Price, as adjusted upon the issuance of such Convertible Securities, will be made as a result of the actual issuance of shares of Additional Common Stock on the exercise or conversion of any such Convertible Securities. If any Convertible Securities outstanding (including those outstanding as of the Restatement Date) expire without having been exercised or converted, the Series F Conversion Price will be adjusted to the Series F Conversion Price which would have been in effect absent the issuance of such expired Convertible Securities.</w:t>
      </w:r>
    </w:p>
    <w:p>
      <w:pPr>
        <w:spacing w:after="0" w:line="178" w:lineRule="exact"/>
        <w:rPr>
          <w:rFonts w:ascii="Arial" w:cs="Arial" w:eastAsia="Arial" w:hAnsi="Arial"/>
          <w:sz w:val="16"/>
          <w:szCs w:val="16"/>
          <w:color w:val="auto"/>
        </w:rPr>
      </w:pPr>
    </w:p>
    <w:p>
      <w:pPr>
        <w:ind w:right="20" w:firstLine="623"/>
        <w:spacing w:after="0" w:line="289" w:lineRule="auto"/>
        <w:tabs>
          <w:tab w:leader="none" w:pos="1303"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Issuance of Certificates; Time Conversion Effected</w:t>
      </w:r>
      <w:r>
        <w:rPr>
          <w:rFonts w:ascii="Arial" w:cs="Arial" w:eastAsia="Arial" w:hAnsi="Arial"/>
          <w:sz w:val="17"/>
          <w:szCs w:val="17"/>
          <w:color w:val="auto"/>
        </w:rPr>
        <w:t>. Promptly after the automatic or optional conversion and surrender of the certificate or certificates (and</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notice, as applicable) for the share or shares of Series F Preferred Stock to be converted, the Corporation will issue and deliver, or cause to be issued and delivered, to the holder thereof, registered in such name or names as such holder may direct, (A) a certificate or certificates for the number of whole shares of Common Stock issuable upon the conversion of such share or shares of Series F Preferred Stock and (B), in the case of a partial optional conversion, a certificate or certificates for the number of whole shares of Series F Preferred Stock which the notice delivered by such holder specified were not to be converted, unless and to the extent the Board adopts a resolution providing that the Series F Preferred Stock or Common Stock shall be uncertificated or registered in book entry form. With respect to an automatic conversion, effective immediately upon such conversion, regardless of whether the certificate or certificates for such share or shares shall have been surrendered, the rights of the holder of such share or shares of Series F Preferred Stock will cease, and the person(s) in whose name or names any certificate, certificates or book entry for shares of Common Stock issued upon such conversion will be deemed to have become the holder or holders of record of the shares represented thereby. With respect to an optional conversion, the certificate or certificates for such converted share or shares will have been surrendered as aforesaid, and at such time the rights of the holder of such converted share or shares of Series F Preferred Stock will cease, and the person(s) in whose name or names any certificate or certificates for shares of Common Stock (or Series F Preferred Stock, as applicable) will be issuable upon such conversion will be deemed to have become the holder or holders of record of the shares represented thereby.</w:t>
      </w:r>
    </w:p>
    <w:p>
      <w:pPr>
        <w:spacing w:after="0" w:line="176" w:lineRule="exact"/>
        <w:rPr>
          <w:sz w:val="20"/>
          <w:szCs w:val="20"/>
          <w:color w:val="auto"/>
        </w:rPr>
      </w:pPr>
    </w:p>
    <w:p>
      <w:pPr>
        <w:ind w:right="80" w:firstLine="623"/>
        <w:spacing w:after="0" w:line="285" w:lineRule="auto"/>
        <w:tabs>
          <w:tab w:leader="none" w:pos="1328"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Fractional Shares; Dividends; Partial Conversion</w:t>
      </w:r>
      <w:r>
        <w:rPr>
          <w:rFonts w:ascii="Arial" w:cs="Arial" w:eastAsia="Arial" w:hAnsi="Arial"/>
          <w:sz w:val="16"/>
          <w:szCs w:val="16"/>
          <w:color w:val="auto"/>
        </w:rPr>
        <w:t xml:space="preserve">. No fractional shares will be issued upon conversion of Series F Preferred Stock into Common Stock and no payment or adjustment will be made upon any conversion on account of any cash dividends on the Common Stock issued upon conversion. If any fractional share of Common Stock would, except for the provisions of the first sentence of this </w:t>
      </w:r>
      <w:r>
        <w:rPr>
          <w:rFonts w:ascii="Arial" w:cs="Arial" w:eastAsia="Arial" w:hAnsi="Arial"/>
          <w:sz w:val="16"/>
          <w:szCs w:val="16"/>
          <w:u w:val="single" w:color="auto"/>
          <w:color w:val="auto"/>
        </w:rPr>
        <w:t>Section 9.5(f)</w:t>
      </w:r>
      <w:r>
        <w:rPr>
          <w:rFonts w:ascii="Arial" w:cs="Arial" w:eastAsia="Arial" w:hAnsi="Arial"/>
          <w:sz w:val="16"/>
          <w:szCs w:val="16"/>
          <w:color w:val="auto"/>
        </w:rPr>
        <w:t>, be delivered upon such conversion, the Corporation, in lieu of delivering such fractional share, will pay to the holder surrendering the Series F Preferred Stock for conversion an amount in cash equal to the current market price of such fractional share as determined in good faith by the Board.</w:t>
      </w:r>
    </w:p>
    <w:p>
      <w:pPr>
        <w:spacing w:after="0" w:line="166" w:lineRule="exact"/>
        <w:rPr>
          <w:rFonts w:ascii="Arial" w:cs="Arial" w:eastAsia="Arial" w:hAnsi="Arial"/>
          <w:sz w:val="16"/>
          <w:szCs w:val="16"/>
          <w:color w:val="auto"/>
        </w:rPr>
      </w:pPr>
    </w:p>
    <w:p>
      <w:pPr>
        <w:ind w:right="40" w:firstLine="623"/>
        <w:spacing w:after="0" w:line="263" w:lineRule="auto"/>
        <w:tabs>
          <w:tab w:leader="none" w:pos="1313"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Stock to be Reserved</w:t>
      </w:r>
      <w:r>
        <w:rPr>
          <w:rFonts w:ascii="Arial" w:cs="Arial" w:eastAsia="Arial" w:hAnsi="Arial"/>
          <w:sz w:val="17"/>
          <w:szCs w:val="17"/>
          <w:color w:val="auto"/>
        </w:rPr>
        <w:t>. The Corporation will at all times reserve and keep available out of its authorized Common Stock, solely for the purpose of issuance upon the conversion of Series F Preferred Stock as herein provided, such number of shares of Common Stock as are then issuable upon the conversion of all outstanding shares of Series F Preferred Stock. All shares of Common Stock so issued will be duly and validly issued and fully paid and nonassessable. The Corporation will take all such action as may be necessary to assure that all such shares of Common Stock may be so issued without violation of any applicable law or regulation, or of any requirement of any national securities exchange upon which the Common Stock may be listed.</w:t>
      </w:r>
    </w:p>
    <w:p>
      <w:pPr>
        <w:spacing w:after="0" w:line="183" w:lineRule="exact"/>
        <w:rPr>
          <w:rFonts w:ascii="Arial" w:cs="Arial" w:eastAsia="Arial" w:hAnsi="Arial"/>
          <w:sz w:val="17"/>
          <w:szCs w:val="17"/>
          <w:color w:val="auto"/>
        </w:rPr>
      </w:pPr>
    </w:p>
    <w:p>
      <w:pPr>
        <w:ind w:right="400" w:firstLine="623"/>
        <w:spacing w:after="0" w:line="273" w:lineRule="auto"/>
        <w:tabs>
          <w:tab w:leader="none" w:pos="1313"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No Reissuance of Series F Preferred Stock</w:t>
      </w:r>
      <w:r>
        <w:rPr>
          <w:rFonts w:ascii="Arial" w:cs="Arial" w:eastAsia="Arial" w:hAnsi="Arial"/>
          <w:sz w:val="17"/>
          <w:szCs w:val="17"/>
          <w:color w:val="auto"/>
        </w:rPr>
        <w:t>. Shares of Series F Preferred Stock that are converted into shares of Common Stock as provided herein will not be reissued as Series F Preferred Stock but will be generally available to be reissued pursuant to a separate statement of resolution adopted by the Board.</w:t>
      </w:r>
    </w:p>
    <w:p>
      <w:pPr>
        <w:spacing w:after="0" w:line="17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23"/>
        <w:spacing w:after="0" w:line="268" w:lineRule="auto"/>
        <w:tabs>
          <w:tab w:leader="none" w:pos="1318"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Issue Tax</w:t>
      </w:r>
      <w:r>
        <w:rPr>
          <w:rFonts w:ascii="Arial" w:cs="Arial" w:eastAsia="Arial" w:hAnsi="Arial"/>
          <w:sz w:val="17"/>
          <w:szCs w:val="17"/>
          <w:color w:val="auto"/>
        </w:rPr>
        <w:t>. The issuance of certificates for shares of Common Stock upon conversion of Series F Preferred Stock will be made without charge to the holders thereof for any issuance tax in respect thereof, provided that the Corporation will not be required to pay any tax which may be payable in respect of any transfer involved in the issuance and delivery of any certificate in a name other than that of the holder of the Series F Preferred Stock which is being converted.</w:t>
      </w:r>
    </w:p>
    <w:p>
      <w:pPr>
        <w:spacing w:after="0" w:line="175" w:lineRule="exact"/>
        <w:rPr>
          <w:rFonts w:ascii="Arial" w:cs="Arial" w:eastAsia="Arial" w:hAnsi="Arial"/>
          <w:sz w:val="17"/>
          <w:szCs w:val="17"/>
          <w:color w:val="auto"/>
        </w:rPr>
      </w:pPr>
    </w:p>
    <w:p>
      <w:pPr>
        <w:jc w:val="both"/>
        <w:ind w:right="20" w:firstLine="623"/>
        <w:spacing w:after="0" w:line="298" w:lineRule="auto"/>
        <w:tabs>
          <w:tab w:leader="none" w:pos="1318"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Closing of Books</w:t>
      </w:r>
      <w:r>
        <w:rPr>
          <w:rFonts w:ascii="Arial" w:cs="Arial" w:eastAsia="Arial" w:hAnsi="Arial"/>
          <w:sz w:val="16"/>
          <w:szCs w:val="16"/>
          <w:color w:val="auto"/>
        </w:rPr>
        <w:t>. The Corporation will at no time close its transfer books against the transfer of any Series F Preferred Stock or of any shares of Common Stock issued or issuable upon the conversion of any shares of Series F Preferred Stock in any manner which interferes with the timely conversion of such Series F Preferred Stock, except as may otherwise be required to comply with applicable securities and corporate laws.</w:t>
      </w:r>
    </w:p>
    <w:p>
      <w:pPr>
        <w:spacing w:after="0" w:line="153" w:lineRule="exact"/>
        <w:rPr>
          <w:rFonts w:ascii="Arial" w:cs="Arial" w:eastAsia="Arial" w:hAnsi="Arial"/>
          <w:sz w:val="16"/>
          <w:szCs w:val="16"/>
          <w:color w:val="auto"/>
        </w:rPr>
      </w:pPr>
    </w:p>
    <w:p>
      <w:pPr>
        <w:ind w:right="20" w:firstLine="623"/>
        <w:spacing w:after="0" w:line="301" w:lineRule="auto"/>
        <w:tabs>
          <w:tab w:leader="none" w:pos="1313" w:val="left"/>
        </w:tabs>
        <w:numPr>
          <w:ilvl w:val="0"/>
          <w:numId w:val="191"/>
        </w:numPr>
        <w:rPr>
          <w:rFonts w:ascii="Arial" w:cs="Arial" w:eastAsia="Arial" w:hAnsi="Arial"/>
          <w:sz w:val="15"/>
          <w:szCs w:val="15"/>
          <w:color w:val="auto"/>
        </w:rPr>
      </w:pPr>
      <w:r>
        <w:rPr>
          <w:rFonts w:ascii="Arial" w:cs="Arial" w:eastAsia="Arial" w:hAnsi="Arial"/>
          <w:sz w:val="15"/>
          <w:szCs w:val="15"/>
          <w:u w:val="single" w:color="auto"/>
          <w:color w:val="auto"/>
        </w:rPr>
        <w:t>Reorganization or Reclassification</w:t>
      </w:r>
      <w:r>
        <w:rPr>
          <w:rFonts w:ascii="Arial" w:cs="Arial" w:eastAsia="Arial" w:hAnsi="Arial"/>
          <w:sz w:val="15"/>
          <w:szCs w:val="15"/>
          <w:color w:val="auto"/>
        </w:rPr>
        <w:t>. If any capital reorganization, reclassification of the capital stock of the Corporation, stock split, or stock dividend (each a “</w:t>
      </w:r>
      <w:r>
        <w:rPr>
          <w:rFonts w:ascii="Arial" w:cs="Arial" w:eastAsia="Arial" w:hAnsi="Arial"/>
          <w:sz w:val="15"/>
          <w:szCs w:val="15"/>
          <w:b w:val="1"/>
          <w:bCs w:val="1"/>
          <w:i w:val="1"/>
          <w:iCs w:val="1"/>
          <w:color w:val="auto"/>
        </w:rPr>
        <w:t>Distribution</w:t>
      </w:r>
      <w:r>
        <w:rPr>
          <w:rFonts w:ascii="Arial" w:cs="Arial" w:eastAsia="Arial" w:hAnsi="Arial"/>
          <w:sz w:val="15"/>
          <w:szCs w:val="15"/>
          <w:color w:val="auto"/>
        </w:rPr>
        <w:t>”) is effected in such a way that holders of Common Stock will be entitled to receive stock, securities or assets with respect to or in exchange for Common Stock, then, as a condition of such Distribution, lawful and adequate provisions will be made whereby each holder of a share or shares of Series F Preferred Stock will thereupon have the right to receive, subject to the terms and conditions specified herein and, as applicable, in lieu of the shares of Common Stock receivable upon the conversion of such share or shares of Series F Preferred Stock immediately prior to such Distribution, such shares of stock, securities or assets as may be issued or payable with respect to or, as applicable, in exchange for a number of outstanding shares of such Common Stock equal to the number of shares of such Common Stock receivable immediately prior to such Distribution upon such conversion had such Distribution not taken place. In any such case, appropriate adjustments to the provisions hereof shall be made with respect to</w:t>
      </w:r>
    </w:p>
    <w:p>
      <w:pPr>
        <w:sectPr>
          <w:pgSz w:w="11900" w:h="16872" w:orient="portrait"/>
          <w:cols w:equalWidth="0" w:num="1">
            <w:col w:w="10780"/>
          </w:cols>
          <w:pgMar w:left="880" w:top="337" w:right="239" w:bottom="0" w:gutter="0" w:footer="0" w:header="0"/>
        </w:sectPr>
      </w:pPr>
    </w:p>
    <w:bookmarkStart w:id="217" w:name="page218"/>
    <w:bookmarkEnd w:id="217"/>
    <w:p>
      <w:pPr>
        <w:ind w:left="640" w:right="120"/>
        <w:spacing w:after="0" w:line="360" w:lineRule="auto"/>
        <w:rPr>
          <w:sz w:val="20"/>
          <w:szCs w:val="20"/>
          <w:color w:val="auto"/>
        </w:rPr>
      </w:pPr>
      <w:r>
        <w:rPr>
          <w:rFonts w:ascii="Arial" w:cs="Arial" w:eastAsia="Arial" w:hAnsi="Arial"/>
          <w:sz w:val="15"/>
          <w:szCs w:val="15"/>
          <w:color w:val="auto"/>
        </w:rPr>
        <w:t>the rights and interests of such holder of Series F Preferred Stock after the Distribution to the end that the provisions hereof will thereafter be applicable, as nearly as may be, in relation to any shares of stock, securities or assets thereafter deliverable upon the exercise of such conversion rights.</w:t>
      </w:r>
    </w:p>
    <w:p>
      <w:pPr>
        <w:spacing w:after="0" w:line="112" w:lineRule="exact"/>
        <w:rPr>
          <w:sz w:val="20"/>
          <w:szCs w:val="20"/>
          <w:color w:val="auto"/>
        </w:rPr>
      </w:pPr>
    </w:p>
    <w:p>
      <w:pPr>
        <w:ind w:right="600" w:firstLine="629"/>
        <w:spacing w:after="0" w:line="289" w:lineRule="auto"/>
        <w:rPr>
          <w:sz w:val="20"/>
          <w:szCs w:val="20"/>
          <w:color w:val="auto"/>
        </w:rPr>
      </w:pPr>
      <w:r>
        <w:rPr>
          <w:rFonts w:ascii="Arial" w:cs="Arial" w:eastAsia="Arial" w:hAnsi="Arial"/>
          <w:sz w:val="17"/>
          <w:szCs w:val="17"/>
          <w:color w:val="auto"/>
        </w:rPr>
        <w:t xml:space="preserve">Section 9.6. </w:t>
      </w:r>
      <w:r>
        <w:rPr>
          <w:rFonts w:ascii="Arial" w:cs="Arial" w:eastAsia="Arial" w:hAnsi="Arial"/>
          <w:sz w:val="17"/>
          <w:szCs w:val="17"/>
          <w:u w:val="single" w:color="auto"/>
          <w:color w:val="auto"/>
        </w:rPr>
        <w:t>Senior Preferred Stock</w:t>
      </w:r>
      <w:r>
        <w:rPr>
          <w:rFonts w:ascii="Arial" w:cs="Arial" w:eastAsia="Arial" w:hAnsi="Arial"/>
          <w:sz w:val="17"/>
          <w:szCs w:val="17"/>
          <w:color w:val="auto"/>
        </w:rPr>
        <w:t xml:space="preserve">. Except as otherwise set forth in </w:t>
      </w:r>
      <w:r>
        <w:rPr>
          <w:rFonts w:ascii="Arial" w:cs="Arial" w:eastAsia="Arial" w:hAnsi="Arial"/>
          <w:sz w:val="17"/>
          <w:szCs w:val="17"/>
          <w:u w:val="single" w:color="auto"/>
          <w:color w:val="auto"/>
        </w:rPr>
        <w:t>Section 9.2(b)(ii)</w:t>
      </w:r>
      <w:r>
        <w:rPr>
          <w:rFonts w:ascii="Arial" w:cs="Arial" w:eastAsia="Arial" w:hAnsi="Arial"/>
          <w:sz w:val="17"/>
          <w:szCs w:val="17"/>
          <w:color w:val="auto"/>
        </w:rPr>
        <w:t xml:space="preserve">, the Corporation may, in its sole discretion, authorize additional classes and series of Preferred Stock with rights senior to, junior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Series F Preferred Stock.</w:t>
      </w:r>
    </w:p>
    <w:p>
      <w:pPr>
        <w:spacing w:after="0" w:line="158"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Amendments to Series F Provisions of Articles</w:t>
      </w:r>
      <w:r>
        <w:rPr>
          <w:rFonts w:ascii="Arial" w:cs="Arial" w:eastAsia="Arial" w:hAnsi="Arial"/>
          <w:sz w:val="17"/>
          <w:szCs w:val="17"/>
          <w:color w:val="auto"/>
        </w:rPr>
        <w:t xml:space="preserve">. The Company may amend any of this </w:t>
      </w:r>
      <w:r>
        <w:rPr>
          <w:rFonts w:ascii="Arial" w:cs="Arial" w:eastAsia="Arial" w:hAnsi="Arial"/>
          <w:sz w:val="17"/>
          <w:szCs w:val="17"/>
          <w:u w:val="single" w:color="auto"/>
          <w:color w:val="auto"/>
        </w:rPr>
        <w:t>ARTICLE NINE</w:t>
      </w:r>
      <w:r>
        <w:rPr>
          <w:rFonts w:ascii="Arial" w:cs="Arial" w:eastAsia="Arial" w:hAnsi="Arial"/>
          <w:sz w:val="17"/>
          <w:szCs w:val="17"/>
          <w:color w:val="auto"/>
        </w:rPr>
        <w:t xml:space="preserve"> with the consent or affirmative vote of two-thirds (2/3) of the issued and outstanding shares of Series F Preferred Stock on the date of such consent or vote.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TEN — SERIES G PREFERRED STOCK.</w:t>
      </w:r>
    </w:p>
    <w:p>
      <w:pPr>
        <w:spacing w:after="0" w:line="224" w:lineRule="exact"/>
        <w:rPr>
          <w:sz w:val="20"/>
          <w:szCs w:val="20"/>
          <w:color w:val="auto"/>
        </w:rPr>
      </w:pPr>
    </w:p>
    <w:p>
      <w:pPr>
        <w:ind w:right="200" w:firstLine="629"/>
        <w:spacing w:after="0" w:line="289"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Series G Preferred Stock</w:t>
      </w:r>
      <w:r>
        <w:rPr>
          <w:rFonts w:ascii="Arial" w:cs="Arial" w:eastAsia="Arial" w:hAnsi="Arial"/>
          <w:sz w:val="17"/>
          <w:szCs w:val="17"/>
          <w:color w:val="auto"/>
        </w:rPr>
        <w:t>. 45,000,000 shares of Preferred Stock will be designated Series G Preferred Stock (the “</w:t>
      </w:r>
      <w:r>
        <w:rPr>
          <w:rFonts w:ascii="Arial" w:cs="Arial" w:eastAsia="Arial" w:hAnsi="Arial"/>
          <w:sz w:val="17"/>
          <w:szCs w:val="17"/>
          <w:b w:val="1"/>
          <w:bCs w:val="1"/>
          <w:i w:val="1"/>
          <w:iCs w:val="1"/>
          <w:color w:val="auto"/>
        </w:rPr>
        <w:t>Series G Preferred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which will have the following powers, preferences, rights and restrictions: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10.2.</w:t>
      </w:r>
      <w:r>
        <w:rPr>
          <w:sz w:val="20"/>
          <w:szCs w:val="20"/>
          <w:color w:val="auto"/>
        </w:rPr>
        <w:tab/>
      </w:r>
      <w:r>
        <w:rPr>
          <w:rFonts w:ascii="Arial" w:cs="Arial" w:eastAsia="Arial" w:hAnsi="Arial"/>
          <w:sz w:val="16"/>
          <w:szCs w:val="16"/>
          <w:color w:val="auto"/>
        </w:rPr>
        <w:t>Voting.</w:t>
      </w:r>
    </w:p>
    <w:p>
      <w:pPr>
        <w:spacing w:after="0" w:line="224" w:lineRule="exact"/>
        <w:rPr>
          <w:sz w:val="20"/>
          <w:szCs w:val="20"/>
          <w:color w:val="auto"/>
        </w:rPr>
      </w:pPr>
    </w:p>
    <w:p>
      <w:pPr>
        <w:ind w:left="640" w:right="40" w:firstLine="623"/>
        <w:spacing w:after="0" w:line="290" w:lineRule="auto"/>
        <w:tabs>
          <w:tab w:leader="none" w:pos="1943"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Except as may be otherwise required by the DGCL or set forth in this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the Series G Preferred Stock will have the right to vote on all actions to be taken by the holders of Common Stock (other than the actions set forth in </w:t>
      </w:r>
      <w:r>
        <w:rPr>
          <w:rFonts w:ascii="Arial" w:cs="Arial" w:eastAsia="Arial" w:hAnsi="Arial"/>
          <w:sz w:val="16"/>
          <w:szCs w:val="16"/>
          <w:u w:val="single" w:color="auto"/>
          <w:color w:val="auto"/>
        </w:rPr>
        <w:t>Section 10.2(b)</w:t>
      </w:r>
      <w:r>
        <w:rPr>
          <w:rFonts w:ascii="Arial" w:cs="Arial" w:eastAsia="Arial" w:hAnsi="Arial"/>
          <w:sz w:val="16"/>
          <w:szCs w:val="16"/>
          <w:color w:val="auto"/>
        </w:rPr>
        <w:t>), and each share of Series G Preferred Stock will entitle the record holder thereof (each a “</w:t>
      </w:r>
      <w:r>
        <w:rPr>
          <w:rFonts w:ascii="Arial" w:cs="Arial" w:eastAsia="Arial" w:hAnsi="Arial"/>
          <w:sz w:val="16"/>
          <w:szCs w:val="16"/>
          <w:b w:val="1"/>
          <w:bCs w:val="1"/>
          <w:i w:val="1"/>
          <w:iCs w:val="1"/>
          <w:color w:val="auto"/>
        </w:rPr>
        <w:t>Series G Holder</w:t>
      </w:r>
      <w:r>
        <w:rPr>
          <w:rFonts w:ascii="Arial" w:cs="Arial" w:eastAsia="Arial" w:hAnsi="Arial"/>
          <w:sz w:val="16"/>
          <w:szCs w:val="16"/>
          <w:color w:val="auto"/>
        </w:rPr>
        <w:t>”) to such number of votes per share on each such action as will equal the number of shares of Common Stock (including fractions of a share) into which such share of Series G Preferred Stock is then convertible.</w:t>
      </w:r>
    </w:p>
    <w:p>
      <w:pPr>
        <w:spacing w:after="0" w:line="159" w:lineRule="exact"/>
        <w:rPr>
          <w:rFonts w:ascii="Arial" w:cs="Arial" w:eastAsia="Arial" w:hAnsi="Arial"/>
          <w:sz w:val="16"/>
          <w:szCs w:val="16"/>
          <w:color w:val="auto"/>
        </w:rPr>
      </w:pPr>
    </w:p>
    <w:p>
      <w:pPr>
        <w:ind w:left="640" w:right="40" w:firstLine="623"/>
        <w:spacing w:after="0" w:line="265" w:lineRule="auto"/>
        <w:tabs>
          <w:tab w:leader="none" w:pos="1953"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Class Voting</w:t>
      </w:r>
      <w:r>
        <w:rPr>
          <w:rFonts w:ascii="Arial" w:cs="Arial" w:eastAsia="Arial" w:hAnsi="Arial"/>
          <w:sz w:val="17"/>
          <w:szCs w:val="17"/>
          <w:color w:val="auto"/>
        </w:rPr>
        <w:t>. So long as at least 60% of the greatest number of shares of Series G Preferred Stock (subject to adjustment for any stock split, reverse stock split, stock dividend or other such transaction applicable to the Series G Preferred Stock) ever outstanding remain outstanding, the Series G Preferred Stock will have the right to vote, as a separate class and not together with the holders of other stock, with respect to the following matters, each of which will require the consent or affirmative vote of two-thirds (2/3) of the issued and outstanding shares of Series G Preferred Stock on the date of such vote:</w:t>
      </w:r>
    </w:p>
    <w:p>
      <w:pPr>
        <w:spacing w:after="0" w:line="179" w:lineRule="exact"/>
        <w:rPr>
          <w:rFonts w:ascii="Arial" w:cs="Arial" w:eastAsia="Arial" w:hAnsi="Arial"/>
          <w:sz w:val="17"/>
          <w:szCs w:val="17"/>
          <w:color w:val="auto"/>
        </w:rPr>
      </w:pPr>
    </w:p>
    <w:p>
      <w:pPr>
        <w:ind w:left="1260" w:right="40" w:firstLine="633"/>
        <w:spacing w:after="0" w:line="273" w:lineRule="auto"/>
        <w:tabs>
          <w:tab w:leader="none" w:pos="2578" w:val="left"/>
        </w:tabs>
        <w:numPr>
          <w:ilvl w:val="1"/>
          <w:numId w:val="192"/>
        </w:numPr>
        <w:rPr>
          <w:rFonts w:ascii="Arial" w:cs="Arial" w:eastAsia="Arial" w:hAnsi="Arial"/>
          <w:sz w:val="17"/>
          <w:szCs w:val="17"/>
          <w:color w:val="auto"/>
        </w:rPr>
      </w:pPr>
      <w:r>
        <w:rPr>
          <w:rFonts w:ascii="Arial" w:cs="Arial" w:eastAsia="Arial" w:hAnsi="Arial"/>
          <w:sz w:val="17"/>
          <w:szCs w:val="17"/>
          <w:color w:val="auto"/>
        </w:rPr>
        <w:t>Any amendment, alteration or repeal of any provision of the Certificate of Incorporation of the Corporation, as amended from time to time, that affects adversely the voting or other powers, preferences or other special rights or privileges or restrictions of the Series G Preferred Stock;</w:t>
      </w:r>
    </w:p>
    <w:p>
      <w:pPr>
        <w:spacing w:after="0" w:line="171" w:lineRule="exact"/>
        <w:rPr>
          <w:rFonts w:ascii="Arial" w:cs="Arial" w:eastAsia="Arial" w:hAnsi="Arial"/>
          <w:sz w:val="17"/>
          <w:szCs w:val="17"/>
          <w:color w:val="auto"/>
        </w:rPr>
      </w:pPr>
    </w:p>
    <w:p>
      <w:pPr>
        <w:ind w:left="1260" w:right="380" w:firstLine="633"/>
        <w:spacing w:after="0" w:line="273" w:lineRule="auto"/>
        <w:tabs>
          <w:tab w:leader="none" w:pos="2583" w:val="left"/>
        </w:tabs>
        <w:numPr>
          <w:ilvl w:val="1"/>
          <w:numId w:val="192"/>
        </w:numPr>
        <w:rPr>
          <w:rFonts w:ascii="Arial" w:cs="Arial" w:eastAsia="Arial" w:hAnsi="Arial"/>
          <w:sz w:val="17"/>
          <w:szCs w:val="17"/>
          <w:color w:val="auto"/>
        </w:rPr>
      </w:pPr>
      <w:r>
        <w:rPr>
          <w:rFonts w:ascii="Arial" w:cs="Arial" w:eastAsia="Arial" w:hAnsi="Arial"/>
          <w:sz w:val="17"/>
          <w:szCs w:val="17"/>
          <w:color w:val="auto"/>
        </w:rPr>
        <w:t>Any authorization or any designation, whether by reclassification or otherwise, of any new class or series of stock or any other securities convertible into equity securities of the Corporation ranking senior to the Series G Preferred Stock in right of liquidation preference or dividends (“</w:t>
      </w:r>
      <w:r>
        <w:rPr>
          <w:rFonts w:ascii="Arial" w:cs="Arial" w:eastAsia="Arial" w:hAnsi="Arial"/>
          <w:sz w:val="17"/>
          <w:szCs w:val="17"/>
          <w:b w:val="1"/>
          <w:bCs w:val="1"/>
          <w:i w:val="1"/>
          <w:iCs w:val="1"/>
          <w:color w:val="auto"/>
        </w:rPr>
        <w:t>Series G Senior Securities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260" w:right="420" w:firstLine="633"/>
        <w:spacing w:after="0" w:line="322" w:lineRule="auto"/>
        <w:tabs>
          <w:tab w:leader="none" w:pos="2588" w:val="left"/>
        </w:tabs>
        <w:numPr>
          <w:ilvl w:val="1"/>
          <w:numId w:val="192"/>
        </w:numPr>
        <w:rPr>
          <w:rFonts w:ascii="Arial" w:cs="Arial" w:eastAsia="Arial" w:hAnsi="Arial"/>
          <w:sz w:val="16"/>
          <w:szCs w:val="16"/>
          <w:color w:val="auto"/>
        </w:rPr>
      </w:pPr>
      <w:r>
        <w:rPr>
          <w:rFonts w:ascii="Arial" w:cs="Arial" w:eastAsia="Arial" w:hAnsi="Arial"/>
          <w:sz w:val="16"/>
          <w:szCs w:val="16"/>
          <w:color w:val="auto"/>
        </w:rPr>
        <w:t>Any redemption of any shares of Common Stock (other than pursuant to equity incentive agreements with employees or service providers giving the Corporation the right to repurchase shares upon the termination of employment or services);</w:t>
      </w:r>
    </w:p>
    <w:p>
      <w:pPr>
        <w:spacing w:after="0" w:line="135" w:lineRule="exact"/>
        <w:rPr>
          <w:rFonts w:ascii="Arial" w:cs="Arial" w:eastAsia="Arial" w:hAnsi="Arial"/>
          <w:sz w:val="16"/>
          <w:szCs w:val="16"/>
          <w:color w:val="auto"/>
        </w:rPr>
      </w:pPr>
    </w:p>
    <w:p>
      <w:pPr>
        <w:ind w:left="1260" w:right="560" w:firstLine="633"/>
        <w:spacing w:after="0" w:line="289" w:lineRule="auto"/>
        <w:tabs>
          <w:tab w:leader="none" w:pos="2578" w:val="left"/>
        </w:tabs>
        <w:numPr>
          <w:ilvl w:val="1"/>
          <w:numId w:val="192"/>
        </w:numPr>
        <w:rPr>
          <w:rFonts w:ascii="Arial" w:cs="Arial" w:eastAsia="Arial" w:hAnsi="Arial"/>
          <w:sz w:val="17"/>
          <w:szCs w:val="17"/>
          <w:color w:val="auto"/>
        </w:rPr>
      </w:pPr>
      <w:r>
        <w:rPr>
          <w:rFonts w:ascii="Arial" w:cs="Arial" w:eastAsia="Arial" w:hAnsi="Arial"/>
          <w:sz w:val="17"/>
          <w:szCs w:val="17"/>
          <w:color w:val="auto"/>
        </w:rPr>
        <w:t>Any amendment of, or waiver with respect to, any provision of this ARTICLE TEN or the Corporation’s Certificate of Incorporation or bylaws directly relating to the Series G Preferred Stock;</w:t>
      </w:r>
    </w:p>
    <w:p>
      <w:pPr>
        <w:spacing w:after="0" w:line="158" w:lineRule="exact"/>
        <w:rPr>
          <w:rFonts w:ascii="Arial" w:cs="Arial" w:eastAsia="Arial" w:hAnsi="Arial"/>
          <w:sz w:val="17"/>
          <w:szCs w:val="17"/>
          <w:color w:val="auto"/>
        </w:rPr>
      </w:pPr>
    </w:p>
    <w:p>
      <w:pPr>
        <w:ind w:left="2580" w:hanging="687"/>
        <w:spacing w:after="0"/>
        <w:tabs>
          <w:tab w:leader="none" w:pos="2580" w:val="left"/>
        </w:tabs>
        <w:numPr>
          <w:ilvl w:val="1"/>
          <w:numId w:val="192"/>
        </w:numPr>
        <w:rPr>
          <w:rFonts w:ascii="Arial" w:cs="Arial" w:eastAsia="Arial" w:hAnsi="Arial"/>
          <w:sz w:val="17"/>
          <w:szCs w:val="17"/>
          <w:color w:val="auto"/>
        </w:rPr>
      </w:pPr>
      <w:r>
        <w:rPr>
          <w:rFonts w:ascii="Arial" w:cs="Arial" w:eastAsia="Arial" w:hAnsi="Arial"/>
          <w:sz w:val="17"/>
          <w:szCs w:val="17"/>
          <w:color w:val="auto"/>
        </w:rPr>
        <w:t>Any increase in the authorized size of the Board; and</w:t>
      </w:r>
    </w:p>
    <w:p>
      <w:pPr>
        <w:spacing w:after="0" w:line="224" w:lineRule="exact"/>
        <w:rPr>
          <w:rFonts w:ascii="Arial" w:cs="Arial" w:eastAsia="Arial" w:hAnsi="Arial"/>
          <w:sz w:val="17"/>
          <w:szCs w:val="17"/>
          <w:color w:val="auto"/>
        </w:rPr>
      </w:pPr>
    </w:p>
    <w:p>
      <w:pPr>
        <w:ind w:left="1260" w:right="100" w:firstLine="633"/>
        <w:spacing w:after="0" w:line="360" w:lineRule="auto"/>
        <w:tabs>
          <w:tab w:leader="none" w:pos="2578" w:val="left"/>
        </w:tabs>
        <w:numPr>
          <w:ilvl w:val="1"/>
          <w:numId w:val="192"/>
        </w:numPr>
        <w:rPr>
          <w:rFonts w:ascii="Arial" w:cs="Arial" w:eastAsia="Arial" w:hAnsi="Arial"/>
          <w:sz w:val="15"/>
          <w:szCs w:val="15"/>
          <w:color w:val="auto"/>
        </w:rPr>
      </w:pPr>
      <w:r>
        <w:rPr>
          <w:rFonts w:ascii="Arial" w:cs="Arial" w:eastAsia="Arial" w:hAnsi="Arial"/>
          <w:sz w:val="15"/>
          <w:szCs w:val="15"/>
          <w:color w:val="auto"/>
        </w:rPr>
        <w:t>The declaration or payment of any dividend in respect of any Series G Junior Securities. “</w:t>
      </w:r>
      <w:r>
        <w:rPr>
          <w:rFonts w:ascii="Arial" w:cs="Arial" w:eastAsia="Arial" w:hAnsi="Arial"/>
          <w:sz w:val="15"/>
          <w:szCs w:val="15"/>
          <w:b w:val="1"/>
          <w:bCs w:val="1"/>
          <w:i w:val="1"/>
          <w:iCs w:val="1"/>
          <w:color w:val="auto"/>
        </w:rPr>
        <w:t>Series G Junior Securities</w:t>
      </w:r>
      <w:r>
        <w:rPr>
          <w:rFonts w:ascii="Arial" w:cs="Arial" w:eastAsia="Arial" w:hAnsi="Arial"/>
          <w:sz w:val="15"/>
          <w:szCs w:val="15"/>
          <w:color w:val="auto"/>
        </w:rPr>
        <w:t>” means any shares of Common Stock or other stock that is junior to the Series G Preferred Stock in right of dividends or in respect of Liquidation.</w:t>
      </w:r>
    </w:p>
    <w:p>
      <w:pPr>
        <w:spacing w:after="0" w:line="112"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Dividends</w:t>
      </w:r>
      <w:r>
        <w:rPr>
          <w:rFonts w:ascii="Arial" w:cs="Arial" w:eastAsia="Arial" w:hAnsi="Arial"/>
          <w:sz w:val="17"/>
          <w:szCs w:val="17"/>
          <w:color w:val="auto"/>
        </w:rPr>
        <w:t>. No Series G Holder will have the right to receive any dividends in respect of any share of Series G Preferred Stock unless, and only to the extent, such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dividends are declared by the Board and funds are legally available therefor. No dividends will be declared or paid in respect of the Common Stock or any shares ranking junior to the Series G Preferred Stock in respect of dividends unless an identical dividend amount (on an as-converted, per-share basis) is also simultaneously declared and paid in respect of the Series G Preferred Stock.</w:t>
      </w:r>
    </w:p>
    <w:p>
      <w:pPr>
        <w:spacing w:after="0" w:line="17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Section 10.4.</w:t>
      </w:r>
      <w:r>
        <w:rPr>
          <w:sz w:val="20"/>
          <w:szCs w:val="20"/>
          <w:color w:val="auto"/>
        </w:rPr>
        <w:tab/>
      </w:r>
      <w:r>
        <w:rPr>
          <w:rFonts w:ascii="Arial" w:cs="Arial" w:eastAsia="Arial" w:hAnsi="Arial"/>
          <w:sz w:val="16"/>
          <w:szCs w:val="16"/>
          <w:u w:val="single" w:color="auto"/>
          <w:color w:val="auto"/>
        </w:rPr>
        <w:t>Liquidation Preference</w:t>
      </w:r>
      <w:r>
        <w:rPr>
          <w:rFonts w:ascii="Arial" w:cs="Arial" w:eastAsia="Arial" w:hAnsi="Arial"/>
          <w:sz w:val="16"/>
          <w:szCs w:val="16"/>
          <w:color w:val="auto"/>
        </w:rPr>
        <w:t>.</w:t>
      </w:r>
    </w:p>
    <w:p>
      <w:pPr>
        <w:spacing w:after="0" w:line="224" w:lineRule="exact"/>
        <w:rPr>
          <w:sz w:val="20"/>
          <w:szCs w:val="20"/>
          <w:color w:val="auto"/>
        </w:rPr>
      </w:pPr>
    </w:p>
    <w:p>
      <w:pPr>
        <w:ind w:left="640" w:firstLine="623"/>
        <w:spacing w:after="0" w:line="297" w:lineRule="auto"/>
        <w:tabs>
          <w:tab w:leader="none" w:pos="1944" w:val="left"/>
        </w:tabs>
        <w:numPr>
          <w:ilvl w:val="0"/>
          <w:numId w:val="193"/>
        </w:numPr>
        <w:rPr>
          <w:rFonts w:ascii="Arial" w:cs="Arial" w:eastAsia="Arial" w:hAnsi="Arial"/>
          <w:sz w:val="15"/>
          <w:szCs w:val="15"/>
          <w:color w:val="auto"/>
        </w:rPr>
      </w:pPr>
      <w:r>
        <w:rPr>
          <w:rFonts w:ascii="Arial" w:cs="Arial" w:eastAsia="Arial" w:hAnsi="Arial"/>
          <w:sz w:val="15"/>
          <w:szCs w:val="15"/>
          <w:color w:val="auto"/>
        </w:rPr>
        <w:t>Upon any Liquidation, the Series G Holders will be entitled to receive, out of assets of the Corporation which remain after satisfaction in full of all valid claims of the Corporation’s creditors and which are available for payment to stockholders (and subject to the rights of the holders of any Series G Senior Securities or the holders of shares of the Corporation ranking on a parity with the Series G Preferred Stock in respect of liquidation (“</w:t>
      </w:r>
      <w:r>
        <w:rPr>
          <w:rFonts w:ascii="Arial" w:cs="Arial" w:eastAsia="Arial" w:hAnsi="Arial"/>
          <w:sz w:val="15"/>
          <w:szCs w:val="15"/>
          <w:b w:val="1"/>
          <w:bCs w:val="1"/>
          <w:i w:val="1"/>
          <w:iCs w:val="1"/>
          <w:color w:val="auto"/>
        </w:rPr>
        <w:t>Series G Parity Securities</w:t>
      </w:r>
      <w:r>
        <w:rPr>
          <w:rFonts w:ascii="Arial" w:cs="Arial" w:eastAsia="Arial" w:hAnsi="Arial"/>
          <w:sz w:val="15"/>
          <w:szCs w:val="15"/>
          <w:color w:val="auto"/>
        </w:rPr>
        <w:t>”)), before any amount will be paid to or distributed among the holders of Series G Junior Securities, distributions per share of Series G Preferred Stock equal to the sum of (i) $0.35 (the “</w:t>
      </w:r>
      <w:r>
        <w:rPr>
          <w:rFonts w:ascii="Arial" w:cs="Arial" w:eastAsia="Arial" w:hAnsi="Arial"/>
          <w:sz w:val="15"/>
          <w:szCs w:val="15"/>
          <w:b w:val="1"/>
          <w:bCs w:val="1"/>
          <w:i w:val="1"/>
          <w:iCs w:val="1"/>
          <w:color w:val="auto"/>
        </w:rPr>
        <w:t>Series G Purchase Price</w:t>
      </w:r>
      <w:r>
        <w:rPr>
          <w:rFonts w:ascii="Arial" w:cs="Arial" w:eastAsia="Arial" w:hAnsi="Arial"/>
          <w:sz w:val="15"/>
          <w:szCs w:val="15"/>
          <w:color w:val="auto"/>
        </w:rPr>
        <w:t>”) (subject to adjustment for any stock split, reverse stock split, stock dividend or other such transaction applicable to the Series G Preferred Stock), plus (ii) the greater of (A) any dividends declared but unpaid in respect of such share and (B) the Series G Preferential Return (defined below). If upon any Liquidation the Series G Liquidation Payment and any amounts payable in respect of any Series G Parity Securities as to any such distribution are not paid in full, the Series G Holders and the holders of Series G Parity Securities will share ratably in any distribution of assets in proportion to the full respective amounts to which they are entitled. “</w:t>
      </w:r>
      <w:r>
        <w:rPr>
          <w:rFonts w:ascii="Arial" w:cs="Arial" w:eastAsia="Arial" w:hAnsi="Arial"/>
          <w:sz w:val="15"/>
          <w:szCs w:val="15"/>
          <w:b w:val="1"/>
          <w:bCs w:val="1"/>
          <w:i w:val="1"/>
          <w:iCs w:val="1"/>
          <w:color w:val="auto"/>
        </w:rPr>
        <w:t>Series G</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Preferential Return</w:t>
      </w:r>
      <w:r>
        <w:rPr>
          <w:rFonts w:ascii="Arial" w:cs="Arial" w:eastAsia="Arial" w:hAnsi="Arial"/>
          <w:sz w:val="15"/>
          <w:szCs w:val="15"/>
          <w:color w:val="auto"/>
        </w:rPr>
        <w:t>” means an amount equal to the lesser of (x) the Series G Purchase Price and (y) the amount of simple interest, calculated monthly,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which would have accrued on a hypothetical principal amount equal to the Series G Purchase Price for the period beginning on the date that such Series G Holder’s Series G Preferred Stock is issued (the “</w:t>
      </w:r>
      <w:r>
        <w:rPr>
          <w:rFonts w:ascii="Arial" w:cs="Arial" w:eastAsia="Arial" w:hAnsi="Arial"/>
          <w:sz w:val="15"/>
          <w:szCs w:val="15"/>
          <w:b w:val="1"/>
          <w:bCs w:val="1"/>
          <w:i w:val="1"/>
          <w:iCs w:val="1"/>
          <w:color w:val="auto"/>
        </w:rPr>
        <w:t>Series G Purchase Date</w:t>
      </w:r>
      <w:r>
        <w:rPr>
          <w:rFonts w:ascii="Arial" w:cs="Arial" w:eastAsia="Arial" w:hAnsi="Arial"/>
          <w:sz w:val="15"/>
          <w:szCs w:val="15"/>
          <w:color w:val="auto"/>
        </w:rPr>
        <w:t>”) and ending on the date of the Liquidation payment at an interest rate for such period equal to the rate announced by Citibank N.A. as its prime rate two business days before the date of the Liquidation payment plus one percent.</w:t>
      </w:r>
    </w:p>
    <w:p>
      <w:pPr>
        <w:sectPr>
          <w:pgSz w:w="11900" w:h="16838" w:orient="portrait"/>
          <w:cols w:equalWidth="0" w:num="1">
            <w:col w:w="11420"/>
          </w:cols>
          <w:pgMar w:left="240" w:top="127" w:right="239" w:bottom="26" w:gutter="0" w:footer="0" w:header="0"/>
        </w:sectPr>
      </w:pPr>
    </w:p>
    <w:bookmarkStart w:id="218" w:name="page219"/>
    <w:bookmarkEnd w:id="218"/>
    <w:p>
      <w:pPr>
        <w:spacing w:after="0" w:line="14" w:lineRule="exact"/>
        <w:rPr>
          <w:sz w:val="20"/>
          <w:szCs w:val="20"/>
          <w:color w:val="auto"/>
        </w:rPr>
      </w:pPr>
    </w:p>
    <w:p>
      <w:pPr>
        <w:ind w:right="200" w:firstLine="623"/>
        <w:spacing w:after="0" w:line="322" w:lineRule="auto"/>
        <w:tabs>
          <w:tab w:leader="none" w:pos="1313"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The Corporation will give written notice of any Liquidation to the Series G Holders, stating the payment date or dates when, and the place or places where, any payments under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will be payable, at least 20 days prior to any payment date stated therein.</w:t>
      </w:r>
    </w:p>
    <w:p>
      <w:pPr>
        <w:spacing w:after="0" w:line="135" w:lineRule="exact"/>
        <w:rPr>
          <w:rFonts w:ascii="Arial" w:cs="Arial" w:eastAsia="Arial" w:hAnsi="Arial"/>
          <w:sz w:val="16"/>
          <w:szCs w:val="16"/>
          <w:color w:val="auto"/>
        </w:rPr>
      </w:pPr>
    </w:p>
    <w:p>
      <w:pPr>
        <w:ind w:left="1300" w:hanging="677"/>
        <w:spacing w:after="0"/>
        <w:tabs>
          <w:tab w:leader="none" w:pos="13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 Sale/Merger Transaction will be deemed to be a Liquidation.</w:t>
      </w:r>
    </w:p>
    <w:p>
      <w:pPr>
        <w:spacing w:after="0" w:line="224" w:lineRule="exact"/>
        <w:rPr>
          <w:sz w:val="20"/>
          <w:szCs w:val="20"/>
          <w:color w:val="auto"/>
        </w:rPr>
      </w:pPr>
    </w:p>
    <w:p>
      <w:pPr>
        <w:spacing w:after="0"/>
        <w:tabs>
          <w:tab w:leader="none" w:pos="1280" w:val="left"/>
        </w:tabs>
        <w:rPr>
          <w:sz w:val="20"/>
          <w:szCs w:val="20"/>
          <w:color w:val="auto"/>
        </w:rPr>
      </w:pPr>
      <w:r>
        <w:rPr>
          <w:rFonts w:ascii="Arial" w:cs="Arial" w:eastAsia="Arial" w:hAnsi="Arial"/>
          <w:sz w:val="17"/>
          <w:szCs w:val="17"/>
          <w:color w:val="auto"/>
        </w:rPr>
        <w:t>Section 10.5.</w:t>
      </w:r>
      <w:r>
        <w:rPr>
          <w:sz w:val="20"/>
          <w:szCs w:val="20"/>
          <w:color w:val="auto"/>
        </w:rPr>
        <w:tab/>
      </w:r>
      <w:r>
        <w:rPr>
          <w:rFonts w:ascii="Arial" w:cs="Arial" w:eastAsia="Arial" w:hAnsi="Arial"/>
          <w:sz w:val="16"/>
          <w:szCs w:val="16"/>
          <w:u w:val="single" w:color="auto"/>
          <w:color w:val="auto"/>
        </w:rPr>
        <w:t>Conversion</w:t>
      </w:r>
      <w:r>
        <w:rPr>
          <w:rFonts w:ascii="Arial" w:cs="Arial" w:eastAsia="Arial" w:hAnsi="Arial"/>
          <w:sz w:val="16"/>
          <w:szCs w:val="16"/>
          <w:color w:val="auto"/>
        </w:rPr>
        <w:t>.</w:t>
      </w:r>
    </w:p>
    <w:p>
      <w:pPr>
        <w:spacing w:after="0" w:line="224" w:lineRule="exact"/>
        <w:rPr>
          <w:sz w:val="20"/>
          <w:szCs w:val="20"/>
          <w:color w:val="auto"/>
        </w:rPr>
      </w:pPr>
    </w:p>
    <w:p>
      <w:pPr>
        <w:ind w:right="120" w:firstLine="623"/>
        <w:spacing w:after="0" w:line="268" w:lineRule="auto"/>
        <w:tabs>
          <w:tab w:leader="none" w:pos="1303"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Optional Conversion</w:t>
      </w:r>
      <w:r>
        <w:rPr>
          <w:rFonts w:ascii="Arial" w:cs="Arial" w:eastAsia="Arial" w:hAnsi="Arial"/>
          <w:sz w:val="17"/>
          <w:szCs w:val="17"/>
          <w:color w:val="auto"/>
        </w:rPr>
        <w:t xml:space="preserve">. Subject to and in compliance with this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any share of Series G Preferred Stock may, at the option of the holder thereof, be converted at any time and from time to time into a number of shares of Common Stock equal to the then-applicable Series G Conversion Amount (defined below). Each Series G Holder who desires to convert any of its Series G Preferred Stock into Common Stock pursuant to this </w:t>
      </w:r>
      <w:r>
        <w:rPr>
          <w:rFonts w:ascii="Arial" w:cs="Arial" w:eastAsia="Arial" w:hAnsi="Arial"/>
          <w:sz w:val="17"/>
          <w:szCs w:val="17"/>
          <w:u w:val="single" w:color="auto"/>
          <w:color w:val="auto"/>
        </w:rPr>
        <w:t>Section 10.5(a)</w:t>
      </w:r>
      <w:r>
        <w:rPr>
          <w:rFonts w:ascii="Arial" w:cs="Arial" w:eastAsia="Arial" w:hAnsi="Arial"/>
          <w:sz w:val="17"/>
          <w:szCs w:val="17"/>
          <w:color w:val="auto"/>
        </w:rPr>
        <w:t xml:space="preserve"> will surrender the certificate or certificates therefor, duly</w:t>
      </w:r>
    </w:p>
    <w:p>
      <w:pPr>
        <w:spacing w:after="0" w:line="176"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endorsed, at the office of the Corporation, and will give written notice to the Corporation at such office that such Series G Holder desires to convert such shares. Such notice will state the number of shares of Series G Preferred Stock being converted.</w:t>
      </w:r>
    </w:p>
    <w:p>
      <w:pPr>
        <w:spacing w:after="0" w:line="158" w:lineRule="exact"/>
        <w:rPr>
          <w:sz w:val="20"/>
          <w:szCs w:val="20"/>
          <w:color w:val="auto"/>
        </w:rPr>
      </w:pPr>
    </w:p>
    <w:p>
      <w:pPr>
        <w:ind w:right="240" w:firstLine="623"/>
        <w:spacing w:after="0" w:line="289" w:lineRule="auto"/>
        <w:tabs>
          <w:tab w:leader="none" w:pos="1313"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Automatic Conversion</w:t>
      </w:r>
      <w:r>
        <w:rPr>
          <w:rFonts w:ascii="Arial" w:cs="Arial" w:eastAsia="Arial" w:hAnsi="Arial"/>
          <w:sz w:val="17"/>
          <w:szCs w:val="17"/>
          <w:color w:val="auto"/>
        </w:rPr>
        <w:t>. Each share of Series G Preferred Stock will automatically be converted into a number of shares of Common Stock equal to the then-applicable Series G Conversion Amount (defined below):</w:t>
      </w:r>
    </w:p>
    <w:p>
      <w:pPr>
        <w:spacing w:after="0" w:line="158" w:lineRule="exact"/>
        <w:rPr>
          <w:rFonts w:ascii="Arial" w:cs="Arial" w:eastAsia="Arial" w:hAnsi="Arial"/>
          <w:sz w:val="17"/>
          <w:szCs w:val="17"/>
          <w:color w:val="auto"/>
        </w:rPr>
      </w:pPr>
    </w:p>
    <w:p>
      <w:pPr>
        <w:ind w:left="620" w:right="120" w:firstLine="633"/>
        <w:spacing w:after="0" w:line="273" w:lineRule="auto"/>
        <w:tabs>
          <w:tab w:leader="none" w:pos="1938" w:val="left"/>
        </w:tabs>
        <w:numPr>
          <w:ilvl w:val="1"/>
          <w:numId w:val="196"/>
        </w:numPr>
        <w:rPr>
          <w:rFonts w:ascii="Arial" w:cs="Arial" w:eastAsia="Arial" w:hAnsi="Arial"/>
          <w:sz w:val="17"/>
          <w:szCs w:val="17"/>
          <w:color w:val="auto"/>
        </w:rPr>
      </w:pPr>
      <w:r>
        <w:rPr>
          <w:rFonts w:ascii="Arial" w:cs="Arial" w:eastAsia="Arial" w:hAnsi="Arial"/>
          <w:sz w:val="17"/>
          <w:szCs w:val="17"/>
          <w:color w:val="auto"/>
        </w:rPr>
        <w:t>simultaneously with the closing of the first underwritten public offering under an effective registration statement under the Securities Act of 1933, as amended, covering the offering and sale of Common Stock for the account of the Corporation on a firm commitment basis for proceeds of at least $30 million (before deduction of underwriting costs, commissions and expenses);</w:t>
      </w:r>
    </w:p>
    <w:p>
      <w:pPr>
        <w:spacing w:after="0" w:line="171" w:lineRule="exact"/>
        <w:rPr>
          <w:rFonts w:ascii="Arial" w:cs="Arial" w:eastAsia="Arial" w:hAnsi="Arial"/>
          <w:sz w:val="17"/>
          <w:szCs w:val="17"/>
          <w:color w:val="auto"/>
        </w:rPr>
      </w:pPr>
    </w:p>
    <w:p>
      <w:pPr>
        <w:ind w:left="620" w:right="180" w:firstLine="633"/>
        <w:spacing w:after="0" w:line="289" w:lineRule="auto"/>
        <w:tabs>
          <w:tab w:leader="none" w:pos="1943" w:val="left"/>
        </w:tabs>
        <w:numPr>
          <w:ilvl w:val="1"/>
          <w:numId w:val="196"/>
        </w:numPr>
        <w:rPr>
          <w:rFonts w:ascii="Arial" w:cs="Arial" w:eastAsia="Arial" w:hAnsi="Arial"/>
          <w:sz w:val="17"/>
          <w:szCs w:val="17"/>
          <w:color w:val="auto"/>
        </w:rPr>
      </w:pPr>
      <w:r>
        <w:rPr>
          <w:rFonts w:ascii="Arial" w:cs="Arial" w:eastAsia="Arial" w:hAnsi="Arial"/>
          <w:sz w:val="17"/>
          <w:szCs w:val="17"/>
          <w:color w:val="auto"/>
        </w:rPr>
        <w:t>at the election of the holders of a number of shares of Series G Preferred Stock equal to at least two-thirds (2/3) of the then-outstanding shares of Series G Preferred Stock; or</w:t>
      </w:r>
    </w:p>
    <w:p>
      <w:pPr>
        <w:spacing w:after="0" w:line="158" w:lineRule="exact"/>
        <w:rPr>
          <w:rFonts w:ascii="Arial" w:cs="Arial" w:eastAsia="Arial" w:hAnsi="Arial"/>
          <w:sz w:val="17"/>
          <w:szCs w:val="17"/>
          <w:color w:val="auto"/>
        </w:rPr>
      </w:pPr>
    </w:p>
    <w:p>
      <w:pPr>
        <w:ind w:left="620" w:right="140" w:firstLine="633"/>
        <w:spacing w:after="0" w:line="273" w:lineRule="auto"/>
        <w:tabs>
          <w:tab w:leader="none" w:pos="1948" w:val="left"/>
        </w:tabs>
        <w:numPr>
          <w:ilvl w:val="1"/>
          <w:numId w:val="196"/>
        </w:numPr>
        <w:rPr>
          <w:rFonts w:ascii="Arial" w:cs="Arial" w:eastAsia="Arial" w:hAnsi="Arial"/>
          <w:sz w:val="17"/>
          <w:szCs w:val="17"/>
          <w:color w:val="auto"/>
        </w:rPr>
      </w:pPr>
      <w:r>
        <w:rPr>
          <w:rFonts w:ascii="Arial" w:cs="Arial" w:eastAsia="Arial" w:hAnsi="Arial"/>
          <w:sz w:val="17"/>
          <w:szCs w:val="17"/>
          <w:color w:val="auto"/>
        </w:rPr>
        <w:t>upon the conversion of a number of shares of Series G Preferred Stock equal to at least 60% of the shares of Series G Preferred Stock outstanding (subject to adjustment for any stock split, reverse stock split, stock dividend or other such transaction applicable to the Series G Preferred Stock) on the Series G Purchase Date.</w:t>
      </w:r>
    </w:p>
    <w:p>
      <w:pPr>
        <w:spacing w:after="0" w:line="172" w:lineRule="exact"/>
        <w:rPr>
          <w:sz w:val="20"/>
          <w:szCs w:val="20"/>
          <w:color w:val="auto"/>
        </w:rPr>
      </w:pPr>
    </w:p>
    <w:p>
      <w:pPr>
        <w:ind w:right="260"/>
        <w:spacing w:after="0" w:line="360" w:lineRule="auto"/>
        <w:rPr>
          <w:sz w:val="20"/>
          <w:szCs w:val="20"/>
          <w:color w:val="auto"/>
        </w:rPr>
      </w:pPr>
      <w:r>
        <w:rPr>
          <w:rFonts w:ascii="Arial" w:cs="Arial" w:eastAsia="Arial" w:hAnsi="Arial"/>
          <w:sz w:val="15"/>
          <w:szCs w:val="15"/>
          <w:color w:val="auto"/>
        </w:rPr>
        <w:t>Upon the occurrence of an automatic conversion of the Series G Preferred Stock, the Series G Holders will surrender the certificates representing their shares at the office of the Corporation or transfer agent, and the rights, preferences and restrictions of the Series G Preferred Stock will terminate.</w:t>
      </w:r>
    </w:p>
    <w:p>
      <w:pPr>
        <w:spacing w:after="0" w:line="112" w:lineRule="exact"/>
        <w:rPr>
          <w:sz w:val="20"/>
          <w:szCs w:val="20"/>
          <w:color w:val="auto"/>
        </w:rPr>
      </w:pPr>
    </w:p>
    <w:p>
      <w:pPr>
        <w:ind w:left="1300" w:hanging="677"/>
        <w:spacing w:after="0"/>
        <w:tabs>
          <w:tab w:leader="none" w:pos="1300"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Anti-Dilution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940" w:hanging="687"/>
        <w:spacing w:after="0"/>
        <w:tabs>
          <w:tab w:leader="none" w:pos="1940" w:val="left"/>
        </w:tabs>
        <w:numPr>
          <w:ilvl w:val="1"/>
          <w:numId w:val="197"/>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260" w:firstLine="622"/>
        <w:spacing w:after="0" w:line="301" w:lineRule="auto"/>
        <w:tabs>
          <w:tab w:leader="none" w:pos="2569" w:val="left"/>
        </w:tabs>
        <w:numPr>
          <w:ilvl w:val="2"/>
          <w:numId w:val="19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Additional Common Stock</w:t>
      </w:r>
      <w:r>
        <w:rPr>
          <w:rFonts w:ascii="Arial" w:cs="Arial" w:eastAsia="Arial" w:hAnsi="Arial"/>
          <w:sz w:val="15"/>
          <w:szCs w:val="15"/>
          <w:color w:val="auto"/>
        </w:rPr>
        <w:t xml:space="preserve">” for this </w:t>
      </w:r>
      <w:r>
        <w:rPr>
          <w:rFonts w:ascii="Arial" w:cs="Arial" w:eastAsia="Arial" w:hAnsi="Arial"/>
          <w:sz w:val="15"/>
          <w:szCs w:val="15"/>
          <w:u w:val="single" w:color="auto"/>
          <w:color w:val="auto"/>
        </w:rPr>
        <w:t>ARTICLE TEN</w:t>
      </w:r>
      <w:r>
        <w:rPr>
          <w:rFonts w:ascii="Arial" w:cs="Arial" w:eastAsia="Arial" w:hAnsi="Arial"/>
          <w:sz w:val="15"/>
          <w:szCs w:val="15"/>
          <w:color w:val="auto"/>
        </w:rPr>
        <w:t xml:space="preserve"> means shares of Common Stock issued by the Corporation or deemed to be issued under </w:t>
      </w:r>
      <w:r>
        <w:rPr>
          <w:rFonts w:ascii="Arial" w:cs="Arial" w:eastAsia="Arial" w:hAnsi="Arial"/>
          <w:sz w:val="15"/>
          <w:szCs w:val="15"/>
          <w:u w:val="single" w:color="auto"/>
          <w:color w:val="auto"/>
        </w:rPr>
        <w:t>Section 10.5(d)(iii)</w:t>
      </w:r>
      <w:r>
        <w:rPr>
          <w:rFonts w:ascii="Arial" w:cs="Arial" w:eastAsia="Arial" w:hAnsi="Arial"/>
          <w:sz w:val="15"/>
          <w:szCs w:val="15"/>
          <w:color w:val="auto"/>
        </w:rPr>
        <w:t>, whether or not subsequently reacquired or retired by the Corporation, other than shares issued (or deemed to be issued) (1) upon conversion of the Series G Preferred Stock; (2) to employees, officers or directors of, or consultants or advisors to, the Corporation or any subsidiary pursuant to stock purchase or stock option plans or other arrangements that are approved by the Board; (3) pursuant to the exercise of options, warrants or convertible securities outstanding as of the Restatement Date; (4) in connection with a Sale/Merger Transaction; (5) pursuant to any equipment leasing arrangement, commercial credit arrangement or debt financing from a bank or similar financial institution; (6) in connection with a transaction that causes an automatic conversion of the Series G Preferred Stock; and (7) for consideration other than cash pursuant to a merger, consolidation, share</w:t>
      </w:r>
    </w:p>
    <w:p>
      <w:pPr>
        <w:spacing w:after="0" w:line="157"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exchange, acquisition or similar business combination approved by the Board.</w:t>
      </w:r>
    </w:p>
    <w:p>
      <w:pPr>
        <w:spacing w:after="0" w:line="224" w:lineRule="exact"/>
        <w:rPr>
          <w:sz w:val="20"/>
          <w:szCs w:val="20"/>
          <w:color w:val="auto"/>
        </w:rPr>
      </w:pPr>
    </w:p>
    <w:p>
      <w:pPr>
        <w:ind w:left="1260" w:right="140" w:firstLine="622"/>
        <w:spacing w:after="0" w:line="322" w:lineRule="auto"/>
        <w:tabs>
          <w:tab w:leader="none" w:pos="2559" w:val="left"/>
        </w:tabs>
        <w:numPr>
          <w:ilvl w:val="1"/>
          <w:numId w:val="1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Aggregate Consideration</w:t>
      </w:r>
      <w:r>
        <w:rPr>
          <w:rFonts w:ascii="Arial" w:cs="Arial" w:eastAsia="Arial" w:hAnsi="Arial"/>
          <w:sz w:val="16"/>
          <w:szCs w:val="16"/>
          <w:color w:val="auto"/>
        </w:rPr>
        <w:t xml:space="preserve">” for this </w:t>
      </w:r>
      <w:r>
        <w:rPr>
          <w:rFonts w:ascii="Arial" w:cs="Arial" w:eastAsia="Arial" w:hAnsi="Arial"/>
          <w:sz w:val="16"/>
          <w:szCs w:val="16"/>
          <w:u w:val="single" w:color="auto"/>
          <w:color w:val="auto"/>
        </w:rPr>
        <w:t>ARTICLE TEN</w:t>
      </w:r>
      <w:r>
        <w:rPr>
          <w:rFonts w:ascii="Arial" w:cs="Arial" w:eastAsia="Arial" w:hAnsi="Arial"/>
          <w:sz w:val="16"/>
          <w:szCs w:val="16"/>
          <w:color w:val="auto"/>
        </w:rPr>
        <w:t xml:space="preserve"> means, for any issuance or sale, or deemed issuance or sale, of Additional Common Stock, the net consideration received by the Corporation, as determined in accordance with GAAP.</w:t>
      </w:r>
    </w:p>
    <w:p>
      <w:pPr>
        <w:spacing w:after="0" w:line="135" w:lineRule="exact"/>
        <w:rPr>
          <w:rFonts w:ascii="Arial" w:cs="Arial" w:eastAsia="Arial" w:hAnsi="Arial"/>
          <w:sz w:val="16"/>
          <w:szCs w:val="16"/>
          <w:color w:val="auto"/>
        </w:rPr>
      </w:pPr>
    </w:p>
    <w:p>
      <w:pPr>
        <w:ind w:left="1260" w:right="500" w:firstLine="622"/>
        <w:spacing w:after="0" w:line="289" w:lineRule="auto"/>
        <w:tabs>
          <w:tab w:leader="none" w:pos="2559" w:val="left"/>
        </w:tabs>
        <w:numPr>
          <w:ilvl w:val="1"/>
          <w:numId w:val="1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Convertible Securities</w:t>
      </w:r>
      <w:r>
        <w:rPr>
          <w:rFonts w:ascii="Arial" w:cs="Arial" w:eastAsia="Arial" w:hAnsi="Arial"/>
          <w:sz w:val="17"/>
          <w:szCs w:val="17"/>
          <w:color w:val="auto"/>
        </w:rPr>
        <w:t xml:space="preserve">” for this </w:t>
      </w:r>
      <w:r>
        <w:rPr>
          <w:rFonts w:ascii="Arial" w:cs="Arial" w:eastAsia="Arial" w:hAnsi="Arial"/>
          <w:sz w:val="17"/>
          <w:szCs w:val="17"/>
          <w:u w:val="single" w:color="auto"/>
          <w:color w:val="auto"/>
        </w:rPr>
        <w:t>ARTICLE TEN</w:t>
      </w:r>
      <w:r>
        <w:rPr>
          <w:rFonts w:ascii="Arial" w:cs="Arial" w:eastAsia="Arial" w:hAnsi="Arial"/>
          <w:sz w:val="17"/>
          <w:szCs w:val="17"/>
          <w:color w:val="auto"/>
        </w:rPr>
        <w:t xml:space="preserve"> means rights or options for the purchase of, or stock or other securities convertible into, Additional Common Stock.</w:t>
      </w:r>
    </w:p>
    <w:p>
      <w:pPr>
        <w:spacing w:after="0" w:line="158" w:lineRule="exact"/>
        <w:rPr>
          <w:rFonts w:ascii="Arial" w:cs="Arial" w:eastAsia="Arial" w:hAnsi="Arial"/>
          <w:sz w:val="17"/>
          <w:szCs w:val="17"/>
          <w:color w:val="auto"/>
        </w:rPr>
      </w:pPr>
    </w:p>
    <w:p>
      <w:pPr>
        <w:jc w:val="both"/>
        <w:ind w:left="1260" w:right="380" w:firstLine="622"/>
        <w:spacing w:after="0" w:line="273" w:lineRule="auto"/>
        <w:tabs>
          <w:tab w:leader="none" w:pos="2569" w:val="left"/>
        </w:tabs>
        <w:numPr>
          <w:ilvl w:val="1"/>
          <w:numId w:val="1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Price</w:t>
      </w:r>
      <w:r>
        <w:rPr>
          <w:rFonts w:ascii="Arial" w:cs="Arial" w:eastAsia="Arial" w:hAnsi="Arial"/>
          <w:sz w:val="17"/>
          <w:szCs w:val="17"/>
          <w:color w:val="auto"/>
        </w:rPr>
        <w:t xml:space="preserve">” for this </w:t>
      </w:r>
      <w:r>
        <w:rPr>
          <w:rFonts w:ascii="Arial" w:cs="Arial" w:eastAsia="Arial" w:hAnsi="Arial"/>
          <w:sz w:val="17"/>
          <w:szCs w:val="17"/>
          <w:u w:val="single" w:color="auto"/>
          <w:color w:val="auto"/>
        </w:rPr>
        <w:t>ARTICLE TEN</w:t>
      </w:r>
      <w:r>
        <w:rPr>
          <w:rFonts w:ascii="Arial" w:cs="Arial" w:eastAsia="Arial" w:hAnsi="Arial"/>
          <w:sz w:val="17"/>
          <w:szCs w:val="17"/>
          <w:color w:val="auto"/>
        </w:rPr>
        <w:t xml:space="preserve"> means the quotient of (1) the Aggregate Consideration received in an issuance or sale (or deemed issuance or sale) of Additional Common Stock divided by (2) the total number of shares of Additional Common Stock issued or sold (or deemed to have been issued or sold) in such transaction.</w:t>
      </w:r>
    </w:p>
    <w:p>
      <w:pPr>
        <w:spacing w:after="0" w:line="171" w:lineRule="exact"/>
        <w:rPr>
          <w:rFonts w:ascii="Arial" w:cs="Arial" w:eastAsia="Arial" w:hAnsi="Arial"/>
          <w:sz w:val="17"/>
          <w:szCs w:val="17"/>
          <w:color w:val="auto"/>
        </w:rPr>
      </w:pPr>
    </w:p>
    <w:p>
      <w:pPr>
        <w:ind w:left="2580" w:hanging="698"/>
        <w:spacing w:after="0"/>
        <w:tabs>
          <w:tab w:leader="none" w:pos="258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Series G Conversion Amount</w:t>
      </w:r>
      <w:r>
        <w:rPr>
          <w:rFonts w:ascii="Arial" w:cs="Arial" w:eastAsia="Arial" w:hAnsi="Arial"/>
          <w:sz w:val="16"/>
          <w:szCs w:val="16"/>
          <w:color w:val="auto"/>
        </w:rPr>
        <w:t>” means the quotient of (1) the Series G Purchase Price divided by (2) the Series G</w:t>
      </w:r>
    </w:p>
    <w:p>
      <w:pPr>
        <w:spacing w:after="0" w:line="37"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7"/>
          <w:szCs w:val="17"/>
          <w:color w:val="auto"/>
        </w:rPr>
        <w:t>Conversion Price.</w:t>
      </w:r>
    </w:p>
    <w:p>
      <w:pPr>
        <w:spacing w:after="0" w:line="212" w:lineRule="exact"/>
        <w:rPr>
          <w:rFonts w:ascii="Arial" w:cs="Arial" w:eastAsia="Arial" w:hAnsi="Arial"/>
          <w:sz w:val="16"/>
          <w:szCs w:val="16"/>
          <w:color w:val="auto"/>
        </w:rPr>
      </w:pPr>
    </w:p>
    <w:p>
      <w:pPr>
        <w:jc w:val="both"/>
        <w:ind w:left="1260" w:right="180" w:firstLine="622"/>
        <w:spacing w:after="0" w:line="273" w:lineRule="auto"/>
        <w:tabs>
          <w:tab w:leader="none" w:pos="2583" w:val="left"/>
        </w:tabs>
        <w:numPr>
          <w:ilvl w:val="1"/>
          <w:numId w:val="1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G Conversion Price</w:t>
      </w:r>
      <w:r>
        <w:rPr>
          <w:rFonts w:ascii="Arial" w:cs="Arial" w:eastAsia="Arial" w:hAnsi="Arial"/>
          <w:sz w:val="17"/>
          <w:szCs w:val="17"/>
          <w:color w:val="auto"/>
        </w:rPr>
        <w:t xml:space="preserve">” means, as of the Restatement Date, the Series G Purchase Price, and will be adjusted from time to time thereafter in accordance with this </w:t>
      </w:r>
      <w:r>
        <w:rPr>
          <w:rFonts w:ascii="Arial" w:cs="Arial" w:eastAsia="Arial" w:hAnsi="Arial"/>
          <w:sz w:val="17"/>
          <w:szCs w:val="17"/>
          <w:u w:val="single" w:color="auto"/>
          <w:color w:val="auto"/>
        </w:rPr>
        <w:t>Section 10.5</w:t>
      </w:r>
      <w:r>
        <w:rPr>
          <w:rFonts w:ascii="Arial" w:cs="Arial" w:eastAsia="Arial" w:hAnsi="Arial"/>
          <w:sz w:val="17"/>
          <w:szCs w:val="17"/>
          <w:color w:val="auto"/>
        </w:rPr>
        <w:t>. All references to the Series G Conversion Price are to the Series G Conversion Price as so adjusted.</w:t>
      </w:r>
    </w:p>
    <w:p>
      <w:pPr>
        <w:spacing w:after="0" w:line="171" w:lineRule="exact"/>
        <w:rPr>
          <w:rFonts w:ascii="Arial" w:cs="Arial" w:eastAsia="Arial" w:hAnsi="Arial"/>
          <w:sz w:val="17"/>
          <w:szCs w:val="17"/>
          <w:color w:val="auto"/>
        </w:rPr>
      </w:pPr>
    </w:p>
    <w:p>
      <w:pPr>
        <w:ind w:right="40" w:firstLine="623"/>
        <w:spacing w:after="0" w:line="278" w:lineRule="auto"/>
        <w:tabs>
          <w:tab w:leader="none" w:pos="1313"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Adjustment for Diluting Issues</w:t>
      </w:r>
      <w:r>
        <w:rPr>
          <w:rFonts w:ascii="Arial" w:cs="Arial" w:eastAsia="Arial" w:hAnsi="Arial"/>
          <w:sz w:val="16"/>
          <w:szCs w:val="16"/>
          <w:color w:val="auto"/>
        </w:rPr>
        <w:t>. If at any time or from time to time after the Restatement Date the Corporation issues or sells, or is deemed by the express provisions of this Section to have issued or sold, for gross proceeds of at least $200,000, Additional Common Stock (other than as a dividend or other distribution on any class of stock, or as a subdivision or combination of shares of stock, in either case as provided in this</w:t>
      </w:r>
    </w:p>
    <w:p>
      <w:pPr>
        <w:spacing w:after="0" w:line="1" w:lineRule="exact"/>
        <w:rPr>
          <w:rFonts w:ascii="Arial" w:cs="Arial" w:eastAsia="Arial" w:hAnsi="Arial"/>
          <w:sz w:val="16"/>
          <w:szCs w:val="16"/>
          <w:color w:val="auto"/>
        </w:rPr>
      </w:pPr>
    </w:p>
    <w:p>
      <w:pPr>
        <w:ind w:right="20"/>
        <w:spacing w:after="0" w:line="266" w:lineRule="auto"/>
        <w:rPr>
          <w:rFonts w:ascii="Arial" w:cs="Arial" w:eastAsia="Arial" w:hAnsi="Arial"/>
          <w:sz w:val="16"/>
          <w:szCs w:val="16"/>
          <w:color w:val="auto"/>
        </w:rPr>
      </w:pPr>
      <w:r>
        <w:rPr>
          <w:rFonts w:ascii="Arial" w:cs="Arial" w:eastAsia="Arial" w:hAnsi="Arial"/>
          <w:sz w:val="17"/>
          <w:szCs w:val="17"/>
          <w:u w:val="single" w:color="auto"/>
          <w:color w:val="auto"/>
        </w:rPr>
        <w:t>Section 10.5(d)</w:t>
      </w:r>
      <w:r>
        <w:rPr>
          <w:rFonts w:ascii="Arial" w:cs="Arial" w:eastAsia="Arial" w:hAnsi="Arial"/>
          <w:sz w:val="17"/>
          <w:szCs w:val="17"/>
          <w:color w:val="auto"/>
        </w:rPr>
        <w:t>) for an Effective Price (determined in accordance with GAAP) less than the then-effective Series G Conversion Price, then and in each such case the then-existing Series G Conversion Price will be reduced, as of the opening of business on the date of such issue or sale, by multiplying it by the number determined by the following formula:</w:t>
      </w:r>
    </w:p>
    <w:p>
      <w:pPr>
        <w:sectPr>
          <w:pgSz w:w="11900" w:h="16852" w:orient="portrait"/>
          <w:cols w:equalWidth="0" w:num="1">
            <w:col w:w="10760"/>
          </w:cols>
          <w:pgMar w:left="880" w:top="127" w:right="259" w:bottom="0" w:gutter="0" w:footer="0" w:header="0"/>
        </w:sectPr>
      </w:pPr>
    </w:p>
    <w:bookmarkStart w:id="219" w:name="page220"/>
    <w:bookmarkEnd w:id="219"/>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40" w:type="dxa"/>
            <w:vAlign w:val="bottom"/>
          </w:tcPr>
          <w:p>
            <w:pPr>
              <w:spacing w:after="0"/>
              <w:rPr>
                <w:sz w:val="19"/>
                <w:szCs w:val="19"/>
                <w:color w:val="auto"/>
              </w:rPr>
            </w:pPr>
          </w:p>
        </w:tc>
        <w:tc>
          <w:tcPr>
            <w:tcW w:w="9820" w:type="dxa"/>
            <w:vAlign w:val="bottom"/>
            <w:gridSpan w:val="5"/>
          </w:tcPr>
          <w:p>
            <w:pPr>
              <w:ind w:left="120"/>
              <w:spacing w:after="0"/>
              <w:rPr>
                <w:sz w:val="20"/>
                <w:szCs w:val="20"/>
                <w:color w:val="auto"/>
              </w:rPr>
            </w:pPr>
            <w:r>
              <w:rPr>
                <w:rFonts w:ascii="Arial" w:cs="Arial" w:eastAsia="Arial" w:hAnsi="Arial"/>
                <w:sz w:val="17"/>
                <w:szCs w:val="17"/>
                <w:color w:val="auto"/>
              </w:rPr>
              <w:t>1/(1+w), where</w:t>
            </w:r>
          </w:p>
        </w:tc>
      </w:tr>
      <w:tr>
        <w:trPr>
          <w:trHeight w:val="419"/>
        </w:trPr>
        <w:tc>
          <w:tcPr>
            <w:tcW w:w="1640" w:type="dxa"/>
            <w:vAlign w:val="bottom"/>
          </w:tcPr>
          <w:p>
            <w:pPr>
              <w:ind w:left="1260"/>
              <w:spacing w:after="0"/>
              <w:rPr>
                <w:sz w:val="20"/>
                <w:szCs w:val="20"/>
                <w:color w:val="auto"/>
              </w:rPr>
            </w:pPr>
            <w:r>
              <w:rPr>
                <w:rFonts w:ascii="Arial" w:cs="Arial" w:eastAsia="Arial" w:hAnsi="Arial"/>
                <w:sz w:val="17"/>
                <w:szCs w:val="17"/>
                <w:color w:val="auto"/>
              </w:rPr>
              <w:t>w =</w:t>
            </w:r>
          </w:p>
        </w:tc>
        <w:tc>
          <w:tcPr>
            <w:tcW w:w="9820" w:type="dxa"/>
            <w:vAlign w:val="bottom"/>
            <w:gridSpan w:val="5"/>
          </w:tcPr>
          <w:p>
            <w:pPr>
              <w:ind w:left="140"/>
              <w:spacing w:after="0"/>
              <w:rPr>
                <w:sz w:val="20"/>
                <w:szCs w:val="20"/>
                <w:color w:val="auto"/>
              </w:rPr>
            </w:pPr>
            <w:r>
              <w:rPr>
                <w:rFonts w:ascii="Arial" w:cs="Arial" w:eastAsia="Arial" w:hAnsi="Arial"/>
                <w:sz w:val="17"/>
                <w:szCs w:val="17"/>
                <w:color w:val="auto"/>
              </w:rPr>
              <w:t>[((X+Z)/(X+Y))–1]/(1–P);</w:t>
            </w:r>
          </w:p>
        </w:tc>
      </w:tr>
      <w:tr>
        <w:trPr>
          <w:trHeight w:val="419"/>
        </w:trPr>
        <w:tc>
          <w:tcPr>
            <w:tcW w:w="1640" w:type="dxa"/>
            <w:vAlign w:val="bottom"/>
          </w:tcPr>
          <w:p>
            <w:pPr>
              <w:ind w:left="1260"/>
              <w:spacing w:after="0"/>
              <w:rPr>
                <w:sz w:val="20"/>
                <w:szCs w:val="20"/>
                <w:color w:val="auto"/>
              </w:rPr>
            </w:pPr>
            <w:r>
              <w:rPr>
                <w:rFonts w:ascii="Arial" w:cs="Arial" w:eastAsia="Arial" w:hAnsi="Arial"/>
                <w:sz w:val="17"/>
                <w:szCs w:val="17"/>
                <w:color w:val="auto"/>
              </w:rPr>
              <w:t>P=</w:t>
            </w:r>
          </w:p>
        </w:tc>
        <w:tc>
          <w:tcPr>
            <w:tcW w:w="9820" w:type="dxa"/>
            <w:vAlign w:val="bottom"/>
            <w:gridSpan w:val="5"/>
          </w:tcPr>
          <w:p>
            <w:pPr>
              <w:ind w:left="140"/>
              <w:spacing w:after="0"/>
              <w:rPr>
                <w:sz w:val="20"/>
                <w:szCs w:val="20"/>
                <w:color w:val="auto"/>
              </w:rPr>
            </w:pPr>
            <w:r>
              <w:rPr>
                <w:rFonts w:ascii="Arial" w:cs="Arial" w:eastAsia="Arial" w:hAnsi="Arial"/>
                <w:sz w:val="17"/>
                <w:szCs w:val="17"/>
                <w:color w:val="auto"/>
              </w:rPr>
              <w:t>C/(X+Y);</w:t>
            </w:r>
          </w:p>
        </w:tc>
      </w:tr>
      <w:tr>
        <w:trPr>
          <w:trHeight w:val="408"/>
        </w:trPr>
        <w:tc>
          <w:tcPr>
            <w:tcW w:w="1640" w:type="dxa"/>
            <w:vAlign w:val="bottom"/>
          </w:tcPr>
          <w:p>
            <w:pPr>
              <w:ind w:left="1260"/>
              <w:spacing w:after="0"/>
              <w:rPr>
                <w:sz w:val="20"/>
                <w:szCs w:val="20"/>
                <w:color w:val="auto"/>
              </w:rPr>
            </w:pPr>
            <w:r>
              <w:rPr>
                <w:rFonts w:ascii="Arial" w:cs="Arial" w:eastAsia="Arial" w:hAnsi="Arial"/>
                <w:sz w:val="17"/>
                <w:szCs w:val="17"/>
                <w:color w:val="auto"/>
              </w:rPr>
              <w:t>C=</w:t>
            </w:r>
          </w:p>
        </w:tc>
        <w:tc>
          <w:tcPr>
            <w:tcW w:w="9820" w:type="dxa"/>
            <w:vAlign w:val="bottom"/>
            <w:gridSpan w:val="5"/>
          </w:tcPr>
          <w:p>
            <w:pPr>
              <w:ind w:left="120"/>
              <w:spacing w:after="0"/>
              <w:rPr>
                <w:sz w:val="20"/>
                <w:szCs w:val="20"/>
                <w:color w:val="auto"/>
              </w:rPr>
            </w:pPr>
            <w:r>
              <w:rPr>
                <w:rFonts w:ascii="Arial" w:cs="Arial" w:eastAsia="Arial" w:hAnsi="Arial"/>
                <w:sz w:val="17"/>
                <w:szCs w:val="17"/>
                <w:color w:val="auto"/>
                <w:w w:val="95"/>
              </w:rPr>
              <w:t>the number of shares of Series G Preferred Stock immediately prior to the time of such issuance or sale multiplied by the then-effective</w:t>
            </w:r>
          </w:p>
        </w:tc>
      </w:tr>
      <w:tr>
        <w:trPr>
          <w:trHeight w:val="222"/>
        </w:trPr>
        <w:tc>
          <w:tcPr>
            <w:tcW w:w="1640" w:type="dxa"/>
            <w:vAlign w:val="bottom"/>
          </w:tcPr>
          <w:p>
            <w:pPr>
              <w:spacing w:after="0"/>
              <w:rPr>
                <w:sz w:val="19"/>
                <w:szCs w:val="19"/>
                <w:color w:val="auto"/>
              </w:rPr>
            </w:pPr>
          </w:p>
        </w:tc>
        <w:tc>
          <w:tcPr>
            <w:tcW w:w="9820" w:type="dxa"/>
            <w:vAlign w:val="bottom"/>
            <w:gridSpan w:val="5"/>
          </w:tcPr>
          <w:p>
            <w:pPr>
              <w:ind w:left="120"/>
              <w:spacing w:after="0"/>
              <w:rPr>
                <w:sz w:val="20"/>
                <w:szCs w:val="20"/>
                <w:color w:val="auto"/>
              </w:rPr>
            </w:pPr>
            <w:r>
              <w:rPr>
                <w:rFonts w:ascii="Arial" w:cs="Arial" w:eastAsia="Arial" w:hAnsi="Arial"/>
                <w:sz w:val="17"/>
                <w:szCs w:val="17"/>
                <w:color w:val="auto"/>
              </w:rPr>
              <w:t>Series G Conversion Amount (the quotient of the Series G Purchase</w:t>
            </w:r>
          </w:p>
        </w:tc>
      </w:tr>
      <w:tr>
        <w:trPr>
          <w:trHeight w:val="419"/>
        </w:trPr>
        <w:tc>
          <w:tcPr>
            <w:tcW w:w="1640" w:type="dxa"/>
            <w:vAlign w:val="bottom"/>
          </w:tcPr>
          <w:p>
            <w:pPr>
              <w:spacing w:after="0"/>
              <w:rPr>
                <w:sz w:val="24"/>
                <w:szCs w:val="24"/>
                <w:color w:val="auto"/>
              </w:rPr>
            </w:pPr>
          </w:p>
        </w:tc>
        <w:tc>
          <w:tcPr>
            <w:tcW w:w="6920" w:type="dxa"/>
            <w:vAlign w:val="bottom"/>
            <w:gridSpan w:val="3"/>
          </w:tcPr>
          <w:p>
            <w:pPr>
              <w:ind w:left="3980"/>
              <w:spacing w:after="0"/>
              <w:rPr>
                <w:sz w:val="20"/>
                <w:szCs w:val="20"/>
                <w:color w:val="auto"/>
              </w:rPr>
            </w:pPr>
            <w:r>
              <w:rPr>
                <w:rFonts w:ascii="Arial" w:cs="Arial" w:eastAsia="Arial" w:hAnsi="Arial"/>
                <w:sz w:val="17"/>
                <w:szCs w:val="17"/>
                <w:color w:val="auto"/>
              </w:rPr>
              <w:t>45</w:t>
            </w: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28"/>
        </w:trPr>
        <w:tc>
          <w:tcPr>
            <w:tcW w:w="164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472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r>
      <w:tr>
        <w:trPr>
          <w:trHeight w:val="520"/>
        </w:trPr>
        <w:tc>
          <w:tcPr>
            <w:tcW w:w="1640" w:type="dxa"/>
            <w:vAlign w:val="bottom"/>
          </w:tcPr>
          <w:p>
            <w:pPr>
              <w:spacing w:after="0"/>
              <w:rPr>
                <w:sz w:val="24"/>
                <w:szCs w:val="24"/>
                <w:color w:val="auto"/>
              </w:rPr>
            </w:pPr>
          </w:p>
        </w:tc>
        <w:tc>
          <w:tcPr>
            <w:tcW w:w="9820" w:type="dxa"/>
            <w:vAlign w:val="bottom"/>
            <w:gridSpan w:val="5"/>
          </w:tcPr>
          <w:p>
            <w:pPr>
              <w:ind w:left="120"/>
              <w:spacing w:after="0"/>
              <w:rPr>
                <w:sz w:val="20"/>
                <w:szCs w:val="20"/>
                <w:color w:val="auto"/>
              </w:rPr>
            </w:pPr>
            <w:r>
              <w:rPr>
                <w:rFonts w:ascii="Arial" w:cs="Arial" w:eastAsia="Arial" w:hAnsi="Arial"/>
                <w:sz w:val="17"/>
                <w:szCs w:val="17"/>
                <w:color w:val="auto"/>
              </w:rPr>
              <w:t>Price divided by the Series G Conversion Price); and</w:t>
            </w:r>
          </w:p>
        </w:tc>
      </w:tr>
      <w:tr>
        <w:trPr>
          <w:trHeight w:val="408"/>
        </w:trPr>
        <w:tc>
          <w:tcPr>
            <w:tcW w:w="1640" w:type="dxa"/>
            <w:vAlign w:val="bottom"/>
          </w:tcPr>
          <w:p>
            <w:pPr>
              <w:ind w:left="1260"/>
              <w:spacing w:after="0"/>
              <w:rPr>
                <w:sz w:val="20"/>
                <w:szCs w:val="20"/>
                <w:color w:val="auto"/>
              </w:rPr>
            </w:pPr>
            <w:r>
              <w:rPr>
                <w:rFonts w:ascii="Arial" w:cs="Arial" w:eastAsia="Arial" w:hAnsi="Arial"/>
                <w:sz w:val="17"/>
                <w:szCs w:val="17"/>
                <w:color w:val="auto"/>
              </w:rPr>
              <w:t>X=</w:t>
            </w:r>
          </w:p>
        </w:tc>
        <w:tc>
          <w:tcPr>
            <w:tcW w:w="9820" w:type="dxa"/>
            <w:vAlign w:val="bottom"/>
            <w:gridSpan w:val="5"/>
          </w:tcPr>
          <w:p>
            <w:pPr>
              <w:ind w:left="140"/>
              <w:spacing w:after="0"/>
              <w:rPr>
                <w:sz w:val="20"/>
                <w:szCs w:val="20"/>
                <w:color w:val="auto"/>
              </w:rPr>
            </w:pPr>
            <w:r>
              <w:rPr>
                <w:rFonts w:ascii="Arial" w:cs="Arial" w:eastAsia="Arial" w:hAnsi="Arial"/>
                <w:sz w:val="17"/>
                <w:szCs w:val="17"/>
                <w:color w:val="auto"/>
                <w:w w:val="93"/>
              </w:rPr>
              <w:t>the sum of the following: (i) the total number of shares of Common Stock issued and outstanding, or deemed to be issued and outstanding</w:t>
            </w:r>
          </w:p>
        </w:tc>
      </w:tr>
      <w:tr>
        <w:trPr>
          <w:trHeight w:val="183"/>
        </w:trPr>
        <w:tc>
          <w:tcPr>
            <w:tcW w:w="1640" w:type="dxa"/>
            <w:vAlign w:val="bottom"/>
          </w:tcPr>
          <w:p>
            <w:pPr>
              <w:spacing w:after="0"/>
              <w:rPr>
                <w:sz w:val="15"/>
                <w:szCs w:val="15"/>
                <w:color w:val="auto"/>
              </w:rPr>
            </w:pPr>
          </w:p>
        </w:tc>
        <w:tc>
          <w:tcPr>
            <w:tcW w:w="9820" w:type="dxa"/>
            <w:vAlign w:val="bottom"/>
            <w:gridSpan w:val="5"/>
          </w:tcPr>
          <w:p>
            <w:pPr>
              <w:ind w:left="120"/>
              <w:spacing w:after="0" w:line="183" w:lineRule="exact"/>
              <w:rPr>
                <w:sz w:val="20"/>
                <w:szCs w:val="20"/>
                <w:color w:val="auto"/>
              </w:rPr>
            </w:pPr>
            <w:r>
              <w:rPr>
                <w:rFonts w:ascii="Arial" w:cs="Arial" w:eastAsia="Arial" w:hAnsi="Arial"/>
                <w:sz w:val="17"/>
                <w:szCs w:val="17"/>
                <w:color w:val="auto"/>
                <w:w w:val="97"/>
              </w:rPr>
              <w:t>under this Section 10.5(d)(iii), (ii) the total number of shares of Common Stock reserved for nonexercised stock options granted, and</w:t>
            </w:r>
          </w:p>
        </w:tc>
      </w:tr>
      <w:tr>
        <w:trPr>
          <w:trHeight w:val="20"/>
        </w:trPr>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7"/>
        </w:trPr>
        <w:tc>
          <w:tcPr>
            <w:tcW w:w="1640" w:type="dxa"/>
            <w:vAlign w:val="bottom"/>
          </w:tcPr>
          <w:p>
            <w:pPr>
              <w:spacing w:after="0"/>
              <w:rPr>
                <w:sz w:val="18"/>
                <w:szCs w:val="18"/>
                <w:color w:val="auto"/>
              </w:rPr>
            </w:pPr>
          </w:p>
        </w:tc>
        <w:tc>
          <w:tcPr>
            <w:tcW w:w="9820" w:type="dxa"/>
            <w:vAlign w:val="bottom"/>
            <w:gridSpan w:val="5"/>
          </w:tcPr>
          <w:p>
            <w:pPr>
              <w:ind w:left="120"/>
              <w:spacing w:after="0"/>
              <w:rPr>
                <w:sz w:val="20"/>
                <w:szCs w:val="20"/>
                <w:color w:val="auto"/>
              </w:rPr>
            </w:pPr>
            <w:r>
              <w:rPr>
                <w:rFonts w:ascii="Arial" w:cs="Arial" w:eastAsia="Arial" w:hAnsi="Arial"/>
                <w:sz w:val="17"/>
                <w:szCs w:val="17"/>
                <w:color w:val="auto"/>
                <w:w w:val="93"/>
              </w:rPr>
              <w:t>(iii) the total number of shares Common Stock reserved and available for issuance under stock option plans, immediately prior to the time</w:t>
            </w:r>
          </w:p>
        </w:tc>
      </w:tr>
      <w:tr>
        <w:trPr>
          <w:trHeight w:val="222"/>
        </w:trPr>
        <w:tc>
          <w:tcPr>
            <w:tcW w:w="1640" w:type="dxa"/>
            <w:vAlign w:val="bottom"/>
          </w:tcPr>
          <w:p>
            <w:pPr>
              <w:spacing w:after="0"/>
              <w:rPr>
                <w:sz w:val="19"/>
                <w:szCs w:val="19"/>
                <w:color w:val="auto"/>
              </w:rPr>
            </w:pPr>
          </w:p>
        </w:tc>
        <w:tc>
          <w:tcPr>
            <w:tcW w:w="9820" w:type="dxa"/>
            <w:vAlign w:val="bottom"/>
            <w:gridSpan w:val="5"/>
          </w:tcPr>
          <w:p>
            <w:pPr>
              <w:ind w:left="120"/>
              <w:spacing w:after="0"/>
              <w:rPr>
                <w:sz w:val="20"/>
                <w:szCs w:val="20"/>
                <w:color w:val="auto"/>
              </w:rPr>
            </w:pPr>
            <w:r>
              <w:rPr>
                <w:rFonts w:ascii="Arial" w:cs="Arial" w:eastAsia="Arial" w:hAnsi="Arial"/>
                <w:sz w:val="17"/>
                <w:szCs w:val="17"/>
                <w:color w:val="auto"/>
              </w:rPr>
              <w:t>of such issuance or sale;</w:t>
            </w:r>
          </w:p>
        </w:tc>
      </w:tr>
      <w:tr>
        <w:trPr>
          <w:trHeight w:val="408"/>
        </w:trPr>
        <w:tc>
          <w:tcPr>
            <w:tcW w:w="1640" w:type="dxa"/>
            <w:vAlign w:val="bottom"/>
          </w:tcPr>
          <w:p>
            <w:pPr>
              <w:ind w:left="1260"/>
              <w:spacing w:after="0"/>
              <w:rPr>
                <w:sz w:val="20"/>
                <w:szCs w:val="20"/>
                <w:color w:val="auto"/>
              </w:rPr>
            </w:pPr>
            <w:r>
              <w:rPr>
                <w:rFonts w:ascii="Arial" w:cs="Arial" w:eastAsia="Arial" w:hAnsi="Arial"/>
                <w:sz w:val="17"/>
                <w:szCs w:val="17"/>
                <w:color w:val="auto"/>
              </w:rPr>
              <w:t>Y=</w:t>
            </w:r>
          </w:p>
        </w:tc>
        <w:tc>
          <w:tcPr>
            <w:tcW w:w="9820" w:type="dxa"/>
            <w:vAlign w:val="bottom"/>
            <w:gridSpan w:val="5"/>
          </w:tcPr>
          <w:p>
            <w:pPr>
              <w:ind w:left="140"/>
              <w:spacing w:after="0"/>
              <w:rPr>
                <w:sz w:val="20"/>
                <w:szCs w:val="20"/>
                <w:color w:val="auto"/>
              </w:rPr>
            </w:pPr>
            <w:r>
              <w:rPr>
                <w:rFonts w:ascii="Arial" w:cs="Arial" w:eastAsia="Arial" w:hAnsi="Arial"/>
                <w:sz w:val="17"/>
                <w:szCs w:val="17"/>
                <w:color w:val="auto"/>
                <w:w w:val="92"/>
              </w:rPr>
              <w:t>the number of shares of Common Stock that could have been purchased for the Aggregate Consideration at the Series G Conversion Price</w:t>
            </w:r>
          </w:p>
        </w:tc>
      </w:tr>
      <w:tr>
        <w:trPr>
          <w:trHeight w:val="222"/>
        </w:trPr>
        <w:tc>
          <w:tcPr>
            <w:tcW w:w="1640" w:type="dxa"/>
            <w:vAlign w:val="bottom"/>
          </w:tcPr>
          <w:p>
            <w:pPr>
              <w:spacing w:after="0"/>
              <w:rPr>
                <w:sz w:val="19"/>
                <w:szCs w:val="19"/>
                <w:color w:val="auto"/>
              </w:rPr>
            </w:pPr>
          </w:p>
        </w:tc>
        <w:tc>
          <w:tcPr>
            <w:tcW w:w="9820" w:type="dxa"/>
            <w:vAlign w:val="bottom"/>
            <w:gridSpan w:val="5"/>
          </w:tcPr>
          <w:p>
            <w:pPr>
              <w:ind w:left="120"/>
              <w:spacing w:after="0"/>
              <w:rPr>
                <w:sz w:val="20"/>
                <w:szCs w:val="20"/>
                <w:color w:val="auto"/>
              </w:rPr>
            </w:pPr>
            <w:r>
              <w:rPr>
                <w:rFonts w:ascii="Arial" w:cs="Arial" w:eastAsia="Arial" w:hAnsi="Arial"/>
                <w:sz w:val="17"/>
                <w:szCs w:val="17"/>
                <w:color w:val="auto"/>
              </w:rPr>
              <w:t>in effect immediately prior to such reduction;</w:t>
            </w:r>
          </w:p>
        </w:tc>
      </w:tr>
      <w:tr>
        <w:trPr>
          <w:trHeight w:val="381"/>
        </w:trPr>
        <w:tc>
          <w:tcPr>
            <w:tcW w:w="1640" w:type="dxa"/>
            <w:vAlign w:val="bottom"/>
          </w:tcPr>
          <w:p>
            <w:pPr>
              <w:ind w:left="1260"/>
              <w:spacing w:after="0"/>
              <w:rPr>
                <w:sz w:val="20"/>
                <w:szCs w:val="20"/>
                <w:color w:val="auto"/>
              </w:rPr>
            </w:pPr>
            <w:r>
              <w:rPr>
                <w:rFonts w:ascii="Arial" w:cs="Arial" w:eastAsia="Arial" w:hAnsi="Arial"/>
                <w:sz w:val="17"/>
                <w:szCs w:val="17"/>
                <w:color w:val="auto"/>
              </w:rPr>
              <w:t>Z=</w:t>
            </w:r>
          </w:p>
        </w:tc>
        <w:tc>
          <w:tcPr>
            <w:tcW w:w="9820" w:type="dxa"/>
            <w:vAlign w:val="bottom"/>
            <w:gridSpan w:val="5"/>
          </w:tcPr>
          <w:p>
            <w:pPr>
              <w:ind w:left="140"/>
              <w:spacing w:after="0"/>
              <w:rPr>
                <w:sz w:val="20"/>
                <w:szCs w:val="20"/>
                <w:color w:val="auto"/>
              </w:rPr>
            </w:pPr>
            <w:r>
              <w:rPr>
                <w:rFonts w:ascii="Arial" w:cs="Arial" w:eastAsia="Arial" w:hAnsi="Arial"/>
                <w:sz w:val="17"/>
                <w:szCs w:val="17"/>
                <w:color w:val="auto"/>
                <w:w w:val="93"/>
              </w:rPr>
              <w:t>the number of shares of Common Stock issued or sold, or deemed to be issued or sold under this Section 10.5(d)(iii), in such issuance or</w:t>
            </w:r>
          </w:p>
        </w:tc>
      </w:tr>
      <w:tr>
        <w:trPr>
          <w:trHeight w:val="229"/>
        </w:trPr>
        <w:tc>
          <w:tcPr>
            <w:tcW w:w="164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7"/>
                <w:szCs w:val="17"/>
                <w:color w:val="auto"/>
              </w:rPr>
              <w:t>sale.</w:t>
            </w:r>
          </w:p>
        </w:tc>
        <w:tc>
          <w:tcPr>
            <w:tcW w:w="1340" w:type="dxa"/>
            <w:vAlign w:val="bottom"/>
            <w:tcBorders>
              <w:top w:val="single" w:sz="8" w:color="auto"/>
            </w:tcBorders>
          </w:tcPr>
          <w:p>
            <w:pPr>
              <w:spacing w:after="0"/>
              <w:rPr>
                <w:sz w:val="19"/>
                <w:szCs w:val="19"/>
                <w:color w:val="auto"/>
              </w:rPr>
            </w:pPr>
          </w:p>
        </w:tc>
        <w:tc>
          <w:tcPr>
            <w:tcW w:w="15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-1824355</wp:posOffset>
            </wp:positionV>
            <wp:extent cx="12700" cy="292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-1824355</wp:posOffset>
            </wp:positionV>
            <wp:extent cx="12700" cy="292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ind w:left="1260" w:right="40" w:firstLine="633"/>
        <w:spacing w:after="0" w:line="262" w:lineRule="auto"/>
        <w:tabs>
          <w:tab w:leader="none" w:pos="2578"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Adjustment for Stock Splits and Combinations</w:t>
      </w:r>
      <w:r>
        <w:rPr>
          <w:rFonts w:ascii="Arial" w:cs="Arial" w:eastAsia="Arial" w:hAnsi="Arial"/>
          <w:sz w:val="17"/>
          <w:szCs w:val="17"/>
          <w:color w:val="auto"/>
        </w:rPr>
        <w:t xml:space="preserve">. If the Corporation at any time or from time to time after the Restatement Date effects a subdivision of the outstanding Common Stock without a corresponding subdivision of the Series G Preferred Stock, the Series G Conversion Price in effect immediately before that subdivision will be proportionately decreased. Conversely, if the Corporation at any time or from time to time combines the outstanding shares of Common Stock into a smaller number of shares without a corresponding combination of the Series G Preferred Stock, the Series G Conversion Price in effect immediately before the combination will be proportionately increased. Any adjustment under this </w:t>
      </w:r>
      <w:r>
        <w:rPr>
          <w:rFonts w:ascii="Arial" w:cs="Arial" w:eastAsia="Arial" w:hAnsi="Arial"/>
          <w:sz w:val="17"/>
          <w:szCs w:val="17"/>
          <w:u w:val="single" w:color="auto"/>
          <w:color w:val="auto"/>
        </w:rPr>
        <w:t>Section 10.5(d)(i)</w:t>
      </w:r>
      <w:r>
        <w:rPr>
          <w:rFonts w:ascii="Arial" w:cs="Arial" w:eastAsia="Arial" w:hAnsi="Arial"/>
          <w:sz w:val="17"/>
          <w:szCs w:val="17"/>
          <w:color w:val="auto"/>
        </w:rPr>
        <w:t xml:space="preserve"> will become effective at the close of business on the date the subdivision or combination becomes effective.</w:t>
      </w:r>
    </w:p>
    <w:p>
      <w:pPr>
        <w:spacing w:after="0" w:line="184" w:lineRule="exact"/>
        <w:rPr>
          <w:rFonts w:ascii="Arial" w:cs="Arial" w:eastAsia="Arial" w:hAnsi="Arial"/>
          <w:sz w:val="17"/>
          <w:szCs w:val="17"/>
          <w:color w:val="auto"/>
        </w:rPr>
      </w:pPr>
    </w:p>
    <w:p>
      <w:pPr>
        <w:ind w:left="1260" w:right="60" w:firstLine="633"/>
        <w:spacing w:after="0" w:line="265" w:lineRule="auto"/>
        <w:tabs>
          <w:tab w:leader="none" w:pos="2583"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Adjustment for Common Stock Dividends and Distributions</w:t>
      </w:r>
      <w:r>
        <w:rPr>
          <w:rFonts w:ascii="Arial" w:cs="Arial" w:eastAsia="Arial" w:hAnsi="Arial"/>
          <w:sz w:val="17"/>
          <w:szCs w:val="17"/>
          <w:color w:val="auto"/>
        </w:rPr>
        <w:t>. If the Corporation at any time or from time to time after the Restatement Date makes, or fixes a record date for the determination of holders of Common Stock entitled to receive, a dividend or other distribution payable in additional shares of Common Stock, in each such event the Series G Conversion Price that is then in effect will be decreased as of the time of such issuance or, in the event such record date is fixed, as of the close of business on such record date, by multiplying the Series G Conversion Price then in effect by the result of the following formula:</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X / (Y+Z), where</w:t>
      </w:r>
    </w:p>
    <w:p>
      <w:pPr>
        <w:spacing w:after="0" w:line="224" w:lineRule="exact"/>
        <w:rPr>
          <w:sz w:val="20"/>
          <w:szCs w:val="20"/>
          <w:color w:val="auto"/>
        </w:rPr>
      </w:pPr>
    </w:p>
    <w:p>
      <w:pPr>
        <w:ind w:left="1760" w:right="580" w:hanging="502"/>
        <w:spacing w:after="0" w:line="289" w:lineRule="auto"/>
        <w:tabs>
          <w:tab w:leader="none" w:pos="1740" w:val="left"/>
        </w:tabs>
        <w:rPr>
          <w:sz w:val="20"/>
          <w:szCs w:val="20"/>
          <w:color w:val="auto"/>
        </w:rPr>
      </w:pPr>
      <w:r>
        <w:rPr>
          <w:rFonts w:ascii="Arial" w:cs="Arial" w:eastAsia="Arial" w:hAnsi="Arial"/>
          <w:sz w:val="17"/>
          <w:szCs w:val="17"/>
          <w:color w:val="auto"/>
        </w:rPr>
        <w:t>X =</w:t>
        <w:tab/>
        <w:t>the total number of shares of Common Stock issued and outstanding immediately prior to the time of such issuance or the close of business on such record date;</w:t>
      </w:r>
    </w:p>
    <w:p>
      <w:pPr>
        <w:spacing w:after="0" w:line="158" w:lineRule="exact"/>
        <w:rPr>
          <w:sz w:val="20"/>
          <w:szCs w:val="20"/>
          <w:color w:val="auto"/>
        </w:rPr>
      </w:pPr>
    </w:p>
    <w:p>
      <w:pPr>
        <w:ind w:left="1760" w:right="580" w:hanging="502"/>
        <w:spacing w:after="0" w:line="289" w:lineRule="auto"/>
        <w:tabs>
          <w:tab w:leader="none" w:pos="1740" w:val="left"/>
        </w:tabs>
        <w:rPr>
          <w:sz w:val="20"/>
          <w:szCs w:val="20"/>
          <w:color w:val="auto"/>
        </w:rPr>
      </w:pPr>
      <w:r>
        <w:rPr>
          <w:rFonts w:ascii="Arial" w:cs="Arial" w:eastAsia="Arial" w:hAnsi="Arial"/>
          <w:sz w:val="17"/>
          <w:szCs w:val="17"/>
          <w:color w:val="auto"/>
        </w:rPr>
        <w:t>Y =</w:t>
        <w:tab/>
        <w:t>the total number of shares of Common Stock issued and outstanding immediately prior to the time of such issuance or the close of business on such record date; and</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7"/>
          <w:szCs w:val="17"/>
          <w:color w:val="auto"/>
        </w:rPr>
        <w:t>Z =</w:t>
      </w:r>
      <w:r>
        <w:rPr>
          <w:sz w:val="20"/>
          <w:szCs w:val="20"/>
          <w:color w:val="auto"/>
        </w:rPr>
        <w:tab/>
      </w:r>
      <w:r>
        <w:rPr>
          <w:rFonts w:ascii="Arial" w:cs="Arial" w:eastAsia="Arial" w:hAnsi="Arial"/>
          <w:sz w:val="15"/>
          <w:szCs w:val="15"/>
          <w:color w:val="auto"/>
        </w:rPr>
        <w:t>the number of shares of Common Stock issuable in payment of such dividend or distribution;</w:t>
      </w:r>
    </w:p>
    <w:p>
      <w:pPr>
        <w:spacing w:after="0" w:line="224" w:lineRule="exact"/>
        <w:rPr>
          <w:sz w:val="20"/>
          <w:szCs w:val="20"/>
          <w:color w:val="auto"/>
        </w:rPr>
      </w:pPr>
    </w:p>
    <w:p>
      <w:pPr>
        <w:ind w:left="1260" w:right="200"/>
        <w:spacing w:after="0" w:line="298" w:lineRule="auto"/>
        <w:rPr>
          <w:sz w:val="20"/>
          <w:szCs w:val="20"/>
          <w:color w:val="auto"/>
        </w:rPr>
      </w:pPr>
      <w:r>
        <w:rPr>
          <w:rFonts w:ascii="Arial" w:cs="Arial" w:eastAsia="Arial" w:hAnsi="Arial"/>
          <w:sz w:val="16"/>
          <w:szCs w:val="16"/>
          <w:color w:val="auto"/>
        </w:rPr>
        <w:t xml:space="preserve">provided, however, that if such record date is fixed and such dividend is not fully paid or if such distribution is not fully made on the date fixed therefor, the Series G Conversion Price will be recomputed accordingly as of the close of business on such record date and thereafter the Series G Conversion Price will be adjusted pursuant to this </w:t>
      </w:r>
      <w:r>
        <w:rPr>
          <w:rFonts w:ascii="Arial" w:cs="Arial" w:eastAsia="Arial" w:hAnsi="Arial"/>
          <w:sz w:val="16"/>
          <w:szCs w:val="16"/>
          <w:u w:val="single" w:color="auto"/>
          <w:color w:val="auto"/>
        </w:rPr>
        <w:t>Section 10.5(d)(ii)</w:t>
      </w:r>
      <w:r>
        <w:rPr>
          <w:rFonts w:ascii="Arial" w:cs="Arial" w:eastAsia="Arial" w:hAnsi="Arial"/>
          <w:sz w:val="16"/>
          <w:szCs w:val="16"/>
          <w:color w:val="auto"/>
        </w:rPr>
        <w:t xml:space="preserve"> to reflect the actual payment of such dividend or distribution.</w:t>
      </w:r>
    </w:p>
    <w:p>
      <w:pPr>
        <w:spacing w:after="0" w:line="154" w:lineRule="exact"/>
        <w:rPr>
          <w:sz w:val="20"/>
          <w:szCs w:val="20"/>
          <w:color w:val="auto"/>
        </w:rPr>
      </w:pPr>
    </w:p>
    <w:p>
      <w:pPr>
        <w:ind w:left="1260" w:right="40" w:firstLine="633"/>
        <w:spacing w:after="0" w:line="276" w:lineRule="auto"/>
        <w:tabs>
          <w:tab w:leader="none" w:pos="2588"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Deemed Issuances or Sales</w:t>
      </w:r>
      <w:r>
        <w:rPr>
          <w:rFonts w:ascii="Arial" w:cs="Arial" w:eastAsia="Arial" w:hAnsi="Arial"/>
          <w:sz w:val="16"/>
          <w:szCs w:val="16"/>
          <w:color w:val="auto"/>
        </w:rPr>
        <w:t>. If the Corporation issues or sells any Convertible Securities after the Restatement Date and if the Effective Price of the Additional Common Stock underlying such Convertible Securities is less than the Series G Conversion Price, in each such case the Corporation will be deemed to have issued at the time of the issuance of such Convertible Securities the maximum number of shares of Additional Common Stock issuable upon exercise or conversion thereof and to have received as consideration for the issuance of such shares an amount equal to the total amount of the consideration, if any, received by the Corporation for the issuance of such Convertible Securities, plus, in the case of such rights or options, the minimum amounts of consideration, if any, payable to the Corporation upon the exercise or conversion of such Convertible Securities (other than by cancellation of liabilities or obligations evidenced by such Convertible Securities) upon the conversion thereof; provided, that, if the minimum amount of consideration payable to the Corporation upon the exercise or conversion of Convertible Securities is reduced over time or on the occurrence or non-occurrence of specified events other than by reason of anti-dilution adjustments, the Effective Price will be recalculated at such time using the figure to which such minimum amount of consideration is reduced; provided further, that if the minimum amount of consideration payable to the Corporation upon the exercise or conversion of such Convertible Securities is subsequently increased, the Effective Price will be again recalculated using the increased minimum amount of consideration payable to the Corporation upon the exercise or conversion of such Convertible Securities. No further adjustment of the Series G Conversion Price, as adjusted upon the issuance of such Convertible Securities, will be made as a result of the actual issuance of shares of Additional Common Stock on the exercise or conversion of any such Convertible Securities. If any Convertible Securities outstanding (including those outstanding as of the Restatement Date) expire without having been exercised or converted, the Series G Conversion Price will be adjusted to the Series G Conversion Price which would have been in effect absent the issuance of such expired Convertible Securities.</w:t>
      </w:r>
    </w:p>
    <w:p>
      <w:pPr>
        <w:spacing w:after="0" w:line="178" w:lineRule="exact"/>
        <w:rPr>
          <w:rFonts w:ascii="Arial" w:cs="Arial" w:eastAsia="Arial" w:hAnsi="Arial"/>
          <w:sz w:val="16"/>
          <w:szCs w:val="16"/>
          <w:color w:val="auto"/>
        </w:rPr>
      </w:pPr>
    </w:p>
    <w:p>
      <w:pPr>
        <w:ind w:left="640" w:right="60" w:firstLine="623"/>
        <w:spacing w:after="0" w:line="360" w:lineRule="auto"/>
        <w:tabs>
          <w:tab w:leader="none" w:pos="1943" w:val="left"/>
        </w:tabs>
        <w:numPr>
          <w:ilvl w:val="0"/>
          <w:numId w:val="202"/>
        </w:numPr>
        <w:rPr>
          <w:rFonts w:ascii="Arial" w:cs="Arial" w:eastAsia="Arial" w:hAnsi="Arial"/>
          <w:sz w:val="15"/>
          <w:szCs w:val="15"/>
          <w:color w:val="auto"/>
        </w:rPr>
      </w:pPr>
      <w:r>
        <w:rPr>
          <w:rFonts w:ascii="Arial" w:cs="Arial" w:eastAsia="Arial" w:hAnsi="Arial"/>
          <w:sz w:val="15"/>
          <w:szCs w:val="15"/>
          <w:u w:val="single" w:color="auto"/>
          <w:color w:val="auto"/>
        </w:rPr>
        <w:t>Issuance of Certificates; Time Conversion Effected</w:t>
      </w:r>
      <w:r>
        <w:rPr>
          <w:rFonts w:ascii="Arial" w:cs="Arial" w:eastAsia="Arial" w:hAnsi="Arial"/>
          <w:sz w:val="15"/>
          <w:szCs w:val="15"/>
          <w:color w:val="auto"/>
        </w:rPr>
        <w:t>. Promptly after the automatic or optional conversion and surrender of the certificate or certificates (and notice, as applicable) for the share or shares of Series G Preferred Stock to be converted, the Corporation will issue and deliver, or</w:t>
      </w:r>
    </w:p>
    <w:p>
      <w:pPr>
        <w:sectPr>
          <w:pgSz w:w="11900" w:h="16891" w:orient="portrait"/>
          <w:cols w:equalWidth="0" w:num="1">
            <w:col w:w="11460"/>
          </w:cols>
          <w:pgMar w:left="240" w:top="337" w:right="199" w:bottom="0" w:gutter="0" w:footer="0" w:header="0"/>
        </w:sectPr>
      </w:pPr>
    </w:p>
    <w:bookmarkStart w:id="220" w:name="page221"/>
    <w:bookmarkEnd w:id="220"/>
    <w:p>
      <w:pPr>
        <w:ind w:left="640"/>
        <w:spacing w:after="0"/>
        <w:rPr>
          <w:sz w:val="20"/>
          <w:szCs w:val="20"/>
          <w:color w:val="auto"/>
        </w:rPr>
      </w:pPr>
      <w:r>
        <w:rPr>
          <w:rFonts w:ascii="Arial" w:cs="Arial" w:eastAsia="Arial" w:hAnsi="Arial"/>
          <w:sz w:val="17"/>
          <w:szCs w:val="17"/>
          <w:color w:val="auto"/>
        </w:rPr>
        <w:t>cause to be issued and delivered, to the holder thereof, registered in such name or names as such holder may direct, (A) a certificate or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line="278" w:lineRule="auto"/>
        <w:rPr>
          <w:sz w:val="20"/>
          <w:szCs w:val="20"/>
          <w:color w:val="auto"/>
        </w:rPr>
      </w:pPr>
      <w:r>
        <w:rPr>
          <w:rFonts w:ascii="Arial" w:cs="Arial" w:eastAsia="Arial" w:hAnsi="Arial"/>
          <w:sz w:val="16"/>
          <w:szCs w:val="16"/>
          <w:color w:val="auto"/>
        </w:rPr>
        <w:t>certificates for the number of whole shares of Common Stock issuable upon the conversion of such share or shares of Series G Preferred Stock and (B), in the case of a partial optional conversion, a certificate or certificates for the number of whole shares of Series G Preferred Stock which the notice delivered by such holder specified were not to be converted, unless and to the extent the Board adopts a resolution providing that the Series G Preferred Stock or Common Stock shall be uncertificated or registered in book entry form. With respect to an automatic conversion, effective immediately upon such conversion, regardless of whether the certificate or certificates for such share or shares shall have been surrendered, the rights of the holder of such share or shares of Series G Preferred Stock will cease, and the person(s) in whose name or names any certificate, certificates or book entry for shares of Common Stock issued upon such conversion will be deemed to have become the holder or holders of record of the shares represented thereby. With respect to an optional conversion, the certificate or certificates for such converted share or shares will have been surrendered as aforesaid, and at such time the rights of the holder of such converted share or shares of Series G Preferred Stock will cease, and the person(s) in whose name or names any certificate or certificates for shares of Common Stock (or Series G Preferred Stock, as applicable) will be issuable upon such conversion will be deemed to have become the holder or holders of record of the shares represented thereby.</w:t>
      </w:r>
    </w:p>
    <w:p>
      <w:pPr>
        <w:spacing w:after="0" w:line="173" w:lineRule="exact"/>
        <w:rPr>
          <w:sz w:val="20"/>
          <w:szCs w:val="20"/>
          <w:color w:val="auto"/>
        </w:rPr>
      </w:pPr>
    </w:p>
    <w:p>
      <w:pPr>
        <w:ind w:left="640" w:right="40" w:firstLine="623"/>
        <w:spacing w:after="0" w:line="285" w:lineRule="auto"/>
        <w:tabs>
          <w:tab w:leader="none" w:pos="1968"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Fractional Shares; Dividends; Partial Conversion</w:t>
      </w:r>
      <w:r>
        <w:rPr>
          <w:rFonts w:ascii="Arial" w:cs="Arial" w:eastAsia="Arial" w:hAnsi="Arial"/>
          <w:sz w:val="16"/>
          <w:szCs w:val="16"/>
          <w:color w:val="auto"/>
        </w:rPr>
        <w:t xml:space="preserve">. No fractional shares will be issued upon conversion of Series G Preferred Stock into Common Stock and no payment or adjustment will be made upon any conversion on account of any cash dividends on the Common Stock issued upon conversion. If any fractional share of Common Stock would, except for the provisions of the first sentence of this </w:t>
      </w:r>
      <w:r>
        <w:rPr>
          <w:rFonts w:ascii="Arial" w:cs="Arial" w:eastAsia="Arial" w:hAnsi="Arial"/>
          <w:sz w:val="16"/>
          <w:szCs w:val="16"/>
          <w:u w:val="single" w:color="auto"/>
          <w:color w:val="auto"/>
        </w:rPr>
        <w:t>Section 10.5(f)</w:t>
      </w:r>
      <w:r>
        <w:rPr>
          <w:rFonts w:ascii="Arial" w:cs="Arial" w:eastAsia="Arial" w:hAnsi="Arial"/>
          <w:sz w:val="16"/>
          <w:szCs w:val="16"/>
          <w:color w:val="auto"/>
        </w:rPr>
        <w:t>, be delivered upon such conversion, the Corporation, in lieu of delivering such fractional share, will pay to the holder surrendering the Series G Preferred Stock for conversion an amount in cash equal to the current market price of such fractional share as determined in good faith by the Board.</w:t>
      </w:r>
    </w:p>
    <w:p>
      <w:pPr>
        <w:spacing w:after="0" w:line="166" w:lineRule="exact"/>
        <w:rPr>
          <w:rFonts w:ascii="Arial" w:cs="Arial" w:eastAsia="Arial" w:hAnsi="Arial"/>
          <w:sz w:val="16"/>
          <w:szCs w:val="16"/>
          <w:color w:val="auto"/>
        </w:rPr>
      </w:pPr>
    </w:p>
    <w:p>
      <w:pPr>
        <w:ind w:left="640" w:firstLine="623"/>
        <w:spacing w:after="0" w:line="263" w:lineRule="auto"/>
        <w:tabs>
          <w:tab w:leader="none" w:pos="1953"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Stock to be Reserved</w:t>
      </w:r>
      <w:r>
        <w:rPr>
          <w:rFonts w:ascii="Arial" w:cs="Arial" w:eastAsia="Arial" w:hAnsi="Arial"/>
          <w:sz w:val="17"/>
          <w:szCs w:val="17"/>
          <w:color w:val="auto"/>
        </w:rPr>
        <w:t>. The Corporation will at all times reserve and keep available out of its authorized Common Stock, solely for the purpose of issuance upon the conversion of Series G Preferred Stock as herein provided, such number of shares of Common Stock as are then issuable upon the conversion of all outstanding shares of Series G Preferred Stock. All shares of Common Stock so issued will be duly and validly issued and fully paid and nonassessable. The Corporation will take all such action as may be necessary to assure that all such shares of Common Stock may be so issued without violation of any applicable law or regulation, or of any requirement of any national securities exchange upon which the Common Stock may be listed.</w:t>
      </w:r>
    </w:p>
    <w:p>
      <w:pPr>
        <w:spacing w:after="0" w:line="183" w:lineRule="exact"/>
        <w:rPr>
          <w:rFonts w:ascii="Arial" w:cs="Arial" w:eastAsia="Arial" w:hAnsi="Arial"/>
          <w:sz w:val="17"/>
          <w:szCs w:val="17"/>
          <w:color w:val="auto"/>
        </w:rPr>
      </w:pPr>
    </w:p>
    <w:p>
      <w:pPr>
        <w:ind w:left="640" w:right="340" w:firstLine="623"/>
        <w:spacing w:after="0" w:line="273" w:lineRule="auto"/>
        <w:tabs>
          <w:tab w:leader="none" w:pos="1953"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No Reissuance of Series G Preferred Stock</w:t>
      </w:r>
      <w:r>
        <w:rPr>
          <w:rFonts w:ascii="Arial" w:cs="Arial" w:eastAsia="Arial" w:hAnsi="Arial"/>
          <w:sz w:val="17"/>
          <w:szCs w:val="17"/>
          <w:color w:val="auto"/>
        </w:rPr>
        <w:t>. Shares of Series G Preferred Stock that are converted into shares of Common Stock as provided herein will not be reissued as Series G Preferred Stock but will be generally available to be reissued pursuant to a separate statement of resolution adopted by the Board.</w:t>
      </w:r>
    </w:p>
    <w:p>
      <w:pPr>
        <w:spacing w:after="0" w:line="171" w:lineRule="exact"/>
        <w:rPr>
          <w:rFonts w:ascii="Arial" w:cs="Arial" w:eastAsia="Arial" w:hAnsi="Arial"/>
          <w:sz w:val="17"/>
          <w:szCs w:val="17"/>
          <w:color w:val="auto"/>
        </w:rPr>
      </w:pPr>
    </w:p>
    <w:p>
      <w:pPr>
        <w:ind w:left="640" w:right="60" w:firstLine="623"/>
        <w:spacing w:after="0" w:line="289" w:lineRule="auto"/>
        <w:tabs>
          <w:tab w:leader="none" w:pos="1958"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Issue Tax</w:t>
      </w:r>
      <w:r>
        <w:rPr>
          <w:rFonts w:ascii="Arial" w:cs="Arial" w:eastAsia="Arial" w:hAnsi="Arial"/>
          <w:sz w:val="17"/>
          <w:szCs w:val="17"/>
          <w:color w:val="auto"/>
        </w:rPr>
        <w:t>. The issuance of certificates for shares of Common Stock upon conversion of Series G Preferred Stock will be made without charge to the 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180"/>
        <w:spacing w:after="0" w:line="273" w:lineRule="auto"/>
        <w:rPr>
          <w:sz w:val="20"/>
          <w:szCs w:val="20"/>
          <w:color w:val="auto"/>
        </w:rPr>
      </w:pPr>
      <w:r>
        <w:rPr>
          <w:rFonts w:ascii="Arial" w:cs="Arial" w:eastAsia="Arial" w:hAnsi="Arial"/>
          <w:sz w:val="17"/>
          <w:szCs w:val="17"/>
          <w:color w:val="auto"/>
        </w:rPr>
        <w:t>thereof for any issuance tax in respect thereof, provided that the Corporation will not be required to pay any tax which may be payable in respect of any transfer involved in the issuance and delivery of any certificate in a name other than that of the holder of the Series G Preferred Stock which is being converted.</w:t>
      </w:r>
    </w:p>
    <w:p>
      <w:pPr>
        <w:spacing w:after="0" w:line="172" w:lineRule="exact"/>
        <w:rPr>
          <w:sz w:val="20"/>
          <w:szCs w:val="20"/>
          <w:color w:val="auto"/>
        </w:rPr>
      </w:pPr>
    </w:p>
    <w:p>
      <w:pPr>
        <w:jc w:val="both"/>
        <w:ind w:left="640" w:right="240" w:firstLine="623"/>
        <w:spacing w:after="0" w:line="326" w:lineRule="auto"/>
        <w:tabs>
          <w:tab w:leader="none" w:pos="1958" w:val="left"/>
        </w:tabs>
        <w:numPr>
          <w:ilvl w:val="0"/>
          <w:numId w:val="204"/>
        </w:numPr>
        <w:rPr>
          <w:rFonts w:ascii="Arial" w:cs="Arial" w:eastAsia="Arial" w:hAnsi="Arial"/>
          <w:sz w:val="15"/>
          <w:szCs w:val="15"/>
          <w:color w:val="auto"/>
        </w:rPr>
      </w:pPr>
      <w:r>
        <w:rPr>
          <w:rFonts w:ascii="Arial" w:cs="Arial" w:eastAsia="Arial" w:hAnsi="Arial"/>
          <w:sz w:val="15"/>
          <w:szCs w:val="15"/>
          <w:u w:val="single" w:color="auto"/>
          <w:color w:val="auto"/>
        </w:rPr>
        <w:t>Closing of Books</w:t>
      </w:r>
      <w:r>
        <w:rPr>
          <w:rFonts w:ascii="Arial" w:cs="Arial" w:eastAsia="Arial" w:hAnsi="Arial"/>
          <w:sz w:val="15"/>
          <w:szCs w:val="15"/>
          <w:color w:val="auto"/>
        </w:rPr>
        <w:t>. The Corporation will at no time close its transfer books against the transfer of any Series G Preferred Stock or of any shares of Common Stock issued or issuable upon the conversion of any shares of Series G Preferred Stock in any manner which interferes with the timely conversion of such Series G Preferred Stock, except as may otherwise be required to comply with applicable securities and corporate laws.</w:t>
      </w:r>
    </w:p>
    <w:p>
      <w:pPr>
        <w:spacing w:after="0" w:line="136" w:lineRule="exact"/>
        <w:rPr>
          <w:rFonts w:ascii="Arial" w:cs="Arial" w:eastAsia="Arial" w:hAnsi="Arial"/>
          <w:sz w:val="15"/>
          <w:szCs w:val="15"/>
          <w:color w:val="auto"/>
        </w:rPr>
      </w:pPr>
    </w:p>
    <w:p>
      <w:pPr>
        <w:ind w:left="640" w:right="60" w:firstLine="623"/>
        <w:spacing w:after="0" w:line="299" w:lineRule="auto"/>
        <w:tabs>
          <w:tab w:leader="none" w:pos="1953" w:val="left"/>
        </w:tabs>
        <w:numPr>
          <w:ilvl w:val="0"/>
          <w:numId w:val="204"/>
        </w:numPr>
        <w:rPr>
          <w:rFonts w:ascii="Arial" w:cs="Arial" w:eastAsia="Arial" w:hAnsi="Arial"/>
          <w:sz w:val="15"/>
          <w:szCs w:val="15"/>
          <w:color w:val="auto"/>
        </w:rPr>
      </w:pPr>
      <w:r>
        <w:rPr>
          <w:rFonts w:ascii="Arial" w:cs="Arial" w:eastAsia="Arial" w:hAnsi="Arial"/>
          <w:sz w:val="15"/>
          <w:szCs w:val="15"/>
          <w:u w:val="single" w:color="auto"/>
          <w:color w:val="auto"/>
        </w:rPr>
        <w:t>Reorganization or Reclassification</w:t>
      </w:r>
      <w:r>
        <w:rPr>
          <w:rFonts w:ascii="Arial" w:cs="Arial" w:eastAsia="Arial" w:hAnsi="Arial"/>
          <w:sz w:val="15"/>
          <w:szCs w:val="15"/>
          <w:color w:val="auto"/>
        </w:rPr>
        <w:t>. If any capital reorganization, reclassification of the capital stock of the Corporation, stock split, or stock dividend (each a “</w:t>
      </w:r>
      <w:r>
        <w:rPr>
          <w:rFonts w:ascii="Arial" w:cs="Arial" w:eastAsia="Arial" w:hAnsi="Arial"/>
          <w:sz w:val="15"/>
          <w:szCs w:val="15"/>
          <w:b w:val="1"/>
          <w:bCs w:val="1"/>
          <w:i w:val="1"/>
          <w:iCs w:val="1"/>
          <w:color w:val="auto"/>
        </w:rPr>
        <w:t>Distribution</w:t>
      </w:r>
      <w:r>
        <w:rPr>
          <w:rFonts w:ascii="Arial" w:cs="Arial" w:eastAsia="Arial" w:hAnsi="Arial"/>
          <w:sz w:val="15"/>
          <w:szCs w:val="15"/>
          <w:color w:val="auto"/>
        </w:rPr>
        <w:t>”) is effected in such a way that holders of Common Stock will be entitled to receive stock, securities or assets with respect to or in exchange for Common Stock, then, as a condition of such Distribution, lawful and adequate provisions will be made whereby each holder of a share or shares of Series G Preferred Stock will thereupon have the right to receive, subject to the terms and conditions specified herein and, as applicable, in lieu of the shares of Common Stock receivable upon the conversion of such share or shares of Series G Preferred Stock immediately prior to such Distribution, such shares of stock, securities or assets as may be issued or payable with respect to or, as applicable, in exchange for a number of outstanding shares of such Common Stock equal to the number of shares of such Common Stock receivable immediately prior to such Distribution upon such conversion had such Distribution not taken place. In any such case, appropriate adjustments to the provisions hereof shall be made with respect to the rights and interests of such holder of Series G Preferred Stock after the Distribution to the end that the provisions hereof will thereafter be applicable, as nearly as may be, in relation to any shares of stock, securities or assets thereafter deliverable upon the exercise of such conversion rights.</w:t>
      </w:r>
    </w:p>
    <w:p>
      <w:pPr>
        <w:spacing w:after="0" w:line="158" w:lineRule="exact"/>
        <w:rPr>
          <w:sz w:val="20"/>
          <w:szCs w:val="20"/>
          <w:color w:val="auto"/>
        </w:rPr>
      </w:pPr>
    </w:p>
    <w:p>
      <w:pPr>
        <w:ind w:right="520" w:firstLine="629"/>
        <w:spacing w:after="0" w:line="289"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Senior Preferred Stock</w:t>
      </w:r>
      <w:r>
        <w:rPr>
          <w:rFonts w:ascii="Arial" w:cs="Arial" w:eastAsia="Arial" w:hAnsi="Arial"/>
          <w:sz w:val="17"/>
          <w:szCs w:val="17"/>
          <w:color w:val="auto"/>
        </w:rPr>
        <w:t xml:space="preserve">. Except as otherwise set forth in </w:t>
      </w:r>
      <w:r>
        <w:rPr>
          <w:rFonts w:ascii="Arial" w:cs="Arial" w:eastAsia="Arial" w:hAnsi="Arial"/>
          <w:sz w:val="17"/>
          <w:szCs w:val="17"/>
          <w:u w:val="single" w:color="auto"/>
          <w:color w:val="auto"/>
        </w:rPr>
        <w:t>Section 10.2(b)(ii)</w:t>
      </w:r>
      <w:r>
        <w:rPr>
          <w:rFonts w:ascii="Arial" w:cs="Arial" w:eastAsia="Arial" w:hAnsi="Arial"/>
          <w:sz w:val="17"/>
          <w:szCs w:val="17"/>
          <w:color w:val="auto"/>
        </w:rPr>
        <w:t xml:space="preserve">, the Corporation may, in its sole discretion, authorize additional classes and series of Preferred Stock with rights senior to, junior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Series G Preferred Stock.</w:t>
      </w:r>
    </w:p>
    <w:p>
      <w:pPr>
        <w:spacing w:after="0" w:line="158"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Amendments to Series G Provisions of Articles</w:t>
      </w:r>
      <w:r>
        <w:rPr>
          <w:rFonts w:ascii="Arial" w:cs="Arial" w:eastAsia="Arial" w:hAnsi="Arial"/>
          <w:sz w:val="17"/>
          <w:szCs w:val="17"/>
          <w:color w:val="auto"/>
        </w:rPr>
        <w:t xml:space="preserve">. The Company may amend any of this </w:t>
      </w:r>
      <w:r>
        <w:rPr>
          <w:rFonts w:ascii="Arial" w:cs="Arial" w:eastAsia="Arial" w:hAnsi="Arial"/>
          <w:sz w:val="17"/>
          <w:szCs w:val="17"/>
          <w:u w:val="single" w:color="auto"/>
          <w:color w:val="auto"/>
        </w:rPr>
        <w:t>ARTICLE TEN</w:t>
      </w:r>
      <w:r>
        <w:rPr>
          <w:rFonts w:ascii="Arial" w:cs="Arial" w:eastAsia="Arial" w:hAnsi="Arial"/>
          <w:sz w:val="17"/>
          <w:szCs w:val="17"/>
          <w:color w:val="auto"/>
        </w:rPr>
        <w:t xml:space="preserve"> with the consent or affirmative vote of two-thirds (2/3) of the issued and outstanding shares of Series G Preferred Stock on the date of such consent or vote.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ELEVEN — MERGER, ETC.</w:t>
      </w:r>
    </w:p>
    <w:p>
      <w:pPr>
        <w:spacing w:after="0" w:line="224"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Merger, etc</w:t>
      </w:r>
      <w:r>
        <w:rPr>
          <w:rFonts w:ascii="Arial" w:cs="Arial" w:eastAsia="Arial" w:hAnsi="Arial"/>
          <w:sz w:val="17"/>
          <w:szCs w:val="17"/>
          <w:color w:val="auto"/>
        </w:rPr>
        <w:t>. The vote or consent of 2/3 of the issued and outstanding shares of Common Stock and Preferred Stock, voting together, will be necessary for the Corporation to effect any of the following events:</w:t>
      </w:r>
    </w:p>
    <w:p>
      <w:pPr>
        <w:spacing w:after="0" w:line="158" w:lineRule="exact"/>
        <w:rPr>
          <w:sz w:val="20"/>
          <w:szCs w:val="20"/>
          <w:color w:val="auto"/>
        </w:rPr>
      </w:pPr>
    </w:p>
    <w:p>
      <w:pPr>
        <w:ind w:left="5620" w:right="560" w:hanging="4357"/>
        <w:spacing w:after="0" w:line="547" w:lineRule="auto"/>
        <w:tabs>
          <w:tab w:leader="none" w:pos="1931" w:val="left"/>
        </w:tabs>
        <w:numPr>
          <w:ilvl w:val="0"/>
          <w:numId w:val="205"/>
        </w:numPr>
        <w:rPr>
          <w:rFonts w:ascii="Arial" w:cs="Arial" w:eastAsia="Arial" w:hAnsi="Arial"/>
          <w:sz w:val="17"/>
          <w:szCs w:val="17"/>
          <w:color w:val="auto"/>
        </w:rPr>
      </w:pPr>
      <w:r>
        <w:rPr>
          <w:rFonts w:ascii="Arial" w:cs="Arial" w:eastAsia="Arial" w:hAnsi="Arial"/>
          <w:sz w:val="17"/>
          <w:szCs w:val="17"/>
          <w:color w:val="auto"/>
        </w:rPr>
        <w:t>Any merger, consolidation, share exchange or other similar transaction in which the Corporation is not the surviving entity; and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271385" cy="292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22" w:gutter="0" w:footer="0" w:header="0"/>
        </w:sectPr>
      </w:pPr>
    </w:p>
    <w:bookmarkStart w:id="221" w:name="page222"/>
    <w:bookmarkEnd w:id="221"/>
    <w:p>
      <w:pPr>
        <w:spacing w:after="0" w:line="79" w:lineRule="exact"/>
        <w:rPr>
          <w:sz w:val="20"/>
          <w:szCs w:val="20"/>
          <w:color w:val="auto"/>
        </w:rPr>
      </w:pPr>
    </w:p>
    <w:p>
      <w:pPr>
        <w:ind w:left="1940" w:hanging="677"/>
        <w:spacing w:after="0"/>
        <w:tabs>
          <w:tab w:leader="none" w:pos="194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Any sale by the Corporation of all or substantially all of the Corporation’s assets:</w:t>
      </w:r>
    </w:p>
    <w:p>
      <w:pPr>
        <w:spacing w:after="0" w:line="224"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u w:val="single" w:color="auto"/>
          <w:color w:val="auto"/>
        </w:rPr>
        <w:t>Adjustment in Authorized Common Stock</w:t>
      </w:r>
      <w:r>
        <w:rPr>
          <w:rFonts w:ascii="Arial" w:cs="Arial" w:eastAsia="Arial" w:hAnsi="Arial"/>
          <w:sz w:val="17"/>
          <w:szCs w:val="17"/>
          <w:color w:val="auto"/>
        </w:rPr>
        <w:t>. The number of authorized shares of Common Stock may be increased or decreased (but not below the number of shares of Common Stock then outstanding or reserved for issuance) by an affirmative vote of the holders of a majority of the capital stock of the Corporation entitled to vote (voting together on an as-converted basis) and without a separate class vote of the Common Stock, irrespective of the provisions of Section 242(b)(2) of the DGCL.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TWELVE — DENIAL OF PREEMPTIVE RIGHTS</w:t>
      </w:r>
    </w:p>
    <w:p>
      <w:pPr>
        <w:spacing w:after="0" w:line="224" w:lineRule="exact"/>
        <w:rPr>
          <w:sz w:val="20"/>
          <w:szCs w:val="20"/>
          <w:color w:val="auto"/>
        </w:rPr>
      </w:pPr>
    </w:p>
    <w:p>
      <w:pPr>
        <w:ind w:right="120" w:firstLine="629"/>
        <w:spacing w:after="0" w:line="273" w:lineRule="auto"/>
        <w:rPr>
          <w:sz w:val="20"/>
          <w:szCs w:val="20"/>
          <w:color w:val="auto"/>
        </w:rPr>
      </w:pPr>
      <w:r>
        <w:rPr>
          <w:rFonts w:ascii="Arial" w:cs="Arial" w:eastAsia="Arial" w:hAnsi="Arial"/>
          <w:sz w:val="17"/>
          <w:szCs w:val="17"/>
          <w:color w:val="auto"/>
        </w:rPr>
        <w:t>The preemptive right of any stockholder of the Corporation is hereby denied, including any right to acquire additional, unissued or treasury shares of the Corporation, or securities of the Corporation convertible into or carrying a right to subscribe to or acquire shares of the Corporation. The Corporation may grant preemptive rights by contract or agreement to any person or entity.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THIRTEEN — REGISTERED OFFICE AND AGENT</w:t>
      </w:r>
    </w:p>
    <w:p>
      <w:pPr>
        <w:spacing w:after="0" w:line="224" w:lineRule="exact"/>
        <w:rPr>
          <w:sz w:val="20"/>
          <w:szCs w:val="20"/>
          <w:color w:val="auto"/>
        </w:rPr>
      </w:pPr>
    </w:p>
    <w:p>
      <w:pPr>
        <w:ind w:right="500" w:firstLine="629"/>
        <w:spacing w:after="0" w:line="273" w:lineRule="auto"/>
        <w:rPr>
          <w:sz w:val="20"/>
          <w:szCs w:val="20"/>
          <w:color w:val="auto"/>
        </w:rPr>
      </w:pPr>
      <w:r>
        <w:rPr>
          <w:rFonts w:ascii="Arial" w:cs="Arial" w:eastAsia="Arial" w:hAnsi="Arial"/>
          <w:sz w:val="17"/>
          <w:szCs w:val="17"/>
          <w:color w:val="auto"/>
        </w:rPr>
        <w:t>The address of the initial registered office of Corporation in the State of Delaware is Corporation Trust Center, 1209 Orange Street, County of New Castle, Wilmington, Delaware 19801. The name of the initial registered agent for service of process on the Corporation in the State of Delaware is The Corporation Trust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FOURTEEN — WAIVER OF LIABILITY</w:t>
      </w:r>
    </w:p>
    <w:p>
      <w:pPr>
        <w:spacing w:after="0" w:line="224"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 xml:space="preserve">To the fullest extent permitted by the DGCL, as the same exists or may hereafter be amended, a director of the Corporation shall not be personally liable to the Corporation or its stockholders for monetary damages for an act or omission in the director’s capacity as a director. Any repeal or amendment of this </w:t>
      </w:r>
      <w:r>
        <w:rPr>
          <w:rFonts w:ascii="Arial" w:cs="Arial" w:eastAsia="Arial" w:hAnsi="Arial"/>
          <w:sz w:val="17"/>
          <w:szCs w:val="17"/>
          <w:u w:val="single" w:color="auto"/>
          <w:color w:val="auto"/>
        </w:rPr>
        <w:t>ARTICLE FOURTEEN</w:t>
      </w:r>
      <w:r>
        <w:rPr>
          <w:rFonts w:ascii="Arial" w:cs="Arial" w:eastAsia="Arial" w:hAnsi="Arial"/>
          <w:sz w:val="17"/>
          <w:szCs w:val="17"/>
          <w:color w:val="auto"/>
        </w:rPr>
        <w:t xml:space="preserve"> by the stockholders of the Corporation or by changes in applicable law will, to the extent permitted by applicable law, be prospective only, and shall not adversely affect any right or protection of a director of the Corporation existing at the time of, or increase the liability of any director of the Corporation with respect to any acts or omissions occurring prior to, such repeal or modification.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FIFTEEN — INDEMNIFICATION</w:t>
      </w:r>
    </w:p>
    <w:p>
      <w:pPr>
        <w:spacing w:after="0" w:line="224" w:lineRule="exact"/>
        <w:rPr>
          <w:sz w:val="20"/>
          <w:szCs w:val="20"/>
          <w:color w:val="auto"/>
        </w:rPr>
      </w:pPr>
    </w:p>
    <w:p>
      <w:pPr>
        <w:ind w:right="40" w:firstLine="629"/>
        <w:spacing w:after="0" w:line="283" w:lineRule="auto"/>
        <w:rPr>
          <w:sz w:val="20"/>
          <w:szCs w:val="20"/>
          <w:color w:val="auto"/>
        </w:rPr>
      </w:pPr>
      <w:r>
        <w:rPr>
          <w:rFonts w:ascii="Arial" w:cs="Arial" w:eastAsia="Arial" w:hAnsi="Arial"/>
          <w:sz w:val="16"/>
          <w:szCs w:val="16"/>
          <w:color w:val="auto"/>
        </w:rPr>
        <w:t xml:space="preserve">Section 15.1.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The Corporation will indemnify and hold harmless, to the fullest extent permitted by the DGCL as it currently exists or may hereafter be amended, any person (a “</w:t>
      </w:r>
      <w:r>
        <w:rPr>
          <w:rFonts w:ascii="Arial" w:cs="Arial" w:eastAsia="Arial" w:hAnsi="Arial"/>
          <w:sz w:val="16"/>
          <w:szCs w:val="16"/>
          <w:b w:val="1"/>
          <w:bCs w:val="1"/>
          <w:i w:val="1"/>
          <w:iCs w:val="1"/>
          <w:color w:val="auto"/>
        </w:rPr>
        <w:t>Covered Person</w:t>
      </w:r>
      <w:r>
        <w:rPr>
          <w:rFonts w:ascii="Arial" w:cs="Arial" w:eastAsia="Arial" w:hAnsi="Arial"/>
          <w:sz w:val="16"/>
          <w:szCs w:val="16"/>
          <w:color w:val="auto"/>
        </w:rPr>
        <w:t>”) who was or is made or is threatened to be made a party or is otherwise involved in any action, suit or proceeding, whether civil, criminal, administrative, arbitrative or investigative, any appeal in such an action, suit or proceeding, and any inquiry or investigation that could lead to such an action, suit or proceeding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because he, or a person for whom he is the legal representative, is or was a director or officer of the Corporation or, while a director or officer of the Corporation, is or was serving at the request of the Corporation as a director, officer, partner, venturer, proprietor, trustee, employee, agent or similar functionary of another corporation, employee benefit plan,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other enterprise or other entity, against all liability and loss suffered and expenses reasonably incurred by such Covered Person, including judgments, penalties, (including excise and similar taxes), fines, settlements, and reasonable expenses (including attorneys’ and experts’ fees) actually incurred by the such Covered Person. Notwithstanding the preceding sentence, the Corporation will be required to indemnify a Covered Person in connection with a Proceeding (or part thereof) commenced by such Covered Person only if the commencement of such Proceeding (or part thereof) by the Covered Person was authorized by the Board.</w:t>
      </w:r>
    </w:p>
    <w:p>
      <w:pPr>
        <w:spacing w:after="0" w:line="146" w:lineRule="exact"/>
        <w:rPr>
          <w:sz w:val="20"/>
          <w:szCs w:val="20"/>
          <w:color w:val="auto"/>
        </w:rPr>
      </w:pPr>
    </w:p>
    <w:p>
      <w:pPr>
        <w:ind w:right="200" w:firstLine="629"/>
        <w:spacing w:after="0" w:line="322" w:lineRule="auto"/>
        <w:rPr>
          <w:sz w:val="20"/>
          <w:szCs w:val="20"/>
          <w:color w:val="auto"/>
        </w:rPr>
      </w:pPr>
      <w:r>
        <w:rPr>
          <w:rFonts w:ascii="Arial" w:cs="Arial" w:eastAsia="Arial" w:hAnsi="Arial"/>
          <w:sz w:val="16"/>
          <w:szCs w:val="16"/>
          <w:color w:val="auto"/>
        </w:rPr>
        <w:t xml:space="preserve">Section 15.2. </w:t>
      </w:r>
      <w:r>
        <w:rPr>
          <w:rFonts w:ascii="Arial" w:cs="Arial" w:eastAsia="Arial" w:hAnsi="Arial"/>
          <w:sz w:val="16"/>
          <w:szCs w:val="16"/>
          <w:u w:val="single" w:color="auto"/>
          <w:color w:val="auto"/>
        </w:rPr>
        <w:t>Amendment or Repeal</w:t>
      </w:r>
      <w:r>
        <w:rPr>
          <w:rFonts w:ascii="Arial" w:cs="Arial" w:eastAsia="Arial" w:hAnsi="Arial"/>
          <w:sz w:val="16"/>
          <w:szCs w:val="16"/>
          <w:color w:val="auto"/>
        </w:rPr>
        <w:t xml:space="preserve">. Any repeal or modification of the foregoing provisions of this </w:t>
      </w:r>
      <w:r>
        <w:rPr>
          <w:rFonts w:ascii="Arial" w:cs="Arial" w:eastAsia="Arial" w:hAnsi="Arial"/>
          <w:sz w:val="16"/>
          <w:szCs w:val="16"/>
          <w:u w:val="single" w:color="auto"/>
          <w:color w:val="auto"/>
        </w:rPr>
        <w:t>ARTICLE FIFTEEN</w:t>
      </w:r>
      <w:r>
        <w:rPr>
          <w:rFonts w:ascii="Arial" w:cs="Arial" w:eastAsia="Arial" w:hAnsi="Arial"/>
          <w:sz w:val="16"/>
          <w:szCs w:val="16"/>
          <w:color w:val="auto"/>
        </w:rPr>
        <w:t xml:space="preserve"> will not adversely affect any right or protection hereunder of any Covered Person in respect of any act or omission occurring prior to the time of such repeal or modification.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SIXTEEN — WRITTEN CONSENTS</w:t>
      </w:r>
    </w:p>
    <w:p>
      <w:pPr>
        <w:spacing w:after="0" w:line="224" w:lineRule="exact"/>
        <w:rPr>
          <w:sz w:val="20"/>
          <w:szCs w:val="20"/>
          <w:color w:val="auto"/>
        </w:rPr>
      </w:pPr>
    </w:p>
    <w:p>
      <w:pPr>
        <w:ind w:right="280" w:firstLine="629"/>
        <w:spacing w:after="0" w:line="268" w:lineRule="auto"/>
        <w:rPr>
          <w:sz w:val="20"/>
          <w:szCs w:val="20"/>
          <w:color w:val="auto"/>
        </w:rPr>
      </w:pPr>
      <w:r>
        <w:rPr>
          <w:rFonts w:ascii="Arial" w:cs="Arial" w:eastAsia="Arial" w:hAnsi="Arial"/>
          <w:sz w:val="17"/>
          <w:szCs w:val="17"/>
          <w:color w:val="auto"/>
        </w:rPr>
        <w:t>Any action that would otherwise be taken at any annual or special meeting of stockholders may be taken without a meeting, without prior notice and without a vote, if a consent or consents in writing, setting forth the action so taken, will be signed by the holder or holders of shares having not less than the minimum number of votes that would be necessary to take such action at a meeting at which the holders of all shares entitled to vote on the action were present and voted.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SEVENTEEN — ELECTION OF DIRECTORS, ETC.</w:t>
      </w:r>
    </w:p>
    <w:p>
      <w:pPr>
        <w:spacing w:after="0" w:line="224" w:lineRule="exact"/>
        <w:rPr>
          <w:sz w:val="20"/>
          <w:szCs w:val="20"/>
          <w:color w:val="auto"/>
        </w:rPr>
      </w:pPr>
    </w:p>
    <w:p>
      <w:pPr>
        <w:ind w:right="100" w:firstLine="629"/>
        <w:spacing w:after="0" w:line="268" w:lineRule="auto"/>
        <w:rPr>
          <w:sz w:val="20"/>
          <w:szCs w:val="20"/>
          <w:color w:val="auto"/>
        </w:rPr>
      </w:pPr>
      <w:r>
        <w:rPr>
          <w:rFonts w:ascii="Arial" w:cs="Arial" w:eastAsia="Arial" w:hAnsi="Arial"/>
          <w:sz w:val="17"/>
          <w:szCs w:val="17"/>
          <w:color w:val="auto"/>
        </w:rPr>
        <w:t>Election of directors need not be by written ballot. Any director or the entire Board may be removed, with or without cause, by the holders of a majority of the issued and outstanding shares then entitled to vote at an election of directors, except as otherwise provided by law. In furtherance and not in limitation of the powers conferred by statute, the Board is expressly authorized to amend or repeal the bylaws of the Corporation or to adopt new bylaws, subject to any limitations that may be contained herein and in such bylaws.</w:t>
      </w:r>
    </w:p>
    <w:p>
      <w:pPr>
        <w:spacing w:after="0" w:line="176"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ARTICLE EIGHTEEN — INCORPORATOR</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name and mailing address of the incorporator is: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David Kuo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13115 Jess Pirtle Blvd.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Sugarland, TX 77478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next page is the signature page]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29"/>
        <w:spacing w:after="0" w:line="360" w:lineRule="auto"/>
        <w:rPr>
          <w:sz w:val="20"/>
          <w:szCs w:val="20"/>
          <w:color w:val="auto"/>
        </w:rPr>
      </w:pPr>
      <w:r>
        <w:rPr>
          <w:rFonts w:ascii="Arial" w:cs="Arial" w:eastAsia="Arial" w:hAnsi="Arial"/>
          <w:sz w:val="15"/>
          <w:szCs w:val="15"/>
          <w:color w:val="auto"/>
        </w:rPr>
        <w:t>THE UNDERSIGNED, being the incorporator named above, for the purpose of forming a corporation pursuant to the DGCL, does make this certificate, hereby declaring and certifying that this is my act and deed and the facts herein stated are true, and accordingly have hereunto set my hand this 25th day of March,</w:t>
      </w:r>
    </w:p>
    <w:p>
      <w:pPr>
        <w:sectPr>
          <w:pgSz w:w="11900" w:h="16917" w:orient="portrait"/>
          <w:cols w:equalWidth="0" w:num="1">
            <w:col w:w="11420"/>
          </w:cols>
          <w:pgMar w:left="240" w:top="127" w:right="239" w:bottom="0" w:gutter="0" w:footer="0" w:header="0"/>
        </w:sectPr>
      </w:pPr>
    </w:p>
    <w:bookmarkStart w:id="222" w:name="page223"/>
    <w:bookmarkEnd w:id="222"/>
    <w:p>
      <w:pPr>
        <w:spacing w:after="0"/>
        <w:rPr>
          <w:sz w:val="20"/>
          <w:szCs w:val="20"/>
          <w:color w:val="auto"/>
        </w:rPr>
      </w:pPr>
      <w:r>
        <w:rPr>
          <w:rFonts w:ascii="Arial" w:cs="Arial" w:eastAsia="Arial" w:hAnsi="Arial"/>
          <w:sz w:val="17"/>
          <w:szCs w:val="17"/>
          <w:color w:val="auto"/>
        </w:rPr>
        <w:t>2013.</w:t>
      </w:r>
    </w:p>
    <w:p>
      <w:pPr>
        <w:spacing w:after="0" w:line="200" w:lineRule="exact"/>
        <w:rPr>
          <w:sz w:val="20"/>
          <w:szCs w:val="20"/>
          <w:color w:val="auto"/>
        </w:rPr>
      </w:pPr>
    </w:p>
    <w:p>
      <w:pPr>
        <w:spacing w:after="0" w:line="234"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/s/ David Kuo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2140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David Kuo, Incorporator</w:t>
      </w:r>
    </w:p>
    <w:p>
      <w:pPr>
        <w:spacing w:after="0" w:line="23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223" w:name="page224"/>
    <w:bookmarkEnd w:id="223"/>
    <w:p>
      <w:pPr>
        <w:jc w:val="right"/>
        <w:spacing w:after="0"/>
        <w:rPr>
          <w:sz w:val="20"/>
          <w:szCs w:val="20"/>
          <w:color w:val="auto"/>
        </w:rPr>
      </w:pPr>
      <w:r>
        <w:rPr>
          <w:rFonts w:ascii="Arial" w:cs="Arial" w:eastAsia="Arial" w:hAnsi="Arial"/>
          <w:sz w:val="17"/>
          <w:szCs w:val="17"/>
          <w:b w:val="1"/>
          <w:bCs w:val="1"/>
          <w:color w:val="auto"/>
        </w:rPr>
        <w:t>Exhibit 3.2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INCORPORATION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Delaware corporation</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Applied Optoelectronics, Inc., a corporation organized and existing under the laws of the State of Delaware (the “</w:t>
      </w:r>
      <w:r>
        <w:rPr>
          <w:rFonts w:ascii="Arial" w:cs="Arial" w:eastAsia="Arial" w:hAnsi="Arial"/>
          <w:sz w:val="16"/>
          <w:szCs w:val="16"/>
          <w:b w:val="1"/>
          <w:bCs w:val="1"/>
          <w:color w:val="auto"/>
        </w:rPr>
        <w:t>Corporation</w:t>
      </w:r>
      <w:r>
        <w:rPr>
          <w:rFonts w:ascii="Arial" w:cs="Arial" w:eastAsia="Arial" w:hAnsi="Arial"/>
          <w:sz w:val="16"/>
          <w:szCs w:val="16"/>
          <w:color w:val="auto"/>
        </w:rPr>
        <w:t>”), hereby certifies as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212" w:lineRule="exact"/>
        <w:rPr>
          <w:sz w:val="20"/>
          <w:szCs w:val="20"/>
          <w:color w:val="auto"/>
        </w:rPr>
      </w:pPr>
    </w:p>
    <w:p>
      <w:pPr>
        <w:ind w:right="120" w:firstLine="5"/>
        <w:spacing w:after="0" w:line="273" w:lineRule="auto"/>
        <w:tabs>
          <w:tab w:leader="none" w:pos="629"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name of the Corporation is Applied Optoelectronics, Inc. The date of the filing of its original Certificate of Incorporation with the Secretary of State of the State of Delaware was March 25, 2013 (the “</w:t>
      </w:r>
      <w:r>
        <w:rPr>
          <w:rFonts w:ascii="Arial" w:cs="Arial" w:eastAsia="Arial" w:hAnsi="Arial"/>
          <w:sz w:val="17"/>
          <w:szCs w:val="17"/>
          <w:b w:val="1"/>
          <w:bCs w:val="1"/>
          <w:color w:val="auto"/>
        </w:rPr>
        <w:t>Original Certificate</w:t>
      </w:r>
      <w:r>
        <w:rPr>
          <w:rFonts w:ascii="Arial" w:cs="Arial" w:eastAsia="Arial" w:hAnsi="Arial"/>
          <w:sz w:val="17"/>
          <w:szCs w:val="17"/>
          <w:color w:val="auto"/>
        </w:rPr>
        <w:t>”). The name under which the Corporation filed the Original Certificate was Applied Optoelectronics, Inc.</w:t>
      </w:r>
    </w:p>
    <w:p>
      <w:pPr>
        <w:spacing w:after="0" w:line="165" w:lineRule="exact"/>
        <w:rPr>
          <w:rFonts w:ascii="Arial" w:cs="Arial" w:eastAsia="Arial" w:hAnsi="Arial"/>
          <w:sz w:val="17"/>
          <w:szCs w:val="17"/>
          <w:color w:val="auto"/>
        </w:rPr>
      </w:pPr>
    </w:p>
    <w:p>
      <w:pPr>
        <w:ind w:right="20" w:firstLine="5"/>
        <w:spacing w:after="0" w:line="304" w:lineRule="auto"/>
        <w:tabs>
          <w:tab w:leader="none" w:pos="629" w:val="left"/>
        </w:tabs>
        <w:numPr>
          <w:ilvl w:val="0"/>
          <w:numId w:val="207"/>
        </w:numPr>
        <w:rPr>
          <w:rFonts w:ascii="Arial" w:cs="Arial" w:eastAsia="Arial" w:hAnsi="Arial"/>
          <w:sz w:val="15"/>
          <w:szCs w:val="15"/>
          <w:color w:val="auto"/>
        </w:rPr>
      </w:pPr>
      <w:r>
        <w:rPr>
          <w:rFonts w:ascii="Arial" w:cs="Arial" w:eastAsia="Arial" w:hAnsi="Arial"/>
          <w:sz w:val="15"/>
          <w:szCs w:val="15"/>
          <w:color w:val="auto"/>
        </w:rPr>
        <w:t>This Amended and Restated Certificate of Incorporation (the “</w:t>
      </w:r>
      <w:r>
        <w:rPr>
          <w:rFonts w:ascii="Arial" w:cs="Arial" w:eastAsia="Arial" w:hAnsi="Arial"/>
          <w:sz w:val="15"/>
          <w:szCs w:val="15"/>
          <w:b w:val="1"/>
          <w:bCs w:val="1"/>
          <w:color w:val="auto"/>
        </w:rPr>
        <w:t>Certificate</w:t>
      </w:r>
      <w:r>
        <w:rPr>
          <w:rFonts w:ascii="Arial" w:cs="Arial" w:eastAsia="Arial" w:hAnsi="Arial"/>
          <w:sz w:val="15"/>
          <w:szCs w:val="15"/>
          <w:color w:val="auto"/>
        </w:rPr>
        <w:t>”) amends, restates and integrates the provisions of the Original Certificate, as it has been subsequently amended (the “</w:t>
      </w:r>
      <w:r>
        <w:rPr>
          <w:rFonts w:ascii="Arial" w:cs="Arial" w:eastAsia="Arial" w:hAnsi="Arial"/>
          <w:sz w:val="15"/>
          <w:szCs w:val="15"/>
          <w:b w:val="1"/>
          <w:bCs w:val="1"/>
          <w:color w:val="auto"/>
        </w:rPr>
        <w:t>Amended and Restated Certificate</w:t>
      </w:r>
      <w:r>
        <w:rPr>
          <w:rFonts w:ascii="Arial" w:cs="Arial" w:eastAsia="Arial" w:hAnsi="Arial"/>
          <w:sz w:val="15"/>
          <w:szCs w:val="15"/>
          <w:color w:val="auto"/>
        </w:rPr>
        <w:t>”), and was duly adopted in accordance with the provisions of Sections 228, 242 and</w:t>
      </w:r>
    </w:p>
    <w:p>
      <w:pPr>
        <w:ind w:left="320" w:hanging="315"/>
        <w:spacing w:after="0"/>
        <w:tabs>
          <w:tab w:leader="none" w:pos="32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of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w:t>
      </w:r>
    </w:p>
    <w:p>
      <w:pPr>
        <w:spacing w:after="0" w:line="212" w:lineRule="exact"/>
        <w:rPr>
          <w:rFonts w:ascii="Arial" w:cs="Arial" w:eastAsia="Arial" w:hAnsi="Arial"/>
          <w:sz w:val="17"/>
          <w:szCs w:val="17"/>
          <w:color w:val="auto"/>
        </w:rPr>
      </w:pPr>
    </w:p>
    <w:p>
      <w:pPr>
        <w:ind w:left="640" w:hanging="635"/>
        <w:spacing w:after="0"/>
        <w:tabs>
          <w:tab w:leader="none" w:pos="64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text of the Amended and Restated Certificate is hereby amended and restated in its entirety to provide as herein set forth in full.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name of the Corporation is Applied Optoelectronics,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ind w:right="860" w:firstLine="629"/>
        <w:spacing w:after="0" w:line="322" w:lineRule="auto"/>
        <w:rPr>
          <w:sz w:val="20"/>
          <w:szCs w:val="20"/>
          <w:color w:val="auto"/>
        </w:rPr>
      </w:pPr>
      <w:r>
        <w:rPr>
          <w:rFonts w:ascii="Arial" w:cs="Arial" w:eastAsia="Arial" w:hAnsi="Arial"/>
          <w:sz w:val="16"/>
          <w:szCs w:val="16"/>
          <w:color w:val="auto"/>
        </w:rPr>
        <w:t>The address of the Corporation’s registered office in the State of Delaware is The Corporation Trust Center, 1209 Orange Street, in the City of Wilmington, County of New Castle, Delaware 19801. The name of its registered agent at such address is The Corporation Trust Company.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III</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purpose of the Corporation is to engage in any lawful act or activity for which corporations may be organized under the DGCL.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IV</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CAPITAL STOCK</w:t>
      </w:r>
    </w:p>
    <w:p>
      <w:pPr>
        <w:spacing w:after="0" w:line="212" w:lineRule="exact"/>
        <w:rPr>
          <w:sz w:val="20"/>
          <w:szCs w:val="20"/>
          <w:color w:val="auto"/>
        </w:rPr>
      </w:pPr>
    </w:p>
    <w:p>
      <w:pPr>
        <w:ind w:right="280" w:firstLine="629"/>
        <w:spacing w:after="0" w:line="289" w:lineRule="auto"/>
        <w:rPr>
          <w:sz w:val="20"/>
          <w:szCs w:val="20"/>
          <w:color w:val="auto"/>
        </w:rPr>
      </w:pPr>
      <w:r>
        <w:rPr>
          <w:rFonts w:ascii="Arial" w:cs="Arial" w:eastAsia="Arial" w:hAnsi="Arial"/>
          <w:sz w:val="17"/>
          <w:szCs w:val="17"/>
          <w:color w:val="auto"/>
        </w:rPr>
        <w:t>The total number of shares of capital stock which the Corporation shall have authority to issue is 50,000,000, of which (i) 45,000,000 shares shall be a class designated as common stock, par value $0.001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and (ii) 5,000,000 shares shall be a class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designated as undesignated preferred stock, par value $0.001 per share (the “</w:t>
      </w:r>
      <w:r>
        <w:rPr>
          <w:rFonts w:ascii="Arial" w:cs="Arial" w:eastAsia="Arial" w:hAnsi="Arial"/>
          <w:sz w:val="17"/>
          <w:szCs w:val="17"/>
          <w:b w:val="1"/>
          <w:bCs w:val="1"/>
          <w:color w:val="auto"/>
        </w:rPr>
        <w:t>Undesignated Preferred Stock</w:t>
      </w:r>
      <w:r>
        <w:rPr>
          <w:rFonts w:ascii="Arial" w:cs="Arial" w:eastAsia="Arial" w:hAnsi="Arial"/>
          <w:sz w:val="17"/>
          <w:szCs w:val="17"/>
          <w:color w:val="auto"/>
        </w:rPr>
        <w:t>”).</w:t>
      </w:r>
    </w:p>
    <w:p>
      <w:pPr>
        <w:spacing w:after="0" w:line="230" w:lineRule="exact"/>
        <w:rPr>
          <w:sz w:val="20"/>
          <w:szCs w:val="20"/>
          <w:color w:val="auto"/>
        </w:rPr>
      </w:pPr>
    </w:p>
    <w:p>
      <w:pPr>
        <w:ind w:right="260" w:firstLine="629"/>
        <w:spacing w:after="0" w:line="268" w:lineRule="auto"/>
        <w:rPr>
          <w:sz w:val="20"/>
          <w:szCs w:val="20"/>
          <w:color w:val="auto"/>
        </w:rPr>
      </w:pPr>
      <w:r>
        <w:rPr>
          <w:rFonts w:ascii="Arial" w:cs="Arial" w:eastAsia="Arial" w:hAnsi="Arial"/>
          <w:sz w:val="17"/>
          <w:szCs w:val="17"/>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76" w:lineRule="exact"/>
        <w:rPr>
          <w:sz w:val="20"/>
          <w:szCs w:val="20"/>
          <w:color w:val="auto"/>
        </w:rPr>
      </w:pPr>
    </w:p>
    <w:p>
      <w:pPr>
        <w:ind w:right="600" w:firstLine="629"/>
        <w:spacing w:after="0" w:line="289" w:lineRule="auto"/>
        <w:rPr>
          <w:sz w:val="20"/>
          <w:szCs w:val="20"/>
          <w:color w:val="auto"/>
        </w:rPr>
      </w:pPr>
      <w:r>
        <w:rPr>
          <w:rFonts w:ascii="Arial" w:cs="Arial" w:eastAsia="Arial" w:hAnsi="Arial"/>
          <w:sz w:val="17"/>
          <w:szCs w:val="17"/>
          <w:color w:val="auto"/>
        </w:rPr>
        <w:t>The powers, preferences and rights of, and the qualifications, limitations and restrictions upon, each class or series of stock shall be determined in accordance with, or as set forth below in, this Article IV.</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COMMON STOCK</w:t>
      </w:r>
    </w:p>
    <w:p>
      <w:pPr>
        <w:spacing w:after="0" w:line="224" w:lineRule="exact"/>
        <w:rPr>
          <w:sz w:val="20"/>
          <w:szCs w:val="20"/>
          <w:color w:val="auto"/>
        </w:rPr>
      </w:pPr>
    </w:p>
    <w:p>
      <w:pPr>
        <w:ind w:right="500" w:firstLine="629"/>
        <w:spacing w:after="0" w:line="289" w:lineRule="auto"/>
        <w:rPr>
          <w:sz w:val="20"/>
          <w:szCs w:val="20"/>
          <w:color w:val="auto"/>
        </w:rPr>
      </w:pPr>
      <w:r>
        <w:rPr>
          <w:rFonts w:ascii="Arial" w:cs="Arial" w:eastAsia="Arial" w:hAnsi="Arial"/>
          <w:sz w:val="17"/>
          <w:szCs w:val="17"/>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52" w:lineRule="exact"/>
        <w:rPr>
          <w:sz w:val="20"/>
          <w:szCs w:val="20"/>
          <w:color w:val="auto"/>
        </w:rPr>
      </w:pPr>
    </w:p>
    <w:p>
      <w:pPr>
        <w:ind w:right="120" w:firstLine="1263"/>
        <w:spacing w:after="0" w:line="283" w:lineRule="auto"/>
        <w:tabs>
          <w:tab w:leader="none" w:pos="1496"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holders of the Common Stock shall have the exclusive right to vote for the election of directors of the Corporation (the “</w:t>
      </w:r>
      <w:r>
        <w:rPr>
          <w:rFonts w:ascii="Arial" w:cs="Arial" w:eastAsia="Arial" w:hAnsi="Arial"/>
          <w:sz w:val="16"/>
          <w:szCs w:val="16"/>
          <w:b w:val="1"/>
          <w:bCs w:val="1"/>
          <w:color w:val="auto"/>
        </w:rPr>
        <w:t>Directors</w:t>
      </w:r>
      <w:r>
        <w:rPr>
          <w:rFonts w:ascii="Arial" w:cs="Arial" w:eastAsia="Arial" w:hAnsi="Arial"/>
          <w:sz w:val="16"/>
          <w:szCs w:val="16"/>
          <w:color w:val="auto"/>
        </w:rPr>
        <w:t>”) and on all other matters requiring stockholder action, each outstanding share entitling the holder thereof to one vote on each matter properly submitted to the stockholders of the Corporation for their vote; provided, however,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65" w:lineRule="exact"/>
        <w:rPr>
          <w:rFonts w:ascii="Arial" w:cs="Arial" w:eastAsia="Arial" w:hAnsi="Arial"/>
          <w:sz w:val="16"/>
          <w:szCs w:val="16"/>
          <w:color w:val="auto"/>
        </w:rPr>
      </w:pPr>
    </w:p>
    <w:p>
      <w:pPr>
        <w:ind w:right="220" w:firstLine="1263"/>
        <w:spacing w:after="0" w:line="322" w:lineRule="auto"/>
        <w:tabs>
          <w:tab w:leader="none" w:pos="1506" w:val="left"/>
        </w:tabs>
        <w:numPr>
          <w:ilvl w:val="0"/>
          <w:numId w:val="210"/>
        </w:numPr>
        <w:rPr>
          <w:rFonts w:ascii="Arial" w:cs="Arial" w:eastAsia="Arial" w:hAnsi="Arial"/>
          <w:sz w:val="16"/>
          <w:szCs w:val="16"/>
          <w:color w:val="auto"/>
        </w:rPr>
      </w:pPr>
      <w:r>
        <w:rPr>
          <w:rFonts w:ascii="Arial" w:cs="Arial" w:eastAsia="Arial" w:hAnsi="Arial"/>
          <w:sz w:val="16"/>
          <w:szCs w:val="16"/>
          <w:color w:val="auto"/>
        </w:rPr>
        <w:t>dividends may be declared and paid or set apart for payment upon the Common Stock out of any assets or funds of the Corporation legally available for the payment of dividends, but only when and as declared by the Board of Directors or any authorized committee thereof; and</w:t>
      </w:r>
    </w:p>
    <w:p>
      <w:pPr>
        <w:spacing w:after="0" w:line="135" w:lineRule="exact"/>
        <w:rPr>
          <w:rFonts w:ascii="Arial" w:cs="Arial" w:eastAsia="Arial" w:hAnsi="Arial"/>
          <w:sz w:val="16"/>
          <w:szCs w:val="16"/>
          <w:color w:val="auto"/>
        </w:rPr>
      </w:pPr>
    </w:p>
    <w:p>
      <w:pPr>
        <w:ind w:right="620" w:firstLine="1263"/>
        <w:spacing w:after="0" w:line="289" w:lineRule="auto"/>
        <w:tabs>
          <w:tab w:leader="none" w:pos="1496" w:val="left"/>
        </w:tabs>
        <w:numPr>
          <w:ilvl w:val="0"/>
          <w:numId w:val="210"/>
        </w:numPr>
        <w:rPr>
          <w:rFonts w:ascii="Arial" w:cs="Arial" w:eastAsia="Arial" w:hAnsi="Arial"/>
          <w:sz w:val="17"/>
          <w:szCs w:val="17"/>
          <w:color w:val="auto"/>
        </w:rPr>
      </w:pPr>
      <w:r>
        <w:rPr>
          <w:rFonts w:ascii="Arial" w:cs="Arial" w:eastAsia="Arial" w:hAnsi="Arial"/>
          <w:sz w:val="17"/>
          <w:szCs w:val="17"/>
          <w:color w:val="auto"/>
        </w:rPr>
        <w:t>upon the voluntary or involuntary liquidation, dissolution or winding up of the Corporation, the net assets of the Corporation shall be distributed pro rata to the holders of the Common Stock.</w:t>
      </w:r>
    </w:p>
    <w:p>
      <w:pPr>
        <w:sectPr>
          <w:pgSz w:w="11900" w:h="16838" w:orient="portrait"/>
          <w:cols w:equalWidth="0" w:num="1">
            <w:col w:w="11420"/>
          </w:cols>
          <w:pgMar w:left="240" w:top="357" w:right="239" w:bottom="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0" w:gutter="0" w:footer="0" w:header="0"/>
          <w:type w:val="continuous"/>
        </w:sectPr>
      </w:pPr>
    </w:p>
    <w:bookmarkStart w:id="224" w:name="page225"/>
    <w:bookmarkEnd w:id="224"/>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 UNDESIGNATED PREFERRED STOCK</w:t>
      </w:r>
    </w:p>
    <w:p>
      <w:pPr>
        <w:spacing w:after="0" w:line="224" w:lineRule="exact"/>
        <w:rPr>
          <w:sz w:val="20"/>
          <w:szCs w:val="20"/>
          <w:color w:val="auto"/>
        </w:rPr>
      </w:pPr>
    </w:p>
    <w:p>
      <w:pPr>
        <w:ind w:right="200" w:firstLine="629"/>
        <w:spacing w:after="0" w:line="285" w:lineRule="auto"/>
        <w:rPr>
          <w:sz w:val="20"/>
          <w:szCs w:val="20"/>
          <w:color w:val="auto"/>
        </w:rPr>
      </w:pPr>
      <w:r>
        <w:rPr>
          <w:rFonts w:ascii="Arial" w:cs="Arial" w:eastAsia="Arial" w:hAnsi="Arial"/>
          <w:sz w:val="16"/>
          <w:szCs w:val="16"/>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STOCKHOLDER ACTION</w:t>
      </w:r>
    </w:p>
    <w:p>
      <w:pPr>
        <w:spacing w:after="0" w:line="212" w:lineRule="exact"/>
        <w:rPr>
          <w:sz w:val="20"/>
          <w:szCs w:val="20"/>
          <w:color w:val="auto"/>
        </w:rPr>
      </w:pPr>
    </w:p>
    <w:p>
      <w:pPr>
        <w:ind w:right="160" w:firstLine="634"/>
        <w:spacing w:after="0" w:line="273" w:lineRule="auto"/>
        <w:tabs>
          <w:tab w:leader="none" w:pos="804"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Action without Meeting</w:t>
      </w:r>
      <w:r>
        <w:rPr>
          <w:rFonts w:ascii="Arial" w:cs="Arial" w:eastAsia="Arial" w:hAnsi="Arial"/>
          <w:sz w:val="17"/>
          <w:szCs w:val="17"/>
          <w:color w:val="auto"/>
        </w:rPr>
        <w:t>.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w:t>
      </w:r>
    </w:p>
    <w:p>
      <w:pPr>
        <w:spacing w:after="0" w:line="171" w:lineRule="exact"/>
        <w:rPr>
          <w:rFonts w:ascii="Arial" w:cs="Arial" w:eastAsia="Arial" w:hAnsi="Arial"/>
          <w:sz w:val="17"/>
          <w:szCs w:val="17"/>
          <w:color w:val="auto"/>
        </w:rPr>
      </w:pPr>
    </w:p>
    <w:p>
      <w:pPr>
        <w:ind w:right="40" w:firstLine="634"/>
        <w:spacing w:after="0" w:line="290" w:lineRule="auto"/>
        <w:tabs>
          <w:tab w:leader="none" w:pos="804"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Special Meetings</w:t>
      </w:r>
      <w:r>
        <w:rPr>
          <w:rFonts w:ascii="Arial" w:cs="Arial" w:eastAsia="Arial" w:hAnsi="Arial"/>
          <w:sz w:val="16"/>
          <w:szCs w:val="16"/>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w:t>
      </w:r>
    </w:p>
    <w:p>
      <w:pPr>
        <w:spacing w:after="0" w:line="1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ARTICLE VI</w:t>
      </w:r>
    </w:p>
    <w:p>
      <w:pPr>
        <w:spacing w:after="0" w:line="2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DIRECTORS</w:t>
      </w:r>
    </w:p>
    <w:p>
      <w:pPr>
        <w:spacing w:after="0" w:line="212" w:lineRule="exact"/>
        <w:rPr>
          <w:sz w:val="20"/>
          <w:szCs w:val="20"/>
          <w:color w:val="auto"/>
        </w:rPr>
      </w:pPr>
    </w:p>
    <w:p>
      <w:pPr>
        <w:ind w:right="40" w:firstLine="634"/>
        <w:spacing w:after="0" w:line="289" w:lineRule="auto"/>
        <w:tabs>
          <w:tab w:leader="none" w:pos="804"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business and affairs of the Corporation shall be managed by or under the direction of the Board of Directors except as otherwise provided herein or required by law.</w:t>
      </w:r>
    </w:p>
    <w:p>
      <w:pPr>
        <w:spacing w:after="0" w:line="152" w:lineRule="exact"/>
        <w:rPr>
          <w:rFonts w:ascii="Arial" w:cs="Arial" w:eastAsia="Arial" w:hAnsi="Arial"/>
          <w:sz w:val="17"/>
          <w:szCs w:val="17"/>
          <w:color w:val="auto"/>
        </w:rPr>
      </w:pPr>
    </w:p>
    <w:p>
      <w:pPr>
        <w:ind w:left="800" w:hanging="166"/>
        <w:spacing w:after="0"/>
        <w:tabs>
          <w:tab w:leader="none" w:pos="800"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Election of Directors</w:t>
      </w:r>
      <w:r>
        <w:rPr>
          <w:rFonts w:ascii="Arial" w:cs="Arial" w:eastAsia="Arial" w:hAnsi="Arial"/>
          <w:sz w:val="16"/>
          <w:szCs w:val="16"/>
          <w:color w:val="auto"/>
        </w:rPr>
        <w:t>. Election of Directors need not be by written ballot unless the By-laws of the Corporation (the “</w:t>
      </w:r>
      <w:r>
        <w:rPr>
          <w:rFonts w:ascii="Arial" w:cs="Arial" w:eastAsia="Arial" w:hAnsi="Arial"/>
          <w:sz w:val="16"/>
          <w:szCs w:val="16"/>
          <w:b w:val="1"/>
          <w:bCs w:val="1"/>
          <w:color w:val="auto"/>
        </w:rPr>
        <w:t>By-laws</w:t>
      </w:r>
      <w:r>
        <w:rPr>
          <w:rFonts w:ascii="Arial" w:cs="Arial" w:eastAsia="Arial" w:hAnsi="Arial"/>
          <w:sz w:val="16"/>
          <w:szCs w:val="16"/>
          <w:color w:val="auto"/>
        </w:rPr>
        <w:t>”) shall so provide.</w:t>
      </w:r>
    </w:p>
    <w:p>
      <w:pPr>
        <w:spacing w:after="0" w:line="241" w:lineRule="exact"/>
        <w:rPr>
          <w:rFonts w:ascii="Arial" w:cs="Arial" w:eastAsia="Arial" w:hAnsi="Arial"/>
          <w:sz w:val="16"/>
          <w:szCs w:val="16"/>
          <w:color w:val="auto"/>
        </w:rPr>
      </w:pPr>
    </w:p>
    <w:p>
      <w:pPr>
        <w:ind w:right="20" w:firstLine="634"/>
        <w:spacing w:after="0" w:line="283" w:lineRule="auto"/>
        <w:tabs>
          <w:tab w:leader="none" w:pos="804"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Number of Directors; Term of Office</w:t>
      </w:r>
      <w:r>
        <w:rPr>
          <w:rFonts w:ascii="Arial" w:cs="Arial" w:eastAsia="Arial" w:hAnsi="Arial"/>
          <w:sz w:val="16"/>
          <w:szCs w:val="16"/>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shall serve for a term expiring at the annual meeting of stockholders to be held in 2014, the initial Class II Directors shall serve for a term expiring at the annual meeting of stockholders to be held in 2015, and the initial Class III Directors shall serve for a term expiring at the annual meeting of stockholders to be held in 2016. At each annual meeting of stockholders, Directors elected to succeed those Directors whose terms expire shall be elected for a term of office to expire at the third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color w:val="auto"/>
        </w:rPr>
        <w:t>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58" w:lineRule="exact"/>
        <w:rPr>
          <w:sz w:val="20"/>
          <w:szCs w:val="20"/>
          <w:color w:val="auto"/>
        </w:rPr>
      </w:pPr>
    </w:p>
    <w:p>
      <w:pPr>
        <w:ind w:right="380" w:firstLine="629"/>
        <w:spacing w:after="0" w:line="268" w:lineRule="auto"/>
        <w:rPr>
          <w:sz w:val="20"/>
          <w:szCs w:val="20"/>
          <w:color w:val="auto"/>
        </w:rPr>
      </w:pPr>
      <w:r>
        <w:rPr>
          <w:rFonts w:ascii="Arial" w:cs="Arial" w:eastAsia="Arial" w:hAnsi="Arial"/>
          <w:sz w:val="17"/>
          <w:szCs w:val="17"/>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76" w:lineRule="exact"/>
        <w:rPr>
          <w:sz w:val="20"/>
          <w:szCs w:val="20"/>
          <w:color w:val="auto"/>
        </w:rPr>
      </w:pPr>
    </w:p>
    <w:p>
      <w:pPr>
        <w:ind w:right="20" w:firstLine="634"/>
        <w:spacing w:after="0" w:line="260" w:lineRule="auto"/>
        <w:tabs>
          <w:tab w:leader="none" w:pos="804" w:val="left"/>
        </w:tabs>
        <w:numPr>
          <w:ilvl w:val="1"/>
          <w:numId w:val="213"/>
        </w:numPr>
        <w:rPr>
          <w:rFonts w:ascii="Arial" w:cs="Arial" w:eastAsia="Arial" w:hAnsi="Arial"/>
          <w:sz w:val="17"/>
          <w:szCs w:val="17"/>
          <w:color w:val="auto"/>
        </w:rPr>
      </w:pPr>
      <w:r>
        <w:rPr>
          <w:rFonts w:ascii="Arial" w:cs="Arial" w:eastAsia="Arial" w:hAnsi="Arial"/>
          <w:sz w:val="17"/>
          <w:szCs w:val="17"/>
          <w:u w:val="single" w:color="auto"/>
          <w:color w:val="auto"/>
        </w:rPr>
        <w:t>Vacancies</w:t>
      </w:r>
      <w:r>
        <w:rPr>
          <w:rFonts w:ascii="Arial" w:cs="Arial" w:eastAsia="Arial" w:hAnsi="Arial"/>
          <w:sz w:val="17"/>
          <w:szCs w:val="17"/>
          <w:color w:val="auto"/>
        </w:rPr>
        <w:t>.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 Directors shall be apportioned; provided, however,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87" w:lineRule="exact"/>
        <w:rPr>
          <w:rFonts w:ascii="Arial" w:cs="Arial" w:eastAsia="Arial" w:hAnsi="Arial"/>
          <w:sz w:val="17"/>
          <w:szCs w:val="17"/>
          <w:color w:val="auto"/>
        </w:rPr>
      </w:pPr>
    </w:p>
    <w:p>
      <w:pPr>
        <w:jc w:val="both"/>
        <w:ind w:firstLine="634"/>
        <w:spacing w:after="0" w:line="300" w:lineRule="auto"/>
        <w:tabs>
          <w:tab w:leader="none" w:pos="804" w:val="left"/>
        </w:tabs>
        <w:numPr>
          <w:ilvl w:val="1"/>
          <w:numId w:val="213"/>
        </w:numPr>
        <w:rPr>
          <w:rFonts w:ascii="Arial" w:cs="Arial" w:eastAsia="Arial" w:hAnsi="Arial"/>
          <w:sz w:val="15"/>
          <w:szCs w:val="15"/>
          <w:color w:val="auto"/>
        </w:rPr>
      </w:pPr>
      <w:r>
        <w:rPr>
          <w:rFonts w:ascii="Arial" w:cs="Arial" w:eastAsia="Arial" w:hAnsi="Arial"/>
          <w:sz w:val="15"/>
          <w:szCs w:val="15"/>
          <w:u w:val="single" w:color="auto"/>
          <w:color w:val="auto"/>
        </w:rPr>
        <w:t>Removal</w:t>
      </w:r>
      <w:r>
        <w:rPr>
          <w:rFonts w:ascii="Arial" w:cs="Arial" w:eastAsia="Arial" w:hAnsi="Arial"/>
          <w:sz w:val="15"/>
          <w:szCs w:val="15"/>
          <w:color w:val="auto"/>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w:t>
      </w:r>
    </w:p>
    <w:p>
      <w:pPr>
        <w:ind w:right="40" w:firstLine="5"/>
        <w:spacing w:after="0" w:line="290" w:lineRule="auto"/>
        <w:tabs>
          <w:tab w:leader="none" w:pos="209" w:val="left"/>
        </w:tabs>
        <w:numPr>
          <w:ilvl w:val="0"/>
          <w:numId w:val="214"/>
        </w:numPr>
        <w:rPr>
          <w:rFonts w:ascii="Arial" w:cs="Arial" w:eastAsia="Arial" w:hAnsi="Arial"/>
          <w:sz w:val="16"/>
          <w:szCs w:val="16"/>
          <w:color w:val="auto"/>
        </w:rPr>
      </w:pPr>
      <w:r>
        <w:rPr>
          <w:rFonts w:ascii="Arial" w:cs="Arial" w:eastAsia="Arial" w:hAnsi="Arial"/>
          <w:sz w:val="16"/>
          <w:szCs w:val="16"/>
          <w:color w:val="auto"/>
        </w:rPr>
        <w:t>only with cause and (ii) only by the affirmative vote of the holders of 66 2/3% or more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VII</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LIMITATION OF LIABILITY</w:t>
      </w:r>
    </w:p>
    <w:p>
      <w:pPr>
        <w:spacing w:after="0" w:line="212" w:lineRule="exact"/>
        <w:rPr>
          <w:sz w:val="20"/>
          <w:szCs w:val="20"/>
          <w:color w:val="auto"/>
        </w:rPr>
      </w:pPr>
    </w:p>
    <w:p>
      <w:pPr>
        <w:jc w:val="both"/>
        <w:ind w:right="20" w:firstLine="629"/>
        <w:spacing w:after="0" w:line="290" w:lineRule="auto"/>
        <w:rPr>
          <w:sz w:val="20"/>
          <w:szCs w:val="20"/>
          <w:color w:val="auto"/>
        </w:rPr>
      </w:pPr>
      <w:r>
        <w:rPr>
          <w:rFonts w:ascii="Arial" w:cs="Arial" w:eastAsia="Arial" w:hAnsi="Arial"/>
          <w:sz w:val="16"/>
          <w:szCs w:val="16"/>
          <w:color w:val="auto"/>
        </w:rPr>
        <w:t>A Director of the Corporation shall not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w:t>
      </w:r>
    </w:p>
    <w:p>
      <w:pPr>
        <w:sectPr>
          <w:pgSz w:w="11900" w:h="16896" w:orient="portrait"/>
          <w:cols w:equalWidth="0" w:num="1">
            <w:col w:w="11420"/>
          </w:cols>
          <w:pgMar w:left="240" w:top="573" w:right="239" w:bottom="0" w:gutter="0" w:footer="0" w:header="0"/>
        </w:sectPr>
      </w:pPr>
    </w:p>
    <w:bookmarkStart w:id="225" w:name="page226"/>
    <w:bookmarkEnd w:id="225"/>
    <w:p>
      <w:pPr>
        <w:ind w:right="220"/>
        <w:spacing w:after="0" w:line="289" w:lineRule="auto"/>
        <w:rPr>
          <w:sz w:val="20"/>
          <w:szCs w:val="20"/>
          <w:color w:val="auto"/>
        </w:rPr>
      </w:pPr>
      <w:r>
        <w:rPr>
          <w:rFonts w:ascii="Arial" w:cs="Arial" w:eastAsia="Arial" w:hAnsi="Arial"/>
          <w:sz w:val="17"/>
          <w:szCs w:val="17"/>
          <w:color w:val="auto"/>
        </w:rPr>
        <w:t>personal liability of Directors, then the liability of a Director of the Corporation shall be eliminated or limited to the fullest extent permitted by the DGCL, as so amended.</w:t>
      </w:r>
    </w:p>
    <w:p>
      <w:pPr>
        <w:spacing w:after="0" w:line="158" w:lineRule="exact"/>
        <w:rPr>
          <w:sz w:val="20"/>
          <w:szCs w:val="20"/>
          <w:color w:val="auto"/>
        </w:rPr>
      </w:pPr>
    </w:p>
    <w:p>
      <w:pPr>
        <w:jc w:val="both"/>
        <w:ind w:right="160" w:firstLine="629"/>
        <w:spacing w:after="0" w:line="298" w:lineRule="auto"/>
        <w:rPr>
          <w:sz w:val="20"/>
          <w:szCs w:val="20"/>
          <w:color w:val="auto"/>
        </w:rPr>
      </w:pPr>
      <w:r>
        <w:rPr>
          <w:rFonts w:ascii="Arial" w:cs="Arial" w:eastAsia="Arial" w:hAnsi="Arial"/>
          <w:sz w:val="16"/>
          <w:szCs w:val="16"/>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VIII</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EXCLUSIVE JURISDICTION OF DELAWARE COURTS</w:t>
      </w:r>
    </w:p>
    <w:p>
      <w:pPr>
        <w:spacing w:after="0" w:line="212" w:lineRule="exact"/>
        <w:rPr>
          <w:sz w:val="20"/>
          <w:szCs w:val="20"/>
          <w:color w:val="auto"/>
        </w:rPr>
      </w:pPr>
    </w:p>
    <w:p>
      <w:pPr>
        <w:ind w:right="160" w:firstLine="629"/>
        <w:spacing w:after="0" w:line="283" w:lineRule="auto"/>
        <w:rPr>
          <w:sz w:val="20"/>
          <w:szCs w:val="20"/>
          <w:color w:val="auto"/>
        </w:rPr>
      </w:pPr>
      <w:r>
        <w:rPr>
          <w:rFonts w:ascii="Arial" w:cs="Arial" w:eastAsia="Arial" w:hAnsi="Arial"/>
          <w:sz w:val="16"/>
          <w:szCs w:val="16"/>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Corporation’s Certificate of Incorporation or By-laws, or (iv) any action asserting a claim against the Corporation governed by the internal affairs doctrine. Any person or entity purchasing or otherwise acquiring any interest in shares of capital stock of the Corporation shall be deemed to have notice of and consented to the provisions of this Article VIII.</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IX</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AMENDMENT OF BY-LAWS</w:t>
      </w:r>
    </w:p>
    <w:p>
      <w:pPr>
        <w:spacing w:after="0" w:line="212" w:lineRule="exact"/>
        <w:rPr>
          <w:sz w:val="20"/>
          <w:szCs w:val="20"/>
          <w:color w:val="auto"/>
        </w:rPr>
      </w:pPr>
    </w:p>
    <w:p>
      <w:pPr>
        <w:ind w:right="20" w:firstLine="634"/>
        <w:spacing w:after="0" w:line="289" w:lineRule="auto"/>
        <w:tabs>
          <w:tab w:leader="none" w:pos="804"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Amendment by Directors</w:t>
      </w:r>
      <w:r>
        <w:rPr>
          <w:rFonts w:ascii="Arial" w:cs="Arial" w:eastAsia="Arial" w:hAnsi="Arial"/>
          <w:sz w:val="17"/>
          <w:szCs w:val="17"/>
          <w:color w:val="auto"/>
        </w:rPr>
        <w:t>. Except as otherwise provided by law, the By-laws of the Corporation may be amended or repealed by the Board of Directors by the affirmative vote of a majority of the Directors then in office.</w:t>
      </w:r>
    </w:p>
    <w:p>
      <w:pPr>
        <w:spacing w:after="0" w:line="158" w:lineRule="exact"/>
        <w:rPr>
          <w:rFonts w:ascii="Arial" w:cs="Arial" w:eastAsia="Arial" w:hAnsi="Arial"/>
          <w:sz w:val="17"/>
          <w:szCs w:val="17"/>
          <w:color w:val="auto"/>
        </w:rPr>
      </w:pPr>
    </w:p>
    <w:p>
      <w:pPr>
        <w:ind w:firstLine="634"/>
        <w:spacing w:after="0" w:line="268" w:lineRule="auto"/>
        <w:tabs>
          <w:tab w:leader="none" w:pos="804"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Amendment by Stockholders</w:t>
      </w:r>
      <w:r>
        <w:rPr>
          <w:rFonts w:ascii="Arial" w:cs="Arial" w:eastAsia="Arial" w:hAnsi="Arial"/>
          <w:sz w:val="17"/>
          <w:szCs w:val="17"/>
          <w:color w:val="auto"/>
        </w:rPr>
        <w:t>. The By-laws of the Corporation may be amended or repealed at any annual meeting of stockholders, or special meeting of stockholders called for such purpose, by the affirmative vote of at least 66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affirmative vote of the majority of the outstanding shares of capital stock entitled to vote on such amendment or repeal, voting together as a single class.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X</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AMENDMENT OF CERTIFICATE OF INCORPORATION</w:t>
      </w:r>
    </w:p>
    <w:p>
      <w:pPr>
        <w:spacing w:after="0" w:line="212" w:lineRule="exact"/>
        <w:rPr>
          <w:sz w:val="20"/>
          <w:szCs w:val="20"/>
          <w:color w:val="auto"/>
        </w:rPr>
      </w:pPr>
    </w:p>
    <w:p>
      <w:pPr>
        <w:ind w:right="60" w:firstLine="629"/>
        <w:spacing w:after="0" w:line="280" w:lineRule="auto"/>
        <w:rPr>
          <w:sz w:val="20"/>
          <w:szCs w:val="20"/>
          <w:color w:val="auto"/>
        </w:rPr>
      </w:pPr>
      <w:r>
        <w:rPr>
          <w:rFonts w:ascii="Arial" w:cs="Arial" w:eastAsia="Arial" w:hAnsi="Arial"/>
          <w:sz w:val="16"/>
          <w:szCs w:val="16"/>
          <w:color w:val="auto"/>
        </w:rPr>
        <w:t>The Corporation reserves the right to amend or repeal this Certificate in the manner now or hereafter prescribed by statute and this Certificate, and all rights conferred upon stockholders herein are granted subject to this reservation. Whenever any vote of the holders of capital stock of the Corporation is required to amend or repeal any provision of this Certificate, and in addition to any other vote of holders of capital stock that is required by this Certificate or by law,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 provided, however, that the affirmative vote of not less than 66 2/3% of the outstanding shares of capital stock entitled to vote on such amendment or repeal, and the affirmative vote of not less than 66 2/3% of the outstanding shares of each class entitled to vote thereon as a class, shall be required to amend or repeal any provision of Article V, Article VI, Article VII, Article VIII, Article IX or Article X of this Certificate.</w:t>
      </w:r>
    </w:p>
    <w:p>
      <w:pPr>
        <w:spacing w:after="0" w:line="171" w:lineRule="exact"/>
        <w:rPr>
          <w:sz w:val="20"/>
          <w:szCs w:val="20"/>
          <w:color w:val="auto"/>
        </w:rPr>
      </w:pPr>
    </w:p>
    <w:p>
      <w:pPr>
        <w:ind w:left="640"/>
        <w:spacing w:after="0"/>
        <w:tabs>
          <w:tab w:leader="none" w:pos="8120" w:val="left"/>
          <w:tab w:leader="none" w:pos="8900" w:val="left"/>
        </w:tabs>
        <w:rPr>
          <w:sz w:val="20"/>
          <w:szCs w:val="20"/>
          <w:color w:val="auto"/>
        </w:rPr>
      </w:pPr>
      <w:r>
        <w:rPr>
          <w:rFonts w:ascii="Arial" w:cs="Arial" w:eastAsia="Arial" w:hAnsi="Arial"/>
          <w:sz w:val="17"/>
          <w:szCs w:val="17"/>
          <w:color w:val="auto"/>
        </w:rPr>
        <w:t>THIS AMENDED AND RESTATED CERTIFICATE OF INCORPORATION is executed as of this</w:t>
      </w:r>
      <w:r>
        <w:rPr>
          <w:sz w:val="20"/>
          <w:szCs w:val="20"/>
          <w:color w:val="auto"/>
        </w:rPr>
        <w:tab/>
      </w:r>
      <w:r>
        <w:rPr>
          <w:rFonts w:ascii="Arial" w:cs="Arial" w:eastAsia="Arial" w:hAnsi="Arial"/>
          <w:sz w:val="17"/>
          <w:szCs w:val="17"/>
          <w:color w:val="auto"/>
        </w:rPr>
        <w:t>day of</w:t>
      </w:r>
      <w:r>
        <w:rPr>
          <w:sz w:val="20"/>
          <w:szCs w:val="20"/>
          <w:color w:val="auto"/>
        </w:rPr>
        <w:tab/>
      </w:r>
      <w:r>
        <w:rPr>
          <w:rFonts w:ascii="Arial" w:cs="Arial" w:eastAsia="Arial" w:hAnsi="Arial"/>
          <w:sz w:val="15"/>
          <w:szCs w:val="15"/>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283210</wp:posOffset>
            </wp:positionV>
            <wp:extent cx="362140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Chih-Hsiang (Thompson) Lin,</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Chief Executive Officer and President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26" w:name="page227"/>
    <w:bookmarkEnd w:id="226"/>
    <w:p>
      <w:pPr>
        <w:ind w:left="10600"/>
        <w:spacing w:after="0"/>
        <w:rPr>
          <w:sz w:val="20"/>
          <w:szCs w:val="20"/>
          <w:color w:val="auto"/>
        </w:rPr>
      </w:pPr>
      <w:r>
        <w:rPr>
          <w:rFonts w:ascii="Arial" w:cs="Arial" w:eastAsia="Arial" w:hAnsi="Arial"/>
          <w:sz w:val="17"/>
          <w:szCs w:val="17"/>
          <w:b w:val="1"/>
          <w:bCs w:val="1"/>
          <w:color w:val="auto"/>
        </w:rPr>
        <w:t>Exhibit 3.3</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BYLAWS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APPLIED OPTOELECTRONICS,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 Delaware corporation</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(the “Company”)</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(Adopted as of March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6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12"/>
        </w:trPr>
        <w:tc>
          <w:tcPr>
            <w:tcW w:w="1620" w:type="dxa"/>
            <w:vAlign w:val="bottom"/>
          </w:tcPr>
          <w:p>
            <w:pPr>
              <w:spacing w:after="0"/>
              <w:rPr>
                <w:sz w:val="20"/>
                <w:szCs w:val="20"/>
                <w:color w:val="auto"/>
              </w:rPr>
            </w:pPr>
            <w:r>
              <w:rPr>
                <w:rFonts w:ascii="Arial" w:cs="Arial" w:eastAsia="Arial" w:hAnsi="Arial"/>
                <w:sz w:val="17"/>
                <w:szCs w:val="17"/>
                <w:color w:val="auto"/>
              </w:rPr>
              <w:t>ARTICLE I</w:t>
            </w:r>
          </w:p>
        </w:tc>
        <w:tc>
          <w:tcPr>
            <w:tcW w:w="9060" w:type="dxa"/>
            <w:vAlign w:val="bottom"/>
          </w:tcPr>
          <w:p>
            <w:pPr>
              <w:ind w:left="280"/>
              <w:spacing w:after="0"/>
              <w:rPr>
                <w:sz w:val="20"/>
                <w:szCs w:val="20"/>
                <w:color w:val="auto"/>
              </w:rPr>
            </w:pPr>
            <w:r>
              <w:rPr>
                <w:rFonts w:ascii="Arial" w:cs="Arial" w:eastAsia="Arial" w:hAnsi="Arial"/>
                <w:sz w:val="17"/>
                <w:szCs w:val="17"/>
                <w:color w:val="auto"/>
              </w:rPr>
              <w:t>OFFICES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08"/>
        </w:trPr>
        <w:tc>
          <w:tcPr>
            <w:tcW w:w="1620" w:type="dxa"/>
            <w:vAlign w:val="bottom"/>
          </w:tcPr>
          <w:p>
            <w:pPr>
              <w:ind w:left="520"/>
              <w:spacing w:after="0"/>
              <w:rPr>
                <w:sz w:val="20"/>
                <w:szCs w:val="20"/>
                <w:color w:val="auto"/>
              </w:rPr>
            </w:pPr>
            <w:r>
              <w:rPr>
                <w:rFonts w:ascii="Arial" w:cs="Arial" w:eastAsia="Arial" w:hAnsi="Arial"/>
                <w:sz w:val="17"/>
                <w:szCs w:val="17"/>
                <w:color w:val="auto"/>
              </w:rPr>
              <w:t>Section 1.1</w:t>
            </w:r>
          </w:p>
        </w:tc>
        <w:tc>
          <w:tcPr>
            <w:tcW w:w="9060" w:type="dxa"/>
            <w:vAlign w:val="bottom"/>
          </w:tcPr>
          <w:p>
            <w:pPr>
              <w:ind w:left="640"/>
              <w:spacing w:after="0"/>
              <w:rPr>
                <w:sz w:val="20"/>
                <w:szCs w:val="20"/>
                <w:color w:val="auto"/>
              </w:rPr>
            </w:pPr>
            <w:r>
              <w:rPr>
                <w:rFonts w:ascii="Arial" w:cs="Arial" w:eastAsia="Arial" w:hAnsi="Arial"/>
                <w:sz w:val="17"/>
                <w:szCs w:val="17"/>
                <w:color w:val="auto"/>
              </w:rPr>
              <w:t>Registered Office</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22"/>
        </w:trPr>
        <w:tc>
          <w:tcPr>
            <w:tcW w:w="1620" w:type="dxa"/>
            <w:vAlign w:val="bottom"/>
          </w:tcPr>
          <w:p>
            <w:pPr>
              <w:ind w:left="520"/>
              <w:spacing w:after="0"/>
              <w:rPr>
                <w:sz w:val="20"/>
                <w:szCs w:val="20"/>
                <w:color w:val="auto"/>
              </w:rPr>
            </w:pPr>
            <w:r>
              <w:rPr>
                <w:rFonts w:ascii="Arial" w:cs="Arial" w:eastAsia="Arial" w:hAnsi="Arial"/>
                <w:sz w:val="17"/>
                <w:szCs w:val="17"/>
                <w:color w:val="auto"/>
              </w:rPr>
              <w:t>Section 1.2</w:t>
            </w:r>
          </w:p>
        </w:tc>
        <w:tc>
          <w:tcPr>
            <w:tcW w:w="9060" w:type="dxa"/>
            <w:vAlign w:val="bottom"/>
          </w:tcPr>
          <w:p>
            <w:pPr>
              <w:ind w:left="640"/>
              <w:spacing w:after="0"/>
              <w:rPr>
                <w:sz w:val="20"/>
                <w:szCs w:val="20"/>
                <w:color w:val="auto"/>
              </w:rPr>
            </w:pPr>
            <w:r>
              <w:rPr>
                <w:rFonts w:ascii="Arial" w:cs="Arial" w:eastAsia="Arial" w:hAnsi="Arial"/>
                <w:sz w:val="17"/>
                <w:szCs w:val="17"/>
                <w:color w:val="auto"/>
              </w:rPr>
              <w:t>Additional Offices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620" w:type="dxa"/>
            <w:vAlign w:val="bottom"/>
          </w:tcPr>
          <w:p>
            <w:pPr>
              <w:spacing w:after="0"/>
              <w:rPr>
                <w:sz w:val="20"/>
                <w:szCs w:val="20"/>
                <w:color w:val="auto"/>
              </w:rPr>
            </w:pPr>
            <w:r>
              <w:rPr>
                <w:rFonts w:ascii="Arial" w:cs="Arial" w:eastAsia="Arial" w:hAnsi="Arial"/>
                <w:sz w:val="17"/>
                <w:szCs w:val="17"/>
                <w:color w:val="auto"/>
              </w:rPr>
              <w:t>ARTICLE II</w:t>
            </w:r>
          </w:p>
        </w:tc>
        <w:tc>
          <w:tcPr>
            <w:tcW w:w="9060" w:type="dxa"/>
            <w:vAlign w:val="bottom"/>
          </w:tcPr>
          <w:p>
            <w:pPr>
              <w:ind w:left="280"/>
              <w:spacing w:after="0"/>
              <w:rPr>
                <w:sz w:val="20"/>
                <w:szCs w:val="20"/>
                <w:color w:val="auto"/>
              </w:rPr>
            </w:pPr>
            <w:r>
              <w:rPr>
                <w:rFonts w:ascii="Arial" w:cs="Arial" w:eastAsia="Arial" w:hAnsi="Arial"/>
                <w:sz w:val="17"/>
                <w:szCs w:val="17"/>
                <w:color w:val="auto"/>
              </w:rPr>
              <w:t>STOCKHOLDER’S MEETINGS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08"/>
        </w:trPr>
        <w:tc>
          <w:tcPr>
            <w:tcW w:w="1620" w:type="dxa"/>
            <w:vAlign w:val="bottom"/>
          </w:tcPr>
          <w:p>
            <w:pPr>
              <w:ind w:left="520"/>
              <w:spacing w:after="0"/>
              <w:rPr>
                <w:sz w:val="20"/>
                <w:szCs w:val="20"/>
                <w:color w:val="auto"/>
              </w:rPr>
            </w:pPr>
            <w:r>
              <w:rPr>
                <w:rFonts w:ascii="Arial" w:cs="Arial" w:eastAsia="Arial" w:hAnsi="Arial"/>
                <w:sz w:val="17"/>
                <w:szCs w:val="17"/>
                <w:color w:val="auto"/>
              </w:rPr>
              <w:t>Section 2.1</w:t>
            </w:r>
          </w:p>
        </w:tc>
        <w:tc>
          <w:tcPr>
            <w:tcW w:w="9060" w:type="dxa"/>
            <w:vAlign w:val="bottom"/>
          </w:tcPr>
          <w:p>
            <w:pPr>
              <w:ind w:left="640"/>
              <w:spacing w:after="0"/>
              <w:rPr>
                <w:sz w:val="20"/>
                <w:szCs w:val="20"/>
                <w:color w:val="auto"/>
              </w:rPr>
            </w:pPr>
            <w:r>
              <w:rPr>
                <w:rFonts w:ascii="Arial" w:cs="Arial" w:eastAsia="Arial" w:hAnsi="Arial"/>
                <w:sz w:val="17"/>
                <w:szCs w:val="17"/>
                <w:color w:val="auto"/>
              </w:rPr>
              <w:t>Annual Meetings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1620" w:type="dxa"/>
            <w:vAlign w:val="bottom"/>
          </w:tcPr>
          <w:p>
            <w:pPr>
              <w:ind w:left="520"/>
              <w:spacing w:after="0"/>
              <w:rPr>
                <w:sz w:val="20"/>
                <w:szCs w:val="20"/>
                <w:color w:val="auto"/>
              </w:rPr>
            </w:pPr>
            <w:r>
              <w:rPr>
                <w:rFonts w:ascii="Arial" w:cs="Arial" w:eastAsia="Arial" w:hAnsi="Arial"/>
                <w:sz w:val="17"/>
                <w:szCs w:val="17"/>
                <w:color w:val="auto"/>
              </w:rPr>
              <w:t>Section 2.2</w:t>
            </w:r>
          </w:p>
        </w:tc>
        <w:tc>
          <w:tcPr>
            <w:tcW w:w="9060" w:type="dxa"/>
            <w:vAlign w:val="bottom"/>
          </w:tcPr>
          <w:p>
            <w:pPr>
              <w:ind w:left="640"/>
              <w:spacing w:after="0"/>
              <w:rPr>
                <w:sz w:val="20"/>
                <w:szCs w:val="20"/>
                <w:color w:val="auto"/>
              </w:rPr>
            </w:pPr>
            <w:r>
              <w:rPr>
                <w:rFonts w:ascii="Arial" w:cs="Arial" w:eastAsia="Arial" w:hAnsi="Arial"/>
                <w:sz w:val="17"/>
                <w:szCs w:val="17"/>
                <w:color w:val="auto"/>
              </w:rPr>
              <w:t>Special Meetings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1620" w:type="dxa"/>
            <w:vAlign w:val="bottom"/>
          </w:tcPr>
          <w:p>
            <w:pPr>
              <w:ind w:left="520"/>
              <w:spacing w:after="0"/>
              <w:rPr>
                <w:sz w:val="20"/>
                <w:szCs w:val="20"/>
                <w:color w:val="auto"/>
              </w:rPr>
            </w:pPr>
            <w:r>
              <w:rPr>
                <w:rFonts w:ascii="Arial" w:cs="Arial" w:eastAsia="Arial" w:hAnsi="Arial"/>
                <w:sz w:val="17"/>
                <w:szCs w:val="17"/>
                <w:color w:val="auto"/>
              </w:rPr>
              <w:t>Section 2.3</w:t>
            </w:r>
          </w:p>
        </w:tc>
        <w:tc>
          <w:tcPr>
            <w:tcW w:w="9060" w:type="dxa"/>
            <w:vAlign w:val="bottom"/>
          </w:tcPr>
          <w:p>
            <w:pPr>
              <w:ind w:left="640"/>
              <w:spacing w:after="0"/>
              <w:rPr>
                <w:sz w:val="20"/>
                <w:szCs w:val="20"/>
                <w:color w:val="auto"/>
              </w:rPr>
            </w:pPr>
            <w:r>
              <w:rPr>
                <w:rFonts w:ascii="Arial" w:cs="Arial" w:eastAsia="Arial" w:hAnsi="Arial"/>
                <w:sz w:val="17"/>
                <w:szCs w:val="17"/>
                <w:color w:val="auto"/>
              </w:rPr>
              <w:t>Notices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1620" w:type="dxa"/>
            <w:vAlign w:val="bottom"/>
          </w:tcPr>
          <w:p>
            <w:pPr>
              <w:ind w:left="520"/>
              <w:spacing w:after="0"/>
              <w:rPr>
                <w:sz w:val="20"/>
                <w:szCs w:val="20"/>
                <w:color w:val="auto"/>
              </w:rPr>
            </w:pPr>
            <w:r>
              <w:rPr>
                <w:rFonts w:ascii="Arial" w:cs="Arial" w:eastAsia="Arial" w:hAnsi="Arial"/>
                <w:sz w:val="17"/>
                <w:szCs w:val="17"/>
                <w:color w:val="auto"/>
              </w:rPr>
              <w:t>Section 2.4</w:t>
            </w:r>
          </w:p>
        </w:tc>
        <w:tc>
          <w:tcPr>
            <w:tcW w:w="9060" w:type="dxa"/>
            <w:vAlign w:val="bottom"/>
          </w:tcPr>
          <w:p>
            <w:pPr>
              <w:ind w:left="640"/>
              <w:spacing w:after="0"/>
              <w:rPr>
                <w:sz w:val="20"/>
                <w:szCs w:val="20"/>
                <w:color w:val="auto"/>
              </w:rPr>
            </w:pPr>
            <w:r>
              <w:rPr>
                <w:rFonts w:ascii="Arial" w:cs="Arial" w:eastAsia="Arial" w:hAnsi="Arial"/>
                <w:sz w:val="17"/>
                <w:szCs w:val="17"/>
                <w:color w:val="auto"/>
              </w:rPr>
              <w:t>Quorum</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210"/>
        </w:trPr>
        <w:tc>
          <w:tcPr>
            <w:tcW w:w="1620" w:type="dxa"/>
            <w:vAlign w:val="bottom"/>
          </w:tcPr>
          <w:p>
            <w:pPr>
              <w:ind w:left="520"/>
              <w:spacing w:after="0"/>
              <w:rPr>
                <w:sz w:val="20"/>
                <w:szCs w:val="20"/>
                <w:color w:val="auto"/>
              </w:rPr>
            </w:pPr>
            <w:r>
              <w:rPr>
                <w:rFonts w:ascii="Arial" w:cs="Arial" w:eastAsia="Arial" w:hAnsi="Arial"/>
                <w:sz w:val="17"/>
                <w:szCs w:val="17"/>
                <w:color w:val="auto"/>
              </w:rPr>
              <w:t>Section 2.5</w:t>
            </w:r>
          </w:p>
        </w:tc>
        <w:tc>
          <w:tcPr>
            <w:tcW w:w="9060" w:type="dxa"/>
            <w:vAlign w:val="bottom"/>
          </w:tcPr>
          <w:p>
            <w:pPr>
              <w:ind w:left="640"/>
              <w:spacing w:after="0"/>
              <w:rPr>
                <w:sz w:val="20"/>
                <w:szCs w:val="20"/>
                <w:color w:val="auto"/>
              </w:rPr>
            </w:pPr>
            <w:r>
              <w:rPr>
                <w:rFonts w:ascii="Arial" w:cs="Arial" w:eastAsia="Arial" w:hAnsi="Arial"/>
                <w:sz w:val="17"/>
                <w:szCs w:val="17"/>
                <w:color w:val="auto"/>
              </w:rPr>
              <w:t>Voting of Shares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22"/>
        </w:trPr>
        <w:tc>
          <w:tcPr>
            <w:tcW w:w="1620" w:type="dxa"/>
            <w:vAlign w:val="bottom"/>
          </w:tcPr>
          <w:p>
            <w:pPr>
              <w:ind w:left="520"/>
              <w:spacing w:after="0"/>
              <w:rPr>
                <w:sz w:val="20"/>
                <w:szCs w:val="20"/>
                <w:color w:val="auto"/>
              </w:rPr>
            </w:pPr>
            <w:r>
              <w:rPr>
                <w:rFonts w:ascii="Arial" w:cs="Arial" w:eastAsia="Arial" w:hAnsi="Arial"/>
                <w:sz w:val="17"/>
                <w:szCs w:val="17"/>
                <w:color w:val="auto"/>
              </w:rPr>
              <w:t>Section 2.6</w:t>
            </w:r>
          </w:p>
        </w:tc>
        <w:tc>
          <w:tcPr>
            <w:tcW w:w="9060" w:type="dxa"/>
            <w:vAlign w:val="bottom"/>
          </w:tcPr>
          <w:p>
            <w:pPr>
              <w:ind w:left="640"/>
              <w:spacing w:after="0"/>
              <w:rPr>
                <w:sz w:val="20"/>
                <w:szCs w:val="20"/>
                <w:color w:val="auto"/>
              </w:rPr>
            </w:pPr>
            <w:r>
              <w:rPr>
                <w:rFonts w:ascii="Arial" w:cs="Arial" w:eastAsia="Arial" w:hAnsi="Arial"/>
                <w:sz w:val="17"/>
                <w:szCs w:val="17"/>
                <w:color w:val="auto"/>
              </w:rPr>
              <w:t>Consents in Lieu of Meeting</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419"/>
        </w:trPr>
        <w:tc>
          <w:tcPr>
            <w:tcW w:w="1620" w:type="dxa"/>
            <w:vAlign w:val="bottom"/>
          </w:tcPr>
          <w:p>
            <w:pPr>
              <w:spacing w:after="0"/>
              <w:rPr>
                <w:sz w:val="20"/>
                <w:szCs w:val="20"/>
                <w:color w:val="auto"/>
              </w:rPr>
            </w:pPr>
            <w:r>
              <w:rPr>
                <w:rFonts w:ascii="Arial" w:cs="Arial" w:eastAsia="Arial" w:hAnsi="Arial"/>
                <w:sz w:val="17"/>
                <w:szCs w:val="17"/>
                <w:color w:val="auto"/>
              </w:rPr>
              <w:t>ARTICLE III</w:t>
            </w:r>
          </w:p>
        </w:tc>
        <w:tc>
          <w:tcPr>
            <w:tcW w:w="9060" w:type="dxa"/>
            <w:vAlign w:val="bottom"/>
          </w:tcPr>
          <w:p>
            <w:pPr>
              <w:ind w:left="280"/>
              <w:spacing w:after="0"/>
              <w:rPr>
                <w:sz w:val="20"/>
                <w:szCs w:val="20"/>
                <w:color w:val="auto"/>
              </w:rPr>
            </w:pPr>
            <w:r>
              <w:rPr>
                <w:rFonts w:ascii="Arial" w:cs="Arial" w:eastAsia="Arial" w:hAnsi="Arial"/>
                <w:sz w:val="17"/>
                <w:szCs w:val="17"/>
                <w:color w:val="auto"/>
              </w:rPr>
              <w:t>DIRECTORS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408"/>
        </w:trPr>
        <w:tc>
          <w:tcPr>
            <w:tcW w:w="1620" w:type="dxa"/>
            <w:vAlign w:val="bottom"/>
          </w:tcPr>
          <w:p>
            <w:pPr>
              <w:ind w:left="520"/>
              <w:spacing w:after="0"/>
              <w:rPr>
                <w:sz w:val="20"/>
                <w:szCs w:val="20"/>
                <w:color w:val="auto"/>
              </w:rPr>
            </w:pPr>
            <w:r>
              <w:rPr>
                <w:rFonts w:ascii="Arial" w:cs="Arial" w:eastAsia="Arial" w:hAnsi="Arial"/>
                <w:sz w:val="17"/>
                <w:szCs w:val="17"/>
                <w:color w:val="auto"/>
              </w:rPr>
              <w:t>Section 3.1</w:t>
            </w:r>
          </w:p>
        </w:tc>
        <w:tc>
          <w:tcPr>
            <w:tcW w:w="9060" w:type="dxa"/>
            <w:vAlign w:val="bottom"/>
          </w:tcPr>
          <w:p>
            <w:pPr>
              <w:ind w:left="640"/>
              <w:spacing w:after="0"/>
              <w:rPr>
                <w:sz w:val="20"/>
                <w:szCs w:val="20"/>
                <w:color w:val="auto"/>
              </w:rPr>
            </w:pPr>
            <w:r>
              <w:rPr>
                <w:rFonts w:ascii="Arial" w:cs="Arial" w:eastAsia="Arial" w:hAnsi="Arial"/>
                <w:sz w:val="17"/>
                <w:szCs w:val="17"/>
                <w:color w:val="auto"/>
              </w:rPr>
              <w:t>Purpose</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1620" w:type="dxa"/>
            <w:vAlign w:val="bottom"/>
          </w:tcPr>
          <w:p>
            <w:pPr>
              <w:ind w:left="520"/>
              <w:spacing w:after="0"/>
              <w:rPr>
                <w:sz w:val="20"/>
                <w:szCs w:val="20"/>
                <w:color w:val="auto"/>
              </w:rPr>
            </w:pPr>
            <w:r>
              <w:rPr>
                <w:rFonts w:ascii="Arial" w:cs="Arial" w:eastAsia="Arial" w:hAnsi="Arial"/>
                <w:sz w:val="17"/>
                <w:szCs w:val="17"/>
                <w:color w:val="auto"/>
              </w:rPr>
              <w:t>Section 3.2</w:t>
            </w:r>
          </w:p>
        </w:tc>
        <w:tc>
          <w:tcPr>
            <w:tcW w:w="9060" w:type="dxa"/>
            <w:vAlign w:val="bottom"/>
          </w:tcPr>
          <w:p>
            <w:pPr>
              <w:ind w:left="640"/>
              <w:spacing w:after="0"/>
              <w:rPr>
                <w:sz w:val="20"/>
                <w:szCs w:val="20"/>
                <w:color w:val="auto"/>
              </w:rPr>
            </w:pPr>
            <w:r>
              <w:rPr>
                <w:rFonts w:ascii="Arial" w:cs="Arial" w:eastAsia="Arial" w:hAnsi="Arial"/>
                <w:sz w:val="17"/>
                <w:szCs w:val="17"/>
                <w:color w:val="auto"/>
              </w:rPr>
              <w:t>Number</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1620" w:type="dxa"/>
            <w:vAlign w:val="bottom"/>
          </w:tcPr>
          <w:p>
            <w:pPr>
              <w:ind w:left="520"/>
              <w:spacing w:after="0"/>
              <w:rPr>
                <w:sz w:val="20"/>
                <w:szCs w:val="20"/>
                <w:color w:val="auto"/>
              </w:rPr>
            </w:pPr>
            <w:r>
              <w:rPr>
                <w:rFonts w:ascii="Arial" w:cs="Arial" w:eastAsia="Arial" w:hAnsi="Arial"/>
                <w:sz w:val="17"/>
                <w:szCs w:val="17"/>
                <w:color w:val="auto"/>
              </w:rPr>
              <w:t>Section 3.3</w:t>
            </w:r>
          </w:p>
        </w:tc>
        <w:tc>
          <w:tcPr>
            <w:tcW w:w="9060" w:type="dxa"/>
            <w:vAlign w:val="bottom"/>
          </w:tcPr>
          <w:p>
            <w:pPr>
              <w:ind w:left="640"/>
              <w:spacing w:after="0"/>
              <w:rPr>
                <w:sz w:val="20"/>
                <w:szCs w:val="20"/>
                <w:color w:val="auto"/>
              </w:rPr>
            </w:pPr>
            <w:r>
              <w:rPr>
                <w:rFonts w:ascii="Arial" w:cs="Arial" w:eastAsia="Arial" w:hAnsi="Arial"/>
                <w:sz w:val="17"/>
                <w:szCs w:val="17"/>
                <w:color w:val="auto"/>
              </w:rPr>
              <w:t>Election</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1620" w:type="dxa"/>
            <w:vAlign w:val="bottom"/>
          </w:tcPr>
          <w:p>
            <w:pPr>
              <w:ind w:left="520"/>
              <w:spacing w:after="0"/>
              <w:rPr>
                <w:sz w:val="20"/>
                <w:szCs w:val="20"/>
                <w:color w:val="auto"/>
              </w:rPr>
            </w:pPr>
            <w:r>
              <w:rPr>
                <w:rFonts w:ascii="Arial" w:cs="Arial" w:eastAsia="Arial" w:hAnsi="Arial"/>
                <w:sz w:val="17"/>
                <w:szCs w:val="17"/>
                <w:color w:val="auto"/>
              </w:rPr>
              <w:t>Section 3.4</w:t>
            </w:r>
          </w:p>
        </w:tc>
        <w:tc>
          <w:tcPr>
            <w:tcW w:w="9060" w:type="dxa"/>
            <w:vAlign w:val="bottom"/>
          </w:tcPr>
          <w:p>
            <w:pPr>
              <w:ind w:left="640"/>
              <w:spacing w:after="0"/>
              <w:rPr>
                <w:sz w:val="20"/>
                <w:szCs w:val="20"/>
                <w:color w:val="auto"/>
              </w:rPr>
            </w:pPr>
            <w:r>
              <w:rPr>
                <w:rFonts w:ascii="Arial" w:cs="Arial" w:eastAsia="Arial" w:hAnsi="Arial"/>
                <w:sz w:val="17"/>
                <w:szCs w:val="17"/>
                <w:color w:val="auto"/>
              </w:rPr>
              <w:t>Vacancies and Newly-Created Directorships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1620" w:type="dxa"/>
            <w:vAlign w:val="bottom"/>
          </w:tcPr>
          <w:p>
            <w:pPr>
              <w:ind w:left="520"/>
              <w:spacing w:after="0"/>
              <w:rPr>
                <w:sz w:val="20"/>
                <w:szCs w:val="20"/>
                <w:color w:val="auto"/>
              </w:rPr>
            </w:pPr>
            <w:r>
              <w:rPr>
                <w:rFonts w:ascii="Arial" w:cs="Arial" w:eastAsia="Arial" w:hAnsi="Arial"/>
                <w:sz w:val="17"/>
                <w:szCs w:val="17"/>
                <w:color w:val="auto"/>
              </w:rPr>
              <w:t>Section 3.5</w:t>
            </w:r>
          </w:p>
        </w:tc>
        <w:tc>
          <w:tcPr>
            <w:tcW w:w="9060" w:type="dxa"/>
            <w:vAlign w:val="bottom"/>
          </w:tcPr>
          <w:p>
            <w:pPr>
              <w:ind w:left="640"/>
              <w:spacing w:after="0"/>
              <w:rPr>
                <w:sz w:val="20"/>
                <w:szCs w:val="20"/>
                <w:color w:val="auto"/>
              </w:rPr>
            </w:pPr>
            <w:r>
              <w:rPr>
                <w:rFonts w:ascii="Arial" w:cs="Arial" w:eastAsia="Arial" w:hAnsi="Arial"/>
                <w:sz w:val="17"/>
                <w:szCs w:val="17"/>
                <w:color w:val="auto"/>
              </w:rPr>
              <w:t>Removal</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22"/>
        </w:trPr>
        <w:tc>
          <w:tcPr>
            <w:tcW w:w="1620" w:type="dxa"/>
            <w:vAlign w:val="bottom"/>
          </w:tcPr>
          <w:p>
            <w:pPr>
              <w:ind w:left="520"/>
              <w:spacing w:after="0"/>
              <w:rPr>
                <w:sz w:val="20"/>
                <w:szCs w:val="20"/>
                <w:color w:val="auto"/>
              </w:rPr>
            </w:pPr>
            <w:r>
              <w:rPr>
                <w:rFonts w:ascii="Arial" w:cs="Arial" w:eastAsia="Arial" w:hAnsi="Arial"/>
                <w:sz w:val="17"/>
                <w:szCs w:val="17"/>
                <w:color w:val="auto"/>
              </w:rPr>
              <w:t>Section 3.6</w:t>
            </w:r>
          </w:p>
        </w:tc>
        <w:tc>
          <w:tcPr>
            <w:tcW w:w="9060" w:type="dxa"/>
            <w:vAlign w:val="bottom"/>
          </w:tcPr>
          <w:p>
            <w:pPr>
              <w:ind w:left="640"/>
              <w:spacing w:after="0"/>
              <w:rPr>
                <w:sz w:val="20"/>
                <w:szCs w:val="20"/>
                <w:color w:val="auto"/>
              </w:rPr>
            </w:pPr>
            <w:r>
              <w:rPr>
                <w:rFonts w:ascii="Arial" w:cs="Arial" w:eastAsia="Arial" w:hAnsi="Arial"/>
                <w:sz w:val="17"/>
                <w:szCs w:val="17"/>
                <w:color w:val="auto"/>
              </w:rPr>
              <w:t>Compensation</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419"/>
        </w:trPr>
        <w:tc>
          <w:tcPr>
            <w:tcW w:w="1620" w:type="dxa"/>
            <w:vAlign w:val="bottom"/>
          </w:tcPr>
          <w:p>
            <w:pPr>
              <w:spacing w:after="0"/>
              <w:rPr>
                <w:sz w:val="20"/>
                <w:szCs w:val="20"/>
                <w:color w:val="auto"/>
              </w:rPr>
            </w:pPr>
            <w:r>
              <w:rPr>
                <w:rFonts w:ascii="Arial" w:cs="Arial" w:eastAsia="Arial" w:hAnsi="Arial"/>
                <w:sz w:val="17"/>
                <w:szCs w:val="17"/>
                <w:color w:val="auto"/>
              </w:rPr>
              <w:t>ARTICLE IV</w:t>
            </w:r>
          </w:p>
        </w:tc>
        <w:tc>
          <w:tcPr>
            <w:tcW w:w="9060" w:type="dxa"/>
            <w:vAlign w:val="bottom"/>
          </w:tcPr>
          <w:p>
            <w:pPr>
              <w:ind w:left="280"/>
              <w:spacing w:after="0"/>
              <w:rPr>
                <w:sz w:val="20"/>
                <w:szCs w:val="20"/>
                <w:color w:val="auto"/>
              </w:rPr>
            </w:pPr>
            <w:r>
              <w:rPr>
                <w:rFonts w:ascii="Arial" w:cs="Arial" w:eastAsia="Arial" w:hAnsi="Arial"/>
                <w:sz w:val="17"/>
                <w:szCs w:val="17"/>
                <w:color w:val="auto"/>
              </w:rPr>
              <w:t>BOARD MEETINGS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408"/>
        </w:trPr>
        <w:tc>
          <w:tcPr>
            <w:tcW w:w="1620" w:type="dxa"/>
            <w:vAlign w:val="bottom"/>
          </w:tcPr>
          <w:p>
            <w:pPr>
              <w:ind w:left="520"/>
              <w:spacing w:after="0"/>
              <w:rPr>
                <w:sz w:val="20"/>
                <w:szCs w:val="20"/>
                <w:color w:val="auto"/>
              </w:rPr>
            </w:pPr>
            <w:r>
              <w:rPr>
                <w:rFonts w:ascii="Arial" w:cs="Arial" w:eastAsia="Arial" w:hAnsi="Arial"/>
                <w:sz w:val="17"/>
                <w:szCs w:val="17"/>
                <w:color w:val="auto"/>
              </w:rPr>
              <w:t>Section 4.1</w:t>
            </w:r>
          </w:p>
        </w:tc>
        <w:tc>
          <w:tcPr>
            <w:tcW w:w="9060" w:type="dxa"/>
            <w:vAlign w:val="bottom"/>
          </w:tcPr>
          <w:p>
            <w:pPr>
              <w:ind w:left="640"/>
              <w:spacing w:after="0"/>
              <w:rPr>
                <w:sz w:val="20"/>
                <w:szCs w:val="20"/>
                <w:color w:val="auto"/>
              </w:rPr>
            </w:pPr>
            <w:r>
              <w:rPr>
                <w:rFonts w:ascii="Arial" w:cs="Arial" w:eastAsia="Arial" w:hAnsi="Arial"/>
                <w:sz w:val="17"/>
                <w:szCs w:val="17"/>
                <w:color w:val="auto"/>
              </w:rPr>
              <w:t>Annual Meetings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620" w:type="dxa"/>
            <w:vAlign w:val="bottom"/>
          </w:tcPr>
          <w:p>
            <w:pPr>
              <w:ind w:left="520"/>
              <w:spacing w:after="0"/>
              <w:rPr>
                <w:sz w:val="20"/>
                <w:szCs w:val="20"/>
                <w:color w:val="auto"/>
              </w:rPr>
            </w:pPr>
            <w:r>
              <w:rPr>
                <w:rFonts w:ascii="Arial" w:cs="Arial" w:eastAsia="Arial" w:hAnsi="Arial"/>
                <w:sz w:val="17"/>
                <w:szCs w:val="17"/>
                <w:color w:val="auto"/>
              </w:rPr>
              <w:t>Section 4.2</w:t>
            </w:r>
          </w:p>
        </w:tc>
        <w:tc>
          <w:tcPr>
            <w:tcW w:w="9060" w:type="dxa"/>
            <w:vAlign w:val="bottom"/>
          </w:tcPr>
          <w:p>
            <w:pPr>
              <w:ind w:left="640"/>
              <w:spacing w:after="0"/>
              <w:rPr>
                <w:sz w:val="20"/>
                <w:szCs w:val="20"/>
                <w:color w:val="auto"/>
              </w:rPr>
            </w:pPr>
            <w:r>
              <w:rPr>
                <w:rFonts w:ascii="Arial" w:cs="Arial" w:eastAsia="Arial" w:hAnsi="Arial"/>
                <w:sz w:val="17"/>
                <w:szCs w:val="17"/>
                <w:color w:val="auto"/>
              </w:rPr>
              <w:t>Regular Meetings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620" w:type="dxa"/>
            <w:vAlign w:val="bottom"/>
          </w:tcPr>
          <w:p>
            <w:pPr>
              <w:ind w:left="520"/>
              <w:spacing w:after="0"/>
              <w:rPr>
                <w:sz w:val="20"/>
                <w:szCs w:val="20"/>
                <w:color w:val="auto"/>
              </w:rPr>
            </w:pPr>
            <w:r>
              <w:rPr>
                <w:rFonts w:ascii="Arial" w:cs="Arial" w:eastAsia="Arial" w:hAnsi="Arial"/>
                <w:sz w:val="17"/>
                <w:szCs w:val="17"/>
                <w:color w:val="auto"/>
              </w:rPr>
              <w:t>Section 4.3</w:t>
            </w:r>
          </w:p>
        </w:tc>
        <w:tc>
          <w:tcPr>
            <w:tcW w:w="9060" w:type="dxa"/>
            <w:vAlign w:val="bottom"/>
          </w:tcPr>
          <w:p>
            <w:pPr>
              <w:ind w:left="640"/>
              <w:spacing w:after="0"/>
              <w:rPr>
                <w:sz w:val="20"/>
                <w:szCs w:val="20"/>
                <w:color w:val="auto"/>
              </w:rPr>
            </w:pPr>
            <w:r>
              <w:rPr>
                <w:rFonts w:ascii="Arial" w:cs="Arial" w:eastAsia="Arial" w:hAnsi="Arial"/>
                <w:sz w:val="17"/>
                <w:szCs w:val="17"/>
                <w:color w:val="auto"/>
              </w:rPr>
              <w:t>Special Meetings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620" w:type="dxa"/>
            <w:vAlign w:val="bottom"/>
          </w:tcPr>
          <w:p>
            <w:pPr>
              <w:ind w:left="520"/>
              <w:spacing w:after="0"/>
              <w:rPr>
                <w:sz w:val="20"/>
                <w:szCs w:val="20"/>
                <w:color w:val="auto"/>
              </w:rPr>
            </w:pPr>
            <w:r>
              <w:rPr>
                <w:rFonts w:ascii="Arial" w:cs="Arial" w:eastAsia="Arial" w:hAnsi="Arial"/>
                <w:sz w:val="17"/>
                <w:szCs w:val="17"/>
                <w:color w:val="auto"/>
              </w:rPr>
              <w:t>Section 4.4</w:t>
            </w:r>
          </w:p>
        </w:tc>
        <w:tc>
          <w:tcPr>
            <w:tcW w:w="9060" w:type="dxa"/>
            <w:vAlign w:val="bottom"/>
          </w:tcPr>
          <w:p>
            <w:pPr>
              <w:ind w:left="640"/>
              <w:spacing w:after="0"/>
              <w:rPr>
                <w:sz w:val="20"/>
                <w:szCs w:val="20"/>
                <w:color w:val="auto"/>
              </w:rPr>
            </w:pPr>
            <w:r>
              <w:rPr>
                <w:rFonts w:ascii="Arial" w:cs="Arial" w:eastAsia="Arial" w:hAnsi="Arial"/>
                <w:sz w:val="17"/>
                <w:szCs w:val="17"/>
                <w:color w:val="auto"/>
              </w:rPr>
              <w:t>Quorum, Required Vote</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620" w:type="dxa"/>
            <w:vAlign w:val="bottom"/>
          </w:tcPr>
          <w:p>
            <w:pPr>
              <w:ind w:left="520"/>
              <w:spacing w:after="0"/>
              <w:rPr>
                <w:sz w:val="20"/>
                <w:szCs w:val="20"/>
                <w:color w:val="auto"/>
              </w:rPr>
            </w:pPr>
            <w:r>
              <w:rPr>
                <w:rFonts w:ascii="Arial" w:cs="Arial" w:eastAsia="Arial" w:hAnsi="Arial"/>
                <w:sz w:val="17"/>
                <w:szCs w:val="17"/>
                <w:color w:val="auto"/>
              </w:rPr>
              <w:t>Section 4.5</w:t>
            </w:r>
          </w:p>
        </w:tc>
        <w:tc>
          <w:tcPr>
            <w:tcW w:w="9060" w:type="dxa"/>
            <w:vAlign w:val="bottom"/>
          </w:tcPr>
          <w:p>
            <w:pPr>
              <w:ind w:left="640"/>
              <w:spacing w:after="0"/>
              <w:rPr>
                <w:sz w:val="20"/>
                <w:szCs w:val="20"/>
                <w:color w:val="auto"/>
              </w:rPr>
            </w:pPr>
            <w:r>
              <w:rPr>
                <w:rFonts w:ascii="Arial" w:cs="Arial" w:eastAsia="Arial" w:hAnsi="Arial"/>
                <w:sz w:val="17"/>
                <w:szCs w:val="17"/>
                <w:color w:val="auto"/>
              </w:rPr>
              <w:t>Consent In Lieu of Meeting</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22"/>
        </w:trPr>
        <w:tc>
          <w:tcPr>
            <w:tcW w:w="1620" w:type="dxa"/>
            <w:vAlign w:val="bottom"/>
          </w:tcPr>
          <w:p>
            <w:pPr>
              <w:ind w:left="520"/>
              <w:spacing w:after="0"/>
              <w:rPr>
                <w:sz w:val="20"/>
                <w:szCs w:val="20"/>
                <w:color w:val="auto"/>
              </w:rPr>
            </w:pPr>
            <w:r>
              <w:rPr>
                <w:rFonts w:ascii="Arial" w:cs="Arial" w:eastAsia="Arial" w:hAnsi="Arial"/>
                <w:sz w:val="17"/>
                <w:szCs w:val="17"/>
                <w:color w:val="auto"/>
              </w:rPr>
              <w:t>Section 4.6</w:t>
            </w:r>
          </w:p>
        </w:tc>
        <w:tc>
          <w:tcPr>
            <w:tcW w:w="9060" w:type="dxa"/>
            <w:vAlign w:val="bottom"/>
          </w:tcPr>
          <w:p>
            <w:pPr>
              <w:ind w:left="640"/>
              <w:spacing w:after="0"/>
              <w:rPr>
                <w:sz w:val="20"/>
                <w:szCs w:val="20"/>
                <w:color w:val="auto"/>
              </w:rPr>
            </w:pPr>
            <w:r>
              <w:rPr>
                <w:rFonts w:ascii="Arial" w:cs="Arial" w:eastAsia="Arial" w:hAnsi="Arial"/>
                <w:sz w:val="17"/>
                <w:szCs w:val="17"/>
                <w:color w:val="auto"/>
              </w:rPr>
              <w:t>Board Observer</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419"/>
        </w:trPr>
        <w:tc>
          <w:tcPr>
            <w:tcW w:w="1620" w:type="dxa"/>
            <w:vAlign w:val="bottom"/>
          </w:tcPr>
          <w:p>
            <w:pPr>
              <w:spacing w:after="0"/>
              <w:rPr>
                <w:sz w:val="20"/>
                <w:szCs w:val="20"/>
                <w:color w:val="auto"/>
              </w:rPr>
            </w:pPr>
            <w:r>
              <w:rPr>
                <w:rFonts w:ascii="Arial" w:cs="Arial" w:eastAsia="Arial" w:hAnsi="Arial"/>
                <w:sz w:val="17"/>
                <w:szCs w:val="17"/>
                <w:color w:val="auto"/>
              </w:rPr>
              <w:t>ARTICLE V</w:t>
            </w:r>
          </w:p>
        </w:tc>
        <w:tc>
          <w:tcPr>
            <w:tcW w:w="9060" w:type="dxa"/>
            <w:vAlign w:val="bottom"/>
          </w:tcPr>
          <w:p>
            <w:pPr>
              <w:ind w:left="280"/>
              <w:spacing w:after="0"/>
              <w:rPr>
                <w:sz w:val="20"/>
                <w:szCs w:val="20"/>
                <w:color w:val="auto"/>
              </w:rPr>
            </w:pPr>
            <w:r>
              <w:rPr>
                <w:rFonts w:ascii="Arial" w:cs="Arial" w:eastAsia="Arial" w:hAnsi="Arial"/>
                <w:sz w:val="17"/>
                <w:szCs w:val="17"/>
                <w:color w:val="auto"/>
              </w:rPr>
              <w:t>COMMITTEES OF DIRECTORS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408"/>
        </w:trPr>
        <w:tc>
          <w:tcPr>
            <w:tcW w:w="1620" w:type="dxa"/>
            <w:vAlign w:val="bottom"/>
          </w:tcPr>
          <w:p>
            <w:pPr>
              <w:ind w:left="520"/>
              <w:spacing w:after="0"/>
              <w:rPr>
                <w:sz w:val="20"/>
                <w:szCs w:val="20"/>
                <w:color w:val="auto"/>
              </w:rPr>
            </w:pPr>
            <w:r>
              <w:rPr>
                <w:rFonts w:ascii="Arial" w:cs="Arial" w:eastAsia="Arial" w:hAnsi="Arial"/>
                <w:sz w:val="17"/>
                <w:szCs w:val="17"/>
                <w:color w:val="auto"/>
              </w:rPr>
              <w:t>Section 5.1</w:t>
            </w:r>
          </w:p>
        </w:tc>
        <w:tc>
          <w:tcPr>
            <w:tcW w:w="9060" w:type="dxa"/>
            <w:vAlign w:val="bottom"/>
          </w:tcPr>
          <w:p>
            <w:pPr>
              <w:ind w:left="640"/>
              <w:spacing w:after="0"/>
              <w:rPr>
                <w:sz w:val="20"/>
                <w:szCs w:val="20"/>
                <w:color w:val="auto"/>
              </w:rPr>
            </w:pPr>
            <w:r>
              <w:rPr>
                <w:rFonts w:ascii="Arial" w:cs="Arial" w:eastAsia="Arial" w:hAnsi="Arial"/>
                <w:sz w:val="17"/>
                <w:szCs w:val="17"/>
                <w:color w:val="auto"/>
              </w:rPr>
              <w:t>Establishment; Standing Committees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620" w:type="dxa"/>
            <w:vAlign w:val="bottom"/>
          </w:tcPr>
          <w:p>
            <w:pPr>
              <w:ind w:left="520"/>
              <w:spacing w:after="0"/>
              <w:rPr>
                <w:sz w:val="20"/>
                <w:szCs w:val="20"/>
                <w:color w:val="auto"/>
              </w:rPr>
            </w:pPr>
            <w:r>
              <w:rPr>
                <w:rFonts w:ascii="Arial" w:cs="Arial" w:eastAsia="Arial" w:hAnsi="Arial"/>
                <w:sz w:val="17"/>
                <w:szCs w:val="17"/>
                <w:color w:val="auto"/>
              </w:rPr>
              <w:t>Section 5.2</w:t>
            </w:r>
          </w:p>
        </w:tc>
        <w:tc>
          <w:tcPr>
            <w:tcW w:w="9060" w:type="dxa"/>
            <w:vAlign w:val="bottom"/>
          </w:tcPr>
          <w:p>
            <w:pPr>
              <w:ind w:left="640"/>
              <w:spacing w:after="0"/>
              <w:rPr>
                <w:sz w:val="20"/>
                <w:szCs w:val="20"/>
                <w:color w:val="auto"/>
              </w:rPr>
            </w:pPr>
            <w:r>
              <w:rPr>
                <w:rFonts w:ascii="Arial" w:cs="Arial" w:eastAsia="Arial" w:hAnsi="Arial"/>
                <w:sz w:val="17"/>
                <w:szCs w:val="17"/>
                <w:color w:val="auto"/>
              </w:rPr>
              <w:t>Available Powers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620" w:type="dxa"/>
            <w:vAlign w:val="bottom"/>
          </w:tcPr>
          <w:p>
            <w:pPr>
              <w:ind w:left="520"/>
              <w:spacing w:after="0"/>
              <w:rPr>
                <w:sz w:val="20"/>
                <w:szCs w:val="20"/>
                <w:color w:val="auto"/>
              </w:rPr>
            </w:pPr>
            <w:r>
              <w:rPr>
                <w:rFonts w:ascii="Arial" w:cs="Arial" w:eastAsia="Arial" w:hAnsi="Arial"/>
                <w:sz w:val="17"/>
                <w:szCs w:val="17"/>
                <w:color w:val="auto"/>
              </w:rPr>
              <w:t>Section 5.3</w:t>
            </w:r>
          </w:p>
        </w:tc>
        <w:tc>
          <w:tcPr>
            <w:tcW w:w="9060" w:type="dxa"/>
            <w:vAlign w:val="bottom"/>
          </w:tcPr>
          <w:p>
            <w:pPr>
              <w:ind w:left="640"/>
              <w:spacing w:after="0"/>
              <w:rPr>
                <w:sz w:val="20"/>
                <w:szCs w:val="20"/>
                <w:color w:val="auto"/>
              </w:rPr>
            </w:pPr>
            <w:r>
              <w:rPr>
                <w:rFonts w:ascii="Arial" w:cs="Arial" w:eastAsia="Arial" w:hAnsi="Arial"/>
                <w:sz w:val="17"/>
                <w:szCs w:val="17"/>
                <w:color w:val="auto"/>
              </w:rPr>
              <w:t>Alternate Members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22"/>
        </w:trPr>
        <w:tc>
          <w:tcPr>
            <w:tcW w:w="1620" w:type="dxa"/>
            <w:vAlign w:val="bottom"/>
          </w:tcPr>
          <w:p>
            <w:pPr>
              <w:ind w:left="520"/>
              <w:spacing w:after="0"/>
              <w:rPr>
                <w:sz w:val="20"/>
                <w:szCs w:val="20"/>
                <w:color w:val="auto"/>
              </w:rPr>
            </w:pPr>
            <w:r>
              <w:rPr>
                <w:rFonts w:ascii="Arial" w:cs="Arial" w:eastAsia="Arial" w:hAnsi="Arial"/>
                <w:sz w:val="17"/>
                <w:szCs w:val="17"/>
                <w:color w:val="auto"/>
              </w:rPr>
              <w:t>Section 5.4</w:t>
            </w:r>
          </w:p>
        </w:tc>
        <w:tc>
          <w:tcPr>
            <w:tcW w:w="9060" w:type="dxa"/>
            <w:vAlign w:val="bottom"/>
          </w:tcPr>
          <w:p>
            <w:pPr>
              <w:ind w:left="640"/>
              <w:spacing w:after="0"/>
              <w:rPr>
                <w:sz w:val="20"/>
                <w:szCs w:val="20"/>
                <w:color w:val="auto"/>
              </w:rPr>
            </w:pPr>
            <w:r>
              <w:rPr>
                <w:rFonts w:ascii="Arial" w:cs="Arial" w:eastAsia="Arial" w:hAnsi="Arial"/>
                <w:sz w:val="17"/>
                <w:szCs w:val="17"/>
                <w:color w:val="auto"/>
              </w:rPr>
              <w:t>Procedures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419"/>
        </w:trPr>
        <w:tc>
          <w:tcPr>
            <w:tcW w:w="1620" w:type="dxa"/>
            <w:vAlign w:val="bottom"/>
          </w:tcPr>
          <w:p>
            <w:pPr>
              <w:spacing w:after="0"/>
              <w:rPr>
                <w:sz w:val="20"/>
                <w:szCs w:val="20"/>
                <w:color w:val="auto"/>
              </w:rPr>
            </w:pPr>
            <w:r>
              <w:rPr>
                <w:rFonts w:ascii="Arial" w:cs="Arial" w:eastAsia="Arial" w:hAnsi="Arial"/>
                <w:sz w:val="17"/>
                <w:szCs w:val="17"/>
                <w:color w:val="auto"/>
              </w:rPr>
              <w:t>ARTICLE VI</w:t>
            </w:r>
          </w:p>
        </w:tc>
        <w:tc>
          <w:tcPr>
            <w:tcW w:w="9060" w:type="dxa"/>
            <w:vAlign w:val="bottom"/>
          </w:tcPr>
          <w:p>
            <w:pPr>
              <w:ind w:left="280"/>
              <w:spacing w:after="0"/>
              <w:rPr>
                <w:sz w:val="20"/>
                <w:szCs w:val="20"/>
                <w:color w:val="auto"/>
              </w:rPr>
            </w:pPr>
            <w:r>
              <w:rPr>
                <w:rFonts w:ascii="Arial" w:cs="Arial" w:eastAsia="Arial" w:hAnsi="Arial"/>
                <w:sz w:val="17"/>
                <w:szCs w:val="17"/>
                <w:color w:val="auto"/>
              </w:rPr>
              <w:t>OFFICERS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419"/>
        </w:trPr>
        <w:tc>
          <w:tcPr>
            <w:tcW w:w="1620" w:type="dxa"/>
            <w:vAlign w:val="bottom"/>
          </w:tcPr>
          <w:p>
            <w:pPr>
              <w:spacing w:after="0"/>
              <w:rPr>
                <w:sz w:val="24"/>
                <w:szCs w:val="24"/>
                <w:color w:val="auto"/>
              </w:rPr>
            </w:pPr>
          </w:p>
        </w:tc>
        <w:tc>
          <w:tcPr>
            <w:tcW w:w="9060" w:type="dxa"/>
            <w:vAlign w:val="bottom"/>
          </w:tcPr>
          <w:p>
            <w:pPr>
              <w:jc w:val="center"/>
              <w:ind w:right="793"/>
              <w:spacing w:after="0"/>
              <w:rPr>
                <w:sz w:val="20"/>
                <w:szCs w:val="20"/>
                <w:color w:val="auto"/>
              </w:rPr>
            </w:pPr>
            <w:r>
              <w:rPr>
                <w:rFonts w:ascii="Arial" w:cs="Arial" w:eastAsia="Arial" w:hAnsi="Arial"/>
                <w:sz w:val="17"/>
                <w:szCs w:val="17"/>
                <w:color w:val="auto"/>
              </w:rPr>
              <w:t>i</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620" w:type="dxa"/>
            <w:vAlign w:val="bottom"/>
            <w:tcBorders>
              <w:bottom w:val="single" w:sz="8" w:color="010101"/>
            </w:tcBorders>
          </w:tcPr>
          <w:p>
            <w:pPr>
              <w:spacing w:after="0"/>
              <w:rPr>
                <w:sz w:val="11"/>
                <w:szCs w:val="11"/>
                <w:color w:val="auto"/>
              </w:rPr>
            </w:pPr>
          </w:p>
        </w:tc>
        <w:tc>
          <w:tcPr>
            <w:tcW w:w="906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45"/>
        </w:trPr>
        <w:tc>
          <w:tcPr>
            <w:tcW w:w="1620" w:type="dxa"/>
            <w:vAlign w:val="bottom"/>
          </w:tcPr>
          <w:p>
            <w:pPr>
              <w:spacing w:after="0"/>
              <w:rPr>
                <w:sz w:val="24"/>
                <w:szCs w:val="24"/>
                <w:color w:val="auto"/>
              </w:rPr>
            </w:pPr>
          </w:p>
        </w:tc>
        <w:tc>
          <w:tcPr>
            <w:tcW w:w="9060" w:type="dxa"/>
            <w:vAlign w:val="bottom"/>
          </w:tcPr>
          <w:p>
            <w:pPr>
              <w:jc w:val="center"/>
              <w:ind w:right="793"/>
              <w:spacing w:after="0"/>
              <w:rPr>
                <w:sz w:val="20"/>
                <w:szCs w:val="20"/>
                <w:color w:val="auto"/>
              </w:rPr>
            </w:pPr>
            <w:r>
              <w:rPr>
                <w:rFonts w:ascii="Arial" w:cs="Arial" w:eastAsia="Arial" w:hAnsi="Arial"/>
                <w:sz w:val="17"/>
                <w:szCs w:val="17"/>
                <w:b w:val="1"/>
                <w:bCs w:val="1"/>
                <w:color w:val="auto"/>
              </w:rPr>
              <w:t>TABLE OF CONTENTS</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1620" w:type="dxa"/>
            <w:vAlign w:val="bottom"/>
          </w:tcPr>
          <w:p>
            <w:pPr>
              <w:spacing w:after="0"/>
              <w:rPr>
                <w:sz w:val="19"/>
                <w:szCs w:val="19"/>
                <w:color w:val="auto"/>
              </w:rPr>
            </w:pPr>
          </w:p>
        </w:tc>
        <w:tc>
          <w:tcPr>
            <w:tcW w:w="9060" w:type="dxa"/>
            <w:vAlign w:val="bottom"/>
          </w:tcPr>
          <w:p>
            <w:pPr>
              <w:jc w:val="center"/>
              <w:ind w:right="773"/>
              <w:spacing w:after="0"/>
              <w:rPr>
                <w:sz w:val="20"/>
                <w:szCs w:val="20"/>
                <w:color w:val="auto"/>
              </w:rPr>
            </w:pPr>
            <w:r>
              <w:rPr>
                <w:rFonts w:ascii="Arial" w:cs="Arial" w:eastAsia="Arial" w:hAnsi="Arial"/>
                <w:sz w:val="17"/>
                <w:szCs w:val="17"/>
                <w:color w:val="auto"/>
                <w:w w:val="94"/>
              </w:rPr>
              <w:t>(continued)</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4"/>
        </w:trPr>
        <w:tc>
          <w:tcPr>
            <w:tcW w:w="162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00"/>
        </w:trPr>
        <w:tc>
          <w:tcPr>
            <w:tcW w:w="1620" w:type="dxa"/>
            <w:vAlign w:val="bottom"/>
          </w:tcPr>
          <w:p>
            <w:pPr>
              <w:ind w:left="520"/>
              <w:spacing w:after="0"/>
              <w:rPr>
                <w:sz w:val="20"/>
                <w:szCs w:val="20"/>
                <w:color w:val="auto"/>
              </w:rPr>
            </w:pPr>
            <w:r>
              <w:rPr>
                <w:rFonts w:ascii="Arial" w:cs="Arial" w:eastAsia="Arial" w:hAnsi="Arial"/>
                <w:sz w:val="17"/>
                <w:szCs w:val="17"/>
                <w:color w:val="auto"/>
              </w:rPr>
              <w:t>Section 6.1</w:t>
            </w:r>
          </w:p>
        </w:tc>
        <w:tc>
          <w:tcPr>
            <w:tcW w:w="9060" w:type="dxa"/>
            <w:vAlign w:val="bottom"/>
          </w:tcPr>
          <w:p>
            <w:pPr>
              <w:ind w:left="640"/>
              <w:spacing w:after="0"/>
              <w:rPr>
                <w:sz w:val="20"/>
                <w:szCs w:val="20"/>
                <w:color w:val="auto"/>
              </w:rPr>
            </w:pPr>
            <w:r>
              <w:rPr>
                <w:rFonts w:ascii="Arial" w:cs="Arial" w:eastAsia="Arial" w:hAnsi="Arial"/>
                <w:sz w:val="17"/>
                <w:szCs w:val="17"/>
                <w:color w:val="auto"/>
              </w:rPr>
              <w:t>Elected Officers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620" w:type="dxa"/>
            <w:vAlign w:val="bottom"/>
          </w:tcPr>
          <w:p>
            <w:pPr>
              <w:ind w:left="520"/>
              <w:spacing w:after="0"/>
              <w:rPr>
                <w:sz w:val="20"/>
                <w:szCs w:val="20"/>
                <w:color w:val="auto"/>
              </w:rPr>
            </w:pPr>
            <w:r>
              <w:rPr>
                <w:rFonts w:ascii="Arial" w:cs="Arial" w:eastAsia="Arial" w:hAnsi="Arial"/>
                <w:sz w:val="17"/>
                <w:szCs w:val="17"/>
                <w:color w:val="auto"/>
              </w:rPr>
              <w:t>Section 6.2</w:t>
            </w:r>
          </w:p>
        </w:tc>
        <w:tc>
          <w:tcPr>
            <w:tcW w:w="9060" w:type="dxa"/>
            <w:vAlign w:val="bottom"/>
          </w:tcPr>
          <w:p>
            <w:pPr>
              <w:ind w:left="640"/>
              <w:spacing w:after="0"/>
              <w:rPr>
                <w:sz w:val="20"/>
                <w:szCs w:val="20"/>
                <w:color w:val="auto"/>
              </w:rPr>
            </w:pPr>
            <w:r>
              <w:rPr>
                <w:rFonts w:ascii="Arial" w:cs="Arial" w:eastAsia="Arial" w:hAnsi="Arial"/>
                <w:sz w:val="17"/>
                <w:szCs w:val="17"/>
                <w:color w:val="auto"/>
              </w:rPr>
              <w:t>Election</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10"/>
        </w:trPr>
        <w:tc>
          <w:tcPr>
            <w:tcW w:w="1620" w:type="dxa"/>
            <w:vAlign w:val="bottom"/>
          </w:tcPr>
          <w:p>
            <w:pPr>
              <w:ind w:left="520"/>
              <w:spacing w:after="0"/>
              <w:rPr>
                <w:sz w:val="20"/>
                <w:szCs w:val="20"/>
                <w:color w:val="auto"/>
              </w:rPr>
            </w:pPr>
            <w:r>
              <w:rPr>
                <w:rFonts w:ascii="Arial" w:cs="Arial" w:eastAsia="Arial" w:hAnsi="Arial"/>
                <w:sz w:val="17"/>
                <w:szCs w:val="17"/>
                <w:color w:val="auto"/>
              </w:rPr>
              <w:t>Section 6.3</w:t>
            </w:r>
          </w:p>
        </w:tc>
        <w:tc>
          <w:tcPr>
            <w:tcW w:w="9060" w:type="dxa"/>
            <w:vAlign w:val="bottom"/>
          </w:tcPr>
          <w:p>
            <w:pPr>
              <w:ind w:left="640"/>
              <w:spacing w:after="0"/>
              <w:rPr>
                <w:sz w:val="20"/>
                <w:szCs w:val="20"/>
                <w:color w:val="auto"/>
              </w:rPr>
            </w:pPr>
            <w:r>
              <w:rPr>
                <w:rFonts w:ascii="Arial" w:cs="Arial" w:eastAsia="Arial" w:hAnsi="Arial"/>
                <w:sz w:val="17"/>
                <w:szCs w:val="17"/>
                <w:color w:val="auto"/>
              </w:rPr>
              <w:t>Appointed Officers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10"/>
        </w:trPr>
        <w:tc>
          <w:tcPr>
            <w:tcW w:w="1620" w:type="dxa"/>
            <w:vAlign w:val="bottom"/>
          </w:tcPr>
          <w:p>
            <w:pPr>
              <w:ind w:left="520"/>
              <w:spacing w:after="0"/>
              <w:rPr>
                <w:sz w:val="20"/>
                <w:szCs w:val="20"/>
                <w:color w:val="auto"/>
              </w:rPr>
            </w:pPr>
            <w:r>
              <w:rPr>
                <w:rFonts w:ascii="Arial" w:cs="Arial" w:eastAsia="Arial" w:hAnsi="Arial"/>
                <w:sz w:val="17"/>
                <w:szCs w:val="17"/>
                <w:color w:val="auto"/>
              </w:rPr>
              <w:t>Section 6.4</w:t>
            </w:r>
          </w:p>
        </w:tc>
        <w:tc>
          <w:tcPr>
            <w:tcW w:w="9060" w:type="dxa"/>
            <w:vAlign w:val="bottom"/>
          </w:tcPr>
          <w:p>
            <w:pPr>
              <w:ind w:left="640"/>
              <w:spacing w:after="0"/>
              <w:rPr>
                <w:sz w:val="20"/>
                <w:szCs w:val="20"/>
                <w:color w:val="auto"/>
              </w:rPr>
            </w:pPr>
            <w:r>
              <w:rPr>
                <w:rFonts w:ascii="Arial" w:cs="Arial" w:eastAsia="Arial" w:hAnsi="Arial"/>
                <w:sz w:val="17"/>
                <w:szCs w:val="17"/>
                <w:color w:val="auto"/>
              </w:rPr>
              <w:t>Multiple Officeholders, Stockholder and Director Officers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1620" w:type="dxa"/>
            <w:vAlign w:val="bottom"/>
          </w:tcPr>
          <w:p>
            <w:pPr>
              <w:ind w:left="520"/>
              <w:spacing w:after="0"/>
              <w:rPr>
                <w:sz w:val="20"/>
                <w:szCs w:val="20"/>
                <w:color w:val="auto"/>
              </w:rPr>
            </w:pPr>
            <w:r>
              <w:rPr>
                <w:rFonts w:ascii="Arial" w:cs="Arial" w:eastAsia="Arial" w:hAnsi="Arial"/>
                <w:sz w:val="17"/>
                <w:szCs w:val="17"/>
                <w:color w:val="auto"/>
              </w:rPr>
              <w:t>Section 6.5</w:t>
            </w:r>
          </w:p>
        </w:tc>
        <w:tc>
          <w:tcPr>
            <w:tcW w:w="9060" w:type="dxa"/>
            <w:vAlign w:val="bottom"/>
          </w:tcPr>
          <w:p>
            <w:pPr>
              <w:ind w:left="640"/>
              <w:spacing w:after="0"/>
              <w:rPr>
                <w:sz w:val="20"/>
                <w:szCs w:val="20"/>
                <w:color w:val="auto"/>
              </w:rPr>
            </w:pPr>
            <w:r>
              <w:rPr>
                <w:rFonts w:ascii="Arial" w:cs="Arial" w:eastAsia="Arial" w:hAnsi="Arial"/>
                <w:sz w:val="17"/>
                <w:szCs w:val="17"/>
                <w:color w:val="auto"/>
              </w:rPr>
              <w:t>Compensation, Vacancies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22"/>
        </w:trPr>
        <w:tc>
          <w:tcPr>
            <w:tcW w:w="1620" w:type="dxa"/>
            <w:vAlign w:val="bottom"/>
          </w:tcPr>
          <w:p>
            <w:pPr>
              <w:ind w:left="520"/>
              <w:spacing w:after="0"/>
              <w:rPr>
                <w:sz w:val="20"/>
                <w:szCs w:val="20"/>
                <w:color w:val="auto"/>
              </w:rPr>
            </w:pPr>
            <w:r>
              <w:rPr>
                <w:rFonts w:ascii="Arial" w:cs="Arial" w:eastAsia="Arial" w:hAnsi="Arial"/>
                <w:sz w:val="17"/>
                <w:szCs w:val="17"/>
                <w:color w:val="auto"/>
              </w:rPr>
              <w:t>Section 6.6</w:t>
            </w:r>
          </w:p>
        </w:tc>
        <w:tc>
          <w:tcPr>
            <w:tcW w:w="9060" w:type="dxa"/>
            <w:vAlign w:val="bottom"/>
          </w:tcPr>
          <w:p>
            <w:pPr>
              <w:ind w:left="640"/>
              <w:spacing w:after="0"/>
              <w:rPr>
                <w:sz w:val="20"/>
                <w:szCs w:val="20"/>
                <w:color w:val="auto"/>
              </w:rPr>
            </w:pPr>
            <w:r>
              <w:rPr>
                <w:rFonts w:ascii="Arial" w:cs="Arial" w:eastAsia="Arial" w:hAnsi="Arial"/>
                <w:sz w:val="17"/>
                <w:szCs w:val="17"/>
                <w:color w:val="auto"/>
              </w:rPr>
              <w:t>Additional Powers and Duties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-1807845</wp:posOffset>
            </wp:positionV>
            <wp:extent cx="12700" cy="292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-1807845</wp:posOffset>
            </wp:positionV>
            <wp:extent cx="12700" cy="292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7" w:right="199" w:bottom="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222"/>
        </w:trPr>
        <w:tc>
          <w:tcPr>
            <w:tcW w:w="1700" w:type="dxa"/>
            <w:vAlign w:val="bottom"/>
          </w:tcPr>
          <w:p>
            <w:pPr>
              <w:ind w:left="520"/>
              <w:spacing w:after="0"/>
              <w:rPr>
                <w:sz w:val="20"/>
                <w:szCs w:val="20"/>
                <w:color w:val="auto"/>
              </w:rPr>
            </w:pPr>
            <w:r>
              <w:rPr>
                <w:rFonts w:ascii="Arial" w:cs="Arial" w:eastAsia="Arial" w:hAnsi="Arial"/>
                <w:sz w:val="17"/>
                <w:szCs w:val="17"/>
                <w:color w:val="auto"/>
              </w:rPr>
              <w:t>Section 6.7</w:t>
            </w:r>
          </w:p>
        </w:tc>
        <w:tc>
          <w:tcPr>
            <w:tcW w:w="8980" w:type="dxa"/>
            <w:vAlign w:val="bottom"/>
          </w:tcPr>
          <w:p>
            <w:pPr>
              <w:ind w:left="560"/>
              <w:spacing w:after="0"/>
              <w:rPr>
                <w:sz w:val="20"/>
                <w:szCs w:val="20"/>
                <w:color w:val="auto"/>
              </w:rPr>
            </w:pPr>
            <w:r>
              <w:rPr>
                <w:rFonts w:ascii="Arial" w:cs="Arial" w:eastAsia="Arial" w:hAnsi="Arial"/>
                <w:sz w:val="17"/>
                <w:szCs w:val="17"/>
                <w:color w:val="auto"/>
              </w:rPr>
              <w:t>Removal</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419"/>
        </w:trPr>
        <w:tc>
          <w:tcPr>
            <w:tcW w:w="1700" w:type="dxa"/>
            <w:vAlign w:val="bottom"/>
          </w:tcPr>
          <w:p>
            <w:pPr>
              <w:spacing w:after="0"/>
              <w:rPr>
                <w:sz w:val="20"/>
                <w:szCs w:val="20"/>
                <w:color w:val="auto"/>
              </w:rPr>
            </w:pPr>
            <w:r>
              <w:rPr>
                <w:rFonts w:ascii="Arial" w:cs="Arial" w:eastAsia="Arial" w:hAnsi="Arial"/>
                <w:sz w:val="17"/>
                <w:szCs w:val="17"/>
                <w:color w:val="auto"/>
              </w:rPr>
              <w:t>ARTICLE VII</w:t>
            </w:r>
          </w:p>
        </w:tc>
        <w:tc>
          <w:tcPr>
            <w:tcW w:w="8980" w:type="dxa"/>
            <w:vAlign w:val="bottom"/>
          </w:tcPr>
          <w:p>
            <w:pPr>
              <w:ind w:left="200"/>
              <w:spacing w:after="0"/>
              <w:rPr>
                <w:sz w:val="20"/>
                <w:szCs w:val="20"/>
                <w:color w:val="auto"/>
              </w:rPr>
            </w:pPr>
            <w:r>
              <w:rPr>
                <w:rFonts w:ascii="Arial" w:cs="Arial" w:eastAsia="Arial" w:hAnsi="Arial"/>
                <w:sz w:val="17"/>
                <w:szCs w:val="17"/>
                <w:color w:val="auto"/>
              </w:rPr>
              <w:t>SHARE CERTIFICATES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408"/>
        </w:trPr>
        <w:tc>
          <w:tcPr>
            <w:tcW w:w="1700" w:type="dxa"/>
            <w:vAlign w:val="bottom"/>
          </w:tcPr>
          <w:p>
            <w:pPr>
              <w:ind w:left="520"/>
              <w:spacing w:after="0"/>
              <w:rPr>
                <w:sz w:val="20"/>
                <w:szCs w:val="20"/>
                <w:color w:val="auto"/>
              </w:rPr>
            </w:pPr>
            <w:r>
              <w:rPr>
                <w:rFonts w:ascii="Arial" w:cs="Arial" w:eastAsia="Arial" w:hAnsi="Arial"/>
                <w:sz w:val="17"/>
                <w:szCs w:val="17"/>
                <w:color w:val="auto"/>
              </w:rPr>
              <w:t>Section 7.1</w:t>
            </w:r>
          </w:p>
        </w:tc>
        <w:tc>
          <w:tcPr>
            <w:tcW w:w="8980" w:type="dxa"/>
            <w:vAlign w:val="bottom"/>
          </w:tcPr>
          <w:p>
            <w:pPr>
              <w:ind w:left="560"/>
              <w:spacing w:after="0"/>
              <w:rPr>
                <w:sz w:val="20"/>
                <w:szCs w:val="20"/>
                <w:color w:val="auto"/>
              </w:rPr>
            </w:pPr>
            <w:r>
              <w:rPr>
                <w:rFonts w:ascii="Arial" w:cs="Arial" w:eastAsia="Arial" w:hAnsi="Arial"/>
                <w:sz w:val="17"/>
                <w:szCs w:val="17"/>
                <w:color w:val="auto"/>
              </w:rPr>
              <w:t>Entitlement to Certificates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7.2</w:t>
            </w:r>
          </w:p>
        </w:tc>
        <w:tc>
          <w:tcPr>
            <w:tcW w:w="8980" w:type="dxa"/>
            <w:vAlign w:val="bottom"/>
          </w:tcPr>
          <w:p>
            <w:pPr>
              <w:ind w:left="560"/>
              <w:spacing w:after="0"/>
              <w:rPr>
                <w:sz w:val="20"/>
                <w:szCs w:val="20"/>
                <w:color w:val="auto"/>
              </w:rPr>
            </w:pPr>
            <w:r>
              <w:rPr>
                <w:rFonts w:ascii="Arial" w:cs="Arial" w:eastAsia="Arial" w:hAnsi="Arial"/>
                <w:sz w:val="17"/>
                <w:szCs w:val="17"/>
                <w:color w:val="auto"/>
              </w:rPr>
              <w:t>Signatures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7.3</w:t>
            </w:r>
          </w:p>
        </w:tc>
        <w:tc>
          <w:tcPr>
            <w:tcW w:w="8980" w:type="dxa"/>
            <w:vAlign w:val="bottom"/>
          </w:tcPr>
          <w:p>
            <w:pPr>
              <w:ind w:left="560"/>
              <w:spacing w:after="0"/>
              <w:rPr>
                <w:sz w:val="20"/>
                <w:szCs w:val="20"/>
                <w:color w:val="auto"/>
              </w:rPr>
            </w:pPr>
            <w:r>
              <w:rPr>
                <w:rFonts w:ascii="Arial" w:cs="Arial" w:eastAsia="Arial" w:hAnsi="Arial"/>
                <w:sz w:val="17"/>
                <w:szCs w:val="17"/>
                <w:color w:val="auto"/>
              </w:rPr>
              <w:t>Insurance and Payment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7.4</w:t>
            </w:r>
          </w:p>
        </w:tc>
        <w:tc>
          <w:tcPr>
            <w:tcW w:w="8980" w:type="dxa"/>
            <w:vAlign w:val="bottom"/>
          </w:tcPr>
          <w:p>
            <w:pPr>
              <w:ind w:left="560"/>
              <w:spacing w:after="0"/>
              <w:rPr>
                <w:sz w:val="20"/>
                <w:szCs w:val="20"/>
                <w:color w:val="auto"/>
              </w:rPr>
            </w:pPr>
            <w:r>
              <w:rPr>
                <w:rFonts w:ascii="Arial" w:cs="Arial" w:eastAsia="Arial" w:hAnsi="Arial"/>
                <w:sz w:val="17"/>
                <w:szCs w:val="17"/>
                <w:color w:val="auto"/>
              </w:rPr>
              <w:t>Lost Certificates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7.5</w:t>
            </w:r>
          </w:p>
        </w:tc>
        <w:tc>
          <w:tcPr>
            <w:tcW w:w="8980" w:type="dxa"/>
            <w:vAlign w:val="bottom"/>
          </w:tcPr>
          <w:p>
            <w:pPr>
              <w:ind w:left="560"/>
              <w:spacing w:after="0"/>
              <w:rPr>
                <w:sz w:val="20"/>
                <w:szCs w:val="20"/>
                <w:color w:val="auto"/>
              </w:rPr>
            </w:pPr>
            <w:r>
              <w:rPr>
                <w:rFonts w:ascii="Arial" w:cs="Arial" w:eastAsia="Arial" w:hAnsi="Arial"/>
                <w:sz w:val="17"/>
                <w:szCs w:val="17"/>
                <w:color w:val="auto"/>
              </w:rPr>
              <w:t>Transfer of Stock</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22"/>
        </w:trPr>
        <w:tc>
          <w:tcPr>
            <w:tcW w:w="1700" w:type="dxa"/>
            <w:vAlign w:val="bottom"/>
          </w:tcPr>
          <w:p>
            <w:pPr>
              <w:ind w:left="520"/>
              <w:spacing w:after="0"/>
              <w:rPr>
                <w:sz w:val="20"/>
                <w:szCs w:val="20"/>
                <w:color w:val="auto"/>
              </w:rPr>
            </w:pPr>
            <w:r>
              <w:rPr>
                <w:rFonts w:ascii="Arial" w:cs="Arial" w:eastAsia="Arial" w:hAnsi="Arial"/>
                <w:sz w:val="17"/>
                <w:szCs w:val="17"/>
                <w:color w:val="auto"/>
              </w:rPr>
              <w:t>Section 7.6</w:t>
            </w:r>
          </w:p>
        </w:tc>
        <w:tc>
          <w:tcPr>
            <w:tcW w:w="8980" w:type="dxa"/>
            <w:vAlign w:val="bottom"/>
          </w:tcPr>
          <w:p>
            <w:pPr>
              <w:ind w:left="560"/>
              <w:spacing w:after="0"/>
              <w:rPr>
                <w:sz w:val="20"/>
                <w:szCs w:val="20"/>
                <w:color w:val="auto"/>
              </w:rPr>
            </w:pPr>
            <w:r>
              <w:rPr>
                <w:rFonts w:ascii="Arial" w:cs="Arial" w:eastAsia="Arial" w:hAnsi="Arial"/>
                <w:sz w:val="17"/>
                <w:szCs w:val="17"/>
                <w:color w:val="auto"/>
              </w:rPr>
              <w:t>Registered Shareholders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419"/>
        </w:trPr>
        <w:tc>
          <w:tcPr>
            <w:tcW w:w="1700" w:type="dxa"/>
            <w:vAlign w:val="bottom"/>
          </w:tcPr>
          <w:p>
            <w:pPr>
              <w:spacing w:after="0"/>
              <w:rPr>
                <w:sz w:val="20"/>
                <w:szCs w:val="20"/>
                <w:color w:val="auto"/>
              </w:rPr>
            </w:pPr>
            <w:r>
              <w:rPr>
                <w:rFonts w:ascii="Arial" w:cs="Arial" w:eastAsia="Arial" w:hAnsi="Arial"/>
                <w:sz w:val="17"/>
                <w:szCs w:val="17"/>
                <w:color w:val="auto"/>
              </w:rPr>
              <w:t>ARTICLE VIII</w:t>
            </w:r>
          </w:p>
        </w:tc>
        <w:tc>
          <w:tcPr>
            <w:tcW w:w="8980" w:type="dxa"/>
            <w:vAlign w:val="bottom"/>
          </w:tcPr>
          <w:p>
            <w:pPr>
              <w:ind w:left="200"/>
              <w:spacing w:after="0"/>
              <w:rPr>
                <w:sz w:val="20"/>
                <w:szCs w:val="20"/>
                <w:color w:val="auto"/>
              </w:rPr>
            </w:pPr>
            <w:r>
              <w:rPr>
                <w:rFonts w:ascii="Arial" w:cs="Arial" w:eastAsia="Arial" w:hAnsi="Arial"/>
                <w:sz w:val="17"/>
                <w:szCs w:val="17"/>
                <w:color w:val="auto"/>
              </w:rPr>
              <w:t>INDEMNIFICATION</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408"/>
        </w:trPr>
        <w:tc>
          <w:tcPr>
            <w:tcW w:w="1700" w:type="dxa"/>
            <w:vAlign w:val="bottom"/>
          </w:tcPr>
          <w:p>
            <w:pPr>
              <w:ind w:left="520"/>
              <w:spacing w:after="0"/>
              <w:rPr>
                <w:sz w:val="20"/>
                <w:szCs w:val="20"/>
                <w:color w:val="auto"/>
              </w:rPr>
            </w:pPr>
            <w:r>
              <w:rPr>
                <w:rFonts w:ascii="Arial" w:cs="Arial" w:eastAsia="Arial" w:hAnsi="Arial"/>
                <w:sz w:val="17"/>
                <w:szCs w:val="17"/>
                <w:color w:val="auto"/>
              </w:rPr>
              <w:t>Section 8.1</w:t>
            </w:r>
          </w:p>
        </w:tc>
        <w:tc>
          <w:tcPr>
            <w:tcW w:w="8980" w:type="dxa"/>
            <w:vAlign w:val="bottom"/>
          </w:tcPr>
          <w:p>
            <w:pPr>
              <w:ind w:left="560"/>
              <w:spacing w:after="0"/>
              <w:rPr>
                <w:sz w:val="20"/>
                <w:szCs w:val="20"/>
                <w:color w:val="auto"/>
              </w:rPr>
            </w:pPr>
            <w:r>
              <w:rPr>
                <w:rFonts w:ascii="Arial" w:cs="Arial" w:eastAsia="Arial" w:hAnsi="Arial"/>
                <w:sz w:val="17"/>
                <w:szCs w:val="17"/>
                <w:color w:val="auto"/>
              </w:rPr>
              <w:t>Definitions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8.2</w:t>
            </w:r>
          </w:p>
        </w:tc>
        <w:tc>
          <w:tcPr>
            <w:tcW w:w="8980" w:type="dxa"/>
            <w:vAlign w:val="bottom"/>
          </w:tcPr>
          <w:p>
            <w:pPr>
              <w:ind w:left="560"/>
              <w:spacing w:after="0"/>
              <w:rPr>
                <w:sz w:val="20"/>
                <w:szCs w:val="20"/>
                <w:color w:val="auto"/>
              </w:rPr>
            </w:pPr>
            <w:r>
              <w:rPr>
                <w:rFonts w:ascii="Arial" w:cs="Arial" w:eastAsia="Arial" w:hAnsi="Arial"/>
                <w:sz w:val="17"/>
                <w:szCs w:val="17"/>
                <w:color w:val="auto"/>
              </w:rPr>
              <w:t>Mandatory Indemnification</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8.3</w:t>
            </w:r>
          </w:p>
        </w:tc>
        <w:tc>
          <w:tcPr>
            <w:tcW w:w="8980" w:type="dxa"/>
            <w:vAlign w:val="bottom"/>
          </w:tcPr>
          <w:p>
            <w:pPr>
              <w:ind w:left="560"/>
              <w:spacing w:after="0"/>
              <w:rPr>
                <w:sz w:val="20"/>
                <w:szCs w:val="20"/>
                <w:color w:val="auto"/>
              </w:rPr>
            </w:pPr>
            <w:r>
              <w:rPr>
                <w:rFonts w:ascii="Arial" w:cs="Arial" w:eastAsia="Arial" w:hAnsi="Arial"/>
                <w:sz w:val="17"/>
                <w:szCs w:val="17"/>
                <w:color w:val="auto"/>
              </w:rPr>
              <w:t>Prohibited Indemnification</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8.4</w:t>
            </w:r>
          </w:p>
        </w:tc>
        <w:tc>
          <w:tcPr>
            <w:tcW w:w="8980" w:type="dxa"/>
            <w:vAlign w:val="bottom"/>
          </w:tcPr>
          <w:p>
            <w:pPr>
              <w:ind w:left="560"/>
              <w:spacing w:after="0"/>
              <w:rPr>
                <w:sz w:val="20"/>
                <w:szCs w:val="20"/>
                <w:color w:val="auto"/>
              </w:rPr>
            </w:pPr>
            <w:r>
              <w:rPr>
                <w:rFonts w:ascii="Arial" w:cs="Arial" w:eastAsia="Arial" w:hAnsi="Arial"/>
                <w:sz w:val="17"/>
                <w:szCs w:val="17"/>
                <w:color w:val="auto"/>
              </w:rPr>
              <w:t>Termination of Proceedings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8.5</w:t>
            </w:r>
          </w:p>
        </w:tc>
        <w:tc>
          <w:tcPr>
            <w:tcW w:w="8980" w:type="dxa"/>
            <w:vAlign w:val="bottom"/>
          </w:tcPr>
          <w:p>
            <w:pPr>
              <w:ind w:left="560"/>
              <w:spacing w:after="0"/>
              <w:rPr>
                <w:sz w:val="20"/>
                <w:szCs w:val="20"/>
                <w:color w:val="auto"/>
              </w:rPr>
            </w:pPr>
            <w:r>
              <w:rPr>
                <w:rFonts w:ascii="Arial" w:cs="Arial" w:eastAsia="Arial" w:hAnsi="Arial"/>
                <w:sz w:val="17"/>
                <w:szCs w:val="17"/>
                <w:color w:val="auto"/>
              </w:rPr>
              <w:t>Judgments, Expenses, etc.</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8.6</w:t>
            </w:r>
          </w:p>
        </w:tc>
        <w:tc>
          <w:tcPr>
            <w:tcW w:w="8980" w:type="dxa"/>
            <w:vAlign w:val="bottom"/>
          </w:tcPr>
          <w:p>
            <w:pPr>
              <w:ind w:left="560"/>
              <w:spacing w:after="0"/>
              <w:rPr>
                <w:sz w:val="20"/>
                <w:szCs w:val="20"/>
                <w:color w:val="auto"/>
              </w:rPr>
            </w:pPr>
            <w:r>
              <w:rPr>
                <w:rFonts w:ascii="Arial" w:cs="Arial" w:eastAsia="Arial" w:hAnsi="Arial"/>
                <w:sz w:val="17"/>
                <w:szCs w:val="17"/>
                <w:color w:val="auto"/>
              </w:rPr>
              <w:t>Determination of Indemnification</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8.7</w:t>
            </w:r>
          </w:p>
        </w:tc>
        <w:tc>
          <w:tcPr>
            <w:tcW w:w="8980" w:type="dxa"/>
            <w:vAlign w:val="bottom"/>
          </w:tcPr>
          <w:p>
            <w:pPr>
              <w:ind w:left="560"/>
              <w:spacing w:after="0"/>
              <w:rPr>
                <w:sz w:val="20"/>
                <w:szCs w:val="20"/>
                <w:color w:val="auto"/>
              </w:rPr>
            </w:pPr>
            <w:r>
              <w:rPr>
                <w:rFonts w:ascii="Arial" w:cs="Arial" w:eastAsia="Arial" w:hAnsi="Arial"/>
                <w:sz w:val="17"/>
                <w:szCs w:val="17"/>
                <w:color w:val="auto"/>
              </w:rPr>
              <w:t>Determination of Reasonableness of Expenses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8.8</w:t>
            </w:r>
          </w:p>
        </w:tc>
        <w:tc>
          <w:tcPr>
            <w:tcW w:w="8980" w:type="dxa"/>
            <w:vAlign w:val="bottom"/>
          </w:tcPr>
          <w:p>
            <w:pPr>
              <w:ind w:left="560"/>
              <w:spacing w:after="0"/>
              <w:rPr>
                <w:sz w:val="20"/>
                <w:szCs w:val="20"/>
                <w:color w:val="auto"/>
              </w:rPr>
            </w:pPr>
            <w:r>
              <w:rPr>
                <w:rFonts w:ascii="Arial" w:cs="Arial" w:eastAsia="Arial" w:hAnsi="Arial"/>
                <w:sz w:val="17"/>
                <w:szCs w:val="17"/>
                <w:color w:val="auto"/>
              </w:rPr>
              <w:t>Indemnification Against Reasonable Expenses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8.9</w:t>
            </w:r>
          </w:p>
        </w:tc>
        <w:tc>
          <w:tcPr>
            <w:tcW w:w="8980" w:type="dxa"/>
            <w:vAlign w:val="bottom"/>
          </w:tcPr>
          <w:p>
            <w:pPr>
              <w:ind w:left="560"/>
              <w:spacing w:after="0"/>
              <w:rPr>
                <w:sz w:val="20"/>
                <w:szCs w:val="20"/>
                <w:color w:val="auto"/>
              </w:rPr>
            </w:pPr>
            <w:r>
              <w:rPr>
                <w:rFonts w:ascii="Arial" w:cs="Arial" w:eastAsia="Arial" w:hAnsi="Arial"/>
                <w:sz w:val="17"/>
                <w:szCs w:val="17"/>
                <w:color w:val="auto"/>
              </w:rPr>
              <w:t>Payments in Advance of Disposition</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8.10</w:t>
            </w:r>
          </w:p>
        </w:tc>
        <w:tc>
          <w:tcPr>
            <w:tcW w:w="8980" w:type="dxa"/>
            <w:vAlign w:val="bottom"/>
          </w:tcPr>
          <w:p>
            <w:pPr>
              <w:ind w:left="560"/>
              <w:spacing w:after="0"/>
              <w:rPr>
                <w:sz w:val="20"/>
                <w:szCs w:val="20"/>
                <w:color w:val="auto"/>
              </w:rPr>
            </w:pPr>
            <w:r>
              <w:rPr>
                <w:rFonts w:ascii="Arial" w:cs="Arial" w:eastAsia="Arial" w:hAnsi="Arial"/>
                <w:sz w:val="17"/>
                <w:szCs w:val="17"/>
                <w:color w:val="auto"/>
              </w:rPr>
              <w:t>Written Undertaking</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8.11</w:t>
            </w:r>
          </w:p>
        </w:tc>
        <w:tc>
          <w:tcPr>
            <w:tcW w:w="8980" w:type="dxa"/>
            <w:vAlign w:val="bottom"/>
          </w:tcPr>
          <w:p>
            <w:pPr>
              <w:ind w:left="560"/>
              <w:spacing w:after="0"/>
              <w:rPr>
                <w:sz w:val="20"/>
                <w:szCs w:val="20"/>
                <w:color w:val="auto"/>
              </w:rPr>
            </w:pPr>
            <w:r>
              <w:rPr>
                <w:rFonts w:ascii="Arial" w:cs="Arial" w:eastAsia="Arial" w:hAnsi="Arial"/>
                <w:sz w:val="17"/>
                <w:szCs w:val="17"/>
                <w:color w:val="auto"/>
              </w:rPr>
              <w:t>Consistency with Certificate of Incorporation</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8.12</w:t>
            </w:r>
          </w:p>
        </w:tc>
        <w:tc>
          <w:tcPr>
            <w:tcW w:w="8980" w:type="dxa"/>
            <w:vAlign w:val="bottom"/>
          </w:tcPr>
          <w:p>
            <w:pPr>
              <w:ind w:left="560"/>
              <w:spacing w:after="0"/>
              <w:rPr>
                <w:sz w:val="20"/>
                <w:szCs w:val="20"/>
                <w:color w:val="auto"/>
              </w:rPr>
            </w:pPr>
            <w:r>
              <w:rPr>
                <w:rFonts w:ascii="Arial" w:cs="Arial" w:eastAsia="Arial" w:hAnsi="Arial"/>
                <w:sz w:val="17"/>
                <w:szCs w:val="17"/>
                <w:color w:val="auto"/>
              </w:rPr>
              <w:t>Other Expenses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8.13</w:t>
            </w:r>
          </w:p>
        </w:tc>
        <w:tc>
          <w:tcPr>
            <w:tcW w:w="8980" w:type="dxa"/>
            <w:vAlign w:val="bottom"/>
          </w:tcPr>
          <w:p>
            <w:pPr>
              <w:ind w:left="560"/>
              <w:spacing w:after="0"/>
              <w:rPr>
                <w:sz w:val="20"/>
                <w:szCs w:val="20"/>
                <w:color w:val="auto"/>
              </w:rPr>
            </w:pPr>
            <w:r>
              <w:rPr>
                <w:rFonts w:ascii="Arial" w:cs="Arial" w:eastAsia="Arial" w:hAnsi="Arial"/>
                <w:sz w:val="17"/>
                <w:szCs w:val="17"/>
                <w:color w:val="auto"/>
              </w:rPr>
              <w:t>Officers, Employees and Agents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8.14</w:t>
            </w:r>
          </w:p>
        </w:tc>
        <w:tc>
          <w:tcPr>
            <w:tcW w:w="8980" w:type="dxa"/>
            <w:vAlign w:val="bottom"/>
          </w:tcPr>
          <w:p>
            <w:pPr>
              <w:ind w:left="560"/>
              <w:spacing w:after="0"/>
              <w:rPr>
                <w:sz w:val="20"/>
                <w:szCs w:val="20"/>
                <w:color w:val="auto"/>
              </w:rPr>
            </w:pPr>
            <w:r>
              <w:rPr>
                <w:rFonts w:ascii="Arial" w:cs="Arial" w:eastAsia="Arial" w:hAnsi="Arial"/>
                <w:sz w:val="17"/>
                <w:szCs w:val="17"/>
                <w:color w:val="auto"/>
              </w:rPr>
              <w:t>Other Capacities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22"/>
        </w:trPr>
        <w:tc>
          <w:tcPr>
            <w:tcW w:w="1700" w:type="dxa"/>
            <w:vAlign w:val="bottom"/>
          </w:tcPr>
          <w:p>
            <w:pPr>
              <w:ind w:left="520"/>
              <w:spacing w:after="0"/>
              <w:rPr>
                <w:sz w:val="20"/>
                <w:szCs w:val="20"/>
                <w:color w:val="auto"/>
              </w:rPr>
            </w:pPr>
            <w:r>
              <w:rPr>
                <w:rFonts w:ascii="Arial" w:cs="Arial" w:eastAsia="Arial" w:hAnsi="Arial"/>
                <w:sz w:val="17"/>
                <w:szCs w:val="17"/>
                <w:color w:val="auto"/>
              </w:rPr>
              <w:t>Section 8.15</w:t>
            </w:r>
          </w:p>
        </w:tc>
        <w:tc>
          <w:tcPr>
            <w:tcW w:w="8980" w:type="dxa"/>
            <w:vAlign w:val="bottom"/>
          </w:tcPr>
          <w:p>
            <w:pPr>
              <w:ind w:left="560"/>
              <w:spacing w:after="0"/>
              <w:rPr>
                <w:sz w:val="20"/>
                <w:szCs w:val="20"/>
                <w:color w:val="auto"/>
              </w:rPr>
            </w:pPr>
            <w:r>
              <w:rPr>
                <w:rFonts w:ascii="Arial" w:cs="Arial" w:eastAsia="Arial" w:hAnsi="Arial"/>
                <w:sz w:val="17"/>
                <w:szCs w:val="17"/>
                <w:color w:val="auto"/>
              </w:rPr>
              <w:t>Further Indemnification</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419"/>
        </w:trPr>
        <w:tc>
          <w:tcPr>
            <w:tcW w:w="1700" w:type="dxa"/>
            <w:vAlign w:val="bottom"/>
          </w:tcPr>
          <w:p>
            <w:pPr>
              <w:spacing w:after="0"/>
              <w:rPr>
                <w:sz w:val="24"/>
                <w:szCs w:val="24"/>
                <w:color w:val="auto"/>
              </w:rPr>
            </w:pPr>
          </w:p>
        </w:tc>
        <w:tc>
          <w:tcPr>
            <w:tcW w:w="8980" w:type="dxa"/>
            <w:vAlign w:val="bottom"/>
          </w:tcPr>
          <w:p>
            <w:pPr>
              <w:jc w:val="center"/>
              <w:ind w:right="873"/>
              <w:spacing w:after="0"/>
              <w:rPr>
                <w:sz w:val="20"/>
                <w:szCs w:val="20"/>
                <w:color w:val="auto"/>
              </w:rPr>
            </w:pPr>
            <w:r>
              <w:rPr>
                <w:rFonts w:ascii="Arial" w:cs="Arial" w:eastAsia="Arial" w:hAnsi="Arial"/>
                <w:sz w:val="17"/>
                <w:szCs w:val="17"/>
                <w:color w:val="auto"/>
              </w:rPr>
              <w:t>ii</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1700" w:type="dxa"/>
            <w:vAlign w:val="bottom"/>
            <w:tcBorders>
              <w:bottom w:val="single" w:sz="8" w:color="010101"/>
            </w:tcBorders>
          </w:tcPr>
          <w:p>
            <w:pPr>
              <w:spacing w:after="0"/>
              <w:rPr>
                <w:sz w:val="11"/>
                <w:szCs w:val="11"/>
                <w:color w:val="auto"/>
              </w:rPr>
            </w:pPr>
          </w:p>
        </w:tc>
        <w:tc>
          <w:tcPr>
            <w:tcW w:w="898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45"/>
        </w:trPr>
        <w:tc>
          <w:tcPr>
            <w:tcW w:w="1700" w:type="dxa"/>
            <w:vAlign w:val="bottom"/>
          </w:tcPr>
          <w:p>
            <w:pPr>
              <w:spacing w:after="0"/>
              <w:rPr>
                <w:sz w:val="24"/>
                <w:szCs w:val="24"/>
                <w:color w:val="auto"/>
              </w:rPr>
            </w:pPr>
          </w:p>
        </w:tc>
        <w:tc>
          <w:tcPr>
            <w:tcW w:w="8980" w:type="dxa"/>
            <w:vAlign w:val="bottom"/>
          </w:tcPr>
          <w:p>
            <w:pPr>
              <w:jc w:val="center"/>
              <w:ind w:right="873"/>
              <w:spacing w:after="0"/>
              <w:rPr>
                <w:sz w:val="20"/>
                <w:szCs w:val="20"/>
                <w:color w:val="auto"/>
              </w:rPr>
            </w:pPr>
            <w:r>
              <w:rPr>
                <w:rFonts w:ascii="Arial" w:cs="Arial" w:eastAsia="Arial" w:hAnsi="Arial"/>
                <w:sz w:val="17"/>
                <w:szCs w:val="17"/>
                <w:b w:val="1"/>
                <w:bCs w:val="1"/>
                <w:color w:val="auto"/>
              </w:rPr>
              <w:t>TABLE OF CONTENTS</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1700" w:type="dxa"/>
            <w:vAlign w:val="bottom"/>
          </w:tcPr>
          <w:p>
            <w:pPr>
              <w:spacing w:after="0"/>
              <w:rPr>
                <w:sz w:val="19"/>
                <w:szCs w:val="19"/>
                <w:color w:val="auto"/>
              </w:rPr>
            </w:pPr>
          </w:p>
        </w:tc>
        <w:tc>
          <w:tcPr>
            <w:tcW w:w="8980" w:type="dxa"/>
            <w:vAlign w:val="bottom"/>
          </w:tcPr>
          <w:p>
            <w:pPr>
              <w:jc w:val="center"/>
              <w:ind w:right="853"/>
              <w:spacing w:after="0"/>
              <w:rPr>
                <w:sz w:val="20"/>
                <w:szCs w:val="20"/>
                <w:color w:val="auto"/>
              </w:rPr>
            </w:pPr>
            <w:r>
              <w:rPr>
                <w:rFonts w:ascii="Arial" w:cs="Arial" w:eastAsia="Arial" w:hAnsi="Arial"/>
                <w:sz w:val="17"/>
                <w:szCs w:val="17"/>
                <w:color w:val="auto"/>
                <w:w w:val="94"/>
              </w:rPr>
              <w:t>(continued)</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4"/>
        </w:trPr>
        <w:tc>
          <w:tcPr>
            <w:tcW w:w="170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1700" w:type="dxa"/>
            <w:vAlign w:val="bottom"/>
          </w:tcPr>
          <w:p>
            <w:pPr>
              <w:ind w:left="520"/>
              <w:spacing w:after="0"/>
              <w:rPr>
                <w:sz w:val="20"/>
                <w:szCs w:val="20"/>
                <w:color w:val="auto"/>
              </w:rPr>
            </w:pPr>
            <w:r>
              <w:rPr>
                <w:rFonts w:ascii="Arial" w:cs="Arial" w:eastAsia="Arial" w:hAnsi="Arial"/>
                <w:sz w:val="17"/>
                <w:szCs w:val="17"/>
                <w:color w:val="auto"/>
              </w:rPr>
              <w:t>Section 8.16</w:t>
            </w:r>
          </w:p>
        </w:tc>
        <w:tc>
          <w:tcPr>
            <w:tcW w:w="8980" w:type="dxa"/>
            <w:vAlign w:val="bottom"/>
          </w:tcPr>
          <w:p>
            <w:pPr>
              <w:ind w:left="560"/>
              <w:spacing w:after="0"/>
              <w:rPr>
                <w:sz w:val="20"/>
                <w:szCs w:val="20"/>
                <w:color w:val="auto"/>
              </w:rPr>
            </w:pPr>
            <w:r>
              <w:rPr>
                <w:rFonts w:ascii="Arial" w:cs="Arial" w:eastAsia="Arial" w:hAnsi="Arial"/>
                <w:sz w:val="17"/>
                <w:szCs w:val="17"/>
                <w:color w:val="auto"/>
              </w:rPr>
              <w:t>Insurance</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419"/>
        </w:trPr>
        <w:tc>
          <w:tcPr>
            <w:tcW w:w="1700" w:type="dxa"/>
            <w:vAlign w:val="bottom"/>
          </w:tcPr>
          <w:p>
            <w:pPr>
              <w:spacing w:after="0"/>
              <w:rPr>
                <w:sz w:val="20"/>
                <w:szCs w:val="20"/>
                <w:color w:val="auto"/>
              </w:rPr>
            </w:pPr>
            <w:r>
              <w:rPr>
                <w:rFonts w:ascii="Arial" w:cs="Arial" w:eastAsia="Arial" w:hAnsi="Arial"/>
                <w:sz w:val="17"/>
                <w:szCs w:val="17"/>
                <w:color w:val="auto"/>
              </w:rPr>
              <w:t>ARTICLE IX</w:t>
            </w:r>
          </w:p>
        </w:tc>
        <w:tc>
          <w:tcPr>
            <w:tcW w:w="8980" w:type="dxa"/>
            <w:vAlign w:val="bottom"/>
          </w:tcPr>
          <w:p>
            <w:pPr>
              <w:ind w:left="200"/>
              <w:spacing w:after="0"/>
              <w:rPr>
                <w:sz w:val="20"/>
                <w:szCs w:val="20"/>
                <w:color w:val="auto"/>
              </w:rPr>
            </w:pPr>
            <w:r>
              <w:rPr>
                <w:rFonts w:ascii="Arial" w:cs="Arial" w:eastAsia="Arial" w:hAnsi="Arial"/>
                <w:sz w:val="17"/>
                <w:szCs w:val="17"/>
                <w:color w:val="auto"/>
              </w:rPr>
              <w:t>INTERESTED DIRECTORS, OFFICERS AND STOCKHOLDERS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408"/>
        </w:trPr>
        <w:tc>
          <w:tcPr>
            <w:tcW w:w="1700" w:type="dxa"/>
            <w:vAlign w:val="bottom"/>
          </w:tcPr>
          <w:p>
            <w:pPr>
              <w:ind w:left="520"/>
              <w:spacing w:after="0"/>
              <w:rPr>
                <w:sz w:val="20"/>
                <w:szCs w:val="20"/>
                <w:color w:val="auto"/>
              </w:rPr>
            </w:pPr>
            <w:r>
              <w:rPr>
                <w:rFonts w:ascii="Arial" w:cs="Arial" w:eastAsia="Arial" w:hAnsi="Arial"/>
                <w:sz w:val="17"/>
                <w:szCs w:val="17"/>
                <w:color w:val="auto"/>
              </w:rPr>
              <w:t>Section 9.1</w:t>
            </w:r>
          </w:p>
        </w:tc>
        <w:tc>
          <w:tcPr>
            <w:tcW w:w="8980" w:type="dxa"/>
            <w:vAlign w:val="bottom"/>
          </w:tcPr>
          <w:p>
            <w:pPr>
              <w:ind w:left="560"/>
              <w:spacing w:after="0"/>
              <w:rPr>
                <w:sz w:val="20"/>
                <w:szCs w:val="20"/>
                <w:color w:val="auto"/>
              </w:rPr>
            </w:pPr>
            <w:r>
              <w:rPr>
                <w:rFonts w:ascii="Arial" w:cs="Arial" w:eastAsia="Arial" w:hAnsi="Arial"/>
                <w:sz w:val="17"/>
                <w:szCs w:val="17"/>
                <w:color w:val="auto"/>
              </w:rPr>
              <w:t>Validity; Disclosure; Approval</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9.2</w:t>
            </w:r>
          </w:p>
        </w:tc>
        <w:tc>
          <w:tcPr>
            <w:tcW w:w="8980" w:type="dxa"/>
            <w:vAlign w:val="bottom"/>
          </w:tcPr>
          <w:p>
            <w:pPr>
              <w:ind w:left="560"/>
              <w:spacing w:after="0"/>
              <w:rPr>
                <w:sz w:val="20"/>
                <w:szCs w:val="20"/>
                <w:color w:val="auto"/>
              </w:rPr>
            </w:pPr>
            <w:r>
              <w:rPr>
                <w:rFonts w:ascii="Arial" w:cs="Arial" w:eastAsia="Arial" w:hAnsi="Arial"/>
                <w:sz w:val="17"/>
                <w:szCs w:val="17"/>
                <w:color w:val="auto"/>
              </w:rPr>
              <w:t>Quorum</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22"/>
        </w:trPr>
        <w:tc>
          <w:tcPr>
            <w:tcW w:w="1700" w:type="dxa"/>
            <w:vAlign w:val="bottom"/>
          </w:tcPr>
          <w:p>
            <w:pPr>
              <w:ind w:left="520"/>
              <w:spacing w:after="0"/>
              <w:rPr>
                <w:sz w:val="20"/>
                <w:szCs w:val="20"/>
                <w:color w:val="auto"/>
              </w:rPr>
            </w:pPr>
            <w:r>
              <w:rPr>
                <w:rFonts w:ascii="Arial" w:cs="Arial" w:eastAsia="Arial" w:hAnsi="Arial"/>
                <w:sz w:val="17"/>
                <w:szCs w:val="17"/>
                <w:color w:val="auto"/>
              </w:rPr>
              <w:t>Section 9.3</w:t>
            </w:r>
          </w:p>
        </w:tc>
        <w:tc>
          <w:tcPr>
            <w:tcW w:w="8980" w:type="dxa"/>
            <w:vAlign w:val="bottom"/>
          </w:tcPr>
          <w:p>
            <w:pPr>
              <w:ind w:left="560"/>
              <w:spacing w:after="0"/>
              <w:rPr>
                <w:sz w:val="20"/>
                <w:szCs w:val="20"/>
                <w:color w:val="auto"/>
              </w:rPr>
            </w:pPr>
            <w:r>
              <w:rPr>
                <w:rFonts w:ascii="Arial" w:cs="Arial" w:eastAsia="Arial" w:hAnsi="Arial"/>
                <w:sz w:val="17"/>
                <w:szCs w:val="17"/>
                <w:color w:val="auto"/>
              </w:rPr>
              <w:t>Non-exclusive</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419"/>
        </w:trPr>
        <w:tc>
          <w:tcPr>
            <w:tcW w:w="1700" w:type="dxa"/>
            <w:vAlign w:val="bottom"/>
          </w:tcPr>
          <w:p>
            <w:pPr>
              <w:spacing w:after="0"/>
              <w:rPr>
                <w:sz w:val="20"/>
                <w:szCs w:val="20"/>
                <w:color w:val="auto"/>
              </w:rPr>
            </w:pPr>
            <w:r>
              <w:rPr>
                <w:rFonts w:ascii="Arial" w:cs="Arial" w:eastAsia="Arial" w:hAnsi="Arial"/>
                <w:sz w:val="17"/>
                <w:szCs w:val="17"/>
                <w:color w:val="auto"/>
              </w:rPr>
              <w:t>ARTICLE X</w:t>
            </w:r>
          </w:p>
        </w:tc>
        <w:tc>
          <w:tcPr>
            <w:tcW w:w="8980" w:type="dxa"/>
            <w:vAlign w:val="bottom"/>
          </w:tcPr>
          <w:p>
            <w:pPr>
              <w:ind w:left="200"/>
              <w:spacing w:after="0"/>
              <w:rPr>
                <w:sz w:val="20"/>
                <w:szCs w:val="20"/>
                <w:color w:val="auto"/>
              </w:rPr>
            </w:pPr>
            <w:r>
              <w:rPr>
                <w:rFonts w:ascii="Arial" w:cs="Arial" w:eastAsia="Arial" w:hAnsi="Arial"/>
                <w:sz w:val="17"/>
                <w:szCs w:val="17"/>
                <w:color w:val="auto"/>
              </w:rPr>
              <w:t>MISCELLANEOUS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408"/>
        </w:trPr>
        <w:tc>
          <w:tcPr>
            <w:tcW w:w="1700" w:type="dxa"/>
            <w:vAlign w:val="bottom"/>
          </w:tcPr>
          <w:p>
            <w:pPr>
              <w:ind w:left="520"/>
              <w:spacing w:after="0"/>
              <w:rPr>
                <w:sz w:val="20"/>
                <w:szCs w:val="20"/>
                <w:color w:val="auto"/>
              </w:rPr>
            </w:pPr>
            <w:r>
              <w:rPr>
                <w:rFonts w:ascii="Arial" w:cs="Arial" w:eastAsia="Arial" w:hAnsi="Arial"/>
                <w:sz w:val="17"/>
                <w:szCs w:val="17"/>
                <w:color w:val="auto"/>
              </w:rPr>
              <w:t>Section 10.1</w:t>
            </w:r>
          </w:p>
        </w:tc>
        <w:tc>
          <w:tcPr>
            <w:tcW w:w="8980" w:type="dxa"/>
            <w:vAlign w:val="bottom"/>
          </w:tcPr>
          <w:p>
            <w:pPr>
              <w:ind w:left="560"/>
              <w:spacing w:after="0"/>
              <w:rPr>
                <w:sz w:val="20"/>
                <w:szCs w:val="20"/>
                <w:color w:val="auto"/>
              </w:rPr>
            </w:pPr>
            <w:r>
              <w:rPr>
                <w:rFonts w:ascii="Arial" w:cs="Arial" w:eastAsia="Arial" w:hAnsi="Arial"/>
                <w:sz w:val="17"/>
                <w:szCs w:val="17"/>
                <w:color w:val="auto"/>
              </w:rPr>
              <w:t>Place of Meetings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10.2</w:t>
            </w:r>
          </w:p>
        </w:tc>
        <w:tc>
          <w:tcPr>
            <w:tcW w:w="8980" w:type="dxa"/>
            <w:vAlign w:val="bottom"/>
          </w:tcPr>
          <w:p>
            <w:pPr>
              <w:ind w:left="560"/>
              <w:spacing w:after="0"/>
              <w:rPr>
                <w:sz w:val="20"/>
                <w:szCs w:val="20"/>
                <w:color w:val="auto"/>
              </w:rPr>
            </w:pPr>
            <w:r>
              <w:rPr>
                <w:rFonts w:ascii="Arial" w:cs="Arial" w:eastAsia="Arial" w:hAnsi="Arial"/>
                <w:sz w:val="17"/>
                <w:szCs w:val="17"/>
                <w:color w:val="auto"/>
              </w:rPr>
              <w:t>Fixing Record Dates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10.3</w:t>
            </w:r>
          </w:p>
        </w:tc>
        <w:tc>
          <w:tcPr>
            <w:tcW w:w="8980" w:type="dxa"/>
            <w:vAlign w:val="bottom"/>
          </w:tcPr>
          <w:p>
            <w:pPr>
              <w:ind w:left="560"/>
              <w:spacing w:after="0"/>
              <w:rPr>
                <w:sz w:val="20"/>
                <w:szCs w:val="20"/>
                <w:color w:val="auto"/>
              </w:rPr>
            </w:pPr>
            <w:r>
              <w:rPr>
                <w:rFonts w:ascii="Arial" w:cs="Arial" w:eastAsia="Arial" w:hAnsi="Arial"/>
                <w:sz w:val="17"/>
                <w:szCs w:val="17"/>
                <w:color w:val="auto"/>
              </w:rPr>
              <w:t>Waiver of Notice</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10.4</w:t>
            </w:r>
          </w:p>
        </w:tc>
        <w:tc>
          <w:tcPr>
            <w:tcW w:w="8980" w:type="dxa"/>
            <w:vAlign w:val="bottom"/>
          </w:tcPr>
          <w:p>
            <w:pPr>
              <w:ind w:left="560"/>
              <w:spacing w:after="0"/>
              <w:rPr>
                <w:sz w:val="20"/>
                <w:szCs w:val="20"/>
                <w:color w:val="auto"/>
              </w:rPr>
            </w:pPr>
            <w:r>
              <w:rPr>
                <w:rFonts w:ascii="Arial" w:cs="Arial" w:eastAsia="Arial" w:hAnsi="Arial"/>
                <w:sz w:val="17"/>
                <w:szCs w:val="17"/>
                <w:color w:val="auto"/>
              </w:rPr>
              <w:t>Attendance via Communications Equipment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10.5</w:t>
            </w:r>
          </w:p>
        </w:tc>
        <w:tc>
          <w:tcPr>
            <w:tcW w:w="8980" w:type="dxa"/>
            <w:vAlign w:val="bottom"/>
          </w:tcPr>
          <w:p>
            <w:pPr>
              <w:ind w:left="560"/>
              <w:spacing w:after="0"/>
              <w:rPr>
                <w:sz w:val="20"/>
                <w:szCs w:val="20"/>
                <w:color w:val="auto"/>
              </w:rPr>
            </w:pPr>
            <w:r>
              <w:rPr>
                <w:rFonts w:ascii="Arial" w:cs="Arial" w:eastAsia="Arial" w:hAnsi="Arial"/>
                <w:sz w:val="17"/>
                <w:szCs w:val="17"/>
                <w:color w:val="auto"/>
              </w:rPr>
              <w:t>Dividends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10.6</w:t>
            </w:r>
          </w:p>
        </w:tc>
        <w:tc>
          <w:tcPr>
            <w:tcW w:w="8980" w:type="dxa"/>
            <w:vAlign w:val="bottom"/>
          </w:tcPr>
          <w:p>
            <w:pPr>
              <w:ind w:left="560"/>
              <w:spacing w:after="0"/>
              <w:rPr>
                <w:sz w:val="20"/>
                <w:szCs w:val="20"/>
                <w:color w:val="auto"/>
              </w:rPr>
            </w:pPr>
            <w:r>
              <w:rPr>
                <w:rFonts w:ascii="Arial" w:cs="Arial" w:eastAsia="Arial" w:hAnsi="Arial"/>
                <w:sz w:val="17"/>
                <w:szCs w:val="17"/>
                <w:color w:val="auto"/>
              </w:rPr>
              <w:t>Reserves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10.7</w:t>
            </w:r>
          </w:p>
        </w:tc>
        <w:tc>
          <w:tcPr>
            <w:tcW w:w="8980" w:type="dxa"/>
            <w:vAlign w:val="bottom"/>
          </w:tcPr>
          <w:p>
            <w:pPr>
              <w:ind w:left="560"/>
              <w:spacing w:after="0"/>
              <w:rPr>
                <w:sz w:val="20"/>
                <w:szCs w:val="20"/>
                <w:color w:val="auto"/>
              </w:rPr>
            </w:pPr>
            <w:r>
              <w:rPr>
                <w:rFonts w:ascii="Arial" w:cs="Arial" w:eastAsia="Arial" w:hAnsi="Arial"/>
                <w:sz w:val="17"/>
                <w:szCs w:val="17"/>
                <w:color w:val="auto"/>
              </w:rPr>
              <w:t>Contracts and Negotiable Instruments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10.8</w:t>
            </w:r>
          </w:p>
        </w:tc>
        <w:tc>
          <w:tcPr>
            <w:tcW w:w="8980" w:type="dxa"/>
            <w:vAlign w:val="bottom"/>
          </w:tcPr>
          <w:p>
            <w:pPr>
              <w:ind w:left="560"/>
              <w:spacing w:after="0"/>
              <w:rPr>
                <w:sz w:val="20"/>
                <w:szCs w:val="20"/>
                <w:color w:val="auto"/>
              </w:rPr>
            </w:pPr>
            <w:r>
              <w:rPr>
                <w:rFonts w:ascii="Arial" w:cs="Arial" w:eastAsia="Arial" w:hAnsi="Arial"/>
                <w:sz w:val="17"/>
                <w:szCs w:val="17"/>
                <w:color w:val="auto"/>
              </w:rPr>
              <w:t>Fiscal Year</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10.9</w:t>
            </w:r>
          </w:p>
        </w:tc>
        <w:tc>
          <w:tcPr>
            <w:tcW w:w="8980" w:type="dxa"/>
            <w:vAlign w:val="bottom"/>
          </w:tcPr>
          <w:p>
            <w:pPr>
              <w:ind w:left="560"/>
              <w:spacing w:after="0"/>
              <w:rPr>
                <w:sz w:val="20"/>
                <w:szCs w:val="20"/>
                <w:color w:val="auto"/>
              </w:rPr>
            </w:pPr>
            <w:r>
              <w:rPr>
                <w:rFonts w:ascii="Arial" w:cs="Arial" w:eastAsia="Arial" w:hAnsi="Arial"/>
                <w:sz w:val="17"/>
                <w:szCs w:val="17"/>
                <w:color w:val="auto"/>
              </w:rPr>
              <w:t>Seal</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10.10</w:t>
            </w:r>
          </w:p>
        </w:tc>
        <w:tc>
          <w:tcPr>
            <w:tcW w:w="8980" w:type="dxa"/>
            <w:vAlign w:val="bottom"/>
          </w:tcPr>
          <w:p>
            <w:pPr>
              <w:ind w:left="560"/>
              <w:spacing w:after="0"/>
              <w:rPr>
                <w:sz w:val="20"/>
                <w:szCs w:val="20"/>
                <w:color w:val="auto"/>
              </w:rPr>
            </w:pPr>
            <w:r>
              <w:rPr>
                <w:rFonts w:ascii="Arial" w:cs="Arial" w:eastAsia="Arial" w:hAnsi="Arial"/>
                <w:sz w:val="17"/>
                <w:szCs w:val="17"/>
                <w:color w:val="auto"/>
              </w:rPr>
              <w:t>Books and Records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10.11</w:t>
            </w:r>
          </w:p>
        </w:tc>
        <w:tc>
          <w:tcPr>
            <w:tcW w:w="8980" w:type="dxa"/>
            <w:vAlign w:val="bottom"/>
          </w:tcPr>
          <w:p>
            <w:pPr>
              <w:ind w:left="560"/>
              <w:spacing w:after="0"/>
              <w:rPr>
                <w:sz w:val="20"/>
                <w:szCs w:val="20"/>
                <w:color w:val="auto"/>
              </w:rPr>
            </w:pPr>
            <w:r>
              <w:rPr>
                <w:rFonts w:ascii="Arial" w:cs="Arial" w:eastAsia="Arial" w:hAnsi="Arial"/>
                <w:sz w:val="17"/>
                <w:szCs w:val="17"/>
                <w:color w:val="auto"/>
              </w:rPr>
              <w:t>Resignation</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10.12</w:t>
            </w:r>
          </w:p>
        </w:tc>
        <w:tc>
          <w:tcPr>
            <w:tcW w:w="8980" w:type="dxa"/>
            <w:vAlign w:val="bottom"/>
          </w:tcPr>
          <w:p>
            <w:pPr>
              <w:ind w:left="560"/>
              <w:spacing w:after="0"/>
              <w:rPr>
                <w:sz w:val="20"/>
                <w:szCs w:val="20"/>
                <w:color w:val="auto"/>
              </w:rPr>
            </w:pPr>
            <w:r>
              <w:rPr>
                <w:rFonts w:ascii="Arial" w:cs="Arial" w:eastAsia="Arial" w:hAnsi="Arial"/>
                <w:sz w:val="17"/>
                <w:szCs w:val="17"/>
                <w:color w:val="auto"/>
              </w:rPr>
              <w:t>Surety Bonds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1700" w:type="dxa"/>
            <w:vAlign w:val="bottom"/>
          </w:tcPr>
          <w:p>
            <w:pPr>
              <w:ind w:left="520"/>
              <w:spacing w:after="0"/>
              <w:rPr>
                <w:sz w:val="20"/>
                <w:szCs w:val="20"/>
                <w:color w:val="auto"/>
              </w:rPr>
            </w:pPr>
            <w:r>
              <w:rPr>
                <w:rFonts w:ascii="Arial" w:cs="Arial" w:eastAsia="Arial" w:hAnsi="Arial"/>
                <w:sz w:val="17"/>
                <w:szCs w:val="17"/>
                <w:color w:val="auto"/>
              </w:rPr>
              <w:t>Section 10.13</w:t>
            </w:r>
          </w:p>
        </w:tc>
        <w:tc>
          <w:tcPr>
            <w:tcW w:w="8980" w:type="dxa"/>
            <w:vAlign w:val="bottom"/>
          </w:tcPr>
          <w:p>
            <w:pPr>
              <w:ind w:left="560"/>
              <w:spacing w:after="0"/>
              <w:rPr>
                <w:sz w:val="20"/>
                <w:szCs w:val="20"/>
                <w:color w:val="auto"/>
              </w:rPr>
            </w:pPr>
            <w:r>
              <w:rPr>
                <w:rFonts w:ascii="Arial" w:cs="Arial" w:eastAsia="Arial" w:hAnsi="Arial"/>
                <w:sz w:val="17"/>
                <w:szCs w:val="17"/>
                <w:color w:val="auto"/>
              </w:rPr>
              <w:t>Proxies in Respect of Securities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r>
      <w:tr>
        <w:trPr>
          <w:trHeight w:val="222"/>
        </w:trPr>
        <w:tc>
          <w:tcPr>
            <w:tcW w:w="1700" w:type="dxa"/>
            <w:vAlign w:val="bottom"/>
          </w:tcPr>
          <w:p>
            <w:pPr>
              <w:ind w:left="520"/>
              <w:spacing w:after="0"/>
              <w:rPr>
                <w:sz w:val="20"/>
                <w:szCs w:val="20"/>
                <w:color w:val="auto"/>
              </w:rPr>
            </w:pPr>
            <w:r>
              <w:rPr>
                <w:rFonts w:ascii="Arial" w:cs="Arial" w:eastAsia="Arial" w:hAnsi="Arial"/>
                <w:sz w:val="17"/>
                <w:szCs w:val="17"/>
                <w:color w:val="auto"/>
              </w:rPr>
              <w:t>Section 10.14</w:t>
            </w:r>
          </w:p>
        </w:tc>
        <w:tc>
          <w:tcPr>
            <w:tcW w:w="8980" w:type="dxa"/>
            <w:vAlign w:val="bottom"/>
          </w:tcPr>
          <w:p>
            <w:pPr>
              <w:ind w:left="560"/>
              <w:spacing w:after="0"/>
              <w:rPr>
                <w:sz w:val="20"/>
                <w:szCs w:val="20"/>
                <w:color w:val="auto"/>
              </w:rPr>
            </w:pPr>
            <w:r>
              <w:rPr>
                <w:rFonts w:ascii="Arial" w:cs="Arial" w:eastAsia="Arial" w:hAnsi="Arial"/>
                <w:sz w:val="17"/>
                <w:szCs w:val="17"/>
                <w:color w:val="auto"/>
              </w:rPr>
              <w:t>Amendments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-4204970</wp:posOffset>
            </wp:positionV>
            <wp:extent cx="12700" cy="292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-4204970</wp:posOffset>
            </wp:positionV>
            <wp:extent cx="12700" cy="292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BYLAWS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APPLIED OPTOELECTRONICS,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ARTICLE I</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OFFICES</w:t>
      </w:r>
    </w:p>
    <w:p>
      <w:pPr>
        <w:sectPr>
          <w:pgSz w:w="11900" w:h="16838" w:orient="portrait"/>
          <w:cols w:equalWidth="0" w:num="1">
            <w:col w:w="11460"/>
          </w:cols>
          <w:pgMar w:left="240" w:top="127" w:right="199" w:bottom="147" w:gutter="0" w:footer="0" w:header="0"/>
        </w:sectPr>
      </w:pPr>
    </w:p>
    <w:bookmarkStart w:id="228" w:name="page229"/>
    <w:bookmarkEnd w:id="228"/>
    <w:p>
      <w:pPr>
        <w:spacing w:after="0" w:line="20" w:lineRule="exact"/>
        <w:rPr>
          <w:sz w:val="20"/>
          <w:szCs w:val="20"/>
          <w:color w:val="auto"/>
        </w:rPr>
      </w:pPr>
    </w:p>
    <w:p>
      <w:pPr>
        <w:ind w:right="40" w:firstLine="629"/>
        <w:spacing w:after="0" w:line="270"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b w:val="1"/>
          <w:bCs w:val="1"/>
          <w:u w:val="single" w:color="auto"/>
          <w:color w:val="auto"/>
        </w:rPr>
        <w:t>Registered Office</w:t>
      </w:r>
      <w:r>
        <w:rPr>
          <w:rFonts w:ascii="Arial" w:cs="Arial" w:eastAsia="Arial" w:hAnsi="Arial"/>
          <w:sz w:val="17"/>
          <w:szCs w:val="17"/>
          <w:color w:val="auto"/>
        </w:rPr>
        <w:t>. The address of the registered office of Corporation in the State of Delaware is c/o The Corporation Trust Company, Corporation Trust Center, 1209 Orange Street, County of New Castle, Wilmington, Delaware 19801. The name and address of the registered agent for service of process on the Corporation in the State of Delaware is The Corporation Trust Company, Corporation Trust Center, 1209 Orange Street, County of New Castle, Wilmington, Delaware 19801.</w:t>
      </w:r>
    </w:p>
    <w:p>
      <w:pPr>
        <w:spacing w:after="0" w:line="169" w:lineRule="exact"/>
        <w:rPr>
          <w:sz w:val="20"/>
          <w:szCs w:val="20"/>
          <w:color w:val="auto"/>
        </w:rPr>
      </w:pPr>
    </w:p>
    <w:p>
      <w:pPr>
        <w:ind w:right="80" w:firstLine="629"/>
        <w:spacing w:after="0" w:line="277"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b w:val="1"/>
          <w:bCs w:val="1"/>
          <w:u w:val="single" w:color="auto"/>
          <w:color w:val="auto"/>
        </w:rPr>
        <w:t>Additional Offices</w:t>
      </w:r>
      <w:r>
        <w:rPr>
          <w:rFonts w:ascii="Arial" w:cs="Arial" w:eastAsia="Arial" w:hAnsi="Arial"/>
          <w:sz w:val="17"/>
          <w:szCs w:val="17"/>
          <w:color w:val="auto"/>
        </w:rPr>
        <w:t>. The Company may, in addition to its registered office in the State of Delaware, have such other offices and places of business, both within and without the State of Delaware, as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may from time to time determine or as the business and affairs of the Company may require.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STOCKHOLDER’S MEETINGS</w:t>
      </w:r>
    </w:p>
    <w:p>
      <w:pPr>
        <w:spacing w:after="0" w:line="224" w:lineRule="exact"/>
        <w:rPr>
          <w:sz w:val="20"/>
          <w:szCs w:val="20"/>
          <w:color w:val="auto"/>
        </w:rPr>
      </w:pPr>
    </w:p>
    <w:p>
      <w:pPr>
        <w:ind w:right="100" w:firstLine="629"/>
        <w:spacing w:after="0" w:line="277"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b w:val="1"/>
          <w:bCs w:val="1"/>
          <w:u w:val="single" w:color="auto"/>
          <w:color w:val="auto"/>
        </w:rPr>
        <w:t>Annual Meetings</w:t>
      </w:r>
      <w:r>
        <w:rPr>
          <w:rFonts w:ascii="Arial" w:cs="Arial" w:eastAsia="Arial" w:hAnsi="Arial"/>
          <w:sz w:val="17"/>
          <w:szCs w:val="17"/>
          <w:color w:val="auto"/>
        </w:rPr>
        <w:t>. Annual meetings of stockholders shall be held at a place and time on any weekday which is not a holiday and shall be designated by the Board and stated in the notice of the meeting, at which the stockholders shall elect the directors of the Company and transact such other business as may properly be brought before the meeting.</w:t>
      </w:r>
    </w:p>
    <w:p>
      <w:pPr>
        <w:spacing w:after="0" w:line="162" w:lineRule="exact"/>
        <w:rPr>
          <w:sz w:val="20"/>
          <w:szCs w:val="20"/>
          <w:color w:val="auto"/>
        </w:rPr>
      </w:pPr>
    </w:p>
    <w:p>
      <w:pPr>
        <w:ind w:right="140" w:firstLine="629"/>
        <w:spacing w:after="0" w:line="267"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b w:val="1"/>
          <w:bCs w:val="1"/>
          <w:u w:val="single" w:color="auto"/>
          <w:color w:val="auto"/>
        </w:rPr>
        <w:t>Special Meetings</w:t>
      </w:r>
      <w:r>
        <w:rPr>
          <w:rFonts w:ascii="Arial" w:cs="Arial" w:eastAsia="Arial" w:hAnsi="Arial"/>
          <w:sz w:val="17"/>
          <w:szCs w:val="17"/>
          <w:color w:val="auto"/>
        </w:rPr>
        <w:t>. Special meetings of the stockholders, for any purpose or purposes, unless otherwise prescribed by law or by the certificate of incorporation, (a) may be called by the chairman of the board, the chief executive officer or the president and (b) shall be called by the chief executive officer, the president or secretary at the request in writing of a majority of the Board or stockholders owning capital stock of the Company representing at least ten percent (10%) of the votes of all capital stock of the Company entitled to vote thereat. Such request of the Board or the stockholders shall state the purpose or purposes of the proposed meeting.</w:t>
      </w:r>
    </w:p>
    <w:p>
      <w:pPr>
        <w:spacing w:after="0" w:line="17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2.3</w:t>
      </w:r>
      <w:r>
        <w:rPr>
          <w:sz w:val="20"/>
          <w:szCs w:val="20"/>
          <w:color w:val="auto"/>
        </w:rPr>
        <w:tab/>
      </w:r>
      <w:r>
        <w:rPr>
          <w:rFonts w:ascii="Arial" w:cs="Arial" w:eastAsia="Arial" w:hAnsi="Arial"/>
          <w:sz w:val="14"/>
          <w:szCs w:val="14"/>
          <w:b w:val="1"/>
          <w:bCs w:val="1"/>
          <w:u w:val="single" w:color="auto"/>
          <w:color w:val="auto"/>
        </w:rPr>
        <w:t>Notices</w:t>
      </w:r>
      <w:r>
        <w:rPr>
          <w:rFonts w:ascii="Arial" w:cs="Arial" w:eastAsia="Arial" w:hAnsi="Arial"/>
          <w:sz w:val="14"/>
          <w:szCs w:val="14"/>
          <w:color w:val="auto"/>
        </w:rPr>
        <w:t>.</w:t>
      </w:r>
    </w:p>
    <w:p>
      <w:pPr>
        <w:spacing w:after="0" w:line="230" w:lineRule="exact"/>
        <w:rPr>
          <w:sz w:val="20"/>
          <w:szCs w:val="20"/>
          <w:color w:val="auto"/>
        </w:rPr>
      </w:pPr>
    </w:p>
    <w:p>
      <w:pPr>
        <w:ind w:left="640" w:firstLine="629"/>
        <w:spacing w:after="0" w:line="298" w:lineRule="auto"/>
        <w:rPr>
          <w:sz w:val="20"/>
          <w:szCs w:val="20"/>
          <w:color w:val="auto"/>
        </w:rPr>
      </w:pPr>
      <w:r>
        <w:rPr>
          <w:rFonts w:ascii="Arial" w:cs="Arial" w:eastAsia="Arial" w:hAnsi="Arial"/>
          <w:sz w:val="16"/>
          <w:szCs w:val="16"/>
          <w:color w:val="auto"/>
        </w:rPr>
        <w:t>Section 2.3.1 Written or printed notice of each stockholders’ meeting stating the place, date and hour of the meeting shall be given to each stockholder of record entitled to vote thereat by or at the direction of the chief executive officer, the president, the secretary or the officer or person calling such meeting not less than ten (10) nor more than sixty (60) days before the date of the meeting. If said notice is for a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169545</wp:posOffset>
            </wp:positionV>
            <wp:extent cx="7271385" cy="292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40" w:right="120"/>
        <w:spacing w:after="0" w:line="268" w:lineRule="auto"/>
        <w:rPr>
          <w:sz w:val="20"/>
          <w:szCs w:val="20"/>
          <w:color w:val="auto"/>
        </w:rPr>
      </w:pPr>
      <w:r>
        <w:rPr>
          <w:rFonts w:ascii="Arial" w:cs="Arial" w:eastAsia="Arial" w:hAnsi="Arial"/>
          <w:sz w:val="17"/>
          <w:szCs w:val="17"/>
          <w:color w:val="auto"/>
        </w:rPr>
        <w:t>meeting other than an annual meeting, it shall in addition state the purpose or purposes for which said meeting is called, and the business transacted at such meeting shall be limited to the matters so stated in said notice and any matters reasonably related thereto. If mailed, such notice shall be deemed to be delivered when deposited in the United States mail addressed to each stockholder at his address as it appears on the stock transfer books of the Company, with postage thereon prepaid.</w:t>
      </w:r>
    </w:p>
    <w:p>
      <w:pPr>
        <w:spacing w:after="0" w:line="176" w:lineRule="exact"/>
        <w:rPr>
          <w:sz w:val="20"/>
          <w:szCs w:val="20"/>
          <w:color w:val="auto"/>
        </w:rPr>
      </w:pPr>
    </w:p>
    <w:p>
      <w:pPr>
        <w:ind w:left="640" w:right="80" w:firstLine="629"/>
        <w:spacing w:after="0" w:line="279" w:lineRule="auto"/>
        <w:rPr>
          <w:sz w:val="20"/>
          <w:szCs w:val="20"/>
          <w:color w:val="auto"/>
        </w:rPr>
      </w:pPr>
      <w:r>
        <w:rPr>
          <w:rFonts w:ascii="Arial" w:cs="Arial" w:eastAsia="Arial" w:hAnsi="Arial"/>
          <w:sz w:val="16"/>
          <w:szCs w:val="16"/>
          <w:color w:val="auto"/>
        </w:rPr>
        <w:t>Section 2.3.2 Notice to stockholders may be given by personal delivery, mail, or, with the consent of the stockholder entitled to receive notice, by facsimile or other means of electronic transmission. If mailed, such notice shall be delivered by postage prepaid envelope directed to each stockholder at such stockholder’s address as it appears in the records of the corporation and shall be deemed given when deposited in the United States mail. Notice given by electronic transmission pursuant to this subsection shall be deemed given: (1) if by facsimile telecommunication, when directed to a facsimile telecommunication number at which the stockholder has consented to receive notice; (2) if by electronic mail, when directed to an electronic mail address at which the stockholder has consented to receive notice; (3) if by posting on an electronic network together with separate notice to the stockholder of such specific posting, upon the later of (A) such posting and (B) the giving of such separate notice; and (4) if by any other form of electronic transmission, when directed to the stockholder. An affidavit of the secretary or an assistant secretary or of the transfer agent or other agent of the corporation that the notice has been given by personal delivery, by mail, or by a form of electronic transmission shall, in the absence of fraud, be prima facie evidence of the facts stated therein.</w:t>
      </w:r>
    </w:p>
    <w:p>
      <w:pPr>
        <w:spacing w:after="0" w:line="168" w:lineRule="exact"/>
        <w:rPr>
          <w:sz w:val="20"/>
          <w:szCs w:val="20"/>
          <w:color w:val="auto"/>
        </w:rPr>
      </w:pPr>
    </w:p>
    <w:p>
      <w:pPr>
        <w:ind w:left="640" w:right="120" w:firstLine="629"/>
        <w:spacing w:after="0" w:line="268" w:lineRule="auto"/>
        <w:rPr>
          <w:sz w:val="20"/>
          <w:szCs w:val="20"/>
          <w:color w:val="auto"/>
        </w:rPr>
      </w:pPr>
      <w:r>
        <w:rPr>
          <w:rFonts w:ascii="Arial" w:cs="Arial" w:eastAsia="Arial" w:hAnsi="Arial"/>
          <w:sz w:val="17"/>
          <w:szCs w:val="17"/>
          <w:color w:val="auto"/>
        </w:rPr>
        <w:t>Section 2.3.3 Notice of any meeting of stockholders need not be given to any stockholder if waived by such stockholder either in a writing signed by such stockholder or by electronic transmission, whether such waiver is given before or after such meeting is held. If such a waiver is given by electronic transmission, the electronic transmission must either set forth or be submitted with information from which it can be determined that the electronic transmission was authorized by the stockholder</w:t>
      </w:r>
    </w:p>
    <w:p>
      <w:pPr>
        <w:spacing w:after="0" w:line="170" w:lineRule="exact"/>
        <w:rPr>
          <w:sz w:val="20"/>
          <w:szCs w:val="20"/>
          <w:color w:val="auto"/>
        </w:rPr>
      </w:pPr>
    </w:p>
    <w:p>
      <w:pPr>
        <w:ind w:firstLine="629"/>
        <w:spacing w:after="0" w:line="280"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b w:val="1"/>
          <w:bCs w:val="1"/>
          <w:u w:val="single" w:color="auto"/>
          <w:color w:val="auto"/>
        </w:rPr>
        <w:t>Quorum</w:t>
      </w:r>
      <w:r>
        <w:rPr>
          <w:rFonts w:ascii="Arial" w:cs="Arial" w:eastAsia="Arial" w:hAnsi="Arial"/>
          <w:sz w:val="16"/>
          <w:szCs w:val="16"/>
          <w:color w:val="auto"/>
        </w:rPr>
        <w:t>. The presence at a stockholders’ meeting of the holders, present in person or represented by proxy, of capital stock of the Company representing a majority of the votes of all capital stock of the Company entitled to vote thereat shall constitute a quorum at such meeting for the transaction of business except as otherwise provided by law, the certificate of incorporation or these Bylaws. If a quorum shall not be present or represented at any meeting of the stockholders, a majority of the stockholders entitled to vote thereat and present in person or represented by proxy shall have the power to adjourn the meeting from time to time, without notice other than announcement at the meeting, until a quorum shall be present or represented. At any such reconvened meeting at which a quorum shall be present or represented, any business may be transacted which might have been transacted at the meeting as originally notified. If the adjournment is for more than thirty (30) days, or if after the adjournment a new record date is fixed for the reconvened meeting, a notice of said reconvened meeting shall be given to each stockholder entitled to vote at said meeting. The stockholders present at a duly convened meeting may continue to transact business until adjournment, notwithstanding the withdrawal of enough stockholders to leave less than a quorum.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2.5</w:t>
      </w:r>
      <w:r>
        <w:rPr>
          <w:sz w:val="20"/>
          <w:szCs w:val="20"/>
          <w:color w:val="auto"/>
        </w:rPr>
        <w:tab/>
      </w:r>
      <w:r>
        <w:rPr>
          <w:rFonts w:ascii="Arial" w:cs="Arial" w:eastAsia="Arial" w:hAnsi="Arial"/>
          <w:sz w:val="15"/>
          <w:szCs w:val="15"/>
          <w:b w:val="1"/>
          <w:bCs w:val="1"/>
          <w:u w:val="single" w:color="auto"/>
          <w:color w:val="auto"/>
        </w:rPr>
        <w:t>Voting of Shares</w:t>
      </w:r>
      <w:r>
        <w:rPr>
          <w:rFonts w:ascii="Arial" w:cs="Arial" w:eastAsia="Arial" w:hAnsi="Arial"/>
          <w:sz w:val="15"/>
          <w:szCs w:val="15"/>
          <w:color w:val="auto"/>
        </w:rPr>
        <w:t>.</w:t>
      </w:r>
    </w:p>
    <w:p>
      <w:pPr>
        <w:spacing w:after="0" w:line="224" w:lineRule="exact"/>
        <w:rPr>
          <w:sz w:val="20"/>
          <w:szCs w:val="20"/>
          <w:color w:val="auto"/>
        </w:rPr>
      </w:pPr>
    </w:p>
    <w:p>
      <w:pPr>
        <w:ind w:left="1260"/>
        <w:spacing w:after="0"/>
        <w:tabs>
          <w:tab w:leader="none" w:pos="2500" w:val="left"/>
        </w:tabs>
        <w:rPr>
          <w:sz w:val="20"/>
          <w:szCs w:val="20"/>
          <w:color w:val="auto"/>
        </w:rPr>
      </w:pPr>
      <w:r>
        <w:rPr>
          <w:rFonts w:ascii="Arial" w:cs="Arial" w:eastAsia="Arial" w:hAnsi="Arial"/>
          <w:sz w:val="17"/>
          <w:szCs w:val="17"/>
          <w:color w:val="auto"/>
        </w:rPr>
        <w:t>Section 2.5.1</w:t>
      </w:r>
      <w:r>
        <w:rPr>
          <w:sz w:val="20"/>
          <w:szCs w:val="20"/>
          <w:color w:val="auto"/>
        </w:rPr>
        <w:tab/>
      </w:r>
      <w:r>
        <w:rPr>
          <w:rFonts w:ascii="Arial" w:cs="Arial" w:eastAsia="Arial" w:hAnsi="Arial"/>
          <w:sz w:val="15"/>
          <w:szCs w:val="15"/>
          <w:b w:val="1"/>
          <w:bCs w:val="1"/>
          <w:u w:val="single" w:color="auto"/>
          <w:color w:val="auto"/>
        </w:rPr>
        <w:t>Voting Lists</w:t>
      </w:r>
      <w:r>
        <w:rPr>
          <w:rFonts w:ascii="Arial" w:cs="Arial" w:eastAsia="Arial" w:hAnsi="Arial"/>
          <w:sz w:val="15"/>
          <w:szCs w:val="15"/>
          <w:color w:val="auto"/>
        </w:rPr>
        <w:t>. The officer or agent who has charge of the stock transfer books of the Company shall prepare, at least ten</w:t>
      </w:r>
    </w:p>
    <w:p>
      <w:pPr>
        <w:spacing w:after="0" w:line="32" w:lineRule="exact"/>
        <w:rPr>
          <w:sz w:val="20"/>
          <w:szCs w:val="20"/>
          <w:color w:val="auto"/>
        </w:rPr>
      </w:pPr>
    </w:p>
    <w:p>
      <w:pPr>
        <w:ind w:left="640" w:right="80" w:hanging="6"/>
        <w:spacing w:after="0" w:line="278" w:lineRule="auto"/>
        <w:tabs>
          <w:tab w:leader="none" w:pos="97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days before every meeting of stockholders, a complete list of the stockholders entitled to vote thereat arranged in alphabetical order and showing the address and the number of shares registered in the name of each stockholder. Such list shall be open to the examination of any such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and at the registered office of the Company. The list shall also be produced and kept at the time and place of the meeting during the whole time thereof, and may be inspected by any stockholder who is present. The original stock transfer books shall be prima facie evidence as to who are the stockholders entitled to examine such list or transfer books or to vote at any meeting of stockholders. Failure to comply with the requirements of this section shall not affect the validity of any action taken at said meeting.</w:t>
      </w:r>
    </w:p>
    <w:p>
      <w:pPr>
        <w:sectPr>
          <w:pgSz w:w="11900" w:h="16858" w:orient="portrait"/>
          <w:cols w:equalWidth="0" w:num="1">
            <w:col w:w="11420"/>
          </w:cols>
          <w:pgMar w:left="240" w:top="121" w:right="239" w:bottom="0" w:gutter="0" w:footer="0" w:header="0"/>
        </w:sectPr>
      </w:pPr>
    </w:p>
    <w:bookmarkStart w:id="229" w:name="page230"/>
    <w:bookmarkEnd w:id="229"/>
    <w:p>
      <w:pPr>
        <w:ind w:left="640" w:right="60" w:firstLine="629"/>
        <w:spacing w:after="0" w:line="277" w:lineRule="auto"/>
        <w:rPr>
          <w:sz w:val="20"/>
          <w:szCs w:val="20"/>
          <w:color w:val="auto"/>
        </w:rPr>
      </w:pPr>
      <w:r>
        <w:rPr>
          <w:rFonts w:ascii="Arial" w:cs="Arial" w:eastAsia="Arial" w:hAnsi="Arial"/>
          <w:sz w:val="17"/>
          <w:szCs w:val="17"/>
          <w:color w:val="auto"/>
        </w:rPr>
        <w:t xml:space="preserve">Section 2.5.2 </w:t>
      </w:r>
      <w:r>
        <w:rPr>
          <w:rFonts w:ascii="Arial" w:cs="Arial" w:eastAsia="Arial" w:hAnsi="Arial"/>
          <w:sz w:val="17"/>
          <w:szCs w:val="17"/>
          <w:b w:val="1"/>
          <w:bCs w:val="1"/>
          <w:u w:val="single" w:color="auto"/>
          <w:color w:val="auto"/>
        </w:rPr>
        <w:t>Votes Per Share</w:t>
      </w:r>
      <w:r>
        <w:rPr>
          <w:rFonts w:ascii="Arial" w:cs="Arial" w:eastAsia="Arial" w:hAnsi="Arial"/>
          <w:sz w:val="17"/>
          <w:szCs w:val="17"/>
          <w:color w:val="auto"/>
        </w:rPr>
        <w:t>. Unless otherwise provided by law or in the certificate of incorporation, each stockholder shall be entitled to one vote, in person or by proxy, on each matter submitted to a vote at a meeting of the stockholders, for each share of capital stock held by such stockholder.</w:t>
      </w:r>
    </w:p>
    <w:p>
      <w:pPr>
        <w:spacing w:after="0" w:line="162" w:lineRule="exact"/>
        <w:rPr>
          <w:sz w:val="20"/>
          <w:szCs w:val="20"/>
          <w:color w:val="auto"/>
        </w:rPr>
      </w:pPr>
    </w:p>
    <w:p>
      <w:pPr>
        <w:ind w:left="640" w:right="40" w:firstLine="629"/>
        <w:spacing w:after="0" w:line="267" w:lineRule="auto"/>
        <w:rPr>
          <w:sz w:val="20"/>
          <w:szCs w:val="20"/>
          <w:color w:val="auto"/>
        </w:rPr>
      </w:pPr>
      <w:r>
        <w:rPr>
          <w:rFonts w:ascii="Arial" w:cs="Arial" w:eastAsia="Arial" w:hAnsi="Arial"/>
          <w:sz w:val="17"/>
          <w:szCs w:val="17"/>
          <w:color w:val="auto"/>
        </w:rPr>
        <w:t xml:space="preserve">Section 2.5.3 </w:t>
      </w:r>
      <w:r>
        <w:rPr>
          <w:rFonts w:ascii="Arial" w:cs="Arial" w:eastAsia="Arial" w:hAnsi="Arial"/>
          <w:sz w:val="17"/>
          <w:szCs w:val="17"/>
          <w:b w:val="1"/>
          <w:bCs w:val="1"/>
          <w:u w:val="single" w:color="auto"/>
          <w:color w:val="auto"/>
        </w:rPr>
        <w:t>Proxies</w:t>
      </w:r>
      <w:r>
        <w:rPr>
          <w:rFonts w:ascii="Arial" w:cs="Arial" w:eastAsia="Arial" w:hAnsi="Arial"/>
          <w:sz w:val="17"/>
          <w:szCs w:val="17"/>
          <w:color w:val="auto"/>
        </w:rPr>
        <w:t>. Every stockholder entitled to vote at a meeting or to express consent or dissent without a meeting or a stockholder’s duly authorized attorney-in-fact may authorize another person or persons to act for him by proxy. Each proxy shall be in writing, executed by the stockholder group, the proxy or by his duly authorized attorney. No proxy shall be voted on or after eleven (11) months from its date, unless the proxy provides for a longer period. Each proxy shall be revocable unless expressly provided therein to be irrevocable and unless otherwise made irrevocable by law.</w:t>
      </w:r>
    </w:p>
    <w:p>
      <w:pPr>
        <w:spacing w:after="0" w:line="171" w:lineRule="exact"/>
        <w:rPr>
          <w:sz w:val="20"/>
          <w:szCs w:val="20"/>
          <w:color w:val="auto"/>
        </w:rPr>
      </w:pPr>
    </w:p>
    <w:p>
      <w:pPr>
        <w:ind w:left="640" w:right="80" w:firstLine="629"/>
        <w:spacing w:after="0" w:line="292" w:lineRule="auto"/>
        <w:rPr>
          <w:sz w:val="20"/>
          <w:szCs w:val="20"/>
          <w:color w:val="auto"/>
        </w:rPr>
      </w:pPr>
      <w:r>
        <w:rPr>
          <w:rFonts w:ascii="Arial" w:cs="Arial" w:eastAsia="Arial" w:hAnsi="Arial"/>
          <w:sz w:val="16"/>
          <w:szCs w:val="16"/>
          <w:color w:val="auto"/>
        </w:rPr>
        <w:t xml:space="preserve">Section 2.5.4 </w:t>
      </w:r>
      <w:r>
        <w:rPr>
          <w:rFonts w:ascii="Arial" w:cs="Arial" w:eastAsia="Arial" w:hAnsi="Arial"/>
          <w:sz w:val="16"/>
          <w:szCs w:val="16"/>
          <w:b w:val="1"/>
          <w:bCs w:val="1"/>
          <w:u w:val="single" w:color="auto"/>
          <w:color w:val="auto"/>
        </w:rPr>
        <w:t>Required Vote</w:t>
      </w:r>
      <w:r>
        <w:rPr>
          <w:rFonts w:ascii="Arial" w:cs="Arial" w:eastAsia="Arial" w:hAnsi="Arial"/>
          <w:sz w:val="16"/>
          <w:szCs w:val="16"/>
          <w:color w:val="auto"/>
        </w:rPr>
        <w:t>. When a quorum is present at any meeting, the vote of the holders of capital stock of the Company representing a majority of the votes of all capital stock of the Company entitled to vote thereat and present in person or represented by proxy shall decide any question brought before such meeting, unless the question is one upon which, by express provision of law or the certificate of incorporation or these Bylaws, a different vote is required, in which case such express provision shall govern and control the decision of such question.</w:t>
      </w:r>
    </w:p>
    <w:p>
      <w:pPr>
        <w:spacing w:after="0" w:line="153" w:lineRule="exact"/>
        <w:rPr>
          <w:sz w:val="20"/>
          <w:szCs w:val="20"/>
          <w:color w:val="auto"/>
        </w:rPr>
      </w:pPr>
    </w:p>
    <w:p>
      <w:pPr>
        <w:jc w:val="both"/>
        <w:ind w:right="20" w:firstLine="629"/>
        <w:spacing w:after="0" w:line="270"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b w:val="1"/>
          <w:bCs w:val="1"/>
          <w:u w:val="single" w:color="auto"/>
          <w:color w:val="auto"/>
        </w:rPr>
        <w:t>Consents in Lieu of Meeting</w:t>
      </w:r>
      <w:r>
        <w:rPr>
          <w:rFonts w:ascii="Arial" w:cs="Arial" w:eastAsia="Arial" w:hAnsi="Arial"/>
          <w:sz w:val="17"/>
          <w:szCs w:val="17"/>
          <w:color w:val="auto"/>
        </w:rPr>
        <w:t>. Any action required to be or which may be taken at any meeting of stockholders may be taken without a meeting, without prior notice and without a vote, if a consent in writing, setting forth the action so taken, shall be signed by the holder or holders of shares having not less than the minimum number of votes that would be necessary to take such action at a meeting at which the holders of all shares entitled to vote on the action were present and voted. Such signed consent shall have the same force and effect as a</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unanimous vote of stockholders and shall be filed with the minutes of proceedings of the stockholders.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DIRECTORS</w:t>
      </w:r>
    </w:p>
    <w:p>
      <w:pPr>
        <w:spacing w:after="0" w:line="224" w:lineRule="exact"/>
        <w:rPr>
          <w:sz w:val="20"/>
          <w:szCs w:val="20"/>
          <w:color w:val="auto"/>
        </w:rPr>
      </w:pPr>
    </w:p>
    <w:p>
      <w:pPr>
        <w:jc w:val="both"/>
        <w:ind w:right="280" w:firstLine="629"/>
        <w:spacing w:after="0" w:line="277"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b w:val="1"/>
          <w:bCs w:val="1"/>
          <w:u w:val="single" w:color="auto"/>
          <w:color w:val="auto"/>
        </w:rPr>
        <w:t>Purpose</w:t>
      </w:r>
      <w:r>
        <w:rPr>
          <w:rFonts w:ascii="Arial" w:cs="Arial" w:eastAsia="Arial" w:hAnsi="Arial"/>
          <w:sz w:val="17"/>
          <w:szCs w:val="17"/>
          <w:color w:val="auto"/>
        </w:rPr>
        <w:t>. The business and affairs of the Company shall be managed by or under the direction of the Board, which may exercise all such powers of the Company and do all such lawful acts and things as are not by law, the certificate of incorporation or these Bylaws directed or required to be exercised or done by the stockholders. Directors need not be stockholders or residents of the State of Delaware.</w:t>
      </w:r>
    </w:p>
    <w:p>
      <w:pPr>
        <w:spacing w:after="0" w:line="162" w:lineRule="exact"/>
        <w:rPr>
          <w:sz w:val="20"/>
          <w:szCs w:val="20"/>
          <w:color w:val="auto"/>
        </w:rPr>
      </w:pPr>
    </w:p>
    <w:p>
      <w:pPr>
        <w:ind w:right="380" w:firstLine="629"/>
        <w:spacing w:after="0" w:line="297"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b w:val="1"/>
          <w:bCs w:val="1"/>
          <w:u w:val="single" w:color="auto"/>
          <w:color w:val="auto"/>
        </w:rPr>
        <w:t>Number</w:t>
      </w:r>
      <w:r>
        <w:rPr>
          <w:rFonts w:ascii="Arial" w:cs="Arial" w:eastAsia="Arial" w:hAnsi="Arial"/>
          <w:sz w:val="17"/>
          <w:szCs w:val="17"/>
          <w:color w:val="auto"/>
        </w:rPr>
        <w:t>. The number of directors of the Corporation shall be no less than one and no more than eight, and shall be determined by resolution of the Board.</w:t>
      </w:r>
    </w:p>
    <w:p>
      <w:pPr>
        <w:spacing w:after="0" w:line="145" w:lineRule="exact"/>
        <w:rPr>
          <w:sz w:val="20"/>
          <w:szCs w:val="20"/>
          <w:color w:val="auto"/>
        </w:rPr>
      </w:pPr>
    </w:p>
    <w:p>
      <w:pPr>
        <w:ind w:right="60" w:firstLine="629"/>
        <w:spacing w:after="0" w:line="264"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b w:val="1"/>
          <w:bCs w:val="1"/>
          <w:u w:val="single" w:color="auto"/>
          <w:color w:val="auto"/>
        </w:rPr>
        <w:t>Election</w:t>
      </w:r>
      <w:r>
        <w:rPr>
          <w:rFonts w:ascii="Arial" w:cs="Arial" w:eastAsia="Arial" w:hAnsi="Arial"/>
          <w:sz w:val="17"/>
          <w:szCs w:val="17"/>
          <w:color w:val="auto"/>
        </w:rPr>
        <w:t>. The holders of Common Stock, Series A Preferred Stock, Series C Preferred Stock, Series D Preferred Stock, Series E Preferred Stock, Series F Preferred Stock, Series G Preferred stock and any other class of capital stock or series within any such class that is given such voting rights, voting together and with the right to cumulative voting, will be entitled to elect, at each meeting or pursuant to each consent of the Corporation’s shareholders for the election of directors, all members of the Board and to remove from office such directors and to fill any vacancy caused by the death, resignation or removal of such directors. The candidates for director receiving the highest number of cumulative votes shall be elected by the stockholders at each annual meeting of stockholders, except as hereinafter provided, and each director so elected shall hold office until his successor has been duly elected and qualified.</w:t>
      </w:r>
    </w:p>
    <w:p>
      <w:pPr>
        <w:spacing w:after="0" w:line="17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3.4</w:t>
      </w:r>
      <w:r>
        <w:rPr>
          <w:sz w:val="20"/>
          <w:szCs w:val="20"/>
          <w:color w:val="auto"/>
        </w:rPr>
        <w:tab/>
      </w:r>
      <w:r>
        <w:rPr>
          <w:rFonts w:ascii="Arial" w:cs="Arial" w:eastAsia="Arial" w:hAnsi="Arial"/>
          <w:sz w:val="15"/>
          <w:szCs w:val="15"/>
          <w:b w:val="1"/>
          <w:bCs w:val="1"/>
          <w:u w:val="single" w:color="auto"/>
          <w:color w:val="auto"/>
        </w:rPr>
        <w:t>Vacancies and Newly-Created Directorships</w:t>
      </w:r>
      <w:r>
        <w:rPr>
          <w:rFonts w:ascii="Arial" w:cs="Arial" w:eastAsia="Arial" w:hAnsi="Arial"/>
          <w:sz w:val="15"/>
          <w:szCs w:val="15"/>
          <w:color w:val="auto"/>
        </w:rPr>
        <w:t>.</w:t>
      </w:r>
    </w:p>
    <w:p>
      <w:pPr>
        <w:spacing w:after="0" w:line="224" w:lineRule="exact"/>
        <w:rPr>
          <w:sz w:val="20"/>
          <w:szCs w:val="20"/>
          <w:color w:val="auto"/>
        </w:rPr>
      </w:pPr>
    </w:p>
    <w:p>
      <w:pPr>
        <w:ind w:left="640" w:right="40" w:firstLine="629"/>
        <w:spacing w:after="0" w:line="277" w:lineRule="auto"/>
        <w:rPr>
          <w:sz w:val="20"/>
          <w:szCs w:val="20"/>
          <w:color w:val="auto"/>
        </w:rPr>
      </w:pPr>
      <w:r>
        <w:rPr>
          <w:rFonts w:ascii="Arial" w:cs="Arial" w:eastAsia="Arial" w:hAnsi="Arial"/>
          <w:sz w:val="17"/>
          <w:szCs w:val="17"/>
          <w:color w:val="auto"/>
        </w:rPr>
        <w:t xml:space="preserve">Section 3.4.1 </w:t>
      </w:r>
      <w:r>
        <w:rPr>
          <w:rFonts w:ascii="Arial" w:cs="Arial" w:eastAsia="Arial" w:hAnsi="Arial"/>
          <w:sz w:val="17"/>
          <w:szCs w:val="17"/>
          <w:b w:val="1"/>
          <w:bCs w:val="1"/>
          <w:u w:val="single" w:color="auto"/>
          <w:color w:val="auto"/>
        </w:rPr>
        <w:t>Vacancies</w:t>
      </w:r>
      <w:r>
        <w:rPr>
          <w:rFonts w:ascii="Arial" w:cs="Arial" w:eastAsia="Arial" w:hAnsi="Arial"/>
          <w:sz w:val="17"/>
          <w:szCs w:val="17"/>
          <w:color w:val="auto"/>
        </w:rPr>
        <w:t xml:space="preserve">. Any vacancy occurring in the Board may be filled in accordance with </w:t>
      </w:r>
      <w:r>
        <w:rPr>
          <w:rFonts w:ascii="Arial" w:cs="Arial" w:eastAsia="Arial" w:hAnsi="Arial"/>
          <w:sz w:val="17"/>
          <w:szCs w:val="17"/>
          <w:u w:val="single" w:color="auto"/>
          <w:color w:val="auto"/>
        </w:rPr>
        <w:t>subsection 3.4.3</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or may be filled by the affirmative vote of a majority of the remaining directors though less than a quorum of the Board. A director elected to fill a vacancy shall be elected for the unexpired term of his predecessor in office.</w:t>
      </w:r>
    </w:p>
    <w:p>
      <w:pPr>
        <w:spacing w:after="0" w:line="162" w:lineRule="exact"/>
        <w:rPr>
          <w:sz w:val="20"/>
          <w:szCs w:val="20"/>
          <w:color w:val="auto"/>
        </w:rPr>
      </w:pPr>
    </w:p>
    <w:p>
      <w:pPr>
        <w:ind w:left="640" w:right="60" w:firstLine="629"/>
        <w:spacing w:after="0" w:line="270" w:lineRule="auto"/>
        <w:rPr>
          <w:sz w:val="20"/>
          <w:szCs w:val="20"/>
          <w:color w:val="auto"/>
        </w:rPr>
      </w:pPr>
      <w:r>
        <w:rPr>
          <w:rFonts w:ascii="Arial" w:cs="Arial" w:eastAsia="Arial" w:hAnsi="Arial"/>
          <w:sz w:val="17"/>
          <w:szCs w:val="17"/>
          <w:color w:val="auto"/>
        </w:rPr>
        <w:t xml:space="preserve">Section 3.4.2 </w:t>
      </w:r>
      <w:r>
        <w:rPr>
          <w:rFonts w:ascii="Arial" w:cs="Arial" w:eastAsia="Arial" w:hAnsi="Arial"/>
          <w:sz w:val="17"/>
          <w:szCs w:val="17"/>
          <w:b w:val="1"/>
          <w:bCs w:val="1"/>
          <w:u w:val="single" w:color="auto"/>
          <w:color w:val="auto"/>
        </w:rPr>
        <w:t>Newly-Created Directorships</w:t>
      </w:r>
      <w:r>
        <w:rPr>
          <w:rFonts w:ascii="Arial" w:cs="Arial" w:eastAsia="Arial" w:hAnsi="Arial"/>
          <w:sz w:val="17"/>
          <w:szCs w:val="17"/>
          <w:color w:val="auto"/>
        </w:rPr>
        <w:t xml:space="preserve">. A directorship to be filled by reason of an increase in the number of directors may be filled in accordance with </w:t>
      </w:r>
      <w:r>
        <w:rPr>
          <w:rFonts w:ascii="Arial" w:cs="Arial" w:eastAsia="Arial" w:hAnsi="Arial"/>
          <w:sz w:val="17"/>
          <w:szCs w:val="17"/>
          <w:u w:val="single" w:color="auto"/>
          <w:color w:val="auto"/>
        </w:rPr>
        <w:t>Section 3.4.3</w:t>
      </w:r>
      <w:r>
        <w:rPr>
          <w:rFonts w:ascii="Arial" w:cs="Arial" w:eastAsia="Arial" w:hAnsi="Arial"/>
          <w:sz w:val="17"/>
          <w:szCs w:val="17"/>
          <w:color w:val="auto"/>
        </w:rPr>
        <w:t xml:space="preserve"> or may be filled by the Board for a term of office continuing only until the next election of one or more directors by the stockholders; provided, that the Board may not fill more than two such directorships during the period between any two successive annual meetings of stockholders.</w:t>
      </w:r>
    </w:p>
    <w:p>
      <w:pPr>
        <w:spacing w:after="0" w:line="169" w:lineRule="exact"/>
        <w:rPr>
          <w:sz w:val="20"/>
          <w:szCs w:val="20"/>
          <w:color w:val="auto"/>
        </w:rPr>
      </w:pPr>
    </w:p>
    <w:p>
      <w:pPr>
        <w:ind w:left="640" w:right="40" w:firstLine="629"/>
        <w:spacing w:after="0" w:line="297" w:lineRule="auto"/>
        <w:rPr>
          <w:sz w:val="20"/>
          <w:szCs w:val="20"/>
          <w:color w:val="auto"/>
        </w:rPr>
      </w:pPr>
      <w:r>
        <w:rPr>
          <w:rFonts w:ascii="Arial" w:cs="Arial" w:eastAsia="Arial" w:hAnsi="Arial"/>
          <w:sz w:val="17"/>
          <w:szCs w:val="17"/>
          <w:color w:val="auto"/>
        </w:rPr>
        <w:t xml:space="preserve">Section 3.4.3 </w:t>
      </w:r>
      <w:r>
        <w:rPr>
          <w:rFonts w:ascii="Arial" w:cs="Arial" w:eastAsia="Arial" w:hAnsi="Arial"/>
          <w:sz w:val="17"/>
          <w:szCs w:val="17"/>
          <w:b w:val="1"/>
          <w:bCs w:val="1"/>
          <w:u w:val="single" w:color="auto"/>
          <w:color w:val="auto"/>
        </w:rPr>
        <w:t>Election by Stockholders</w:t>
      </w:r>
      <w:r>
        <w:rPr>
          <w:rFonts w:ascii="Arial" w:cs="Arial" w:eastAsia="Arial" w:hAnsi="Arial"/>
          <w:sz w:val="17"/>
          <w:szCs w:val="17"/>
          <w:color w:val="auto"/>
        </w:rPr>
        <w:t>. Any vacancy occurring in the Board or any directorship to be filled by reason of an increase in the number of directors may be filled by election at an annual or special meeting of stockholders called for that purpose.</w:t>
      </w:r>
    </w:p>
    <w:p>
      <w:pPr>
        <w:spacing w:after="0" w:line="145"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b w:val="1"/>
          <w:bCs w:val="1"/>
          <w:u w:val="single" w:color="auto"/>
          <w:color w:val="auto"/>
        </w:rPr>
        <w:t>Removal</w:t>
      </w:r>
      <w:r>
        <w:rPr>
          <w:rFonts w:ascii="Arial" w:cs="Arial" w:eastAsia="Arial" w:hAnsi="Arial"/>
          <w:sz w:val="17"/>
          <w:szCs w:val="17"/>
          <w:color w:val="auto"/>
        </w:rPr>
        <w:t>. Unless otherwise restricted by law, the certificate of incorporation or these Bylaws, any director or the entire Board may be removed, with or without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cause, by a majority vote of the shares then entitled to vote at an election of directors, if notice of the intention to act upon such matter shall have been given in the notice calling such meeting.</w:t>
      </w:r>
    </w:p>
    <w:p>
      <w:pPr>
        <w:spacing w:after="0" w:line="152"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b w:val="1"/>
          <w:bCs w:val="1"/>
          <w:u w:val="single" w:color="auto"/>
          <w:color w:val="auto"/>
        </w:rPr>
        <w:t>Compensation</w:t>
      </w:r>
      <w:r>
        <w:rPr>
          <w:rFonts w:ascii="Arial" w:cs="Arial" w:eastAsia="Arial" w:hAnsi="Arial"/>
          <w:sz w:val="17"/>
          <w:szCs w:val="17"/>
          <w:color w:val="auto"/>
        </w:rPr>
        <w:t>. Unless otherwise restricted by the certificate of incorporation or these Bylaws, the Board shall have the authority to fix the compensation of directors. The directors may be reimbursed for their expenses, if any, of attendance at each meeting of the Board and may be paid either a fixed sum for attendance at each meeting of the Board or a stated salary as director. No such payment shall preclude any director from serving the Company in any other capacity and receiving compensation therefor. Members of committees of the Board may be allowed like compensation for attending committee meetings.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IV</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BOARD MEETINGS</w:t>
      </w:r>
    </w:p>
    <w:p>
      <w:pPr>
        <w:sectPr>
          <w:pgSz w:w="11900" w:h="16838" w:orient="portrait"/>
          <w:cols w:equalWidth="0" w:num="1">
            <w:col w:w="11420"/>
          </w:cols>
          <w:pgMar w:left="240" w:top="331" w:right="239" w:bottom="0" w:gutter="0" w:footer="0" w:header="0"/>
        </w:sectPr>
      </w:pPr>
    </w:p>
    <w:bookmarkStart w:id="230" w:name="page231"/>
    <w:bookmarkEnd w:id="230"/>
    <w:p>
      <w:pPr>
        <w:spacing w:after="0" w:line="27" w:lineRule="exact"/>
        <w:rPr>
          <w:sz w:val="20"/>
          <w:szCs w:val="20"/>
          <w:color w:val="auto"/>
        </w:rPr>
      </w:pPr>
    </w:p>
    <w:p>
      <w:pPr>
        <w:ind w:right="20" w:firstLine="629"/>
        <w:spacing w:after="0" w:line="297"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b w:val="1"/>
          <w:bCs w:val="1"/>
          <w:u w:val="single" w:color="auto"/>
          <w:color w:val="auto"/>
        </w:rPr>
        <w:t>Annual Meetings</w:t>
      </w:r>
      <w:r>
        <w:rPr>
          <w:rFonts w:ascii="Arial" w:cs="Arial" w:eastAsia="Arial" w:hAnsi="Arial"/>
          <w:sz w:val="17"/>
          <w:szCs w:val="17"/>
          <w:color w:val="auto"/>
        </w:rPr>
        <w:t>. The Board shall meet as soon as practicable after the adjournment of each annual stockholders’ meeting at the place of such stockholders’ meeting. No notice to the directors shall be necessary to legally convene this meeting, provided a quorum is present.</w:t>
      </w:r>
    </w:p>
    <w:p>
      <w:pPr>
        <w:spacing w:after="0" w:line="145" w:lineRule="exact"/>
        <w:rPr>
          <w:sz w:val="20"/>
          <w:szCs w:val="20"/>
          <w:color w:val="auto"/>
        </w:rPr>
      </w:pPr>
    </w:p>
    <w:p>
      <w:pPr>
        <w:ind w:right="140" w:firstLine="629"/>
        <w:spacing w:after="0" w:line="297"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b w:val="1"/>
          <w:bCs w:val="1"/>
          <w:u w:val="single" w:color="auto"/>
          <w:color w:val="auto"/>
        </w:rPr>
        <w:t>Regular Meetings</w:t>
      </w:r>
      <w:r>
        <w:rPr>
          <w:rFonts w:ascii="Arial" w:cs="Arial" w:eastAsia="Arial" w:hAnsi="Arial"/>
          <w:sz w:val="17"/>
          <w:szCs w:val="17"/>
          <w:color w:val="auto"/>
        </w:rPr>
        <w:t>. Regularly scheduled, periodic meetings of the Board may be held without notice at such times and places as shall from time to time be determined by resolution of the Board and communicated to all directors.</w:t>
      </w:r>
    </w:p>
    <w:p>
      <w:pPr>
        <w:spacing w:after="0" w:line="145"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4.3</w:t>
      </w:r>
      <w:r>
        <w:rPr>
          <w:sz w:val="20"/>
          <w:szCs w:val="20"/>
          <w:color w:val="auto"/>
        </w:rPr>
        <w:tab/>
      </w:r>
      <w:r>
        <w:rPr>
          <w:rFonts w:ascii="Arial" w:cs="Arial" w:eastAsia="Arial" w:hAnsi="Arial"/>
          <w:sz w:val="15"/>
          <w:szCs w:val="15"/>
          <w:b w:val="1"/>
          <w:bCs w:val="1"/>
          <w:u w:val="single" w:color="auto"/>
          <w:color w:val="auto"/>
        </w:rPr>
        <w:t>Special Meetings</w:t>
      </w:r>
      <w:r>
        <w:rPr>
          <w:rFonts w:ascii="Arial" w:cs="Arial" w:eastAsia="Arial" w:hAnsi="Arial"/>
          <w:sz w:val="15"/>
          <w:szCs w:val="15"/>
          <w:color w:val="auto"/>
        </w:rPr>
        <w:t>. Special meetings of the Board (i) may be called by the chairman of the board, the chief executive officer or</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president and (ii) shall be called by the chief executive officer, the president or secretary on the written request of two directors or the sole director, as the case may be. Notice of each special meeting of the Board shall be given, either personally or as hereinafter provided, to each director at least (i) twenty-four (24) hours before the meeting if such notice is delivered personally or by means of telephone, telegram, telex or facsimile transmission delivery; (ii) two days before the meeting if such notice is delivered by a recognized express delivery service; and (iii) three days before the meeting if such notice is delivered through the United States mail. Any and all business may be transacted at a special meeting which may be transacted at a regular meeting of the Board. Except as may be otherwise expressly provided by law, the certificate of incorporation or these Bylaws, neither the business to be transacted at, nor the purpose of, any special meeting need be specified in the notice or waiver of notice of such meeting.</w:t>
      </w:r>
    </w:p>
    <w:p>
      <w:pPr>
        <w:spacing w:after="0" w:line="178" w:lineRule="exact"/>
        <w:rPr>
          <w:sz w:val="20"/>
          <w:szCs w:val="20"/>
          <w:color w:val="auto"/>
        </w:rPr>
      </w:pPr>
    </w:p>
    <w:p>
      <w:pPr>
        <w:ind w:right="180" w:firstLine="629"/>
        <w:spacing w:after="0" w:line="270"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b w:val="1"/>
          <w:bCs w:val="1"/>
          <w:u w:val="single" w:color="auto"/>
          <w:color w:val="auto"/>
        </w:rPr>
        <w:t>Quorum, Required Vote</w:t>
      </w:r>
      <w:r>
        <w:rPr>
          <w:rFonts w:ascii="Arial" w:cs="Arial" w:eastAsia="Arial" w:hAnsi="Arial"/>
          <w:sz w:val="17"/>
          <w:szCs w:val="17"/>
          <w:color w:val="auto"/>
        </w:rPr>
        <w:t>. A majority of the directors shall constitute a quorum for the transaction of business at any meeting of the Board, and the act of a majority of the directors present at any meeting at which there is a quorum shall be the act of the Board, except as may be otherwise specifically provided by law, the certificate of incorporation or these Bylaws. If a quorum shall not be present at any meeting, a majority of the directors present may adjourn the meeting from time to time, without notice other than announcement at the meeting, until a quorum is present.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20" w:firstLine="629"/>
        <w:spacing w:after="0" w:line="270"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b w:val="1"/>
          <w:bCs w:val="1"/>
          <w:u w:val="single" w:color="auto"/>
          <w:color w:val="auto"/>
        </w:rPr>
        <w:t>Consent In Lieu of Meeting</w:t>
      </w:r>
      <w:r>
        <w:rPr>
          <w:rFonts w:ascii="Arial" w:cs="Arial" w:eastAsia="Arial" w:hAnsi="Arial"/>
          <w:sz w:val="17"/>
          <w:szCs w:val="17"/>
          <w:color w:val="auto"/>
        </w:rPr>
        <w:t>. Unless otherwise restricted by the certificate of incorporation or these Bylaws, any action required or permitted to be taken at any meeting of the Board or any committee thereof may be taken without a meeting, if a consent in writing, setting forth the action so taken, is signed by all the members of the Board or committee, as the case may be. Such signed consent shall have the same force and effect as a unanimous vote at a meeting and shall be filed with the minutes of proceedings of the Board or committee.</w:t>
      </w:r>
    </w:p>
    <w:p>
      <w:pPr>
        <w:spacing w:after="0" w:line="169" w:lineRule="exact"/>
        <w:rPr>
          <w:sz w:val="20"/>
          <w:szCs w:val="20"/>
          <w:color w:val="auto"/>
        </w:rPr>
      </w:pPr>
    </w:p>
    <w:p>
      <w:pPr>
        <w:ind w:firstLine="629"/>
        <w:spacing w:after="0" w:line="277"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b w:val="1"/>
          <w:bCs w:val="1"/>
          <w:u w:val="single" w:color="auto"/>
          <w:color w:val="auto"/>
        </w:rPr>
        <w:t>Board Observer</w:t>
      </w:r>
      <w:r>
        <w:rPr>
          <w:rFonts w:ascii="Arial" w:cs="Arial" w:eastAsia="Arial" w:hAnsi="Arial"/>
          <w:sz w:val="17"/>
          <w:szCs w:val="17"/>
          <w:color w:val="auto"/>
        </w:rPr>
        <w:t>. If any person has been designated (in written notice directed to the Company’s the chief executive officer or the president) to attend and observe board meetings under the stockholders’ agreement, then that person shall be entitled to notice of, and to attend (but not participate) at, board meetings as if that person were a member of the board.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COMMITTEES OF DIRECTORS</w:t>
      </w:r>
    </w:p>
    <w:p>
      <w:pPr>
        <w:spacing w:after="0" w:line="224" w:lineRule="exact"/>
        <w:rPr>
          <w:sz w:val="20"/>
          <w:szCs w:val="20"/>
          <w:color w:val="auto"/>
        </w:rPr>
      </w:pPr>
    </w:p>
    <w:p>
      <w:pPr>
        <w:ind w:right="160" w:firstLine="629"/>
        <w:spacing w:after="0" w:line="368" w:lineRule="auto"/>
        <w:rPr>
          <w:sz w:val="20"/>
          <w:szCs w:val="20"/>
          <w:color w:val="auto"/>
        </w:rPr>
      </w:pPr>
      <w:r>
        <w:rPr>
          <w:rFonts w:ascii="Arial" w:cs="Arial" w:eastAsia="Arial" w:hAnsi="Arial"/>
          <w:sz w:val="15"/>
          <w:szCs w:val="15"/>
          <w:color w:val="auto"/>
        </w:rPr>
        <w:t xml:space="preserve">Section 5.1 </w:t>
      </w:r>
      <w:r>
        <w:rPr>
          <w:rFonts w:ascii="Arial" w:cs="Arial" w:eastAsia="Arial" w:hAnsi="Arial"/>
          <w:sz w:val="15"/>
          <w:szCs w:val="15"/>
          <w:b w:val="1"/>
          <w:bCs w:val="1"/>
          <w:u w:val="single" w:color="auto"/>
          <w:color w:val="auto"/>
        </w:rPr>
        <w:t>Establishment; Standing Committees</w:t>
      </w:r>
      <w:r>
        <w:rPr>
          <w:rFonts w:ascii="Arial" w:cs="Arial" w:eastAsia="Arial" w:hAnsi="Arial"/>
          <w:sz w:val="15"/>
          <w:szCs w:val="15"/>
          <w:color w:val="auto"/>
        </w:rPr>
        <w:t>. The Board may by resolution establish, name or dissolve one or more committees, each committee to consist of one or more of the directors. Each committee shall keep regular minutes of its meetings and report the same to the Board when required.</w:t>
      </w:r>
    </w:p>
    <w:p>
      <w:pPr>
        <w:spacing w:after="0" w:line="100" w:lineRule="exact"/>
        <w:rPr>
          <w:sz w:val="20"/>
          <w:szCs w:val="20"/>
          <w:color w:val="auto"/>
        </w:rPr>
      </w:pPr>
    </w:p>
    <w:p>
      <w:pPr>
        <w:ind w:right="220" w:firstLine="629"/>
        <w:spacing w:after="0" w:line="270"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b w:val="1"/>
          <w:bCs w:val="1"/>
          <w:u w:val="single" w:color="auto"/>
          <w:color w:val="auto"/>
        </w:rPr>
        <w:t>Available Powers</w:t>
      </w:r>
      <w:r>
        <w:rPr>
          <w:rFonts w:ascii="Arial" w:cs="Arial" w:eastAsia="Arial" w:hAnsi="Arial"/>
          <w:sz w:val="17"/>
          <w:szCs w:val="17"/>
          <w:color w:val="auto"/>
        </w:rPr>
        <w:t xml:space="preserve">. Any committee established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but only to the extent provided in the resolution of the Board establishing such committee or otherwise delegating specific power and authority to such committee and as limited by law, the certificate of incorporation and these Bylaws, shall have and may exercise all the powers and authority of the Board in the management of the business and affairs of the Company, and may authorize the seal of the Company to be affixed to all papers which may require it.</w:t>
      </w:r>
    </w:p>
    <w:p>
      <w:pPr>
        <w:spacing w:after="0" w:line="169" w:lineRule="exact"/>
        <w:rPr>
          <w:sz w:val="20"/>
          <w:szCs w:val="20"/>
          <w:color w:val="auto"/>
        </w:rPr>
      </w:pPr>
    </w:p>
    <w:p>
      <w:pPr>
        <w:ind w:right="240" w:firstLine="629"/>
        <w:spacing w:after="0" w:line="297"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b w:val="1"/>
          <w:bCs w:val="1"/>
          <w:u w:val="single" w:color="auto"/>
          <w:color w:val="auto"/>
        </w:rPr>
        <w:t>Alternate Members</w:t>
      </w:r>
      <w:r>
        <w:rPr>
          <w:rFonts w:ascii="Arial" w:cs="Arial" w:eastAsia="Arial" w:hAnsi="Arial"/>
          <w:sz w:val="17"/>
          <w:szCs w:val="17"/>
          <w:color w:val="auto"/>
        </w:rPr>
        <w:t>. The Board may designate one or more directors as alternate members of any committee, who may replace any absent or disqualified member at any meeting of such committee.</w:t>
      </w:r>
    </w:p>
    <w:p>
      <w:pPr>
        <w:spacing w:after="0" w:line="145" w:lineRule="exact"/>
        <w:rPr>
          <w:sz w:val="20"/>
          <w:szCs w:val="20"/>
          <w:color w:val="auto"/>
        </w:rPr>
      </w:pPr>
    </w:p>
    <w:p>
      <w:pPr>
        <w:ind w:right="140" w:firstLine="629"/>
        <w:spacing w:after="0" w:line="267"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b w:val="1"/>
          <w:bCs w:val="1"/>
          <w:u w:val="single" w:color="auto"/>
          <w:color w:val="auto"/>
        </w:rPr>
        <w:t>Procedures</w:t>
      </w:r>
      <w:r>
        <w:rPr>
          <w:rFonts w:ascii="Arial" w:cs="Arial" w:eastAsia="Arial" w:hAnsi="Arial"/>
          <w:sz w:val="17"/>
          <w:szCs w:val="17"/>
          <w:color w:val="auto"/>
        </w:rPr>
        <w:t>. Time, place and notice, if any, of meetings of a committee shall be determined by the members of such committee. At meetings of a committee, a majority of the number of members designated by the Board shall constitute a quorum for the transaction of business. The act of a majority of the members present at any meeting at which a quorum is present shall be the act of the committee, except as otherwise specifically provided by law, the certificate of incorporation or these Bylaws. If a quorum is not present at a meeting of a committee, the members present may adjourn the meeting from time to time, without notice other than an announcement at the meeting, until a quorum is present.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VI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OFFICERS</w:t>
      </w:r>
    </w:p>
    <w:p>
      <w:pPr>
        <w:spacing w:after="0" w:line="224" w:lineRule="exact"/>
        <w:rPr>
          <w:sz w:val="20"/>
          <w:szCs w:val="20"/>
          <w:color w:val="auto"/>
        </w:rPr>
      </w:pPr>
    </w:p>
    <w:p>
      <w:pPr>
        <w:ind w:right="840" w:firstLine="629"/>
        <w:spacing w:after="0" w:line="297"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b w:val="1"/>
          <w:bCs w:val="1"/>
          <w:u w:val="single" w:color="auto"/>
          <w:color w:val="auto"/>
        </w:rPr>
        <w:t>Elected Officers</w:t>
      </w:r>
      <w:r>
        <w:rPr>
          <w:rFonts w:ascii="Arial" w:cs="Arial" w:eastAsia="Arial" w:hAnsi="Arial"/>
          <w:sz w:val="17"/>
          <w:szCs w:val="17"/>
          <w:color w:val="auto"/>
        </w:rPr>
        <w:t>. The Board shall elect a chairman of the board, chief executive officer, president, treasurer and a secretary (collectively, the “</w:t>
      </w:r>
      <w:r>
        <w:rPr>
          <w:rFonts w:ascii="Arial" w:cs="Arial" w:eastAsia="Arial" w:hAnsi="Arial"/>
          <w:sz w:val="17"/>
          <w:szCs w:val="17"/>
          <w:b w:val="1"/>
          <w:bCs w:val="1"/>
          <w:color w:val="auto"/>
        </w:rPr>
        <w:t>Required Officers</w:t>
      </w:r>
      <w:r>
        <w:rPr>
          <w:rFonts w:ascii="Arial" w:cs="Arial" w:eastAsia="Arial" w:hAnsi="Arial"/>
          <w:sz w:val="17"/>
          <w:szCs w:val="17"/>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having the respective duties enumerated below and may elect such other officers having the titles and duties set forth below which are not reserved for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Required Officers or such other titles and duties as the Board may by resolution from time to time establish:</w:t>
      </w:r>
    </w:p>
    <w:p>
      <w:pPr>
        <w:spacing w:after="0" w:line="206" w:lineRule="exact"/>
        <w:rPr>
          <w:sz w:val="20"/>
          <w:szCs w:val="20"/>
          <w:color w:val="auto"/>
        </w:rPr>
      </w:pPr>
    </w:p>
    <w:p>
      <w:pPr>
        <w:ind w:left="640" w:right="100" w:firstLine="629"/>
        <w:spacing w:after="0" w:line="277"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b w:val="1"/>
          <w:bCs w:val="1"/>
          <w:u w:val="single" w:color="auto"/>
          <w:color w:val="auto"/>
        </w:rPr>
        <w:t>Chairman of the Board</w:t>
      </w:r>
      <w:r>
        <w:rPr>
          <w:rFonts w:ascii="Arial" w:cs="Arial" w:eastAsia="Arial" w:hAnsi="Arial"/>
          <w:sz w:val="17"/>
          <w:szCs w:val="17"/>
          <w:color w:val="auto"/>
        </w:rPr>
        <w:t>. The Board may appoint a chairman of the board. If the Board appoints a chairman of the board, he shall perform such duties and possess such powers as are assigned to the chairman by the Board and these Bylaws. Unless otherwise provided by the Board, he shall preside at all meetings of the Board.</w:t>
      </w:r>
    </w:p>
    <w:p>
      <w:pPr>
        <w:spacing w:after="0" w:line="162" w:lineRule="exact"/>
        <w:rPr>
          <w:sz w:val="20"/>
          <w:szCs w:val="20"/>
          <w:color w:val="auto"/>
        </w:rPr>
      </w:pPr>
    </w:p>
    <w:p>
      <w:pPr>
        <w:ind w:left="640" w:right="160" w:firstLine="629"/>
        <w:spacing w:after="0" w:line="287"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b w:val="1"/>
          <w:bCs w:val="1"/>
          <w:u w:val="single" w:color="auto"/>
          <w:color w:val="auto"/>
        </w:rPr>
        <w:t>Chief Executive Officer</w:t>
      </w:r>
      <w:r>
        <w:rPr>
          <w:rFonts w:ascii="Arial" w:cs="Arial" w:eastAsia="Arial" w:hAnsi="Arial"/>
          <w:sz w:val="16"/>
          <w:szCs w:val="16"/>
          <w:color w:val="auto"/>
        </w:rPr>
        <w:t>. The chief executive officer shall, subject to the direction of the Board, have general supervision, direction and control of the business and the officers of the Company. He shall preside at all meetings of the stockholders and, in the absence or nonexistence of a chairman of the board, at all meetings of the Board. He shall have the general powers and duties of management usually vested in the chief executive officer of a corporation, including general supervision, direction and control of the business and supervision of other officers of the Company, and shall have such other powers and duties as may be prescribed by the Board of Directors or these Bylaws.</w:t>
      </w:r>
    </w:p>
    <w:p>
      <w:pPr>
        <w:sectPr>
          <w:pgSz w:w="11900" w:h="16865" w:orient="portrait"/>
          <w:cols w:equalWidth="0" w:num="1">
            <w:col w:w="11420"/>
          </w:cols>
          <w:pgMar w:left="240" w:top="331" w:right="239" w:bottom="0" w:gutter="0" w:footer="0" w:header="0"/>
        </w:sectPr>
      </w:pPr>
    </w:p>
    <w:bookmarkStart w:id="231" w:name="page232"/>
    <w:bookmarkEnd w:id="231"/>
    <w:p>
      <w:pPr>
        <w:ind w:left="640" w:right="160" w:firstLine="629"/>
        <w:spacing w:after="0" w:line="307" w:lineRule="auto"/>
        <w:rPr>
          <w:sz w:val="20"/>
          <w:szCs w:val="20"/>
          <w:color w:val="auto"/>
        </w:rPr>
      </w:pPr>
      <w:r>
        <w:rPr>
          <w:rFonts w:ascii="Arial" w:cs="Arial" w:eastAsia="Arial" w:hAnsi="Arial"/>
          <w:sz w:val="15"/>
          <w:szCs w:val="15"/>
          <w:color w:val="auto"/>
        </w:rPr>
        <w:t xml:space="preserve">Section 6.1.3 </w:t>
      </w:r>
      <w:r>
        <w:rPr>
          <w:rFonts w:ascii="Arial" w:cs="Arial" w:eastAsia="Arial" w:hAnsi="Arial"/>
          <w:sz w:val="15"/>
          <w:szCs w:val="15"/>
          <w:b w:val="1"/>
          <w:bCs w:val="1"/>
          <w:u w:val="single" w:color="auto"/>
          <w:color w:val="auto"/>
        </w:rPr>
        <w:t>President</w:t>
      </w:r>
      <w:r>
        <w:rPr>
          <w:rFonts w:ascii="Arial" w:cs="Arial" w:eastAsia="Arial" w:hAnsi="Arial"/>
          <w:sz w:val="15"/>
          <w:szCs w:val="15"/>
          <w:color w:val="auto"/>
        </w:rPr>
        <w:t>. Subject to the direction of the Board and such supervisory powers as may be given by these Bylaws or the Board to the chairman of the board or the chief executive officer, if such titles be held by other officers, the president shall have general supervision, direction and control of the business and supervision of other officers of the Company. Unless otherwise designated by the Board, the president shall be the chief executive officer of the Company. The president shall have such other powers and duties as may be prescribed by the Board or these Bylaws. He shall have power to sign stock certificates, contracts and other instruments of the Company which are authorized and shall have general supervision and direction of all of the other officers, employees and agents of the corporation, other than the chairman of the board and the chief executive officer.</w:t>
      </w:r>
    </w:p>
    <w:p>
      <w:pPr>
        <w:spacing w:after="0" w:line="144" w:lineRule="exact"/>
        <w:rPr>
          <w:sz w:val="20"/>
          <w:szCs w:val="20"/>
          <w:color w:val="auto"/>
        </w:rPr>
      </w:pPr>
    </w:p>
    <w:p>
      <w:pPr>
        <w:ind w:left="640" w:right="140" w:firstLine="629"/>
        <w:spacing w:after="0" w:line="267" w:lineRule="auto"/>
        <w:rPr>
          <w:sz w:val="20"/>
          <w:szCs w:val="20"/>
          <w:color w:val="auto"/>
        </w:rPr>
      </w:pPr>
      <w:r>
        <w:rPr>
          <w:rFonts w:ascii="Arial" w:cs="Arial" w:eastAsia="Arial" w:hAnsi="Arial"/>
          <w:sz w:val="17"/>
          <w:szCs w:val="17"/>
          <w:color w:val="auto"/>
        </w:rPr>
        <w:t xml:space="preserve">Section 6.1.4 </w:t>
      </w:r>
      <w:r>
        <w:rPr>
          <w:rFonts w:ascii="Arial" w:cs="Arial" w:eastAsia="Arial" w:hAnsi="Arial"/>
          <w:sz w:val="17"/>
          <w:szCs w:val="17"/>
          <w:b w:val="1"/>
          <w:bCs w:val="1"/>
          <w:u w:val="single" w:color="auto"/>
          <w:color w:val="auto"/>
        </w:rPr>
        <w:t>Vice President</w:t>
      </w:r>
      <w:r>
        <w:rPr>
          <w:rFonts w:ascii="Arial" w:cs="Arial" w:eastAsia="Arial" w:hAnsi="Arial"/>
          <w:sz w:val="17"/>
          <w:szCs w:val="17"/>
          <w:color w:val="auto"/>
        </w:rPr>
        <w:t>. In the absence of the president or in the event of his inability or refusal to act, the vice president (or in the event there be more than one vice president, the vice presidents in the order designated by the Board, or in the absence of any designation, then in the order of their election or appointment) shall perform the duties of the president, and when so acting, shall have all the powers of and be subject to all the restrictions upon the president. The vice presidents shall perform such other duties and have such other powers as the Board may from time to time prescribe.</w:t>
      </w:r>
    </w:p>
    <w:p>
      <w:pPr>
        <w:spacing w:after="0" w:line="171" w:lineRule="exact"/>
        <w:rPr>
          <w:sz w:val="20"/>
          <w:szCs w:val="20"/>
          <w:color w:val="auto"/>
        </w:rPr>
      </w:pPr>
    </w:p>
    <w:p>
      <w:pPr>
        <w:ind w:left="640" w:right="240" w:firstLine="629"/>
        <w:spacing w:after="0" w:line="287" w:lineRule="auto"/>
        <w:rPr>
          <w:sz w:val="20"/>
          <w:szCs w:val="20"/>
          <w:color w:val="auto"/>
        </w:rPr>
      </w:pPr>
      <w:r>
        <w:rPr>
          <w:rFonts w:ascii="Arial" w:cs="Arial" w:eastAsia="Arial" w:hAnsi="Arial"/>
          <w:sz w:val="16"/>
          <w:szCs w:val="16"/>
          <w:color w:val="auto"/>
        </w:rPr>
        <w:t xml:space="preserve">Section 6.1.5 </w:t>
      </w:r>
      <w:r>
        <w:rPr>
          <w:rFonts w:ascii="Arial" w:cs="Arial" w:eastAsia="Arial" w:hAnsi="Arial"/>
          <w:sz w:val="16"/>
          <w:szCs w:val="16"/>
          <w:b w:val="1"/>
          <w:bCs w:val="1"/>
          <w:u w:val="single" w:color="auto"/>
          <w:color w:val="auto"/>
        </w:rPr>
        <w:t>Secretary</w:t>
      </w:r>
      <w:r>
        <w:rPr>
          <w:rFonts w:ascii="Arial" w:cs="Arial" w:eastAsia="Arial" w:hAnsi="Arial"/>
          <w:sz w:val="16"/>
          <w:szCs w:val="16"/>
          <w:color w:val="auto"/>
        </w:rPr>
        <w:t>. The secretary shall attend all meetings of the stockholders, the Board and (as required) committees of the Board and shall record all the proceedings of such meetings in minute books to be kept for that purpose. He shall give, or cause to be given, notice of all meetings of the stockholders and special meetings of the Board and shall perform such other duties as may be prescribed by the Board, the chief executive officer or the president. He shall have custody of the corporate seal of the Company and he, or an assistant secretary, shall have authority to affix the same to any instrument requiring it, and when so affixed, it may be attested by his signature or by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80"/>
        <w:spacing w:after="0" w:line="289" w:lineRule="auto"/>
        <w:rPr>
          <w:sz w:val="20"/>
          <w:szCs w:val="20"/>
          <w:color w:val="auto"/>
        </w:rPr>
      </w:pPr>
      <w:r>
        <w:rPr>
          <w:rFonts w:ascii="Arial" w:cs="Arial" w:eastAsia="Arial" w:hAnsi="Arial"/>
          <w:sz w:val="17"/>
          <w:szCs w:val="17"/>
          <w:color w:val="auto"/>
        </w:rPr>
        <w:t>signature of such assistant secretary. The Board may give general authority to any other officer to affix the seal of the Company and to attest the affixing thereof by his signature.</w:t>
      </w:r>
    </w:p>
    <w:p>
      <w:pPr>
        <w:spacing w:after="0" w:line="152" w:lineRule="exact"/>
        <w:rPr>
          <w:sz w:val="20"/>
          <w:szCs w:val="20"/>
          <w:color w:val="auto"/>
        </w:rPr>
      </w:pPr>
    </w:p>
    <w:p>
      <w:pPr>
        <w:ind w:left="640" w:right="20" w:firstLine="629"/>
        <w:spacing w:after="0" w:line="270" w:lineRule="auto"/>
        <w:rPr>
          <w:sz w:val="20"/>
          <w:szCs w:val="20"/>
          <w:color w:val="auto"/>
        </w:rPr>
      </w:pPr>
      <w:r>
        <w:rPr>
          <w:rFonts w:ascii="Arial" w:cs="Arial" w:eastAsia="Arial" w:hAnsi="Arial"/>
          <w:sz w:val="17"/>
          <w:szCs w:val="17"/>
          <w:color w:val="auto"/>
        </w:rPr>
        <w:t xml:space="preserve">Section 6.1.6 </w:t>
      </w:r>
      <w:r>
        <w:rPr>
          <w:rFonts w:ascii="Arial" w:cs="Arial" w:eastAsia="Arial" w:hAnsi="Arial"/>
          <w:sz w:val="17"/>
          <w:szCs w:val="17"/>
          <w:b w:val="1"/>
          <w:bCs w:val="1"/>
          <w:u w:val="single" w:color="auto"/>
          <w:color w:val="auto"/>
        </w:rPr>
        <w:t>Assistant Secretaries</w:t>
      </w:r>
      <w:r>
        <w:rPr>
          <w:rFonts w:ascii="Arial" w:cs="Arial" w:eastAsia="Arial" w:hAnsi="Arial"/>
          <w:sz w:val="17"/>
          <w:szCs w:val="17"/>
          <w:color w:val="auto"/>
        </w:rPr>
        <w:t>. The assistant secretary, or if there be more than one, the assistant secretaries in the order determined by the Board (or if there be no such determination, then in the order of their election or appointment) shall, in the absence of the secretary or in the event of his inability or refusal to act, perform the duties and exercise the powers of the secretary and shall perform such other duties and have such other powers as the Board may from time to time prescribe.</w:t>
      </w:r>
    </w:p>
    <w:p>
      <w:pPr>
        <w:spacing w:after="0" w:line="169" w:lineRule="exact"/>
        <w:rPr>
          <w:sz w:val="20"/>
          <w:szCs w:val="20"/>
          <w:color w:val="auto"/>
        </w:rPr>
      </w:pPr>
    </w:p>
    <w:p>
      <w:pPr>
        <w:ind w:left="640" w:firstLine="629"/>
        <w:spacing w:after="0" w:line="285" w:lineRule="auto"/>
        <w:rPr>
          <w:sz w:val="20"/>
          <w:szCs w:val="20"/>
          <w:color w:val="auto"/>
        </w:rPr>
      </w:pPr>
      <w:r>
        <w:rPr>
          <w:rFonts w:ascii="Arial" w:cs="Arial" w:eastAsia="Arial" w:hAnsi="Arial"/>
          <w:sz w:val="16"/>
          <w:szCs w:val="16"/>
          <w:color w:val="auto"/>
        </w:rPr>
        <w:t xml:space="preserve">Section 6.1.7 </w:t>
      </w:r>
      <w:r>
        <w:rPr>
          <w:rFonts w:ascii="Arial" w:cs="Arial" w:eastAsia="Arial" w:hAnsi="Arial"/>
          <w:sz w:val="16"/>
          <w:szCs w:val="16"/>
          <w:b w:val="1"/>
          <w:bCs w:val="1"/>
          <w:u w:val="single" w:color="auto"/>
          <w:color w:val="auto"/>
        </w:rPr>
        <w:t>Treasurer</w:t>
      </w:r>
      <w:r>
        <w:rPr>
          <w:rFonts w:ascii="Arial" w:cs="Arial" w:eastAsia="Arial" w:hAnsi="Arial"/>
          <w:sz w:val="16"/>
          <w:szCs w:val="16"/>
          <w:color w:val="auto"/>
        </w:rPr>
        <w:t>. Unless the Board by resolution otherwise provides, the treasurer shall be the chief accounting and financial officer of the Company. The Treasurer shall have the custody of the corporate funds and securities, shall keep full and accurate accounts of receipts and disbursements in books belonging to the Company and shall deposit all moneys and other valuable effects in the name and to the credit of the Company in such depositories as may be designated by the Board. He shall disburse the funds of the Company as may be ordered by the Board, taking proper vouchers for such disbursements, and shall render to the chief executive officer, the president and the Board, at its regular meetings, or when the Board so requires, an account of all his transactions as treasurer and of the financial condition of the Company.</w:t>
      </w:r>
    </w:p>
    <w:p>
      <w:pPr>
        <w:spacing w:after="0" w:line="157" w:lineRule="exact"/>
        <w:rPr>
          <w:sz w:val="20"/>
          <w:szCs w:val="20"/>
          <w:color w:val="auto"/>
        </w:rPr>
      </w:pPr>
    </w:p>
    <w:p>
      <w:pPr>
        <w:ind w:left="640" w:right="40" w:firstLine="629"/>
        <w:spacing w:after="0" w:line="270" w:lineRule="auto"/>
        <w:rPr>
          <w:sz w:val="20"/>
          <w:szCs w:val="20"/>
          <w:color w:val="auto"/>
        </w:rPr>
      </w:pPr>
      <w:r>
        <w:rPr>
          <w:rFonts w:ascii="Arial" w:cs="Arial" w:eastAsia="Arial" w:hAnsi="Arial"/>
          <w:sz w:val="17"/>
          <w:szCs w:val="17"/>
          <w:color w:val="auto"/>
        </w:rPr>
        <w:t xml:space="preserve">Section 6.1.8 </w:t>
      </w:r>
      <w:r>
        <w:rPr>
          <w:rFonts w:ascii="Arial" w:cs="Arial" w:eastAsia="Arial" w:hAnsi="Arial"/>
          <w:sz w:val="17"/>
          <w:szCs w:val="17"/>
          <w:b w:val="1"/>
          <w:bCs w:val="1"/>
          <w:u w:val="single" w:color="auto"/>
          <w:color w:val="auto"/>
        </w:rPr>
        <w:t>Assistant Treasurers</w:t>
      </w:r>
      <w:r>
        <w:rPr>
          <w:rFonts w:ascii="Arial" w:cs="Arial" w:eastAsia="Arial" w:hAnsi="Arial"/>
          <w:sz w:val="17"/>
          <w:szCs w:val="17"/>
          <w:color w:val="auto"/>
        </w:rPr>
        <w:t>. The assistant treasurer, or if there shall be more than one, the assistant treasurers in the order determined by the Board (or if there be no such determination, then in the order of their election or appointment) shall, in the absence of the treasurer or in the event of his inability or refusal to act, perform the duties and exercise the powers of the treasurer and shall perform such other duties and have such other powers as the Board may from time to time prescribe.</w:t>
      </w:r>
    </w:p>
    <w:p>
      <w:pPr>
        <w:spacing w:after="0" w:line="169" w:lineRule="exact"/>
        <w:rPr>
          <w:sz w:val="20"/>
          <w:szCs w:val="20"/>
          <w:color w:val="auto"/>
        </w:rPr>
      </w:pPr>
    </w:p>
    <w:p>
      <w:pPr>
        <w:ind w:left="640" w:right="20" w:firstLine="629"/>
        <w:spacing w:after="0" w:line="283" w:lineRule="auto"/>
        <w:rPr>
          <w:sz w:val="20"/>
          <w:szCs w:val="20"/>
          <w:color w:val="auto"/>
        </w:rPr>
      </w:pPr>
      <w:r>
        <w:rPr>
          <w:rFonts w:ascii="Arial" w:cs="Arial" w:eastAsia="Arial" w:hAnsi="Arial"/>
          <w:sz w:val="16"/>
          <w:szCs w:val="16"/>
          <w:color w:val="auto"/>
        </w:rPr>
        <w:t xml:space="preserve">Section 6.1.9 </w:t>
      </w:r>
      <w:r>
        <w:rPr>
          <w:rFonts w:ascii="Arial" w:cs="Arial" w:eastAsia="Arial" w:hAnsi="Arial"/>
          <w:sz w:val="16"/>
          <w:szCs w:val="16"/>
          <w:b w:val="1"/>
          <w:bCs w:val="1"/>
          <w:u w:val="single" w:color="auto"/>
          <w:color w:val="auto"/>
        </w:rPr>
        <w:t>Divisional Officers</w:t>
      </w:r>
      <w:r>
        <w:rPr>
          <w:rFonts w:ascii="Arial" w:cs="Arial" w:eastAsia="Arial" w:hAnsi="Arial"/>
          <w:sz w:val="16"/>
          <w:szCs w:val="16"/>
          <w:color w:val="auto"/>
        </w:rPr>
        <w:t>. Each division of the Company, if any, may have a president, secretary, treasurer or controller and one or more vice presidents, assistant secretaries, assistant treasurers and other assistant officers. Any number of such offices may be held by the same person. Such divisional officers will be appointed by, report to and serve at the pleasure of the Board and such other officers that the Board may place in authority over them. The officers of each division shall have such authority with respect to the business and affairs of that division as may be granted from time to time by the Board, and in the regular course of business of such division may sign contracts and other documents in the name of the division where so authorized; provided that in no case and under no circumstances shall an officer of one division have authority to bind any other division of the Company except as necessary in the pursuit of the normal and usual business of the division of which he is an officer.</w:t>
      </w:r>
    </w:p>
    <w:p>
      <w:pPr>
        <w:spacing w:after="0" w:line="159" w:lineRule="exact"/>
        <w:rPr>
          <w:sz w:val="20"/>
          <w:szCs w:val="20"/>
          <w:color w:val="auto"/>
        </w:rPr>
      </w:pPr>
    </w:p>
    <w:p>
      <w:pPr>
        <w:ind w:firstLine="629"/>
        <w:spacing w:after="0" w:line="297"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b w:val="1"/>
          <w:bCs w:val="1"/>
          <w:u w:val="single" w:color="auto"/>
          <w:color w:val="auto"/>
        </w:rPr>
        <w:t>Election</w:t>
      </w:r>
      <w:r>
        <w:rPr>
          <w:rFonts w:ascii="Arial" w:cs="Arial" w:eastAsia="Arial" w:hAnsi="Arial"/>
          <w:sz w:val="17"/>
          <w:szCs w:val="17"/>
          <w:color w:val="auto"/>
        </w:rPr>
        <w:t>. All elected officers shall serve until their successors are duly elected and qualified or until their earlier death, disqualification, retirement, resignation or removal from office.</w:t>
      </w:r>
    </w:p>
    <w:p>
      <w:pPr>
        <w:spacing w:after="0" w:line="145" w:lineRule="exact"/>
        <w:rPr>
          <w:sz w:val="20"/>
          <w:szCs w:val="20"/>
          <w:color w:val="auto"/>
        </w:rPr>
      </w:pPr>
    </w:p>
    <w:p>
      <w:pPr>
        <w:ind w:right="260" w:firstLine="629"/>
        <w:spacing w:after="0" w:line="297"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b w:val="1"/>
          <w:bCs w:val="1"/>
          <w:u w:val="single" w:color="auto"/>
          <w:color w:val="auto"/>
        </w:rPr>
        <w:t>Appointed Officers</w:t>
      </w:r>
      <w:r>
        <w:rPr>
          <w:rFonts w:ascii="Arial" w:cs="Arial" w:eastAsia="Arial" w:hAnsi="Arial"/>
          <w:sz w:val="17"/>
          <w:szCs w:val="17"/>
          <w:color w:val="auto"/>
        </w:rPr>
        <w:t>. The Board may also appoint or delegate the power to appoint such other officers, assistant officers and agents, and may also remove such officers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and agents or delegate the power to remove same, as it shall from time to time deem necessary, and the titles and duties of such appointed officers may be as described in Section 6.1 hereof for elected officers; provided that the officers and any officer possessing authority over or responsibility for any functions of the Board shall be elected officers.</w:t>
      </w:r>
    </w:p>
    <w:p>
      <w:pPr>
        <w:spacing w:after="0" w:line="166" w:lineRule="exact"/>
        <w:rPr>
          <w:sz w:val="20"/>
          <w:szCs w:val="20"/>
          <w:color w:val="auto"/>
        </w:rPr>
      </w:pPr>
    </w:p>
    <w:p>
      <w:pPr>
        <w:jc w:val="both"/>
        <w:ind w:right="420" w:firstLine="629"/>
        <w:spacing w:after="0" w:line="277"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b w:val="1"/>
          <w:bCs w:val="1"/>
          <w:u w:val="single" w:color="auto"/>
          <w:color w:val="auto"/>
        </w:rPr>
        <w:t>Multiple Officeholders, Stockholder and Director Officers</w:t>
      </w:r>
      <w:r>
        <w:rPr>
          <w:rFonts w:ascii="Arial" w:cs="Arial" w:eastAsia="Arial" w:hAnsi="Arial"/>
          <w:sz w:val="17"/>
          <w:szCs w:val="17"/>
          <w:color w:val="auto"/>
        </w:rPr>
        <w:t>. Any number of offices may be held by the same person, unless the certificate of incorporation or these Bylaws otherwise provide. Officers need not be stockholders or residents of the State of Delaware. Officers, such as the chairman of the board, possessing authority over or responsibility for any function of the Board must be directors.</w:t>
      </w:r>
    </w:p>
    <w:p>
      <w:pPr>
        <w:spacing w:after="0" w:line="162" w:lineRule="exact"/>
        <w:rPr>
          <w:sz w:val="20"/>
          <w:szCs w:val="20"/>
          <w:color w:val="auto"/>
        </w:rPr>
      </w:pPr>
    </w:p>
    <w:p>
      <w:pPr>
        <w:ind w:right="20" w:firstLine="629"/>
        <w:spacing w:after="0" w:line="277"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b w:val="1"/>
          <w:bCs w:val="1"/>
          <w:u w:val="single" w:color="auto"/>
          <w:color w:val="auto"/>
        </w:rPr>
        <w:t>Compensation, Vacancies</w:t>
      </w:r>
      <w:r>
        <w:rPr>
          <w:rFonts w:ascii="Arial" w:cs="Arial" w:eastAsia="Arial" w:hAnsi="Arial"/>
          <w:sz w:val="17"/>
          <w:szCs w:val="17"/>
          <w:color w:val="auto"/>
        </w:rPr>
        <w:t>. The compensation of elected officers shall be set by the Board. The Board shall also fill any vacancy in an elected office. The compensation of appointed officers and the filling of vacancies in appointed offices may be delegated by the Board to the same extent as permitted by these Bylaws for the initial filling of such offices.</w:t>
      </w:r>
    </w:p>
    <w:p>
      <w:pPr>
        <w:spacing w:after="0" w:line="162" w:lineRule="exact"/>
        <w:rPr>
          <w:sz w:val="20"/>
          <w:szCs w:val="20"/>
          <w:color w:val="auto"/>
        </w:rPr>
      </w:pPr>
    </w:p>
    <w:p>
      <w:pPr>
        <w:ind w:right="120" w:firstLine="629"/>
        <w:spacing w:after="0" w:line="302"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b w:val="1"/>
          <w:bCs w:val="1"/>
          <w:u w:val="single" w:color="auto"/>
          <w:color w:val="auto"/>
        </w:rPr>
        <w:t>Additional Powers and Duties</w:t>
      </w:r>
      <w:r>
        <w:rPr>
          <w:rFonts w:ascii="Arial" w:cs="Arial" w:eastAsia="Arial" w:hAnsi="Arial"/>
          <w:sz w:val="16"/>
          <w:szCs w:val="16"/>
          <w:color w:val="auto"/>
        </w:rPr>
        <w:t>. In addition to the foregoing especially enumerated powers and duties, the several elected and appointed officers of the Company shall perform such other duties and exercise such further powers as may be provided by law, the certificate of incorporation or these Bylaws or as the Board may from time to time determine or as may be assigned to them by any competent committee or superior officer.</w:t>
      </w:r>
    </w:p>
    <w:p>
      <w:pPr>
        <w:sectPr>
          <w:pgSz w:w="11900" w:h="16838" w:orient="portrait"/>
          <w:cols w:equalWidth="0" w:num="1">
            <w:col w:w="11420"/>
          </w:cols>
          <w:pgMar w:left="240" w:top="331" w:right="239" w:bottom="0" w:gutter="0" w:footer="0" w:header="0"/>
        </w:sectPr>
      </w:pPr>
    </w:p>
    <w:bookmarkStart w:id="232" w:name="page233"/>
    <w:bookmarkEnd w:id="232"/>
    <w:p>
      <w:pPr>
        <w:jc w:val="both"/>
        <w:ind w:right="120" w:firstLine="629"/>
        <w:spacing w:after="0" w:line="277"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b w:val="1"/>
          <w:bCs w:val="1"/>
          <w:u w:val="single" w:color="auto"/>
          <w:color w:val="auto"/>
        </w:rPr>
        <w:t>Removal</w:t>
      </w:r>
      <w:r>
        <w:rPr>
          <w:rFonts w:ascii="Arial" w:cs="Arial" w:eastAsia="Arial" w:hAnsi="Arial"/>
          <w:sz w:val="17"/>
          <w:szCs w:val="17"/>
          <w:color w:val="auto"/>
        </w:rPr>
        <w:t>. Any officer or agent or member of a committee elected or appointed by the Board may be removed by the Board whenever in its judgment the best interest of the Company will be served thereby, but such removal shall be without prejudice to the contract rights, if any, of the person so removed. Election or appointment of an officer or agent or member of a committee shall not of itself create contract rights.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VII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SHARE CERTIFICATES</w:t>
      </w:r>
    </w:p>
    <w:p>
      <w:pPr>
        <w:spacing w:after="0" w:line="224" w:lineRule="exact"/>
        <w:rPr>
          <w:sz w:val="20"/>
          <w:szCs w:val="20"/>
          <w:color w:val="auto"/>
        </w:rPr>
      </w:pPr>
    </w:p>
    <w:p>
      <w:pPr>
        <w:jc w:val="both"/>
        <w:ind w:right="540" w:firstLine="629"/>
        <w:spacing w:after="0" w:line="302"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b w:val="1"/>
          <w:bCs w:val="1"/>
          <w:u w:val="single" w:color="auto"/>
          <w:color w:val="auto"/>
        </w:rPr>
        <w:t>Entitlement to Certificates</w:t>
      </w:r>
      <w:r>
        <w:rPr>
          <w:rFonts w:ascii="Arial" w:cs="Arial" w:eastAsia="Arial" w:hAnsi="Arial"/>
          <w:sz w:val="16"/>
          <w:szCs w:val="16"/>
          <w:color w:val="auto"/>
        </w:rPr>
        <w:t>. Every holder of the capital stock of the Company, unless and to the extent the Board by resolution provides that any or all classes or series of stock shall be uncertificated, shall be entitled to have a certificate, in such form as is approved by the Board and conforms with applicable law, certifying the number of shares owned by him. Each certificate representing shares shall state upon the face thereof:</w:t>
      </w:r>
    </w:p>
    <w:p>
      <w:pPr>
        <w:spacing w:after="0" w:line="150" w:lineRule="exact"/>
        <w:rPr>
          <w:sz w:val="20"/>
          <w:szCs w:val="20"/>
          <w:color w:val="auto"/>
        </w:rPr>
      </w:pPr>
    </w:p>
    <w:p>
      <w:pPr>
        <w:ind w:left="1920" w:hanging="657"/>
        <w:spacing w:after="0"/>
        <w:tabs>
          <w:tab w:leader="none" w:pos="192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name of the person to whom issued;</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number and class of shares and the designation of the series, if any, which such certificate represents; and</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par value of each share represented by such certificate, or a statement that the shares are without par value.</w:t>
      </w:r>
    </w:p>
    <w:p>
      <w:pPr>
        <w:spacing w:after="0" w:line="218" w:lineRule="exact"/>
        <w:rPr>
          <w:sz w:val="20"/>
          <w:szCs w:val="20"/>
          <w:color w:val="auto"/>
        </w:rPr>
      </w:pPr>
    </w:p>
    <w:p>
      <w:pPr>
        <w:ind w:right="260" w:firstLine="629"/>
        <w:spacing w:after="0" w:line="297"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b w:val="1"/>
          <w:bCs w:val="1"/>
          <w:u w:val="single" w:color="auto"/>
          <w:color w:val="auto"/>
        </w:rPr>
        <w:t>Signatures</w:t>
      </w:r>
      <w:r>
        <w:rPr>
          <w:rFonts w:ascii="Arial" w:cs="Arial" w:eastAsia="Arial" w:hAnsi="Arial"/>
          <w:sz w:val="17"/>
          <w:szCs w:val="17"/>
          <w:color w:val="auto"/>
        </w:rPr>
        <w:t>. Each certificate representing capital stock of the Company shall be signed by or in the name of the Company by (1) the chairman of the board, the chief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executive officer, the president or a vice president; and (2) the treasurer, an assistant treasurer, the secretary or an assistant secretary of the Company. The signatures of the officers of the Company may be facsimiles. In case any officer who has signed or whose facsimile signature has been placed upon a certificate shall have ceased to hold such office before such certificate is issued, it may be issued by the Company with the same effect as if he held such office on the date of issue.</w:t>
      </w:r>
    </w:p>
    <w:p>
      <w:pPr>
        <w:spacing w:after="0" w:line="170" w:lineRule="exact"/>
        <w:rPr>
          <w:sz w:val="20"/>
          <w:szCs w:val="20"/>
          <w:color w:val="auto"/>
        </w:rPr>
      </w:pPr>
    </w:p>
    <w:p>
      <w:pPr>
        <w:ind w:right="20" w:firstLine="629"/>
        <w:spacing w:after="0" w:line="301" w:lineRule="auto"/>
        <w:rPr>
          <w:sz w:val="20"/>
          <w:szCs w:val="20"/>
          <w:color w:val="auto"/>
        </w:rPr>
      </w:pPr>
      <w:r>
        <w:rPr>
          <w:rFonts w:ascii="Arial" w:cs="Arial" w:eastAsia="Arial" w:hAnsi="Arial"/>
          <w:sz w:val="15"/>
          <w:szCs w:val="15"/>
          <w:color w:val="auto"/>
        </w:rPr>
        <w:t xml:space="preserve">Section 7.3 </w:t>
      </w:r>
      <w:r>
        <w:rPr>
          <w:rFonts w:ascii="Arial" w:cs="Arial" w:eastAsia="Arial" w:hAnsi="Arial"/>
          <w:sz w:val="15"/>
          <w:szCs w:val="15"/>
          <w:b w:val="1"/>
          <w:bCs w:val="1"/>
          <w:u w:val="single" w:color="auto"/>
          <w:color w:val="auto"/>
        </w:rPr>
        <w:t>Insurance and Payment</w:t>
      </w:r>
      <w:r>
        <w:rPr>
          <w:rFonts w:ascii="Arial" w:cs="Arial" w:eastAsia="Arial" w:hAnsi="Arial"/>
          <w:sz w:val="15"/>
          <w:szCs w:val="15"/>
          <w:color w:val="auto"/>
        </w:rPr>
        <w:t>. The Board or, in the case of shares to be issued pursuant to a plan of conversion by a corporation that is a converted entity, the plan of conversion, or, in the case of shares to be issued pursuant to a plan of merger by a corporation created pursuant to the plan of merger, the plan of merger may authorize shares to be issued for consideration consisting of any tangible or intangible benefit to the Company or other property of any kind or nature, including, cash, promissory notes, services performed, contracts for services to be performed, other securities of the Company or securities of any other corporation, domestic or foreign, or other entity. Shares may not be issued until the full amount of the consideration, fixed as provided by law, has been paid or delivered as required in connection with the authorization of the shares. When such consideration shall have been paid or delivered the shares shall be deemed to have been issued and the subscriber or shareholder entitled to receive such issue shall be a shareholder with respect to such shares, and the shares shall be considered fully paid and non-assessable. In the absence of fraud in the transaction, the judgment of the Board or the shareholders, or the party or parties approving the plan of conversion or the plan of merger, as the case may be, as to the value of the consideration received for shares shall be conclusive.</w:t>
      </w:r>
    </w:p>
    <w:p>
      <w:pPr>
        <w:spacing w:after="0" w:line="15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7.4</w:t>
      </w:r>
      <w:r>
        <w:rPr>
          <w:sz w:val="20"/>
          <w:szCs w:val="20"/>
          <w:color w:val="auto"/>
        </w:rPr>
        <w:tab/>
      </w:r>
      <w:r>
        <w:rPr>
          <w:rFonts w:ascii="Arial" w:cs="Arial" w:eastAsia="Arial" w:hAnsi="Arial"/>
          <w:sz w:val="16"/>
          <w:szCs w:val="16"/>
          <w:b w:val="1"/>
          <w:bCs w:val="1"/>
          <w:u w:val="single" w:color="auto"/>
          <w:color w:val="auto"/>
        </w:rPr>
        <w:t>Lost Certificates</w:t>
      </w:r>
      <w:r>
        <w:rPr>
          <w:rFonts w:ascii="Arial" w:cs="Arial" w:eastAsia="Arial" w:hAnsi="Arial"/>
          <w:sz w:val="16"/>
          <w:szCs w:val="16"/>
          <w:color w:val="auto"/>
        </w:rPr>
        <w:t>. The Board may direct a new certificate or certificates to be issued in place of any certificate or certificates</w:t>
      </w:r>
    </w:p>
    <w:p>
      <w:pPr>
        <w:spacing w:after="0" w:line="32"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theretofore issued by the Company alleged to have been lost, stolen or destroyed upon the making of an affidavit of that fact by the person claiming the certificate of stock to be lost, stolen or destroyed. When authorizing such issue of a new certificate or certificates, the Board may, in its discretion and as a condition precedent to the issuance thereof, require the owner of such lost, stolen or destroyed certificate or certificates, or his legal representative, to advertise the same in such manner as it shall require and/or to give the Company a bond in such sum as it may direct as indemnity against any claim that may be made against the Company with respect to the certificate alleged to have been lost, stolen or destroyed.</w:t>
      </w:r>
    </w:p>
    <w:p>
      <w:pPr>
        <w:spacing w:after="0" w:line="178" w:lineRule="exact"/>
        <w:rPr>
          <w:sz w:val="20"/>
          <w:szCs w:val="20"/>
          <w:color w:val="auto"/>
        </w:rPr>
      </w:pPr>
    </w:p>
    <w:p>
      <w:pPr>
        <w:ind w:right="160" w:firstLine="629"/>
        <w:spacing w:after="0" w:line="292"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b w:val="1"/>
          <w:bCs w:val="1"/>
          <w:u w:val="single" w:color="auto"/>
          <w:color w:val="auto"/>
        </w:rPr>
        <w:t>Transfer of Stock</w:t>
      </w:r>
      <w:r>
        <w:rPr>
          <w:rFonts w:ascii="Arial" w:cs="Arial" w:eastAsia="Arial" w:hAnsi="Arial"/>
          <w:sz w:val="16"/>
          <w:szCs w:val="16"/>
          <w:color w:val="auto"/>
        </w:rPr>
        <w:t>. Upon surrender to the Company or its transfer agent, if any, of a certificate for shares duly endorsed or accompanied by proper evidence of succession, assignation or authority to transfer and of the payment of all taxes applicable to the transfer of said shares, the Company shall be obligated to issue a new certificate to the person entitled thereto, cancel the old certificate and record the transaction upon its books; provided, however, that the Company shall not be so obligated unless such transfer was made in compliance with applicable state and federal securities laws.</w:t>
      </w:r>
    </w:p>
    <w:p>
      <w:pPr>
        <w:spacing w:after="0" w:line="153" w:lineRule="exact"/>
        <w:rPr>
          <w:sz w:val="20"/>
          <w:szCs w:val="20"/>
          <w:color w:val="auto"/>
        </w:rPr>
      </w:pPr>
    </w:p>
    <w:p>
      <w:pPr>
        <w:ind w:right="280" w:firstLine="629"/>
        <w:spacing w:after="0" w:line="277"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b w:val="1"/>
          <w:bCs w:val="1"/>
          <w:u w:val="single" w:color="auto"/>
          <w:color w:val="auto"/>
        </w:rPr>
        <w:t>Registered Shareholders</w:t>
      </w:r>
      <w:r>
        <w:rPr>
          <w:rFonts w:ascii="Arial" w:cs="Arial" w:eastAsia="Arial" w:hAnsi="Arial"/>
          <w:sz w:val="17"/>
          <w:szCs w:val="17"/>
          <w:color w:val="auto"/>
        </w:rPr>
        <w:t>. The Company shall be entitled to recognize the exclusive right of a person registered on its books as the owner of shares to receive dividends, vote and be held liable for calls and assessments and shall not be bound to recognize any equitable or other claim to or interest in such share or shares on the part of any person other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than such registered owner, whether or not it shall have express or other notice thereof, except as otherwise provided by law.</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VIII</w:t>
      </w:r>
    </w:p>
    <w:p>
      <w:pPr>
        <w:spacing w:after="0" w:line="224" w:lineRule="exact"/>
        <w:rPr>
          <w:sz w:val="20"/>
          <w:szCs w:val="20"/>
          <w:color w:val="auto"/>
        </w:rPr>
      </w:pPr>
    </w:p>
    <w:p>
      <w:pPr>
        <w:ind w:left="4880"/>
        <w:spacing w:after="0"/>
        <w:rPr>
          <w:sz w:val="20"/>
          <w:szCs w:val="20"/>
          <w:color w:val="auto"/>
        </w:rPr>
      </w:pPr>
      <w:r>
        <w:rPr>
          <w:rFonts w:ascii="Arial" w:cs="Arial" w:eastAsia="Arial" w:hAnsi="Arial"/>
          <w:sz w:val="17"/>
          <w:szCs w:val="17"/>
          <w:b w:val="1"/>
          <w:bCs w:val="1"/>
          <w:u w:val="single" w:color="auto"/>
          <w:color w:val="auto"/>
        </w:rPr>
        <w:t>INDEMNIFICATION</w:t>
      </w:r>
    </w:p>
    <w:p>
      <w:pPr>
        <w:spacing w:after="0" w:line="230"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8.1</w:t>
      </w:r>
      <w:r>
        <w:rPr>
          <w:sz w:val="20"/>
          <w:szCs w:val="20"/>
          <w:color w:val="auto"/>
        </w:rPr>
        <w:tab/>
      </w:r>
      <w:r>
        <w:rPr>
          <w:rFonts w:ascii="Arial" w:cs="Arial" w:eastAsia="Arial" w:hAnsi="Arial"/>
          <w:sz w:val="16"/>
          <w:szCs w:val="16"/>
          <w:color w:val="auto"/>
        </w:rPr>
        <w:t xml:space="preserve">Definitions. For purposes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224" w:lineRule="exact"/>
        <w:rPr>
          <w:sz w:val="20"/>
          <w:szCs w:val="20"/>
          <w:color w:val="auto"/>
        </w:rPr>
      </w:pPr>
    </w:p>
    <w:p>
      <w:pPr>
        <w:ind w:left="640" w:right="300" w:firstLine="623"/>
        <w:spacing w:after="0" w:line="298" w:lineRule="auto"/>
        <w:tabs>
          <w:tab w:leader="none" w:pos="1918" w:val="left"/>
        </w:tabs>
        <w:numPr>
          <w:ilvl w:val="0"/>
          <w:numId w:val="2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“Corporation” </w:t>
      </w:r>
      <w:r>
        <w:rPr>
          <w:rFonts w:ascii="Arial" w:cs="Arial" w:eastAsia="Arial" w:hAnsi="Arial"/>
          <w:sz w:val="16"/>
          <w:szCs w:val="16"/>
          <w:color w:val="auto"/>
        </w:rPr>
        <w:t>includes any domestic or foreign predecessor entity of the Company in a merger, conversion, or other transaction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some or all of the liabilities of the predecessor are transferred to the Company by operation of law and in any other transaction in which the Company assumes the liabilities of the predecessor but does not specifically exclude liabilities that are the subject matter of this article;</w:t>
      </w:r>
    </w:p>
    <w:p>
      <w:pPr>
        <w:spacing w:after="0" w:line="153" w:lineRule="exact"/>
        <w:rPr>
          <w:rFonts w:ascii="Arial" w:cs="Arial" w:eastAsia="Arial" w:hAnsi="Arial"/>
          <w:sz w:val="16"/>
          <w:szCs w:val="16"/>
          <w:color w:val="auto"/>
        </w:rPr>
      </w:pPr>
    </w:p>
    <w:p>
      <w:pPr>
        <w:jc w:val="both"/>
        <w:ind w:left="640" w:firstLine="623"/>
        <w:spacing w:after="0" w:line="273" w:lineRule="auto"/>
        <w:tabs>
          <w:tab w:leader="none" w:pos="1908" w:val="left"/>
        </w:tabs>
        <w:numPr>
          <w:ilvl w:val="0"/>
          <w:numId w:val="2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“Director” </w:t>
      </w:r>
      <w:r>
        <w:rPr>
          <w:rFonts w:ascii="Arial" w:cs="Arial" w:eastAsia="Arial" w:hAnsi="Arial"/>
          <w:sz w:val="17"/>
          <w:szCs w:val="17"/>
          <w:color w:val="auto"/>
        </w:rPr>
        <w:t>means any person who is or was a director of the Company and any person who, while a director of the Company, is or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serving at the request of the Company as a director, officer, partner, venturer, proprietor, trustee, employee, agent or similar functionary of another foreign or domestic corporation, employee benefit plan, other enterprise or other entity;</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2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“Expenses” </w:t>
      </w:r>
      <w:r>
        <w:rPr>
          <w:rFonts w:ascii="Arial" w:cs="Arial" w:eastAsia="Arial" w:hAnsi="Arial"/>
          <w:sz w:val="17"/>
          <w:szCs w:val="17"/>
          <w:color w:val="auto"/>
        </w:rPr>
        <w:t>include court costs and attorneys’ fees;</w:t>
      </w:r>
    </w:p>
    <w:p>
      <w:pPr>
        <w:sectPr>
          <w:pgSz w:w="11900" w:h="16838" w:orient="portrait"/>
          <w:cols w:equalWidth="0" w:num="1">
            <w:col w:w="11400"/>
          </w:cols>
          <w:pgMar w:left="240" w:top="121" w:right="259" w:bottom="0" w:gutter="0" w:footer="0" w:header="0"/>
        </w:sectPr>
      </w:pPr>
    </w:p>
    <w:bookmarkStart w:id="233" w:name="page234"/>
    <w:bookmarkEnd w:id="233"/>
    <w:p>
      <w:pPr>
        <w:ind w:left="1920" w:hanging="657"/>
        <w:spacing w:after="0"/>
        <w:tabs>
          <w:tab w:leader="none" w:pos="192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Official capacity</w:t>
      </w:r>
      <w:r>
        <w:rPr>
          <w:rFonts w:ascii="Arial" w:cs="Arial" w:eastAsia="Arial" w:hAnsi="Arial"/>
          <w:sz w:val="17"/>
          <w:szCs w:val="17"/>
          <w:color w:val="auto"/>
        </w:rPr>
        <w:t>” means</w:t>
      </w:r>
    </w:p>
    <w:p>
      <w:pPr>
        <w:spacing w:after="0" w:line="224" w:lineRule="exact"/>
        <w:rPr>
          <w:rFonts w:ascii="Arial" w:cs="Arial" w:eastAsia="Arial" w:hAnsi="Arial"/>
          <w:sz w:val="17"/>
          <w:szCs w:val="17"/>
          <w:color w:val="auto"/>
        </w:rPr>
      </w:pPr>
    </w:p>
    <w:p>
      <w:pPr>
        <w:ind w:left="1260" w:firstLine="1262"/>
        <w:spacing w:after="0" w:line="289" w:lineRule="auto"/>
        <w:tabs>
          <w:tab w:leader="none" w:pos="3168" w:val="left"/>
        </w:tabs>
        <w:numPr>
          <w:ilvl w:val="1"/>
          <w:numId w:val="219"/>
        </w:numPr>
        <w:rPr>
          <w:rFonts w:ascii="Arial" w:cs="Arial" w:eastAsia="Arial" w:hAnsi="Arial"/>
          <w:sz w:val="17"/>
          <w:szCs w:val="17"/>
          <w:color w:val="auto"/>
        </w:rPr>
      </w:pPr>
      <w:r>
        <w:rPr>
          <w:rFonts w:ascii="Arial" w:cs="Arial" w:eastAsia="Arial" w:hAnsi="Arial"/>
          <w:sz w:val="17"/>
          <w:szCs w:val="17"/>
          <w:color w:val="auto"/>
        </w:rPr>
        <w:t>when used with respect to a Director, the office of Director in the Company, but does not include service for any other foreign or domestic corporation or any employee benefit plan, other enterprise or other entity;</w:t>
      </w:r>
    </w:p>
    <w:p>
      <w:pPr>
        <w:spacing w:after="0" w:line="158" w:lineRule="exact"/>
        <w:rPr>
          <w:rFonts w:ascii="Arial" w:cs="Arial" w:eastAsia="Arial" w:hAnsi="Arial"/>
          <w:sz w:val="17"/>
          <w:szCs w:val="17"/>
          <w:color w:val="auto"/>
        </w:rPr>
      </w:pPr>
    </w:p>
    <w:p>
      <w:pPr>
        <w:ind w:left="1260" w:right="20" w:firstLine="1262"/>
        <w:spacing w:after="0" w:line="273" w:lineRule="auto"/>
        <w:tabs>
          <w:tab w:leader="none" w:pos="3178" w:val="left"/>
        </w:tabs>
        <w:numPr>
          <w:ilvl w:val="1"/>
          <w:numId w:val="219"/>
        </w:numPr>
        <w:rPr>
          <w:rFonts w:ascii="Arial" w:cs="Arial" w:eastAsia="Arial" w:hAnsi="Arial"/>
          <w:sz w:val="17"/>
          <w:szCs w:val="17"/>
          <w:color w:val="auto"/>
        </w:rPr>
      </w:pPr>
      <w:r>
        <w:rPr>
          <w:rFonts w:ascii="Arial" w:cs="Arial" w:eastAsia="Arial" w:hAnsi="Arial"/>
          <w:sz w:val="17"/>
          <w:szCs w:val="17"/>
          <w:color w:val="auto"/>
        </w:rPr>
        <w:t>when used with respect to a person other than a Director, the elective or appointive office in the Company held by the officer or the employment or agency relationship undertaken by the employee or agent on behalf of the Company, but does not include service for any other foreign or domestic corporation, employee benefit plan, other enterprise or other entity; and</w:t>
      </w:r>
    </w:p>
    <w:p>
      <w:pPr>
        <w:spacing w:after="0" w:line="171" w:lineRule="exact"/>
        <w:rPr>
          <w:rFonts w:ascii="Arial" w:cs="Arial" w:eastAsia="Arial" w:hAnsi="Arial"/>
          <w:sz w:val="17"/>
          <w:szCs w:val="17"/>
          <w:color w:val="auto"/>
        </w:rPr>
      </w:pPr>
    </w:p>
    <w:p>
      <w:pPr>
        <w:ind w:left="640" w:right="380" w:firstLine="623"/>
        <w:spacing w:after="0" w:line="273" w:lineRule="auto"/>
        <w:tabs>
          <w:tab w:leader="none" w:pos="1912" w:val="left"/>
        </w:tabs>
        <w:numPr>
          <w:ilvl w:val="0"/>
          <w:numId w:val="2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“Proceeding” </w:t>
      </w:r>
      <w:r>
        <w:rPr>
          <w:rFonts w:ascii="Arial" w:cs="Arial" w:eastAsia="Arial" w:hAnsi="Arial"/>
          <w:sz w:val="17"/>
          <w:szCs w:val="17"/>
          <w:color w:val="auto"/>
        </w:rPr>
        <w:t>means any threatened, pending, or completed action, suit, or proceeding, whether civil, criminal, administrative,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arbitrative or investigative, any appeal in such an action, suit or proceeding, and any inquiry or investigation that could lead to such an action, suit or proceeding.</w:t>
      </w:r>
    </w:p>
    <w:p>
      <w:pPr>
        <w:spacing w:after="0" w:line="166" w:lineRule="exact"/>
        <w:rPr>
          <w:sz w:val="20"/>
          <w:szCs w:val="20"/>
          <w:color w:val="auto"/>
        </w:rPr>
      </w:pPr>
    </w:p>
    <w:p>
      <w:pPr>
        <w:ind w:right="120" w:firstLine="629"/>
        <w:spacing w:after="0" w:line="330"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b w:val="1"/>
          <w:bCs w:val="1"/>
          <w:u w:val="single" w:color="auto"/>
          <w:color w:val="auto"/>
        </w:rPr>
        <w:t>Mandatory Indemnification</w:t>
      </w:r>
      <w:r>
        <w:rPr>
          <w:rFonts w:ascii="Arial" w:cs="Arial" w:eastAsia="Arial" w:hAnsi="Arial"/>
          <w:sz w:val="16"/>
          <w:szCs w:val="16"/>
          <w:color w:val="auto"/>
        </w:rPr>
        <w:t>. The Company shall indemnify a person who was, is, or is threatened to be made a named defendant or respondent in a Proceeding because the person is or was a Director only if it is determined in accordance with Section 8.6 hereof that the person:</w:t>
      </w:r>
    </w:p>
    <w:p>
      <w:pPr>
        <w:spacing w:after="0" w:line="129" w:lineRule="exact"/>
        <w:rPr>
          <w:sz w:val="20"/>
          <w:szCs w:val="20"/>
          <w:color w:val="auto"/>
        </w:rPr>
      </w:pPr>
    </w:p>
    <w:p>
      <w:pPr>
        <w:ind w:left="1920" w:hanging="657"/>
        <w:spacing w:after="0"/>
        <w:tabs>
          <w:tab w:leader="none" w:pos="192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conducted himself in good faith;</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reasonably believed: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3180" w:hanging="658"/>
        <w:spacing w:after="0"/>
        <w:tabs>
          <w:tab w:leader="none" w:pos="31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 the case of conduct in his Official Capacity as a Director of the Company, that his conduct was in the Company’s</w:t>
      </w:r>
    </w:p>
    <w:p>
      <w:pPr>
        <w:spacing w:after="0" w:line="3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best interests; and</w:t>
      </w:r>
    </w:p>
    <w:p>
      <w:pPr>
        <w:spacing w:after="0" w:line="212" w:lineRule="exact"/>
        <w:rPr>
          <w:sz w:val="20"/>
          <w:szCs w:val="20"/>
          <w:color w:val="auto"/>
        </w:rPr>
      </w:pPr>
    </w:p>
    <w:p>
      <w:pPr>
        <w:ind w:left="3180" w:hanging="658"/>
        <w:spacing w:after="0"/>
        <w:tabs>
          <w:tab w:leader="none" w:pos="318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in all other cases, that his conduct was at least not opposed to the Company’s best interests; and</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in the case of any criminal proceeding, had no reasonable cause to believe his conduct was unlawful.</w:t>
      </w:r>
    </w:p>
    <w:p>
      <w:pPr>
        <w:spacing w:after="0" w:line="218"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8.3</w:t>
      </w:r>
      <w:r>
        <w:rPr>
          <w:sz w:val="20"/>
          <w:szCs w:val="20"/>
          <w:color w:val="auto"/>
        </w:rPr>
        <w:tab/>
      </w:r>
      <w:r>
        <w:rPr>
          <w:rFonts w:ascii="Arial" w:cs="Arial" w:eastAsia="Arial" w:hAnsi="Arial"/>
          <w:sz w:val="16"/>
          <w:szCs w:val="16"/>
          <w:b w:val="1"/>
          <w:bCs w:val="1"/>
          <w:u w:val="single" w:color="auto"/>
          <w:color w:val="auto"/>
        </w:rPr>
        <w:t>Prohibited Indemnification</w:t>
      </w:r>
      <w:r>
        <w:rPr>
          <w:rFonts w:ascii="Arial" w:cs="Arial" w:eastAsia="Arial" w:hAnsi="Arial"/>
          <w:sz w:val="16"/>
          <w:szCs w:val="16"/>
          <w:color w:val="auto"/>
        </w:rPr>
        <w:t>. Except to the extent permitted by</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8.5</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hereof, a Director may not be indemnified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hereof in respect of a proceeding:</w:t>
      </w:r>
    </w:p>
    <w:p>
      <w:pPr>
        <w:spacing w:after="0" w:line="212" w:lineRule="exact"/>
        <w:rPr>
          <w:sz w:val="20"/>
          <w:szCs w:val="20"/>
          <w:color w:val="auto"/>
        </w:rPr>
      </w:pPr>
    </w:p>
    <w:p>
      <w:pPr>
        <w:ind w:left="640" w:right="560" w:firstLine="623"/>
        <w:spacing w:after="0" w:line="289" w:lineRule="auto"/>
        <w:tabs>
          <w:tab w:leader="none" w:pos="1918"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in which the person is found liable on the basis that personal benefit was improperly received by him, whether or not the benefit resulted from an action taken in the person’s Official Capacity; or</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in which the person is found liable to the Company.</w:t>
      </w:r>
    </w:p>
    <w:p>
      <w:pPr>
        <w:spacing w:after="0" w:line="218" w:lineRule="exact"/>
        <w:rPr>
          <w:sz w:val="20"/>
          <w:szCs w:val="20"/>
          <w:color w:val="auto"/>
        </w:rPr>
      </w:pPr>
    </w:p>
    <w:p>
      <w:pPr>
        <w:ind w:right="20" w:firstLine="629"/>
        <w:spacing w:after="0" w:line="270" w:lineRule="auto"/>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b w:val="1"/>
          <w:bCs w:val="1"/>
          <w:u w:val="single" w:color="auto"/>
          <w:color w:val="auto"/>
        </w:rPr>
        <w:t>Termination of Proceedings</w:t>
      </w:r>
      <w:r>
        <w:rPr>
          <w:rFonts w:ascii="Arial" w:cs="Arial" w:eastAsia="Arial" w:hAnsi="Arial"/>
          <w:sz w:val="17"/>
          <w:szCs w:val="17"/>
          <w:color w:val="auto"/>
        </w:rPr>
        <w:t xml:space="preserve">. The termination of a proceeding by judgment, order, settlement or conviction, or on a plea of nolo contendere or its equivalent is not of itself determinative that the person did not meet the requirements set forth in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hereof. A person shall be deemed to have been found liable in respect of any claim, issue or matter only after the person shall have been so adjudged by a court of competent jurisdiction after exhaustion of all appeals therefrom.</w:t>
      </w:r>
    </w:p>
    <w:p>
      <w:pPr>
        <w:spacing w:after="0" w:line="169"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b w:val="1"/>
          <w:bCs w:val="1"/>
          <w:u w:val="single" w:color="auto"/>
          <w:color w:val="auto"/>
        </w:rPr>
        <w:t>Judgments, Expenses, etc</w:t>
      </w:r>
      <w:r>
        <w:rPr>
          <w:rFonts w:ascii="Arial" w:cs="Arial" w:eastAsia="Arial" w:hAnsi="Arial"/>
          <w:sz w:val="17"/>
          <w:szCs w:val="17"/>
          <w:color w:val="auto"/>
        </w:rPr>
        <w:t xml:space="preserve">. A person may be indemnified under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hereof against judgments, penalties (including excise and similar taxes), fines, settlements and reasonable expenses actually incurred by the person in connection with the proceeding; but if the person is found liable to the Company or is found liable on the basis that personal benefit was improperly received by the person, the indemnification (1) is limited to reasonable expenses actually incurred by the person in connection with the proceeding and (2) shall not be made in respect of any proceeding in which the person shall have been found liable for willful or intentional misconduct in the performance of his duty to the Company.</w:t>
      </w:r>
    </w:p>
    <w:p>
      <w:pPr>
        <w:spacing w:after="0" w:line="171"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Section 8.6</w:t>
      </w:r>
      <w:r>
        <w:rPr>
          <w:sz w:val="20"/>
          <w:szCs w:val="20"/>
          <w:color w:val="auto"/>
        </w:rPr>
        <w:tab/>
      </w:r>
      <w:r>
        <w:rPr>
          <w:rFonts w:ascii="Arial" w:cs="Arial" w:eastAsia="Arial" w:hAnsi="Arial"/>
          <w:sz w:val="16"/>
          <w:szCs w:val="16"/>
          <w:b w:val="1"/>
          <w:bCs w:val="1"/>
          <w:u w:val="single" w:color="auto"/>
          <w:color w:val="auto"/>
        </w:rPr>
        <w:t>Determination of Indemnification</w:t>
      </w:r>
      <w:r>
        <w:rPr>
          <w:rFonts w:ascii="Arial" w:cs="Arial" w:eastAsia="Arial" w:hAnsi="Arial"/>
          <w:sz w:val="16"/>
          <w:szCs w:val="16"/>
          <w:color w:val="auto"/>
        </w:rPr>
        <w:t>. A determination of indemnification under</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8.2</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hereof must be made:</w:t>
      </w:r>
    </w:p>
    <w:p>
      <w:pPr>
        <w:spacing w:after="0" w:line="230" w:lineRule="exact"/>
        <w:rPr>
          <w:sz w:val="20"/>
          <w:szCs w:val="20"/>
          <w:color w:val="auto"/>
        </w:rPr>
      </w:pPr>
    </w:p>
    <w:p>
      <w:pPr>
        <w:ind w:left="1920" w:hanging="657"/>
        <w:spacing w:after="0"/>
        <w:tabs>
          <w:tab w:leader="none" w:pos="192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by a majority vote of a quorum consisting of directors who at the time of the vote are not named defendants or respondents in the</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proceeding;</w:t>
      </w:r>
    </w:p>
    <w:p>
      <w:pPr>
        <w:spacing w:after="0" w:line="212" w:lineRule="exact"/>
        <w:rPr>
          <w:rFonts w:ascii="Arial" w:cs="Arial" w:eastAsia="Arial" w:hAnsi="Arial"/>
          <w:sz w:val="16"/>
          <w:szCs w:val="16"/>
          <w:color w:val="auto"/>
        </w:rPr>
      </w:pPr>
    </w:p>
    <w:p>
      <w:pPr>
        <w:ind w:left="640" w:right="100" w:firstLine="623"/>
        <w:spacing w:after="0" w:line="322" w:lineRule="auto"/>
        <w:tabs>
          <w:tab w:leader="none" w:pos="1908" w:val="left"/>
        </w:tabs>
        <w:numPr>
          <w:ilvl w:val="1"/>
          <w:numId w:val="225"/>
        </w:numPr>
        <w:rPr>
          <w:rFonts w:ascii="Arial" w:cs="Arial" w:eastAsia="Arial" w:hAnsi="Arial"/>
          <w:sz w:val="16"/>
          <w:szCs w:val="16"/>
          <w:color w:val="auto"/>
        </w:rPr>
      </w:pPr>
      <w:r>
        <w:rPr>
          <w:rFonts w:ascii="Arial" w:cs="Arial" w:eastAsia="Arial" w:hAnsi="Arial"/>
          <w:sz w:val="16"/>
          <w:szCs w:val="16"/>
          <w:color w:val="auto"/>
        </w:rPr>
        <w:t>if such a quorum cannot be obtained, by a majority vote of a committee of the Board, designated to act in the matter by a majority vote of all directors, consisting solely of two or more directors who at the time of the vote are not named defendants or respondents in the proceeding;</w:t>
      </w:r>
    </w:p>
    <w:p>
      <w:pPr>
        <w:spacing w:after="0" w:line="135" w:lineRule="exact"/>
        <w:rPr>
          <w:rFonts w:ascii="Arial" w:cs="Arial" w:eastAsia="Arial" w:hAnsi="Arial"/>
          <w:sz w:val="16"/>
          <w:szCs w:val="16"/>
          <w:color w:val="auto"/>
        </w:rPr>
      </w:pPr>
    </w:p>
    <w:p>
      <w:pPr>
        <w:ind w:left="1900" w:hanging="637"/>
        <w:spacing w:after="0"/>
        <w:tabs>
          <w:tab w:leader="none" w:pos="190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in a written opinion by independent legal counsel selected by the Board or a committee thereof by vote as set forth in subsection (a) or</w:t>
      </w:r>
    </w:p>
    <w:p>
      <w:pPr>
        <w:spacing w:after="0" w:line="37" w:lineRule="exact"/>
        <w:rPr>
          <w:rFonts w:ascii="Arial" w:cs="Arial" w:eastAsia="Arial" w:hAnsi="Arial"/>
          <w:sz w:val="16"/>
          <w:szCs w:val="16"/>
          <w:color w:val="auto"/>
        </w:rPr>
      </w:pPr>
    </w:p>
    <w:p>
      <w:pPr>
        <w:ind w:left="880" w:hanging="246"/>
        <w:spacing w:after="0"/>
        <w:tabs>
          <w:tab w:leader="none" w:pos="88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of this Section 8.6, or if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such a quorum cannot be obtained and such a committee cannot be established, by a majority vote of all Directors; or</w:t>
      </w:r>
    </w:p>
    <w:p>
      <w:pPr>
        <w:spacing w:after="0" w:line="224" w:lineRule="exact"/>
        <w:rPr>
          <w:sz w:val="20"/>
          <w:szCs w:val="20"/>
          <w:color w:val="auto"/>
        </w:rPr>
      </w:pPr>
    </w:p>
    <w:p>
      <w:pPr>
        <w:ind w:left="1920" w:hanging="657"/>
        <w:spacing w:after="0"/>
        <w:tabs>
          <w:tab w:leader="none" w:pos="192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by the shareholders of the Company in a vote that excludes the shares held by Directors who are named defendants or respondents in</w:t>
      </w:r>
    </w:p>
    <w:p>
      <w:pPr>
        <w:spacing w:after="0" w:line="49"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7"/>
          <w:szCs w:val="17"/>
          <w:color w:val="auto"/>
        </w:rPr>
        <w:t>the proceeding.</w:t>
      </w:r>
    </w:p>
    <w:p>
      <w:pPr>
        <w:spacing w:after="0" w:line="206" w:lineRule="exact"/>
        <w:rPr>
          <w:sz w:val="20"/>
          <w:szCs w:val="20"/>
          <w:color w:val="auto"/>
        </w:rPr>
      </w:pPr>
    </w:p>
    <w:p>
      <w:pPr>
        <w:ind w:right="40" w:firstLine="629"/>
        <w:spacing w:after="0" w:line="270" w:lineRule="auto"/>
        <w:rPr>
          <w:sz w:val="20"/>
          <w:szCs w:val="20"/>
          <w:color w:val="auto"/>
        </w:rPr>
      </w:pPr>
      <w:r>
        <w:rPr>
          <w:rFonts w:ascii="Arial" w:cs="Arial" w:eastAsia="Arial" w:hAnsi="Arial"/>
          <w:sz w:val="17"/>
          <w:szCs w:val="17"/>
          <w:color w:val="auto"/>
        </w:rPr>
        <w:t xml:space="preserve">Section 8.7 </w:t>
      </w:r>
      <w:r>
        <w:rPr>
          <w:rFonts w:ascii="Arial" w:cs="Arial" w:eastAsia="Arial" w:hAnsi="Arial"/>
          <w:sz w:val="17"/>
          <w:szCs w:val="17"/>
          <w:b w:val="1"/>
          <w:bCs w:val="1"/>
          <w:u w:val="single" w:color="auto"/>
          <w:color w:val="auto"/>
        </w:rPr>
        <w:t>Determination of Reasonableness of Expenses</w:t>
      </w:r>
      <w:r>
        <w:rPr>
          <w:rFonts w:ascii="Arial" w:cs="Arial" w:eastAsia="Arial" w:hAnsi="Arial"/>
          <w:sz w:val="17"/>
          <w:szCs w:val="17"/>
          <w:color w:val="auto"/>
        </w:rPr>
        <w:t xml:space="preserve">. Determination as to reasonableness of expenses must be made in the same manner as the determination that indemnification is permissible, except that if the determination that indemnification is permissible is made by independent legal counsel, determination as to reasonableness of expenses must be made in the manner specified by subsection (c) of </w:t>
      </w:r>
      <w:r>
        <w:rPr>
          <w:rFonts w:ascii="Arial" w:cs="Arial" w:eastAsia="Arial" w:hAnsi="Arial"/>
          <w:sz w:val="17"/>
          <w:szCs w:val="17"/>
          <w:u w:val="single" w:color="auto"/>
          <w:color w:val="auto"/>
        </w:rPr>
        <w:t>Section 8.6</w:t>
      </w:r>
      <w:r>
        <w:rPr>
          <w:rFonts w:ascii="Arial" w:cs="Arial" w:eastAsia="Arial" w:hAnsi="Arial"/>
          <w:sz w:val="17"/>
          <w:szCs w:val="17"/>
          <w:color w:val="auto"/>
        </w:rPr>
        <w:t xml:space="preserve"> hereof for the selection of independent legal counsel.</w:t>
      </w:r>
    </w:p>
    <w:p>
      <w:pPr>
        <w:spacing w:after="0" w:line="169" w:lineRule="exact"/>
        <w:rPr>
          <w:sz w:val="20"/>
          <w:szCs w:val="20"/>
          <w:color w:val="auto"/>
        </w:rPr>
      </w:pPr>
    </w:p>
    <w:p>
      <w:pPr>
        <w:ind w:right="240" w:firstLine="629"/>
        <w:spacing w:after="0" w:line="277" w:lineRule="auto"/>
        <w:rPr>
          <w:sz w:val="20"/>
          <w:szCs w:val="20"/>
          <w:color w:val="auto"/>
        </w:rPr>
      </w:pPr>
      <w:r>
        <w:rPr>
          <w:rFonts w:ascii="Arial" w:cs="Arial" w:eastAsia="Arial" w:hAnsi="Arial"/>
          <w:sz w:val="17"/>
          <w:szCs w:val="17"/>
          <w:color w:val="auto"/>
        </w:rPr>
        <w:t xml:space="preserve">Section 8.8 </w:t>
      </w:r>
      <w:r>
        <w:rPr>
          <w:rFonts w:ascii="Arial" w:cs="Arial" w:eastAsia="Arial" w:hAnsi="Arial"/>
          <w:sz w:val="17"/>
          <w:szCs w:val="17"/>
          <w:b w:val="1"/>
          <w:bCs w:val="1"/>
          <w:u w:val="single" w:color="auto"/>
          <w:color w:val="auto"/>
        </w:rPr>
        <w:t>Indemnification Against Reasonable Expenses</w:t>
      </w:r>
      <w:r>
        <w:rPr>
          <w:rFonts w:ascii="Arial" w:cs="Arial" w:eastAsia="Arial" w:hAnsi="Arial"/>
          <w:sz w:val="17"/>
          <w:szCs w:val="17"/>
          <w:color w:val="auto"/>
        </w:rPr>
        <w:t>. The Company shall indemnify a Director against reasonable expenses incurred by him in connection with a proceeding in which he is a named defendant or respondent because he is or was a Director if he has been wholly successful, on the merits or otherwise, in the defense of the proceeding.</w:t>
      </w:r>
    </w:p>
    <w:p>
      <w:pPr>
        <w:sectPr>
          <w:pgSz w:w="11900" w:h="16838" w:orient="portrait"/>
          <w:cols w:equalWidth="0" w:num="1">
            <w:col w:w="11420"/>
          </w:cols>
          <w:pgMar w:left="240" w:top="127" w:right="239" w:bottom="0" w:gutter="0" w:footer="0" w:header="0"/>
        </w:sectPr>
      </w:pPr>
    </w:p>
    <w:bookmarkStart w:id="234" w:name="page235"/>
    <w:bookmarkEnd w:id="234"/>
    <w:p>
      <w:pPr>
        <w:ind w:right="40" w:firstLine="629"/>
        <w:spacing w:after="0" w:line="267" w:lineRule="auto"/>
        <w:rPr>
          <w:sz w:val="20"/>
          <w:szCs w:val="20"/>
          <w:color w:val="auto"/>
        </w:rPr>
      </w:pPr>
      <w:r>
        <w:rPr>
          <w:rFonts w:ascii="Arial" w:cs="Arial" w:eastAsia="Arial" w:hAnsi="Arial"/>
          <w:sz w:val="17"/>
          <w:szCs w:val="17"/>
          <w:color w:val="auto"/>
        </w:rPr>
        <w:t xml:space="preserve">Section 8.9 </w:t>
      </w:r>
      <w:r>
        <w:rPr>
          <w:rFonts w:ascii="Arial" w:cs="Arial" w:eastAsia="Arial" w:hAnsi="Arial"/>
          <w:sz w:val="17"/>
          <w:szCs w:val="17"/>
          <w:b w:val="1"/>
          <w:bCs w:val="1"/>
          <w:u w:val="single" w:color="auto"/>
          <w:color w:val="auto"/>
        </w:rPr>
        <w:t>Payments in Advance of Disposition</w:t>
      </w:r>
      <w:r>
        <w:rPr>
          <w:rFonts w:ascii="Arial" w:cs="Arial" w:eastAsia="Arial" w:hAnsi="Arial"/>
          <w:sz w:val="17"/>
          <w:szCs w:val="17"/>
          <w:color w:val="auto"/>
        </w:rPr>
        <w:t xml:space="preserve">. Reasonable expenses incurred by a Director who was, is, or is threatened to be made a named defendant or respondent in a proceeding shall be paid or reimbursed by the Company, in advance of the final disposition of the proceeding and without any of the determinations specified in </w:t>
      </w:r>
      <w:r>
        <w:rPr>
          <w:rFonts w:ascii="Arial" w:cs="Arial" w:eastAsia="Arial" w:hAnsi="Arial"/>
          <w:sz w:val="17"/>
          <w:szCs w:val="17"/>
          <w:u w:val="single" w:color="auto"/>
          <w:color w:val="auto"/>
        </w:rPr>
        <w:t>Section 8.6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8.7</w:t>
      </w:r>
      <w:r>
        <w:rPr>
          <w:rFonts w:ascii="Arial" w:cs="Arial" w:eastAsia="Arial" w:hAnsi="Arial"/>
          <w:sz w:val="17"/>
          <w:szCs w:val="17"/>
          <w:color w:val="auto"/>
        </w:rPr>
        <w:t xml:space="preserve"> hereof, after the Company receives a written affirmation by the Director of his good faith belief that he has met the standard of conduct necessary for indemnification under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a written undertaking by or on behalf of the Director to repay the amount paid or reimbursed if it is ultimately determined that he has not met those requirements.</w:t>
      </w:r>
    </w:p>
    <w:p>
      <w:pPr>
        <w:spacing w:after="0" w:line="171" w:lineRule="exact"/>
        <w:rPr>
          <w:sz w:val="20"/>
          <w:szCs w:val="20"/>
          <w:color w:val="auto"/>
        </w:rPr>
      </w:pPr>
    </w:p>
    <w:p>
      <w:pPr>
        <w:ind w:right="40" w:firstLine="629"/>
        <w:spacing w:after="0" w:line="297" w:lineRule="auto"/>
        <w:rPr>
          <w:sz w:val="20"/>
          <w:szCs w:val="20"/>
          <w:color w:val="auto"/>
        </w:rPr>
      </w:pPr>
      <w:r>
        <w:rPr>
          <w:rFonts w:ascii="Arial" w:cs="Arial" w:eastAsia="Arial" w:hAnsi="Arial"/>
          <w:sz w:val="17"/>
          <w:szCs w:val="17"/>
          <w:color w:val="auto"/>
        </w:rPr>
        <w:t xml:space="preserve">Section 8.10 </w:t>
      </w:r>
      <w:r>
        <w:rPr>
          <w:rFonts w:ascii="Arial" w:cs="Arial" w:eastAsia="Arial" w:hAnsi="Arial"/>
          <w:sz w:val="17"/>
          <w:szCs w:val="17"/>
          <w:b w:val="1"/>
          <w:bCs w:val="1"/>
          <w:u w:val="single" w:color="auto"/>
          <w:color w:val="auto"/>
        </w:rPr>
        <w:t>Written Undertaking</w:t>
      </w:r>
      <w:r>
        <w:rPr>
          <w:rFonts w:ascii="Arial" w:cs="Arial" w:eastAsia="Arial" w:hAnsi="Arial"/>
          <w:sz w:val="17"/>
          <w:szCs w:val="17"/>
          <w:color w:val="auto"/>
        </w:rPr>
        <w:t xml:space="preserve">. The written undertaking required by </w:t>
      </w:r>
      <w:r>
        <w:rPr>
          <w:rFonts w:ascii="Arial" w:cs="Arial" w:eastAsia="Arial" w:hAnsi="Arial"/>
          <w:sz w:val="17"/>
          <w:szCs w:val="17"/>
          <w:u w:val="single" w:color="auto"/>
          <w:color w:val="auto"/>
        </w:rPr>
        <w:t>Section 8.9</w:t>
      </w:r>
      <w:r>
        <w:rPr>
          <w:rFonts w:ascii="Arial" w:cs="Arial" w:eastAsia="Arial" w:hAnsi="Arial"/>
          <w:sz w:val="17"/>
          <w:szCs w:val="17"/>
          <w:color w:val="auto"/>
        </w:rPr>
        <w:t xml:space="preserve"> hereof must be an unlimited general obligation of the Director but need not be secured. It may be accepted without reference to financial ability to make repayment.</w:t>
      </w:r>
    </w:p>
    <w:p>
      <w:pPr>
        <w:spacing w:after="0" w:line="145" w:lineRule="exact"/>
        <w:rPr>
          <w:sz w:val="20"/>
          <w:szCs w:val="20"/>
          <w:color w:val="auto"/>
        </w:rPr>
      </w:pPr>
    </w:p>
    <w:p>
      <w:pPr>
        <w:ind w:right="100" w:firstLine="629"/>
        <w:spacing w:after="0" w:line="270"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b w:val="1"/>
          <w:bCs w:val="1"/>
          <w:u w:val="single" w:color="auto"/>
          <w:color w:val="auto"/>
        </w:rPr>
        <w:t>Consistency with Certificate of Incorporation</w:t>
      </w:r>
      <w:r>
        <w:rPr>
          <w:rFonts w:ascii="Arial" w:cs="Arial" w:eastAsia="Arial" w:hAnsi="Arial"/>
          <w:sz w:val="17"/>
          <w:szCs w:val="17"/>
          <w:color w:val="auto"/>
        </w:rPr>
        <w:t xml:space="preserve">. Any provision for the Company to indemnify or to advance expenses to a Director who was, is, or is threatened to be made a named defendant or respondent in a proceeding, whether contained in the certificate of incorporation, these Bylaws, a resolution of stockholders or Directors, an agreement, or otherwise, except in accordance with </w:t>
      </w:r>
      <w:r>
        <w:rPr>
          <w:rFonts w:ascii="Arial" w:cs="Arial" w:eastAsia="Arial" w:hAnsi="Arial"/>
          <w:sz w:val="17"/>
          <w:szCs w:val="17"/>
          <w:u w:val="single" w:color="auto"/>
          <w:color w:val="auto"/>
        </w:rPr>
        <w:t>Section 8.16</w:t>
      </w:r>
      <w:r>
        <w:rPr>
          <w:rFonts w:ascii="Arial" w:cs="Arial" w:eastAsia="Arial" w:hAnsi="Arial"/>
          <w:sz w:val="17"/>
          <w:szCs w:val="17"/>
          <w:color w:val="auto"/>
        </w:rPr>
        <w:t xml:space="preserve"> hereof, is valid only to the extent it is consistent with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as limited by the certificate of incorporation, if such a limitation exists.</w:t>
      </w:r>
    </w:p>
    <w:p>
      <w:pPr>
        <w:spacing w:after="0" w:line="169" w:lineRule="exact"/>
        <w:rPr>
          <w:sz w:val="20"/>
          <w:szCs w:val="20"/>
          <w:color w:val="auto"/>
        </w:rPr>
      </w:pPr>
    </w:p>
    <w:p>
      <w:pPr>
        <w:ind w:right="40" w:firstLine="629"/>
        <w:spacing w:after="0" w:line="277"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b w:val="1"/>
          <w:bCs w:val="1"/>
          <w:u w:val="single" w:color="auto"/>
          <w:color w:val="auto"/>
        </w:rPr>
        <w:t>Other Expenses</w:t>
      </w:r>
      <w:r>
        <w:rPr>
          <w:rFonts w:ascii="Arial" w:cs="Arial" w:eastAsia="Arial" w:hAnsi="Arial"/>
          <w:sz w:val="17"/>
          <w:szCs w:val="17"/>
          <w:color w:val="auto"/>
        </w:rPr>
        <w:t xml:space="preserve">. Notwithstanding any other provision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the Company may pay or reimburse expenses incurred by a Director in connection with his appearance as a witness or other participation in a proceeding at a time when he is not a named defendant or respondent in the proceeding.</w:t>
      </w:r>
    </w:p>
    <w:p>
      <w:pPr>
        <w:spacing w:after="0" w:line="162" w:lineRule="exact"/>
        <w:rPr>
          <w:sz w:val="20"/>
          <w:szCs w:val="20"/>
          <w:color w:val="auto"/>
        </w:rPr>
      </w:pPr>
    </w:p>
    <w:p>
      <w:pPr>
        <w:ind w:right="160" w:firstLine="629"/>
        <w:spacing w:after="0" w:line="277" w:lineRule="auto"/>
        <w:rPr>
          <w:sz w:val="20"/>
          <w:szCs w:val="20"/>
          <w:color w:val="auto"/>
        </w:rPr>
      </w:pPr>
      <w:r>
        <w:rPr>
          <w:rFonts w:ascii="Arial" w:cs="Arial" w:eastAsia="Arial" w:hAnsi="Arial"/>
          <w:sz w:val="17"/>
          <w:szCs w:val="17"/>
          <w:color w:val="auto"/>
        </w:rPr>
        <w:t xml:space="preserve">Section 8.13 </w:t>
      </w:r>
      <w:r>
        <w:rPr>
          <w:rFonts w:ascii="Arial" w:cs="Arial" w:eastAsia="Arial" w:hAnsi="Arial"/>
          <w:sz w:val="17"/>
          <w:szCs w:val="17"/>
          <w:b w:val="1"/>
          <w:bCs w:val="1"/>
          <w:u w:val="single" w:color="auto"/>
          <w:color w:val="auto"/>
        </w:rPr>
        <w:t>Officers, Employees and Agents</w:t>
      </w:r>
      <w:r>
        <w:rPr>
          <w:rFonts w:ascii="Arial" w:cs="Arial" w:eastAsia="Arial" w:hAnsi="Arial"/>
          <w:sz w:val="17"/>
          <w:szCs w:val="17"/>
          <w:color w:val="auto"/>
        </w:rPr>
        <w:t xml:space="preserve">. An officer, employee or agent of the Company shall be indemnified as, and to the same extent, provided by </w:t>
      </w:r>
      <w:r>
        <w:rPr>
          <w:rFonts w:ascii="Arial" w:cs="Arial" w:eastAsia="Arial" w:hAnsi="Arial"/>
          <w:sz w:val="17"/>
          <w:szCs w:val="17"/>
          <w:u w:val="single" w:color="auto"/>
          <w:color w:val="auto"/>
        </w:rPr>
        <w:t>Section 8.8</w:t>
      </w:r>
      <w:r>
        <w:rPr>
          <w:rFonts w:ascii="Arial" w:cs="Arial" w:eastAsia="Arial" w:hAnsi="Arial"/>
          <w:sz w:val="17"/>
          <w:szCs w:val="17"/>
          <w:color w:val="auto"/>
        </w:rPr>
        <w:t xml:space="preserve"> hereof for a Director and is entitled to seek indemnification under such section to the same extent as a Director if such officer, employee or agent was, is or is threatened to be named as a defendant or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360" w:lineRule="auto"/>
        <w:rPr>
          <w:sz w:val="20"/>
          <w:szCs w:val="20"/>
          <w:color w:val="auto"/>
        </w:rPr>
      </w:pPr>
      <w:r>
        <w:rPr>
          <w:rFonts w:ascii="Arial" w:cs="Arial" w:eastAsia="Arial" w:hAnsi="Arial"/>
          <w:sz w:val="15"/>
          <w:szCs w:val="15"/>
          <w:color w:val="auto"/>
        </w:rPr>
        <w:t xml:space="preserve">respondant in any Proceeding because such person is or was an officer, employee or agent of the Company. The Company shall advance expenses to an officer and may advance expenses to an employee or agent of the Company to the same extent that it shall advance expenses to Directors under this </w:t>
      </w:r>
      <w:r>
        <w:rPr>
          <w:rFonts w:ascii="Arial" w:cs="Arial" w:eastAsia="Arial" w:hAnsi="Arial"/>
          <w:sz w:val="15"/>
          <w:szCs w:val="15"/>
          <w:u w:val="single" w:color="auto"/>
          <w:color w:val="auto"/>
        </w:rPr>
        <w:t>Article VIII</w:t>
      </w:r>
      <w:r>
        <w:rPr>
          <w:rFonts w:ascii="Arial" w:cs="Arial" w:eastAsia="Arial" w:hAnsi="Arial"/>
          <w:sz w:val="15"/>
          <w:szCs w:val="15"/>
          <w:color w:val="auto"/>
        </w:rPr>
        <w:t>.</w:t>
      </w:r>
    </w:p>
    <w:p>
      <w:pPr>
        <w:spacing w:after="0" w:line="106" w:lineRule="exact"/>
        <w:rPr>
          <w:sz w:val="20"/>
          <w:szCs w:val="20"/>
          <w:color w:val="auto"/>
        </w:rPr>
      </w:pPr>
    </w:p>
    <w:p>
      <w:pPr>
        <w:ind w:right="180" w:firstLine="629"/>
        <w:spacing w:after="0" w:line="270" w:lineRule="auto"/>
        <w:rPr>
          <w:sz w:val="20"/>
          <w:szCs w:val="20"/>
          <w:color w:val="auto"/>
        </w:rPr>
      </w:pPr>
      <w:r>
        <w:rPr>
          <w:rFonts w:ascii="Arial" w:cs="Arial" w:eastAsia="Arial" w:hAnsi="Arial"/>
          <w:sz w:val="17"/>
          <w:szCs w:val="17"/>
          <w:color w:val="auto"/>
        </w:rPr>
        <w:t xml:space="preserve">Section 8.14 </w:t>
      </w:r>
      <w:r>
        <w:rPr>
          <w:rFonts w:ascii="Arial" w:cs="Arial" w:eastAsia="Arial" w:hAnsi="Arial"/>
          <w:sz w:val="17"/>
          <w:szCs w:val="17"/>
          <w:b w:val="1"/>
          <w:bCs w:val="1"/>
          <w:u w:val="single" w:color="auto"/>
          <w:color w:val="auto"/>
        </w:rPr>
        <w:t>Other Capacities</w:t>
      </w:r>
      <w:r>
        <w:rPr>
          <w:rFonts w:ascii="Arial" w:cs="Arial" w:eastAsia="Arial" w:hAnsi="Arial"/>
          <w:sz w:val="17"/>
          <w:szCs w:val="17"/>
          <w:color w:val="auto"/>
        </w:rPr>
        <w:t xml:space="preserve">. A corporation may indemnify and advance expenses to persons who are not or were not officers, employees, or agents of the Company, but who are or were serving at the request of the Company as a director, officer, partner, venturer, proprietor, trustee, employee, agent or similar functionary of another foreign or domestic corporation, employee benefit plan, other enterprise, or other entity to the same extent that it shall indemnify and advance expenses to Directors under this </w:t>
      </w:r>
      <w:r>
        <w:rPr>
          <w:rFonts w:ascii="Arial" w:cs="Arial" w:eastAsia="Arial" w:hAnsi="Arial"/>
          <w:sz w:val="17"/>
          <w:szCs w:val="17"/>
          <w:u w:val="single" w:color="auto"/>
          <w:color w:val="auto"/>
        </w:rPr>
        <w:t>Article VIII</w:t>
      </w:r>
      <w:r>
        <w:rPr>
          <w:rFonts w:ascii="Arial" w:cs="Arial" w:eastAsia="Arial" w:hAnsi="Arial"/>
          <w:sz w:val="17"/>
          <w:szCs w:val="17"/>
          <w:color w:val="auto"/>
        </w:rPr>
        <w:t>.</w:t>
      </w:r>
    </w:p>
    <w:p>
      <w:pPr>
        <w:spacing w:after="0" w:line="169" w:lineRule="exact"/>
        <w:rPr>
          <w:sz w:val="20"/>
          <w:szCs w:val="20"/>
          <w:color w:val="auto"/>
        </w:rPr>
      </w:pPr>
    </w:p>
    <w:p>
      <w:pPr>
        <w:ind w:firstLine="629"/>
        <w:spacing w:after="0" w:line="277" w:lineRule="auto"/>
        <w:rPr>
          <w:sz w:val="20"/>
          <w:szCs w:val="20"/>
          <w:color w:val="auto"/>
        </w:rPr>
      </w:pPr>
      <w:r>
        <w:rPr>
          <w:rFonts w:ascii="Arial" w:cs="Arial" w:eastAsia="Arial" w:hAnsi="Arial"/>
          <w:sz w:val="17"/>
          <w:szCs w:val="17"/>
          <w:color w:val="auto"/>
        </w:rPr>
        <w:t xml:space="preserve">Section 8.15 </w:t>
      </w:r>
      <w:r>
        <w:rPr>
          <w:rFonts w:ascii="Arial" w:cs="Arial" w:eastAsia="Arial" w:hAnsi="Arial"/>
          <w:sz w:val="17"/>
          <w:szCs w:val="17"/>
          <w:b w:val="1"/>
          <w:bCs w:val="1"/>
          <w:u w:val="single" w:color="auto"/>
          <w:color w:val="auto"/>
        </w:rPr>
        <w:t>Further Indemnification</w:t>
      </w:r>
      <w:r>
        <w:rPr>
          <w:rFonts w:ascii="Arial" w:cs="Arial" w:eastAsia="Arial" w:hAnsi="Arial"/>
          <w:sz w:val="17"/>
          <w:szCs w:val="17"/>
          <w:color w:val="auto"/>
        </w:rPr>
        <w:t xml:space="preserve">. The Company may indemnify and advance expenses to an officer, employee, agent, or person identified in </w:t>
      </w:r>
      <w:r>
        <w:rPr>
          <w:rFonts w:ascii="Arial" w:cs="Arial" w:eastAsia="Arial" w:hAnsi="Arial"/>
          <w:sz w:val="17"/>
          <w:szCs w:val="17"/>
          <w:u w:val="single" w:color="auto"/>
          <w:color w:val="auto"/>
        </w:rPr>
        <w:t>Section 8.14</w:t>
      </w:r>
      <w:r>
        <w:rPr>
          <w:rFonts w:ascii="Arial" w:cs="Arial" w:eastAsia="Arial" w:hAnsi="Arial"/>
          <w:sz w:val="17"/>
          <w:szCs w:val="17"/>
          <w:color w:val="auto"/>
        </w:rPr>
        <w:t xml:space="preserve"> hereof and who is not a Director to such further extent, consistent with law, as may be provided by the articles of incorporation, these Bylaws, general or specific action of the Board, or contract or as permitted or required by common law.</w:t>
      </w:r>
    </w:p>
    <w:p>
      <w:pPr>
        <w:spacing w:after="0" w:line="162" w:lineRule="exact"/>
        <w:rPr>
          <w:sz w:val="20"/>
          <w:szCs w:val="20"/>
          <w:color w:val="auto"/>
        </w:rPr>
      </w:pPr>
    </w:p>
    <w:p>
      <w:pPr>
        <w:ind w:right="20" w:firstLine="629"/>
        <w:spacing w:after="0" w:line="277" w:lineRule="auto"/>
        <w:rPr>
          <w:sz w:val="20"/>
          <w:szCs w:val="20"/>
          <w:color w:val="auto"/>
        </w:rPr>
      </w:pPr>
      <w:r>
        <w:rPr>
          <w:rFonts w:ascii="Arial" w:cs="Arial" w:eastAsia="Arial" w:hAnsi="Arial"/>
          <w:sz w:val="16"/>
          <w:szCs w:val="16"/>
          <w:color w:val="auto"/>
        </w:rPr>
        <w:t xml:space="preserve">Section 8.16 </w:t>
      </w: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 xml:space="preserve">. The Company may purchase and maintain insurance or another arrangement on behalf of any person who is or was a Director, officer, employee or agent of the Company or who is or was serving at the request of the Company as a director, officer, partner, venturer, proprietor, trustee, employee, agent or similar functionary of another foreign or domestic corporation, employee benefit plan, other enterprise, or other entity against any liability asserted against him and incurred by him in such a capacity or arising out of his status as such a person, whether or not the Company would have the power to indemnify him against that liability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If the insurance or other arrangement is with a person or entity that is not regularly engaged in the business of providing insurance coverage, the insurance or arrangement may provide for payment of a liability with respect to which the Company would not have the power to indemnify the person only if including coverage for the additional liability has been approved by the stockholders of the Company. Without limiting the power of the Company to procure or maintain any kind of insurance or other arrangement, the Company may, for the benefit of persons indemnified by the Company, (1) create a trust fund; (2) establish any form of self-insurance; (3) secure its indemnity obligation by grant of a security interest or other lien on the assets of the Company; or (4) establish a letter of credit, guaranty, or surety arrangement. The insurance or other arrangement may be procured, maintained, or established within the Company or with any insurer or other person deemed appropriate by the Board regardless of whether all or part of the stock or other securities of the insurer or other person are owned in whole or part by the Company. In the absence of fraud, the judgment of the Board as to the terms and conditions of the insurance or other arrangement and the identity of the insurer or other person participating in an arrangement shall be conclusive and the insurance or arrangement shall not be voidable and shall not subject the Directors approving the insurance or arrangement to liability, on any ground, regardless of whether Directors participating in the approval are beneficiaries of the insurance or arrangement.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IX</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INTERESTED DIRECTORS, OFFICERS AND STOCKHOLDERS</w:t>
      </w:r>
    </w:p>
    <w:p>
      <w:pPr>
        <w:spacing w:after="0" w:line="224" w:lineRule="exact"/>
        <w:rPr>
          <w:sz w:val="20"/>
          <w:szCs w:val="20"/>
          <w:color w:val="auto"/>
        </w:rPr>
      </w:pPr>
    </w:p>
    <w:p>
      <w:pPr>
        <w:ind w:right="140" w:firstLine="629"/>
        <w:spacing w:after="0" w:line="267"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b w:val="1"/>
          <w:bCs w:val="1"/>
          <w:u w:val="single" w:color="auto"/>
          <w:color w:val="auto"/>
        </w:rPr>
        <w:t>Validity; Disclosure; Approval</w:t>
      </w:r>
      <w:r>
        <w:rPr>
          <w:rFonts w:ascii="Arial" w:cs="Arial" w:eastAsia="Arial" w:hAnsi="Arial"/>
          <w:sz w:val="17"/>
          <w:szCs w:val="17"/>
          <w:color w:val="auto"/>
        </w:rPr>
        <w:t>. An otherwise valid contract or transaction between the Company and one or more of its directors or officers, or between the Company and any other domestic or foreign corporation, or other entity in which one or more of its directors or officers are directors or officers or have a financial interest, shall be valid notwithstanding whether the director or officer is present at or participates in the meeting of the Board or committee thereof which authorizes the contract or transaction, or solely because his or their votes are counted for such purpose, if any one of the following is satisfied:</w:t>
      </w:r>
    </w:p>
    <w:p>
      <w:pPr>
        <w:spacing w:after="0" w:line="177" w:lineRule="exact"/>
        <w:rPr>
          <w:sz w:val="20"/>
          <w:szCs w:val="20"/>
          <w:color w:val="auto"/>
        </w:rPr>
      </w:pPr>
    </w:p>
    <w:p>
      <w:pPr>
        <w:ind w:left="640" w:right="260" w:firstLine="623"/>
        <w:spacing w:after="0" w:line="273" w:lineRule="auto"/>
        <w:tabs>
          <w:tab w:leader="none" w:pos="1918"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material facts as to his relationship or interest and as to the contract or transaction are disclosed or are known to the Board or the committee, and the Board or committee in good faith authorizes the contract or transaction by the affirmative vote of a majority of the disinterested directors, even though the disinterested directors be less than a quorum; or</w:t>
      </w:r>
    </w:p>
    <w:p>
      <w:pPr>
        <w:spacing w:after="0" w:line="171" w:lineRule="exact"/>
        <w:rPr>
          <w:rFonts w:ascii="Arial" w:cs="Arial" w:eastAsia="Arial" w:hAnsi="Arial"/>
          <w:sz w:val="17"/>
          <w:szCs w:val="17"/>
          <w:color w:val="auto"/>
        </w:rPr>
      </w:pPr>
    </w:p>
    <w:p>
      <w:pPr>
        <w:ind w:left="640" w:right="260" w:firstLine="623"/>
        <w:spacing w:after="0" w:line="289" w:lineRule="auto"/>
        <w:tabs>
          <w:tab w:leader="none" w:pos="1908"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158" w:lineRule="exact"/>
        <w:rPr>
          <w:rFonts w:ascii="Arial" w:cs="Arial" w:eastAsia="Arial" w:hAnsi="Arial"/>
          <w:sz w:val="17"/>
          <w:szCs w:val="17"/>
          <w:color w:val="auto"/>
        </w:rPr>
      </w:pPr>
    </w:p>
    <w:p>
      <w:pPr>
        <w:ind w:left="640" w:right="400" w:firstLine="623"/>
        <w:spacing w:after="0" w:line="289" w:lineRule="auto"/>
        <w:tabs>
          <w:tab w:leader="none" w:pos="1908"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contract or transaction is fair as to the Company as of the time it is authorized, approved, or ratified by the Board, a committee thereof or the stockholders.</w:t>
      </w:r>
    </w:p>
    <w:p>
      <w:pPr>
        <w:sectPr>
          <w:pgSz w:w="11900" w:h="16838" w:orient="portrait"/>
          <w:cols w:equalWidth="0" w:num="1">
            <w:col w:w="11400"/>
          </w:cols>
          <w:pgMar w:left="240" w:top="121" w:right="259" w:bottom="0" w:gutter="0" w:footer="0" w:header="0"/>
        </w:sectPr>
      </w:pPr>
    </w:p>
    <w:bookmarkStart w:id="235" w:name="page236"/>
    <w:bookmarkEnd w:id="235"/>
    <w:p>
      <w:pPr>
        <w:ind w:right="160" w:firstLine="629"/>
        <w:spacing w:after="0" w:line="297"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b w:val="1"/>
          <w:bCs w:val="1"/>
          <w:u w:val="single" w:color="auto"/>
          <w:color w:val="auto"/>
        </w:rPr>
        <w:t>Quorum</w:t>
      </w:r>
      <w:r>
        <w:rPr>
          <w:rFonts w:ascii="Arial" w:cs="Arial" w:eastAsia="Arial" w:hAnsi="Arial"/>
          <w:sz w:val="17"/>
          <w:szCs w:val="17"/>
          <w:color w:val="auto"/>
        </w:rPr>
        <w:t>. Common or interested directors may be counted in determining the presence of a quorum at a meeting of the Board or by a committee which authorizes the contract or transaction.</w:t>
      </w:r>
    </w:p>
    <w:p>
      <w:pPr>
        <w:spacing w:after="0" w:line="145"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b w:val="1"/>
          <w:bCs w:val="1"/>
          <w:u w:val="single" w:color="auto"/>
          <w:color w:val="auto"/>
        </w:rPr>
        <w:t>Non-exclusive</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shall not be construed to invalidate any contract or transaction which would be valid in the absence of this </w:t>
      </w:r>
      <w:r>
        <w:rPr>
          <w:rFonts w:ascii="Arial" w:cs="Arial" w:eastAsia="Arial" w:hAnsi="Arial"/>
          <w:sz w:val="17"/>
          <w:szCs w:val="17"/>
          <w:u w:val="single" w:color="auto"/>
          <w:color w:val="auto"/>
        </w:rPr>
        <w:t>Article IX</w:t>
      </w:r>
      <w:r>
        <w:rPr>
          <w:rFonts w:ascii="Arial" w:cs="Arial" w:eastAsia="Arial" w:hAnsi="Arial"/>
          <w:sz w:val="17"/>
          <w:szCs w:val="17"/>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X</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MISCELLANEOUS</w:t>
      </w:r>
    </w:p>
    <w:p>
      <w:pPr>
        <w:spacing w:after="0" w:line="224" w:lineRule="exact"/>
        <w:rPr>
          <w:sz w:val="20"/>
          <w:szCs w:val="20"/>
          <w:color w:val="auto"/>
        </w:rPr>
      </w:pPr>
    </w:p>
    <w:p>
      <w:pPr>
        <w:ind w:firstLine="629"/>
        <w:spacing w:after="0" w:line="277"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b w:val="1"/>
          <w:bCs w:val="1"/>
          <w:u w:val="single" w:color="auto"/>
          <w:color w:val="auto"/>
        </w:rPr>
        <w:t>Place of Meetings</w:t>
      </w:r>
      <w:r>
        <w:rPr>
          <w:rFonts w:ascii="Arial" w:cs="Arial" w:eastAsia="Arial" w:hAnsi="Arial"/>
          <w:sz w:val="17"/>
          <w:szCs w:val="17"/>
          <w:color w:val="auto"/>
        </w:rPr>
        <w:t>. All stockholders, directors and committee meetings shall be held at such place or places, within or without the State of Delaware, as shall be designated from time to time by the Board or such committee and stated in the notices thereof. If no such place is so designated, said meetings shall be held at the principal business office of the Company.</w:t>
      </w:r>
    </w:p>
    <w:p>
      <w:pPr>
        <w:spacing w:after="0" w:line="162"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10.2</w:t>
      </w:r>
      <w:r>
        <w:rPr>
          <w:sz w:val="20"/>
          <w:szCs w:val="20"/>
          <w:color w:val="auto"/>
        </w:rPr>
        <w:tab/>
      </w:r>
      <w:r>
        <w:rPr>
          <w:rFonts w:ascii="Arial" w:cs="Arial" w:eastAsia="Arial" w:hAnsi="Arial"/>
          <w:sz w:val="15"/>
          <w:szCs w:val="15"/>
          <w:b w:val="1"/>
          <w:bCs w:val="1"/>
          <w:u w:val="single" w:color="auto"/>
          <w:color w:val="auto"/>
        </w:rPr>
        <w:t>Fixing Record Dates</w:t>
      </w:r>
      <w:r>
        <w:rPr>
          <w:rFonts w:ascii="Arial" w:cs="Arial" w:eastAsia="Arial" w:hAnsi="Arial"/>
          <w:sz w:val="15"/>
          <w:szCs w:val="15"/>
          <w:color w:val="auto"/>
        </w:rPr>
        <w:t>.</w:t>
      </w:r>
    </w:p>
    <w:p>
      <w:pPr>
        <w:spacing w:after="0" w:line="230" w:lineRule="exact"/>
        <w:rPr>
          <w:sz w:val="20"/>
          <w:szCs w:val="20"/>
          <w:color w:val="auto"/>
        </w:rPr>
      </w:pPr>
    </w:p>
    <w:p>
      <w:pPr>
        <w:ind w:left="640" w:right="600" w:firstLine="623"/>
        <w:spacing w:after="0" w:line="322" w:lineRule="auto"/>
        <w:tabs>
          <w:tab w:leader="none" w:pos="1918" w:val="left"/>
        </w:tabs>
        <w:numPr>
          <w:ilvl w:val="0"/>
          <w:numId w:val="229"/>
        </w:numPr>
        <w:rPr>
          <w:rFonts w:ascii="Arial" w:cs="Arial" w:eastAsia="Arial" w:hAnsi="Arial"/>
          <w:sz w:val="16"/>
          <w:szCs w:val="16"/>
          <w:color w:val="auto"/>
        </w:rPr>
      </w:pPr>
      <w:r>
        <w:rPr>
          <w:rFonts w:ascii="Arial" w:cs="Arial" w:eastAsia="Arial" w:hAnsi="Arial"/>
          <w:sz w:val="16"/>
          <w:szCs w:val="16"/>
          <w:color w:val="auto"/>
        </w:rPr>
        <w:t>In order that the Company may determine the stockholders entitled to notice of or to vote at any meeting of stockholders or any adjournment thereof, to receive payment of any dividend or other distribution or allotment of any rights, to exercise any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line="280" w:lineRule="auto"/>
        <w:rPr>
          <w:sz w:val="20"/>
          <w:szCs w:val="20"/>
          <w:color w:val="auto"/>
        </w:rPr>
      </w:pPr>
      <w:r>
        <w:rPr>
          <w:rFonts w:ascii="Arial" w:cs="Arial" w:eastAsia="Arial" w:hAnsi="Arial"/>
          <w:sz w:val="16"/>
          <w:szCs w:val="16"/>
          <w:color w:val="auto"/>
        </w:rPr>
        <w:t>rights in respect of any change, conversion or exchange of stock or to effect any other lawful action, or to make a determination of stockholders for any other proper purpose (other than determining stockholders entitled to consent to action by stockholders proposed to be taken without a meeting of stockholders), the Board may fix, in advance, a record date for any such determination of stockholders, which shall not be more than sixty (60) nor less than ten (10) days prior to the date on which the particular action requiring such determination of stockholders is to be taken. In the absence of any action by the Board, the date on which a notice of meeting is given, or the date the Board adopts the resolution declaring a dividend or other distribution or allotment or approving any change, conversion or exchange, as the case may be, shall be the record date. A record date validly fixed for any meeting of stockholders and the determination of stockholders entitled to vote at such meeting shall be valid for any adjournment of said meeting except where such determination has been made through the closing of stock transfer books and the stated period of closing has expired.</w:t>
      </w:r>
    </w:p>
    <w:p>
      <w:pPr>
        <w:spacing w:after="0" w:line="171" w:lineRule="exact"/>
        <w:rPr>
          <w:sz w:val="20"/>
          <w:szCs w:val="20"/>
          <w:color w:val="auto"/>
        </w:rPr>
      </w:pPr>
    </w:p>
    <w:p>
      <w:pPr>
        <w:ind w:left="640" w:right="60" w:firstLine="623"/>
        <w:spacing w:after="0" w:line="279" w:lineRule="auto"/>
        <w:tabs>
          <w:tab w:leader="none" w:pos="1908"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In order that the Company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ten (10)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otherwise required, shall be the first date on which a signed written consent setting forth the action taken or proposed to be taken is delivered to the Company by delivery to its registered office in the State of Delaware, its principal place of business, or an officer or agent of the Company having custody of the book in which proceedings of meetings of stockholders are recorded. Delivery made to the Company’s registered office shall be by hand or by certified or registered mail, return receipt requested. If no record date has been fixed by the Board and prior action by the Board is required, the record date for determining stockholders entitled to consent to corporate action in writing without a meeting shall be at the close of business on the day on which the Board adopts the resolution taking such prior action.</w:t>
      </w:r>
    </w:p>
    <w:p>
      <w:pPr>
        <w:spacing w:after="0" w:line="162" w:lineRule="exact"/>
        <w:rPr>
          <w:sz w:val="20"/>
          <w:szCs w:val="20"/>
          <w:color w:val="auto"/>
        </w:rPr>
      </w:pPr>
    </w:p>
    <w:p>
      <w:pPr>
        <w:ind w:right="120" w:firstLine="629"/>
        <w:spacing w:after="0" w:line="317" w:lineRule="auto"/>
        <w:rPr>
          <w:sz w:val="20"/>
          <w:szCs w:val="20"/>
          <w:color w:val="auto"/>
        </w:rPr>
      </w:pPr>
      <w:r>
        <w:rPr>
          <w:rFonts w:ascii="Arial" w:cs="Arial" w:eastAsia="Arial" w:hAnsi="Arial"/>
          <w:sz w:val="15"/>
          <w:szCs w:val="15"/>
          <w:color w:val="auto"/>
        </w:rPr>
        <w:t xml:space="preserve">Section 10.3 </w:t>
      </w:r>
      <w:r>
        <w:rPr>
          <w:rFonts w:ascii="Arial" w:cs="Arial" w:eastAsia="Arial" w:hAnsi="Arial"/>
          <w:sz w:val="15"/>
          <w:szCs w:val="15"/>
          <w:b w:val="1"/>
          <w:bCs w:val="1"/>
          <w:u w:val="single" w:color="auto"/>
          <w:color w:val="auto"/>
        </w:rPr>
        <w:t>Waiver of Notice</w:t>
      </w:r>
      <w:r>
        <w:rPr>
          <w:rFonts w:ascii="Arial" w:cs="Arial" w:eastAsia="Arial" w:hAnsi="Arial"/>
          <w:sz w:val="15"/>
          <w:szCs w:val="15"/>
          <w:color w:val="auto"/>
        </w:rPr>
        <w:t>. Whenever any notice is required to be given under law, the certificate of incorporation or these Bylaws, a written waiver of such notice, signed before or after the date of such meeting by the person or persons entitled to said notice, shall be deemed equivalent to such required notice. All such waivers shall be filed with the corporate records. Attendance at a meeting shall constitute a waiver of notice of such meeting, except where a person attends for the express purpose of objecting to the transaction of any business on the ground that the meeting is not lawfully called or convened.</w:t>
      </w:r>
    </w:p>
    <w:p>
      <w:pPr>
        <w:spacing w:after="0" w:line="137" w:lineRule="exact"/>
        <w:rPr>
          <w:sz w:val="20"/>
          <w:szCs w:val="20"/>
          <w:color w:val="auto"/>
        </w:rPr>
      </w:pPr>
    </w:p>
    <w:p>
      <w:pPr>
        <w:ind w:right="280" w:firstLine="629"/>
        <w:spacing w:after="0" w:line="270"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b w:val="1"/>
          <w:bCs w:val="1"/>
          <w:u w:val="single" w:color="auto"/>
          <w:color w:val="auto"/>
        </w:rPr>
        <w:t>Attendance via Communications Equipment</w:t>
      </w:r>
      <w:r>
        <w:rPr>
          <w:rFonts w:ascii="Arial" w:cs="Arial" w:eastAsia="Arial" w:hAnsi="Arial"/>
          <w:sz w:val="17"/>
          <w:szCs w:val="17"/>
          <w:color w:val="auto"/>
        </w:rPr>
        <w:t>. Unless otherwise restricted by law, the certificate of incorporation or these Bylaws, members of the Board, members of any committee thereof or the stockholders may hold a meeting by means of conference telephone or other communications equipment by means of which all persons participating in the meeting can effectively communicate with each other. Such participation in a meeting shall constitute presence in person at the meeting, except where a person participates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in the meeting for the express purpose of objecting to the transaction of any business on the ground that the meeting is not lawfully called or convened.</w:t>
      </w:r>
    </w:p>
    <w:p>
      <w:pPr>
        <w:spacing w:after="0" w:line="218" w:lineRule="exact"/>
        <w:rPr>
          <w:sz w:val="20"/>
          <w:szCs w:val="20"/>
          <w:color w:val="auto"/>
        </w:rPr>
      </w:pPr>
    </w:p>
    <w:p>
      <w:pPr>
        <w:ind w:right="80" w:firstLine="629"/>
        <w:spacing w:after="0" w:line="277"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b w:val="1"/>
          <w:bCs w:val="1"/>
          <w:u w:val="single" w:color="auto"/>
          <w:color w:val="auto"/>
        </w:rPr>
        <w:t>Dividends</w:t>
      </w:r>
      <w:r>
        <w:rPr>
          <w:rFonts w:ascii="Arial" w:cs="Arial" w:eastAsia="Arial" w:hAnsi="Arial"/>
          <w:sz w:val="17"/>
          <w:szCs w:val="17"/>
          <w:color w:val="auto"/>
        </w:rPr>
        <w:t>. Dividends on the capital stock of the Company, paid in cash, property or securities of the Company, or any combination thereof, and as may be limited by applicable law and applicable provisions of the certificate of incorporation (if any), may be declared by the Board at any regular or special meeting.</w:t>
      </w:r>
    </w:p>
    <w:p>
      <w:pPr>
        <w:spacing w:after="0" w:line="162" w:lineRule="exact"/>
        <w:rPr>
          <w:sz w:val="20"/>
          <w:szCs w:val="20"/>
          <w:color w:val="auto"/>
        </w:rPr>
      </w:pPr>
    </w:p>
    <w:p>
      <w:pPr>
        <w:ind w:right="160" w:firstLine="629"/>
        <w:spacing w:after="0" w:line="270"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b w:val="1"/>
          <w:bCs w:val="1"/>
          <w:u w:val="single" w:color="auto"/>
          <w:color w:val="auto"/>
        </w:rPr>
        <w:t>Reserves</w:t>
      </w:r>
      <w:r>
        <w:rPr>
          <w:rFonts w:ascii="Arial" w:cs="Arial" w:eastAsia="Arial" w:hAnsi="Arial"/>
          <w:sz w:val="17"/>
          <w:szCs w:val="17"/>
          <w:color w:val="auto"/>
        </w:rPr>
        <w:t>. Before payment of any dividend, there may be set aside out of any funds of the Company available for dividends such sum or sums as the Board from time to time, in its absolute discretion, thinks proper as a reserve or reserves to meet contingencies, for equalizing dividends, for repairing or maintaining any property of the Company, or for such other purpose as the Board shall determine to be in the best interest of the Company; and the Board may modify or abolish any such reserve in the manner in which it was created.</w:t>
      </w:r>
    </w:p>
    <w:p>
      <w:pPr>
        <w:spacing w:after="0" w:line="169" w:lineRule="exact"/>
        <w:rPr>
          <w:sz w:val="20"/>
          <w:szCs w:val="20"/>
          <w:color w:val="auto"/>
        </w:rPr>
      </w:pPr>
    </w:p>
    <w:p>
      <w:pPr>
        <w:ind w:right="100" w:firstLine="629"/>
        <w:spacing w:after="0" w:line="281"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b w:val="1"/>
          <w:bCs w:val="1"/>
          <w:u w:val="single" w:color="auto"/>
          <w:color w:val="auto"/>
        </w:rPr>
        <w:t>Contracts and Negotiable Instruments</w:t>
      </w:r>
      <w:r>
        <w:rPr>
          <w:rFonts w:ascii="Arial" w:cs="Arial" w:eastAsia="Arial" w:hAnsi="Arial"/>
          <w:sz w:val="16"/>
          <w:szCs w:val="16"/>
          <w:color w:val="auto"/>
        </w:rPr>
        <w:t>. Except as otherwise provided by law or these Bylaws, any contract or other instrument relative to the business of the Company may be executed and delivered in the name of the Company and on its behalf by the chairman of the board, the chief executive officer, the president or any vice president; and the Board may authorize any other officer or agent of the Company to enter into any contract or execute and deliver any contract in the name and on behalf of the Company, and such authority may be general or confined to specific instances as the Board may by resolution determine. All bills, notes, checks or other instruments for the payment of money shall be signed or countersigned by such officer, officers, agent or agents and in such manner as are permitted by these Bylaws and/or as, from time to time, may be prescribed by resolution (whether general or special) of the Board. Unless authorized so to do by these Bylaws or by the Board, no officer, agent or employee shall have any power or authority to bind the Company by any contract or engagement, or to pledge its credit, or to render it liable pecuniarily for any purpose or to any amount.</w:t>
      </w:r>
    </w:p>
    <w:p>
      <w:pPr>
        <w:spacing w:after="0" w:line="164"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7"/>
          <w:szCs w:val="17"/>
          <w:color w:val="auto"/>
        </w:rPr>
        <w:t>Section 10.8</w:t>
      </w:r>
      <w:r>
        <w:rPr>
          <w:sz w:val="20"/>
          <w:szCs w:val="20"/>
          <w:color w:val="auto"/>
        </w:rPr>
        <w:tab/>
      </w:r>
      <w:r>
        <w:rPr>
          <w:rFonts w:ascii="Arial" w:cs="Arial" w:eastAsia="Arial" w:hAnsi="Arial"/>
          <w:sz w:val="16"/>
          <w:szCs w:val="16"/>
          <w:b w:val="1"/>
          <w:bCs w:val="1"/>
          <w:u w:val="single" w:color="auto"/>
          <w:color w:val="auto"/>
        </w:rPr>
        <w:t>Fiscal Year</w:t>
      </w:r>
      <w:r>
        <w:rPr>
          <w:rFonts w:ascii="Arial" w:cs="Arial" w:eastAsia="Arial" w:hAnsi="Arial"/>
          <w:sz w:val="16"/>
          <w:szCs w:val="16"/>
          <w:color w:val="auto"/>
        </w:rPr>
        <w:t>. The fiscal year of the Company shall be fixed by resolution of the Board.</w:t>
      </w:r>
    </w:p>
    <w:p>
      <w:pPr>
        <w:sectPr>
          <w:pgSz w:w="11900" w:h="16838" w:orient="portrait"/>
          <w:cols w:equalWidth="0" w:num="1">
            <w:col w:w="11420"/>
          </w:cols>
          <w:pgMar w:left="240" w:top="121" w:right="239" w:bottom="0" w:gutter="0" w:footer="0" w:header="0"/>
        </w:sectPr>
      </w:pPr>
    </w:p>
    <w:bookmarkStart w:id="236" w:name="page237"/>
    <w:bookmarkEnd w:id="236"/>
    <w:p>
      <w:pPr>
        <w:ind w:right="380" w:firstLine="629"/>
        <w:spacing w:after="0" w:line="297" w:lineRule="auto"/>
        <w:rPr>
          <w:sz w:val="20"/>
          <w:szCs w:val="20"/>
          <w:color w:val="auto"/>
        </w:rPr>
      </w:pPr>
      <w:r>
        <w:rPr>
          <w:rFonts w:ascii="Arial" w:cs="Arial" w:eastAsia="Arial" w:hAnsi="Arial"/>
          <w:sz w:val="17"/>
          <w:szCs w:val="17"/>
          <w:color w:val="auto"/>
        </w:rPr>
        <w:t xml:space="preserve">Section 10.9 </w:t>
      </w:r>
      <w:r>
        <w:rPr>
          <w:rFonts w:ascii="Arial" w:cs="Arial" w:eastAsia="Arial" w:hAnsi="Arial"/>
          <w:sz w:val="17"/>
          <w:szCs w:val="17"/>
          <w:b w:val="1"/>
          <w:bCs w:val="1"/>
          <w:u w:val="single" w:color="auto"/>
          <w:color w:val="auto"/>
        </w:rPr>
        <w:t>Seal</w:t>
      </w:r>
      <w:r>
        <w:rPr>
          <w:rFonts w:ascii="Arial" w:cs="Arial" w:eastAsia="Arial" w:hAnsi="Arial"/>
          <w:sz w:val="17"/>
          <w:szCs w:val="17"/>
          <w:color w:val="auto"/>
        </w:rPr>
        <w:t>. The seal of the Company shall be in such form as shall from time to time be adopted by the Board. The seal may be used by causing it or a facsimile thereof to be impressed, affixed or otherwise reproduced.</w:t>
      </w:r>
    </w:p>
    <w:p>
      <w:pPr>
        <w:spacing w:after="0" w:line="145" w:lineRule="exact"/>
        <w:rPr>
          <w:sz w:val="20"/>
          <w:szCs w:val="20"/>
          <w:color w:val="auto"/>
        </w:rPr>
      </w:pPr>
    </w:p>
    <w:p>
      <w:pPr>
        <w:ind w:right="200" w:firstLine="629"/>
        <w:spacing w:after="0" w:line="302"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b w:val="1"/>
          <w:bCs w:val="1"/>
          <w:u w:val="single" w:color="auto"/>
          <w:color w:val="auto"/>
        </w:rPr>
        <w:t>Books and Records</w:t>
      </w:r>
      <w:r>
        <w:rPr>
          <w:rFonts w:ascii="Arial" w:cs="Arial" w:eastAsia="Arial" w:hAnsi="Arial"/>
          <w:sz w:val="16"/>
          <w:szCs w:val="16"/>
          <w:color w:val="auto"/>
        </w:rPr>
        <w:t>. The Company shall keep correct and complete books and records of account and shall keep minutes of the proceedings of its stockholders, Board and committees and shall keep at its registered office or principal place of business, or at the office of its transfer agent or registrar, a record of its stockholders, giving the names and addresses of all stockholders and the number and class of the shares held by each.</w:t>
      </w:r>
    </w:p>
    <w:p>
      <w:pPr>
        <w:spacing w:after="0" w:line="144" w:lineRule="exact"/>
        <w:rPr>
          <w:sz w:val="20"/>
          <w:szCs w:val="20"/>
          <w:color w:val="auto"/>
        </w:rPr>
      </w:pPr>
    </w:p>
    <w:p>
      <w:pPr>
        <w:ind w:right="200" w:firstLine="629"/>
        <w:spacing w:after="0" w:line="297" w:lineRule="auto"/>
        <w:rPr>
          <w:sz w:val="20"/>
          <w:szCs w:val="20"/>
          <w:color w:val="auto"/>
        </w:rPr>
      </w:pPr>
      <w:r>
        <w:rPr>
          <w:rFonts w:ascii="Arial" w:cs="Arial" w:eastAsia="Arial" w:hAnsi="Arial"/>
          <w:sz w:val="17"/>
          <w:szCs w:val="17"/>
          <w:color w:val="auto"/>
        </w:rPr>
        <w:t xml:space="preserve">Section 10.11 </w:t>
      </w:r>
      <w:r>
        <w:rPr>
          <w:rFonts w:ascii="Arial" w:cs="Arial" w:eastAsia="Arial" w:hAnsi="Arial"/>
          <w:sz w:val="17"/>
          <w:szCs w:val="17"/>
          <w:b w:val="1"/>
          <w:bCs w:val="1"/>
          <w:u w:val="single" w:color="auto"/>
          <w:color w:val="auto"/>
        </w:rPr>
        <w:t>Resignation</w:t>
      </w:r>
      <w:r>
        <w:rPr>
          <w:rFonts w:ascii="Arial" w:cs="Arial" w:eastAsia="Arial" w:hAnsi="Arial"/>
          <w:sz w:val="17"/>
          <w:szCs w:val="17"/>
          <w:color w:val="auto"/>
        </w:rPr>
        <w:t>. Any director, committee member, officer or agent may resign by giving written notice to the chairman of the board, the chief executive officer, the president or the secretary. The resignation shall take effect at the time specified therein, 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immediately if no time is specified. Unless otherwise specified therein, the acceptance of such resignation shall not be necessary to make it effective.</w:t>
      </w:r>
    </w:p>
    <w:p>
      <w:pPr>
        <w:spacing w:after="0" w:line="218"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 xml:space="preserve">Section 10.12 </w:t>
      </w:r>
      <w:r>
        <w:rPr>
          <w:rFonts w:ascii="Arial" w:cs="Arial" w:eastAsia="Arial" w:hAnsi="Arial"/>
          <w:sz w:val="17"/>
          <w:szCs w:val="17"/>
          <w:b w:val="1"/>
          <w:bCs w:val="1"/>
          <w:u w:val="single" w:color="auto"/>
          <w:color w:val="auto"/>
        </w:rPr>
        <w:t>Surety Bonds</w:t>
      </w:r>
      <w:r>
        <w:rPr>
          <w:rFonts w:ascii="Arial" w:cs="Arial" w:eastAsia="Arial" w:hAnsi="Arial"/>
          <w:sz w:val="17"/>
          <w:szCs w:val="17"/>
          <w:color w:val="auto"/>
        </w:rPr>
        <w:t>. Such officers and agents of the Company (if any) as the chairman of the board, the chief executive officer, the president or the Board may direct, from time to time, shall be bonded for the faithful performance of their duties and for the restoration to the Company, in case of their death, resignation, retirement, disqualification or removal from office, of all books, papers, vouchers, money and other property of whatever kind in their possession or under their control belonging to the Company, in such amounts and by such surety companies as the chairman of the board, the chief executive officer, the president or the Board may determine. The premiums on such bonds shall be paid by the Company and the bonds so furnished shall be in the custody of the Secretary.</w:t>
      </w:r>
    </w:p>
    <w:p>
      <w:pPr>
        <w:spacing w:after="0" w:line="173" w:lineRule="exact"/>
        <w:rPr>
          <w:sz w:val="20"/>
          <w:szCs w:val="20"/>
          <w:color w:val="auto"/>
        </w:rPr>
      </w:pPr>
    </w:p>
    <w:p>
      <w:pPr>
        <w:ind w:right="20" w:firstLine="629"/>
        <w:spacing w:after="0" w:line="283"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b w:val="1"/>
          <w:bCs w:val="1"/>
          <w:u w:val="single" w:color="auto"/>
          <w:color w:val="auto"/>
        </w:rPr>
        <w:t>Proxies in Respect of Securities</w:t>
      </w:r>
      <w:r>
        <w:rPr>
          <w:rFonts w:ascii="Arial" w:cs="Arial" w:eastAsia="Arial" w:hAnsi="Arial"/>
          <w:sz w:val="16"/>
          <w:szCs w:val="16"/>
          <w:color w:val="auto"/>
        </w:rPr>
        <w:t>. The chairman of the board, the chief executive officer, the president, any vice president or the secretary may from time to time appoint an attorney or attorneys or an agent or agents for the Company to exercise, in the name and on behalf of the Company, the powers and rights which the Company may have as the holder of stock or other securities in any other corporation to vote or consent in respect of such stock or other securities, and the chairman of the board, the chief executive officer, the president, any vice president or the secretary may instruct the person or persons so appointed as to the manner of exercising such powers and rights; and the chairman of the board, the chief executive officer, the president, any vice president or the secretary may execute or cause to be executed, in the name and on behalf of the Company and under its corporate seal or otherwise, all such written proxies or other instruments as he may deem necessary or proper in order that the Company may exercise such powers and rights.</w:t>
      </w:r>
    </w:p>
    <w:p>
      <w:pPr>
        <w:spacing w:after="0" w:line="159"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 xml:space="preserve">Section 10.14 </w:t>
      </w:r>
      <w:r>
        <w:rPr>
          <w:rFonts w:ascii="Arial" w:cs="Arial" w:eastAsia="Arial" w:hAnsi="Arial"/>
          <w:sz w:val="17"/>
          <w:szCs w:val="17"/>
          <w:b w:val="1"/>
          <w:bCs w:val="1"/>
          <w:u w:val="single" w:color="auto"/>
          <w:color w:val="auto"/>
        </w:rPr>
        <w:t>Amendments</w:t>
      </w:r>
      <w:r>
        <w:rPr>
          <w:rFonts w:ascii="Arial" w:cs="Arial" w:eastAsia="Arial" w:hAnsi="Arial"/>
          <w:sz w:val="17"/>
          <w:szCs w:val="17"/>
          <w:color w:val="auto"/>
        </w:rPr>
        <w:t>. These Bylaws may be altered, amended, repealed or replaced by the stockholders, or by the Board when such power is conferred upon the Board by the certificate of incorporation, at any annual stockholders meeting or annual or regular meeting of the Board, or at any special meeting of the stockholders or of the Board if notice of such alteration, amendment, repeal or replacement is contained in the notice of such special meeting. If the power to adopt, amend, repeal or replace these Bylaws is conferred upon the Board by the certificate of incorporation, the power of the stockholders to so adopt, amend, repeal or replace these Bylaws shall not be divested or limited thereby.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7"/>
          <w:szCs w:val="17"/>
          <w:b w:val="1"/>
          <w:bCs w:val="1"/>
          <w:color w:val="auto"/>
        </w:rPr>
        <w:t>Exhibit 3.4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BY-LAWS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“Corporation”</w:t>
      </w:r>
      <w:r>
        <w:rPr>
          <w:rFonts w:ascii="Arial" w:cs="Arial" w:eastAsia="Arial" w:hAnsi="Arial"/>
          <w:sz w:val="17"/>
          <w:szCs w:val="17"/>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Stockholders</w:t>
      </w:r>
    </w:p>
    <w:p>
      <w:pPr>
        <w:spacing w:after="0" w:line="218"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Annual Meeting</w:t>
      </w:r>
      <w:r>
        <w:rPr>
          <w:rFonts w:ascii="Arial" w:cs="Arial" w:eastAsia="Arial" w:hAnsi="Arial"/>
          <w:sz w:val="17"/>
          <w:szCs w:val="17"/>
          <w:color w:val="auto"/>
        </w:rPr>
        <w:t xml:space="preserve">. The annual meeting of stockholders (any such meeting being referred to in these By-laws as an </w:t>
      </w:r>
      <w:r>
        <w:rPr>
          <w:rFonts w:ascii="Arial" w:cs="Arial" w:eastAsia="Arial" w:hAnsi="Arial"/>
          <w:sz w:val="17"/>
          <w:szCs w:val="17"/>
          <w:b w:val="1"/>
          <w:bCs w:val="1"/>
          <w:color w:val="auto"/>
        </w:rPr>
        <w:t>“Annual Meeting”</w:t>
      </w:r>
      <w:r>
        <w:rPr>
          <w:rFonts w:ascii="Arial" w:cs="Arial" w:eastAsia="Arial" w:hAnsi="Arial"/>
          <w:sz w:val="17"/>
          <w:szCs w:val="17"/>
          <w:color w:val="auto"/>
        </w:rPr>
        <w:t>) shall be held at the hour, date and place within or without the United States which is fixed by the Board of Directors,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Notice of Stockholder Business and Nominations</w:t>
      </w:r>
      <w:r>
        <w:rPr>
          <w:rFonts w:ascii="Arial" w:cs="Arial" w:eastAsia="Arial" w:hAnsi="Arial"/>
          <w:sz w:val="17"/>
          <w:szCs w:val="17"/>
          <w:color w:val="auto"/>
        </w:rPr>
        <w:t>.</w:t>
      </w:r>
    </w:p>
    <w:p>
      <w:pPr>
        <w:spacing w:after="0" w:line="224" w:lineRule="exact"/>
        <w:rPr>
          <w:sz w:val="20"/>
          <w:szCs w:val="20"/>
          <w:color w:val="auto"/>
        </w:rPr>
      </w:pPr>
    </w:p>
    <w:p>
      <w:pPr>
        <w:ind w:left="240" w:hanging="235"/>
        <w:spacing w:after="0"/>
        <w:tabs>
          <w:tab w:leader="none" w:pos="24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Annual Meetings of Stockholders.</w:t>
      </w:r>
    </w:p>
    <w:p>
      <w:pPr>
        <w:spacing w:after="0" w:line="224" w:lineRule="exact"/>
        <w:rPr>
          <w:rFonts w:ascii="Arial" w:cs="Arial" w:eastAsia="Arial" w:hAnsi="Arial"/>
          <w:sz w:val="17"/>
          <w:szCs w:val="17"/>
          <w:color w:val="auto"/>
        </w:rPr>
      </w:pPr>
    </w:p>
    <w:p>
      <w:pPr>
        <w:ind w:right="40" w:firstLine="477"/>
        <w:spacing w:after="0" w:line="295" w:lineRule="auto"/>
        <w:tabs>
          <w:tab w:leader="none" w:pos="719" w:val="left"/>
        </w:tabs>
        <w:numPr>
          <w:ilvl w:val="1"/>
          <w:numId w:val="231"/>
        </w:numPr>
        <w:rPr>
          <w:rFonts w:ascii="Arial" w:cs="Arial" w:eastAsia="Arial" w:hAnsi="Arial"/>
          <w:sz w:val="15"/>
          <w:szCs w:val="15"/>
          <w:color w:val="auto"/>
        </w:rPr>
      </w:pPr>
      <w:r>
        <w:rPr>
          <w:rFonts w:ascii="Arial" w:cs="Arial" w:eastAsia="Arial" w:hAnsi="Arial"/>
          <w:sz w:val="15"/>
          <w:szCs w:val="15"/>
          <w:color w:val="auto"/>
        </w:rPr>
        <w:t>Nominations of persons for election to the Board of Directors of the Corporation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w:t>
      </w:r>
    </w:p>
    <w:p>
      <w:pPr>
        <w:ind w:right="120"/>
        <w:spacing w:after="0" w:line="263" w:lineRule="auto"/>
        <w:rPr>
          <w:rFonts w:ascii="Arial" w:cs="Arial" w:eastAsia="Arial" w:hAnsi="Arial"/>
          <w:sz w:val="15"/>
          <w:szCs w:val="15"/>
          <w:color w:val="auto"/>
        </w:rPr>
      </w:pPr>
      <w:r>
        <w:rPr>
          <w:rFonts w:ascii="Arial" w:cs="Arial" w:eastAsia="Arial" w:hAnsi="Arial"/>
          <w:sz w:val="17"/>
          <w:szCs w:val="17"/>
          <w:color w:val="auto"/>
        </w:rPr>
        <w:t xml:space="preserve">Rule 14a-8 or Rule 14a-11 (or any successor rules) under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 such stockholder must comply with the notice and other procedures set forth in Article I, Section 2(a)(2) and (3)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pacing w:after="0" w:line="179" w:lineRule="exact"/>
        <w:rPr>
          <w:rFonts w:ascii="Arial" w:cs="Arial" w:eastAsia="Arial" w:hAnsi="Arial"/>
          <w:sz w:val="15"/>
          <w:szCs w:val="15"/>
          <w:color w:val="auto"/>
        </w:rPr>
      </w:pPr>
    </w:p>
    <w:p>
      <w:pPr>
        <w:ind w:left="720" w:hanging="243"/>
        <w:spacing w:after="0"/>
        <w:tabs>
          <w:tab w:leader="none" w:pos="72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Meeting by a stockholder pursuant to clause (ii) of Article I, Section 2(a)</w:t>
      </w:r>
    </w:p>
    <w:p>
      <w:pPr>
        <w:spacing w:after="0" w:line="37" w:lineRule="exact"/>
        <w:rPr>
          <w:rFonts w:ascii="Arial" w:cs="Arial" w:eastAsia="Arial" w:hAnsi="Arial"/>
          <w:sz w:val="16"/>
          <w:szCs w:val="16"/>
          <w:color w:val="auto"/>
        </w:rPr>
      </w:pPr>
    </w:p>
    <w:p>
      <w:pPr>
        <w:ind w:right="140"/>
        <w:spacing w:after="0" w:line="307" w:lineRule="auto"/>
        <w:rPr>
          <w:rFonts w:ascii="Arial" w:cs="Arial" w:eastAsia="Arial" w:hAnsi="Arial"/>
          <w:sz w:val="16"/>
          <w:szCs w:val="16"/>
          <w:color w:val="auto"/>
        </w:rPr>
      </w:pPr>
      <w:r>
        <w:rPr>
          <w:rFonts w:ascii="Arial" w:cs="Arial" w:eastAsia="Arial" w:hAnsi="Arial"/>
          <w:sz w:val="16"/>
          <w:szCs w:val="16"/>
          <w:color w:val="auto"/>
        </w:rPr>
        <w:t>(1)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 xml:space="preserve">behalf the nomination or business proposal is made, have acted in accordance with the representations set forth in the Solicitation Statement (as defined below) required by this By-law. To be timely, a stockholder’s written notice shall be received by the Secretary at the principal executive offices of the Corporation not later than the close of business on the ninetieth (90th) day nor earlier than the close of business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w:t>
      </w:r>
      <w:r>
        <w:rPr>
          <w:rFonts w:ascii="Arial" w:cs="Arial" w:eastAsia="Arial" w:hAnsi="Arial"/>
          <w:sz w:val="16"/>
          <w:szCs w:val="16"/>
          <w:b w:val="1"/>
          <w:bCs w:val="1"/>
          <w:color w:val="auto"/>
        </w:rPr>
        <w:t>“Timely Notice”</w:t>
      </w:r>
      <w:r>
        <w:rPr>
          <w:rFonts w:ascii="Arial" w:cs="Arial" w:eastAsia="Arial" w:hAnsi="Arial"/>
          <w:sz w:val="16"/>
          <w:szCs w:val="16"/>
          <w:color w:val="auto"/>
        </w:rPr>
        <w:t>).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w:t>
      </w:r>
    </w:p>
    <w:p>
      <w:pPr>
        <w:spacing w:after="0" w:line="169" w:lineRule="exact"/>
        <w:rPr>
          <w:sz w:val="20"/>
          <w:szCs w:val="20"/>
          <w:color w:val="auto"/>
        </w:rPr>
      </w:pPr>
    </w:p>
    <w:p>
      <w:pPr>
        <w:ind w:left="480" w:right="120" w:firstLine="311"/>
        <w:spacing w:after="0" w:line="268" w:lineRule="auto"/>
        <w:tabs>
          <w:tab w:leader="none" w:pos="1081"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75" w:lineRule="exact"/>
        <w:rPr>
          <w:rFonts w:ascii="Arial" w:cs="Arial" w:eastAsia="Arial" w:hAnsi="Arial"/>
          <w:sz w:val="17"/>
          <w:szCs w:val="17"/>
          <w:color w:val="auto"/>
        </w:rPr>
      </w:pPr>
    </w:p>
    <w:p>
      <w:pPr>
        <w:ind w:left="480" w:right="200" w:firstLine="311"/>
        <w:spacing w:after="0" w:line="273" w:lineRule="auto"/>
        <w:tabs>
          <w:tab w:leader="none" w:pos="1071"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as to any other business that the stockholder proposes to bring before the meeting, a brief description of the business desired to be brought before the meeting, the reasons for conducting such business at the meeting, and any material interest in such business of each Proposing Person (as defined below);</w:t>
      </w:r>
    </w:p>
    <w:p>
      <w:pPr>
        <w:spacing w:after="0" w:line="171" w:lineRule="exact"/>
        <w:rPr>
          <w:rFonts w:ascii="Arial" w:cs="Arial" w:eastAsia="Arial" w:hAnsi="Arial"/>
          <w:sz w:val="17"/>
          <w:szCs w:val="17"/>
          <w:color w:val="auto"/>
        </w:rPr>
      </w:pPr>
    </w:p>
    <w:p>
      <w:pPr>
        <w:ind w:left="480" w:right="20" w:firstLine="311"/>
        <w:spacing w:after="0" w:line="261" w:lineRule="auto"/>
        <w:tabs>
          <w:tab w:leader="none" w:pos="1071" w:val="left"/>
        </w:tabs>
        <w:numPr>
          <w:ilvl w:val="0"/>
          <w:numId w:val="232"/>
        </w:numPr>
        <w:rPr>
          <w:rFonts w:ascii="Arial" w:cs="Arial" w:eastAsia="Arial" w:hAnsi="Arial"/>
          <w:sz w:val="17"/>
          <w:szCs w:val="17"/>
          <w:color w:val="auto"/>
        </w:rPr>
      </w:pPr>
      <w:r>
        <w:rPr>
          <w:rFonts w:ascii="Arial" w:cs="Arial" w:eastAsia="Arial" w:hAnsi="Arial"/>
          <w:sz w:val="17"/>
          <w:szCs w:val="17"/>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w:t>
      </w:r>
    </w:p>
    <w:p>
      <w:pPr>
        <w:sectPr>
          <w:pgSz w:w="11900" w:h="16838" w:orient="portrait"/>
          <w:cols w:equalWidth="0" w:num="1">
            <w:col w:w="11420"/>
          </w:cols>
          <w:pgMar w:left="240" w:top="357" w:right="239" w:bottom="0" w:gutter="0" w:footer="0" w:header="0"/>
        </w:sectPr>
      </w:pPr>
    </w:p>
    <w:bookmarkStart w:id="238" w:name="page239"/>
    <w:bookmarkEnd w:id="238"/>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0"/>
        <w:spacing w:after="0" w:line="278" w:lineRule="auto"/>
        <w:rPr>
          <w:sz w:val="20"/>
          <w:szCs w:val="20"/>
          <w:color w:val="auto"/>
        </w:rPr>
      </w:pPr>
      <w:r>
        <w:rPr>
          <w:rFonts w:ascii="Arial" w:cs="Arial" w:eastAsia="Arial" w:hAnsi="Arial"/>
          <w:sz w:val="16"/>
          <w:szCs w:val="16"/>
          <w:color w:val="auto"/>
        </w:rPr>
        <w:t xml:space="preserve">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w:t>
      </w:r>
      <w:r>
        <w:rPr>
          <w:rFonts w:ascii="Arial" w:cs="Arial" w:eastAsia="Arial" w:hAnsi="Arial"/>
          <w:sz w:val="16"/>
          <w:szCs w:val="16"/>
          <w:b w:val="1"/>
          <w:bCs w:val="1"/>
          <w:color w:val="auto"/>
        </w:rPr>
        <w:t>“Material Ownership Interests”</w:t>
      </w:r>
      <w:r>
        <w:rPr>
          <w:rFonts w:ascii="Arial" w:cs="Arial" w:eastAsia="Arial" w:hAnsi="Arial"/>
          <w:sz w:val="16"/>
          <w:szCs w:val="16"/>
          <w:color w:val="auto"/>
        </w:rPr>
        <w:t>)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73" w:lineRule="exact"/>
        <w:rPr>
          <w:sz w:val="20"/>
          <w:szCs w:val="20"/>
          <w:color w:val="auto"/>
        </w:rPr>
      </w:pPr>
    </w:p>
    <w:p>
      <w:pPr>
        <w:ind w:left="480" w:right="20" w:firstLine="311"/>
        <w:spacing w:after="0" w:line="283" w:lineRule="auto"/>
        <w:tabs>
          <w:tab w:leader="none" w:pos="1081"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66" w:lineRule="exact"/>
        <w:rPr>
          <w:rFonts w:ascii="Arial" w:cs="Arial" w:eastAsia="Arial" w:hAnsi="Arial"/>
          <w:sz w:val="16"/>
          <w:szCs w:val="16"/>
          <w:color w:val="auto"/>
        </w:rPr>
      </w:pPr>
    </w:p>
    <w:p>
      <w:pPr>
        <w:ind w:left="480" w:right="40" w:firstLine="311"/>
        <w:spacing w:after="0" w:line="265" w:lineRule="auto"/>
        <w:tabs>
          <w:tab w:leader="none" w:pos="1061"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w:t>
      </w:r>
      <w:r>
        <w:rPr>
          <w:rFonts w:ascii="Arial" w:cs="Arial" w:eastAsia="Arial" w:hAnsi="Arial"/>
          <w:sz w:val="17"/>
          <w:szCs w:val="17"/>
          <w:b w:val="1"/>
          <w:bCs w:val="1"/>
          <w:color w:val="auto"/>
        </w:rPr>
        <w:t>Solicitation Statement</w:t>
      </w:r>
      <w:r>
        <w:rPr>
          <w:rFonts w:ascii="Arial" w:cs="Arial" w:eastAsia="Arial" w:hAnsi="Arial"/>
          <w:sz w:val="17"/>
          <w:szCs w:val="17"/>
          <w:color w:val="auto"/>
        </w:rPr>
        <w:t>”).</w:t>
      </w:r>
    </w:p>
    <w:p>
      <w:pPr>
        <w:spacing w:after="0" w:line="173" w:lineRule="exact"/>
        <w:rPr>
          <w:sz w:val="20"/>
          <w:szCs w:val="20"/>
          <w:color w:val="auto"/>
        </w:rPr>
      </w:pPr>
    </w:p>
    <w:p>
      <w:pPr>
        <w:ind w:right="140" w:firstLine="472"/>
        <w:spacing w:after="0" w:line="287" w:lineRule="auto"/>
        <w:rPr>
          <w:sz w:val="20"/>
          <w:szCs w:val="20"/>
          <w:color w:val="auto"/>
        </w:rPr>
      </w:pPr>
      <w:r>
        <w:rPr>
          <w:rFonts w:ascii="Arial" w:cs="Arial" w:eastAsia="Arial" w:hAnsi="Arial"/>
          <w:sz w:val="16"/>
          <w:szCs w:val="16"/>
          <w:color w:val="auto"/>
        </w:rPr>
        <w:t>For purposes of this Article I of these By-laws, the term “</w:t>
      </w:r>
      <w:r>
        <w:rPr>
          <w:rFonts w:ascii="Arial" w:cs="Arial" w:eastAsia="Arial" w:hAnsi="Arial"/>
          <w:sz w:val="16"/>
          <w:szCs w:val="16"/>
          <w:b w:val="1"/>
          <w:bCs w:val="1"/>
          <w:color w:val="auto"/>
        </w:rPr>
        <w:t>Proposing Person</w:t>
      </w:r>
      <w:r>
        <w:rPr>
          <w:rFonts w:ascii="Arial" w:cs="Arial" w:eastAsia="Arial" w:hAnsi="Arial"/>
          <w:sz w:val="16"/>
          <w:szCs w:val="16"/>
          <w:color w:val="auto"/>
        </w:rPr>
        <w:t>”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of Article I of these By-laws, the term “</w:t>
      </w:r>
      <w:r>
        <w:rPr>
          <w:rFonts w:ascii="Arial" w:cs="Arial" w:eastAsia="Arial" w:hAnsi="Arial"/>
          <w:sz w:val="16"/>
          <w:szCs w:val="16"/>
          <w:b w:val="1"/>
          <w:bCs w:val="1"/>
          <w:color w:val="auto"/>
        </w:rPr>
        <w:t>Synthetic Equity Interest</w:t>
      </w:r>
      <w:r>
        <w:rPr>
          <w:rFonts w:ascii="Arial" w:cs="Arial" w:eastAsia="Arial" w:hAnsi="Arial"/>
          <w:sz w:val="16"/>
          <w:szCs w:val="16"/>
          <w:color w:val="auto"/>
        </w:rPr>
        <w:t>” shall mean any transaction, agreement or arrangement (or series of transactions, agreements or arrangements), including, without limitation, any derivative, swap, hedge, repurchase or so-called “stock borrowing” agreement or arrangement, the purpose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84" w:lineRule="exact"/>
        <w:rPr>
          <w:sz w:val="20"/>
          <w:szCs w:val="20"/>
          <w:color w:val="auto"/>
        </w:rPr>
      </w:pPr>
    </w:p>
    <w:p>
      <w:pPr>
        <w:ind w:right="120" w:firstLine="477"/>
        <w:spacing w:after="0" w:line="281" w:lineRule="auto"/>
        <w:tabs>
          <w:tab w:leader="none" w:pos="71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(5th) business day after the record date for the Annual Meeting (in the case of the update and supplement required to be made as of the record date), and not later than the close of business on the eighth (8th) business day prior to the date of the Annual Meeting (in the case of the update and supplement required to be made as of ten (10) business days prior to the meeting).</w:t>
      </w:r>
    </w:p>
    <w:p>
      <w:pPr>
        <w:spacing w:after="0" w:line="170" w:lineRule="exact"/>
        <w:rPr>
          <w:rFonts w:ascii="Arial" w:cs="Arial" w:eastAsia="Arial" w:hAnsi="Arial"/>
          <w:sz w:val="16"/>
          <w:szCs w:val="16"/>
          <w:color w:val="auto"/>
        </w:rPr>
      </w:pPr>
    </w:p>
    <w:p>
      <w:pPr>
        <w:ind w:right="120" w:firstLine="477"/>
        <w:spacing w:after="0" w:line="283" w:lineRule="auto"/>
        <w:tabs>
          <w:tab w:leader="none" w:pos="719" w:val="left"/>
        </w:tabs>
        <w:numPr>
          <w:ilvl w:val="1"/>
          <w:numId w:val="234"/>
        </w:numPr>
        <w:rPr>
          <w:rFonts w:ascii="Arial" w:cs="Arial" w:eastAsia="Arial" w:hAnsi="Arial"/>
          <w:sz w:val="16"/>
          <w:szCs w:val="16"/>
          <w:color w:val="auto"/>
        </w:rPr>
      </w:pPr>
      <w:r>
        <w:rPr>
          <w:rFonts w:ascii="Arial" w:cs="Arial" w:eastAsia="Arial" w:hAnsi="Arial"/>
          <w:sz w:val="16"/>
          <w:szCs w:val="16"/>
          <w:color w:val="auto"/>
        </w:rPr>
        <w:t>Notwithstanding anything in the second sentence of Article I, Section 2(a)(2)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the close of business on the tenth (10th) day following the day on which such public announcement is first made by the Corporation.</w:t>
      </w:r>
    </w:p>
    <w:p>
      <w:pPr>
        <w:spacing w:after="0" w:line="166" w:lineRule="exact"/>
        <w:rPr>
          <w:rFonts w:ascii="Arial" w:cs="Arial" w:eastAsia="Arial" w:hAnsi="Arial"/>
          <w:sz w:val="16"/>
          <w:szCs w:val="16"/>
          <w:color w:val="auto"/>
        </w:rPr>
      </w:pPr>
    </w:p>
    <w:p>
      <w:pPr>
        <w:ind w:left="260" w:hanging="255"/>
        <w:spacing w:after="0"/>
        <w:tabs>
          <w:tab w:leader="none" w:pos="260" w:val="left"/>
        </w:tabs>
        <w:numPr>
          <w:ilvl w:val="0"/>
          <w:numId w:val="235"/>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0" w:firstLine="477"/>
        <w:spacing w:after="0" w:line="262" w:lineRule="auto"/>
        <w:tabs>
          <w:tab w:leader="none" w:pos="719" w:val="left"/>
        </w:tabs>
        <w:numPr>
          <w:ilvl w:val="1"/>
          <w:numId w:val="235"/>
        </w:numPr>
        <w:rPr>
          <w:rFonts w:ascii="Arial" w:cs="Arial" w:eastAsia="Arial" w:hAnsi="Arial"/>
          <w:sz w:val="17"/>
          <w:szCs w:val="17"/>
          <w:color w:val="auto"/>
        </w:rPr>
      </w:pPr>
      <w:r>
        <w:rPr>
          <w:rFonts w:ascii="Arial" w:cs="Arial" w:eastAsia="Arial" w:hAnsi="Arial"/>
          <w:sz w:val="17"/>
          <w:szCs w:val="17"/>
          <w:color w:val="auto"/>
        </w:rPr>
        <w:t>Only such persons who are nominated in accordance with the provisions of this By-law or in accordance with Rule 14a-11 under the Exchange Act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presiding officer of the Annual Meeting shall have the power and duty to determine whether the stockholder proposal or nomination was made in accordance with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7" w:right="239" w:bottom="508" w:gutter="0" w:footer="0" w:header="0"/>
        </w:sectPr>
      </w:pPr>
    </w:p>
    <w:bookmarkStart w:id="239" w:name="page240"/>
    <w:bookmarkEnd w:id="239"/>
    <w:p>
      <w:pPr>
        <w:ind w:right="220"/>
        <w:spacing w:after="0" w:line="273" w:lineRule="auto"/>
        <w:rPr>
          <w:sz w:val="20"/>
          <w:szCs w:val="20"/>
          <w:color w:val="auto"/>
        </w:rPr>
      </w:pPr>
      <w:r>
        <w:rPr>
          <w:rFonts w:ascii="Arial" w:cs="Arial" w:eastAsia="Arial" w:hAnsi="Arial"/>
          <w:sz w:val="17"/>
          <w:szCs w:val="17"/>
          <w:color w:val="auto"/>
        </w:rPr>
        <w:t>the provisions of this By-law. If the Board of Directors or a designated committee thereof or the presiding officer, as applicable, determines that any stockholder proposal or nomination was not made in accordance with the provisions of this By-law, such proposal or nomination shall be disregarded and shall not be presented for action at the Annual Meeting.</w:t>
      </w:r>
    </w:p>
    <w:p>
      <w:pPr>
        <w:spacing w:after="0" w:line="172" w:lineRule="exact"/>
        <w:rPr>
          <w:sz w:val="20"/>
          <w:szCs w:val="20"/>
          <w:color w:val="auto"/>
        </w:rPr>
      </w:pPr>
    </w:p>
    <w:p>
      <w:pPr>
        <w:ind w:right="100" w:firstLine="477"/>
        <w:spacing w:after="0" w:line="273" w:lineRule="auto"/>
        <w:tabs>
          <w:tab w:leader="none" w:pos="719" w:val="left"/>
        </w:tabs>
        <w:numPr>
          <w:ilvl w:val="0"/>
          <w:numId w:val="236"/>
        </w:numPr>
        <w:rPr>
          <w:rFonts w:ascii="Arial" w:cs="Arial" w:eastAsia="Arial" w:hAnsi="Arial"/>
          <w:sz w:val="17"/>
          <w:szCs w:val="17"/>
          <w:color w:val="auto"/>
        </w:rPr>
      </w:pPr>
      <w:r>
        <w:rPr>
          <w:rFonts w:ascii="Arial" w:cs="Arial" w:eastAsia="Arial" w:hAnsi="Arial"/>
          <w:sz w:val="17"/>
          <w:szCs w:val="17"/>
          <w:color w:val="auto"/>
        </w:rPr>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71" w:lineRule="exact"/>
        <w:rPr>
          <w:rFonts w:ascii="Arial" w:cs="Arial" w:eastAsia="Arial" w:hAnsi="Arial"/>
          <w:sz w:val="17"/>
          <w:szCs w:val="17"/>
          <w:color w:val="auto"/>
        </w:rPr>
      </w:pPr>
    </w:p>
    <w:p>
      <w:pPr>
        <w:ind w:right="260" w:firstLine="477"/>
        <w:spacing w:after="0" w:line="305" w:lineRule="auto"/>
        <w:tabs>
          <w:tab w:leader="none" w:pos="719" w:val="left"/>
        </w:tabs>
        <w:numPr>
          <w:ilvl w:val="0"/>
          <w:numId w:val="236"/>
        </w:numPr>
        <w:rPr>
          <w:rFonts w:ascii="Arial" w:cs="Arial" w:eastAsia="Arial" w:hAnsi="Arial"/>
          <w:sz w:val="15"/>
          <w:szCs w:val="15"/>
          <w:color w:val="auto"/>
        </w:rPr>
      </w:pPr>
      <w:r>
        <w:rPr>
          <w:rFonts w:ascii="Arial" w:cs="Arial" w:eastAsia="Arial" w:hAnsi="Arial"/>
          <w:sz w:val="15"/>
          <w:szCs w:val="15"/>
          <w:color w:val="auto"/>
        </w:rPr>
        <w:t>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47" w:lineRule="exact"/>
        <w:rPr>
          <w:rFonts w:ascii="Arial" w:cs="Arial" w:eastAsia="Arial" w:hAnsi="Arial"/>
          <w:sz w:val="15"/>
          <w:szCs w:val="15"/>
          <w:color w:val="auto"/>
        </w:rPr>
      </w:pPr>
    </w:p>
    <w:p>
      <w:pPr>
        <w:ind w:right="340" w:firstLine="477"/>
        <w:spacing w:after="0" w:line="277" w:lineRule="auto"/>
        <w:tabs>
          <w:tab w:leader="none" w:pos="719" w:val="left"/>
        </w:tabs>
        <w:numPr>
          <w:ilvl w:val="0"/>
          <w:numId w:val="236"/>
        </w:numPr>
        <w:rPr>
          <w:rFonts w:ascii="Arial" w:cs="Arial" w:eastAsia="Arial" w:hAnsi="Arial"/>
          <w:sz w:val="17"/>
          <w:szCs w:val="17"/>
          <w:color w:val="auto"/>
        </w:rPr>
      </w:pPr>
      <w:r>
        <w:rPr>
          <w:rFonts w:ascii="Arial" w:cs="Arial" w:eastAsia="Arial" w:hAnsi="Arial"/>
          <w:sz w:val="17"/>
          <w:szCs w:val="17"/>
          <w:color w:val="auto"/>
        </w:rPr>
        <w:t>For purposes of this By-law, “</w:t>
      </w:r>
      <w:r>
        <w:rPr>
          <w:rFonts w:ascii="Arial" w:cs="Arial" w:eastAsia="Arial" w:hAnsi="Arial"/>
          <w:sz w:val="17"/>
          <w:szCs w:val="17"/>
          <w:b w:val="1"/>
          <w:bCs w:val="1"/>
          <w:color w:val="auto"/>
        </w:rPr>
        <w:t>public announcement</w:t>
      </w:r>
      <w:r>
        <w:rPr>
          <w:rFonts w:ascii="Arial" w:cs="Arial" w:eastAsia="Arial" w:hAnsi="Arial"/>
          <w:sz w:val="17"/>
          <w:szCs w:val="17"/>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68" w:lineRule="exact"/>
        <w:rPr>
          <w:rFonts w:ascii="Arial" w:cs="Arial" w:eastAsia="Arial" w:hAnsi="Arial"/>
          <w:sz w:val="17"/>
          <w:szCs w:val="17"/>
          <w:color w:val="auto"/>
        </w:rPr>
      </w:pPr>
    </w:p>
    <w:p>
      <w:pPr>
        <w:jc w:val="both"/>
        <w:ind w:right="100" w:firstLine="477"/>
        <w:spacing w:after="0" w:line="265" w:lineRule="auto"/>
        <w:tabs>
          <w:tab w:leader="none" w:pos="719" w:val="left"/>
        </w:tabs>
        <w:numPr>
          <w:ilvl w:val="0"/>
          <w:numId w:val="236"/>
        </w:numPr>
        <w:rPr>
          <w:rFonts w:ascii="Arial" w:cs="Arial" w:eastAsia="Arial" w:hAnsi="Arial"/>
          <w:sz w:val="17"/>
          <w:szCs w:val="17"/>
          <w:color w:val="auto"/>
        </w:rPr>
      </w:pPr>
      <w:r>
        <w:rPr>
          <w:rFonts w:ascii="Arial" w:cs="Arial" w:eastAsia="Arial" w:hAnsi="Arial"/>
          <w:sz w:val="17"/>
          <w:szCs w:val="17"/>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(i) stockholders to have nominations or proposals included in the Corporation’s proxy statement pursuant to Rule 14a-8 or Rule 14a-11 (or any successor rules), as applicable, under the Exchange Act and, to the extent required by such rule, have such nominations or proposals considered and voted on at an Annual Meeting or (ii) the holders of any series of Undesignated Preferred Stock to elect directors under specified circumstances.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Special Meetings</w:t>
      </w:r>
      <w:r>
        <w:rPr>
          <w:rFonts w:ascii="Arial" w:cs="Arial" w:eastAsia="Arial" w:hAnsi="Arial"/>
          <w:sz w:val="17"/>
          <w:szCs w:val="17"/>
          <w:color w:val="auto"/>
        </w:rPr>
        <w:t>.</w:t>
      </w:r>
    </w:p>
    <w:p>
      <w:pPr>
        <w:spacing w:after="0" w:line="224" w:lineRule="exact"/>
        <w:rPr>
          <w:sz w:val="20"/>
          <w:szCs w:val="20"/>
          <w:color w:val="auto"/>
        </w:rPr>
      </w:pPr>
    </w:p>
    <w:p>
      <w:pPr>
        <w:jc w:val="both"/>
        <w:ind w:right="60" w:firstLine="634"/>
        <w:spacing w:after="0" w:line="273" w:lineRule="auto"/>
        <w:tabs>
          <w:tab w:leader="none" w:pos="867" w:val="left"/>
        </w:tabs>
        <w:numPr>
          <w:ilvl w:val="1"/>
          <w:numId w:val="237"/>
        </w:numPr>
        <w:rPr>
          <w:rFonts w:ascii="Arial" w:cs="Arial" w:eastAsia="Arial" w:hAnsi="Arial"/>
          <w:sz w:val="17"/>
          <w:szCs w:val="17"/>
          <w:color w:val="auto"/>
        </w:rPr>
      </w:pPr>
      <w:r>
        <w:rPr>
          <w:rFonts w:ascii="Arial" w:cs="Arial" w:eastAsia="Arial" w:hAnsi="Arial"/>
          <w:sz w:val="17"/>
          <w:szCs w:val="17"/>
          <w:color w:val="auto"/>
        </w:rPr>
        <w:t>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w:t>
      </w:r>
    </w:p>
    <w:p>
      <w:pPr>
        <w:spacing w:after="0" w:line="171" w:lineRule="exact"/>
        <w:rPr>
          <w:rFonts w:ascii="Arial" w:cs="Arial" w:eastAsia="Arial" w:hAnsi="Arial"/>
          <w:sz w:val="17"/>
          <w:szCs w:val="17"/>
          <w:color w:val="auto"/>
        </w:rPr>
      </w:pPr>
    </w:p>
    <w:p>
      <w:pPr>
        <w:jc w:val="both"/>
        <w:ind w:right="100" w:firstLine="634"/>
        <w:spacing w:after="0" w:line="278" w:lineRule="auto"/>
        <w:tabs>
          <w:tab w:leader="none" w:pos="877" w:val="left"/>
        </w:tabs>
        <w:numPr>
          <w:ilvl w:val="1"/>
          <w:numId w:val="237"/>
        </w:numPr>
        <w:rPr>
          <w:rFonts w:ascii="Arial" w:cs="Arial" w:eastAsia="Arial" w:hAnsi="Arial"/>
          <w:sz w:val="16"/>
          <w:szCs w:val="16"/>
          <w:color w:val="auto"/>
        </w:rPr>
      </w:pPr>
      <w:r>
        <w:rPr>
          <w:rFonts w:ascii="Arial" w:cs="Arial" w:eastAsia="Arial" w:hAnsi="Arial"/>
          <w:sz w:val="16"/>
          <w:szCs w:val="16"/>
          <w:color w:val="auto"/>
        </w:rPr>
        <w:t>Only such business shall be conducted at a special meeting of stockholders as shall have been brought before the meeting by or at the direction of the Board of Directors. The notice of such special meeting shall include the purpose for which the meeting is called. Nominations of persons for election to the Board of Directors may be made at a special meeting of stockholders at which directors are to be elected (a) by or at the direction of the Board of Directors or</w:t>
      </w:r>
    </w:p>
    <w:p>
      <w:pPr>
        <w:spacing w:after="0" w:line="1" w:lineRule="exact"/>
        <w:rPr>
          <w:rFonts w:ascii="Arial" w:cs="Arial" w:eastAsia="Arial" w:hAnsi="Arial"/>
          <w:sz w:val="16"/>
          <w:szCs w:val="16"/>
          <w:color w:val="auto"/>
        </w:rPr>
      </w:pPr>
    </w:p>
    <w:p>
      <w:pPr>
        <w:ind w:left="260" w:hanging="255"/>
        <w:spacing w:after="0"/>
        <w:tabs>
          <w:tab w:leader="none" w:pos="26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provided that the Board of Directors has determined that directors shall be elected at such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meeting, by any stockholder who is a stockholder of record of the Corporation at the time of giving of notice provided for in this paragraph, who shall be entitled to vote at the meeting, who is present (in person or by proxy) at the meeting and who complies with the notice and other procedures (including the content of such notice and the procedures to update and supplement such notice) applicable to nominations at Annual Meetings set forth in Article I, Section 2 of these By-laws; provided, however, that for such notice to be considered timely for purposes of this Section 3, such notice shall have been received by the Secretary at the principal executive offices of the Corporation no later than the close of business on the later of the ninetieth (90th) day prior to the scheduled date of such special meeting or the tenth (10th) day following the day on which public announcement is first made of the date of the special meeting and of the nominees proposed by the Board of Directors to be elected at such meeting. If the Corporation calls a special meeting of stockholders for the purpose of electing one or more directors to the Board of Directors, the provisions of Article I, Section 2 of these By-laws applicable to director nominations at an Annual Meeting shall apply to this Section 3 as if such special meeting were an Annual Meeting (subject to the proviso included in the immediately preceding sentence). A person shall not be eligible for election or reelection as a director at a special meeting unless the person is nominated (i) by or at the direction of the Board of Directors or (ii) by a stockholder of record in accordance with the notice and other procedures set forth in this Article I.</w:t>
      </w:r>
    </w:p>
    <w:p>
      <w:pPr>
        <w:spacing w:after="0" w:line="173" w:lineRule="exact"/>
        <w:rPr>
          <w:sz w:val="20"/>
          <w:szCs w:val="20"/>
          <w:color w:val="auto"/>
        </w:rPr>
      </w:pPr>
    </w:p>
    <w:p>
      <w:pPr>
        <w:ind w:right="340" w:firstLine="634"/>
        <w:spacing w:after="0" w:line="285" w:lineRule="auto"/>
        <w:tabs>
          <w:tab w:leader="none" w:pos="867" w:val="left"/>
        </w:tabs>
        <w:numPr>
          <w:ilvl w:val="0"/>
          <w:numId w:val="239"/>
        </w:numPr>
        <w:rPr>
          <w:rFonts w:ascii="Arial" w:cs="Arial" w:eastAsia="Arial" w:hAnsi="Arial"/>
          <w:sz w:val="16"/>
          <w:szCs w:val="16"/>
          <w:color w:val="auto"/>
        </w:rPr>
      </w:pPr>
      <w:r>
        <w:rPr>
          <w:rFonts w:ascii="Arial" w:cs="Arial" w:eastAsia="Arial" w:hAnsi="Arial"/>
          <w:sz w:val="16"/>
          <w:szCs w:val="16"/>
          <w:color w:val="auto"/>
        </w:rPr>
        <w:t>For the avoidance of doubt, notwithstanding the foregoing provisions of this Section 3, a stockholder shall also comply with all applicable requirements of the Exchange Act and the rules and regulations thereunder with respect to matters set forth in this Section 3. Nothing in this Section 3 shall be deemed to affect any rights of (i) stockholders to have proposals included in the Corporation’s proxy statement pursuant to Rule 14a-8 (or any successor rule) under the Exchange Act and, to the extent required by such rule, have such proposals considered and voted on at a special meeting of stockholders or (ii) the holders of any series of Undesignated Preferred Stock to elect directors under specified circumstances.</w:t>
      </w:r>
    </w:p>
    <w:p>
      <w:pPr>
        <w:spacing w:after="0" w:line="166" w:lineRule="exact"/>
        <w:rPr>
          <w:rFonts w:ascii="Arial" w:cs="Arial" w:eastAsia="Arial" w:hAnsi="Arial"/>
          <w:sz w:val="16"/>
          <w:szCs w:val="16"/>
          <w:color w:val="auto"/>
        </w:rPr>
      </w:pPr>
    </w:p>
    <w:p>
      <w:pPr>
        <w:ind w:right="340" w:firstLine="634"/>
        <w:spacing w:after="0" w:line="298" w:lineRule="auto"/>
        <w:tabs>
          <w:tab w:leader="none" w:pos="877" w:val="left"/>
        </w:tabs>
        <w:numPr>
          <w:ilvl w:val="0"/>
          <w:numId w:val="239"/>
        </w:numPr>
        <w:rPr>
          <w:rFonts w:ascii="Arial" w:cs="Arial" w:eastAsia="Arial" w:hAnsi="Arial"/>
          <w:sz w:val="16"/>
          <w:szCs w:val="16"/>
          <w:color w:val="auto"/>
        </w:rPr>
      </w:pPr>
      <w:r>
        <w:rPr>
          <w:rFonts w:ascii="Arial" w:cs="Arial" w:eastAsia="Arial" w:hAnsi="Arial"/>
          <w:sz w:val="16"/>
          <w:szCs w:val="16"/>
          <w:color w:val="auto"/>
        </w:rPr>
        <w:t>Notwithstanding anything contained in this Section 3 to the contrary, if the proposing stockholder or its qualified representative (as such term is defined in Article I, Section 2(b)(3) of these By-Laws) does not appear at the special meeting of stockholders of the Corporation to present a nomination, such nomination shall be disregarded, notwithstanding that proxies in respect of such vote may have been received by the Corporation.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Notice of Meetings; Adjournments</w:t>
      </w:r>
      <w:r>
        <w:rPr>
          <w:rFonts w:ascii="Arial" w:cs="Arial" w:eastAsia="Arial" w:hAnsi="Arial"/>
          <w:sz w:val="17"/>
          <w:szCs w:val="17"/>
          <w:color w:val="auto"/>
        </w:rPr>
        <w:t>.</w:t>
      </w:r>
    </w:p>
    <w:p>
      <w:pPr>
        <w:spacing w:after="0" w:line="224" w:lineRule="exact"/>
        <w:rPr>
          <w:sz w:val="20"/>
          <w:szCs w:val="20"/>
          <w:color w:val="auto"/>
        </w:rPr>
      </w:pPr>
    </w:p>
    <w:p>
      <w:pPr>
        <w:ind w:right="20" w:firstLine="634"/>
        <w:spacing w:after="0" w:line="263" w:lineRule="auto"/>
        <w:tabs>
          <w:tab w:leader="none" w:pos="857"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w:t>
      </w:r>
      <w:r>
        <w:rPr>
          <w:rFonts w:ascii="Arial" w:cs="Arial" w:eastAsia="Arial" w:hAnsi="Arial"/>
          <w:sz w:val="17"/>
          <w:szCs w:val="17"/>
          <w:b w:val="1"/>
          <w:bCs w:val="1"/>
          <w:color w:val="auto"/>
        </w:rPr>
        <w:t>“DGCL”</w:t>
      </w:r>
      <w:r>
        <w:rPr>
          <w:rFonts w:ascii="Arial" w:cs="Arial" w:eastAsia="Arial" w:hAnsi="Arial"/>
          <w:sz w:val="17"/>
          <w:szCs w:val="17"/>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34"/>
        <w:spacing w:after="0" w:line="289" w:lineRule="auto"/>
        <w:tabs>
          <w:tab w:leader="none" w:pos="877" w:val="left"/>
        </w:tabs>
        <w:numPr>
          <w:ilvl w:val="0"/>
          <w:numId w:val="241"/>
        </w:numPr>
        <w:rPr>
          <w:rFonts w:ascii="Arial" w:cs="Arial" w:eastAsia="Arial" w:hAnsi="Arial"/>
          <w:sz w:val="17"/>
          <w:szCs w:val="17"/>
          <w:color w:val="auto"/>
        </w:rPr>
      </w:pPr>
      <w:r>
        <w:rPr>
          <w:rFonts w:ascii="Arial" w:cs="Arial" w:eastAsia="Arial" w:hAnsi="Arial"/>
          <w:sz w:val="17"/>
          <w:szCs w:val="17"/>
          <w:color w:val="auto"/>
        </w:rPr>
        <w:t>Notice of all special meetings of stockholders shall be given in the same manner as provided for Annual Meetings, except that the notice of all special meetings shall state the purpose or purposes for which the meeting has been called.</w:t>
      </w:r>
    </w:p>
    <w:p>
      <w:pPr>
        <w:sectPr>
          <w:pgSz w:w="11900" w:h="16838" w:orient="portrait"/>
          <w:cols w:equalWidth="0" w:num="1">
            <w:col w:w="11420"/>
          </w:cols>
          <w:pgMar w:left="240" w:top="127" w:right="239" w:bottom="0" w:gutter="0" w:footer="0" w:header="0"/>
        </w:sectPr>
      </w:pPr>
    </w:p>
    <w:bookmarkStart w:id="240" w:name="page241"/>
    <w:bookmarkEnd w:id="240"/>
    <w:p>
      <w:pPr>
        <w:ind w:right="40" w:firstLine="634"/>
        <w:spacing w:after="0" w:line="326" w:lineRule="auto"/>
        <w:tabs>
          <w:tab w:leader="none" w:pos="867" w:val="left"/>
        </w:tabs>
        <w:numPr>
          <w:ilvl w:val="0"/>
          <w:numId w:val="242"/>
        </w:numPr>
        <w:rPr>
          <w:rFonts w:ascii="Arial" w:cs="Arial" w:eastAsia="Arial" w:hAnsi="Arial"/>
          <w:sz w:val="15"/>
          <w:szCs w:val="15"/>
          <w:color w:val="auto"/>
        </w:rPr>
      </w:pPr>
      <w:r>
        <w:rPr>
          <w:rFonts w:ascii="Arial" w:cs="Arial" w:eastAsia="Arial" w:hAnsi="Arial"/>
          <w:sz w:val="15"/>
          <w:szCs w:val="15"/>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36" w:lineRule="exact"/>
        <w:rPr>
          <w:rFonts w:ascii="Arial" w:cs="Arial" w:eastAsia="Arial" w:hAnsi="Arial"/>
          <w:sz w:val="15"/>
          <w:szCs w:val="15"/>
          <w:color w:val="auto"/>
        </w:rPr>
      </w:pPr>
    </w:p>
    <w:p>
      <w:pPr>
        <w:jc w:val="both"/>
        <w:ind w:right="280" w:firstLine="634"/>
        <w:spacing w:after="0" w:line="290" w:lineRule="auto"/>
        <w:tabs>
          <w:tab w:leader="none" w:pos="874"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2 of this Article I of these By-laws or otherwise. In no event shall the public announcement of an adjournment, postponement or rescheduling of any previously scheduled meeting of stockholders commence a new time period for the giving of a stockholder’s notice under this Article I of these By-laws.</w:t>
      </w:r>
    </w:p>
    <w:p>
      <w:pPr>
        <w:spacing w:after="0" w:line="159" w:lineRule="exact"/>
        <w:rPr>
          <w:rFonts w:ascii="Arial" w:cs="Arial" w:eastAsia="Arial" w:hAnsi="Arial"/>
          <w:sz w:val="16"/>
          <w:szCs w:val="16"/>
          <w:color w:val="auto"/>
        </w:rPr>
      </w:pPr>
    </w:p>
    <w:p>
      <w:pPr>
        <w:ind w:right="40" w:firstLine="634"/>
        <w:spacing w:after="0" w:line="260" w:lineRule="auto"/>
        <w:tabs>
          <w:tab w:leader="none" w:pos="864"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Arial" w:cs="Arial" w:eastAsia="Arial" w:hAnsi="Arial"/>
          <w:sz w:val="17"/>
          <w:szCs w:val="17"/>
          <w:b w:val="1"/>
          <w:bCs w:val="1"/>
          <w:color w:val="auto"/>
        </w:rPr>
        <w:t>“Certificate”</w:t>
      </w:r>
      <w:r>
        <w:rPr>
          <w:rFonts w:ascii="Arial" w:cs="Arial" w:eastAsia="Arial" w:hAnsi="Arial"/>
          <w:sz w:val="17"/>
          <w:szCs w:val="17"/>
          <w:color w:val="auto"/>
        </w:rPr>
        <w:t>) or these By-laws, is entitled to such notice.</w:t>
      </w:r>
    </w:p>
    <w:p>
      <w:pPr>
        <w:spacing w:after="0" w:line="188" w:lineRule="exact"/>
        <w:rPr>
          <w:sz w:val="20"/>
          <w:szCs w:val="20"/>
          <w:color w:val="auto"/>
        </w:rPr>
      </w:pPr>
    </w:p>
    <w:p>
      <w:pPr>
        <w:ind w:right="100" w:firstLine="629"/>
        <w:spacing w:after="0" w:line="263"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Quorum</w:t>
      </w:r>
      <w:r>
        <w:rPr>
          <w:rFonts w:ascii="Arial" w:cs="Arial" w:eastAsia="Arial" w:hAnsi="Arial"/>
          <w:sz w:val="17"/>
          <w:szCs w:val="17"/>
          <w:color w:val="auto"/>
        </w:rPr>
        <w:t>. A majority of the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0" w:firstLine="629"/>
        <w:spacing w:after="0" w:line="261"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Voting and Proxies</w:t>
      </w:r>
      <w:r>
        <w:rPr>
          <w:rFonts w:ascii="Arial" w:cs="Arial" w:eastAsia="Arial" w:hAnsi="Arial"/>
          <w:sz w:val="17"/>
          <w:szCs w:val="17"/>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81" w:lineRule="exact"/>
        <w:rPr>
          <w:sz w:val="20"/>
          <w:szCs w:val="20"/>
          <w:color w:val="auto"/>
        </w:rPr>
      </w:pPr>
    </w:p>
    <w:p>
      <w:pPr>
        <w:ind w:right="60" w:firstLine="629"/>
        <w:spacing w:after="0" w:line="326" w:lineRule="auto"/>
        <w:rPr>
          <w:sz w:val="20"/>
          <w:szCs w:val="20"/>
          <w:color w:val="auto"/>
        </w:rPr>
      </w:pPr>
      <w:r>
        <w:rPr>
          <w:rFonts w:ascii="Arial" w:cs="Arial" w:eastAsia="Arial" w:hAnsi="Arial"/>
          <w:sz w:val="15"/>
          <w:szCs w:val="15"/>
          <w:color w:val="auto"/>
        </w:rPr>
        <w:t xml:space="preserve">SECTION 7. </w:t>
      </w:r>
      <w:r>
        <w:rPr>
          <w:rFonts w:ascii="Arial" w:cs="Arial" w:eastAsia="Arial" w:hAnsi="Arial"/>
          <w:sz w:val="15"/>
          <w:szCs w:val="15"/>
          <w:u w:val="single" w:color="auto"/>
          <w:color w:val="auto"/>
        </w:rPr>
        <w:t>Action at Meeting</w:t>
      </w:r>
      <w:r>
        <w:rPr>
          <w:rFonts w:ascii="Arial" w:cs="Arial" w:eastAsia="Arial" w:hAnsi="Arial"/>
          <w:sz w:val="15"/>
          <w:szCs w:val="15"/>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36" w:lineRule="exact"/>
        <w:rPr>
          <w:sz w:val="20"/>
          <w:szCs w:val="20"/>
          <w:color w:val="auto"/>
        </w:rPr>
      </w:pPr>
    </w:p>
    <w:p>
      <w:pPr>
        <w:ind w:firstLine="629"/>
        <w:spacing w:after="0" w:line="285"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Stockholder Lists</w:t>
      </w:r>
      <w:r>
        <w:rPr>
          <w:rFonts w:ascii="Arial" w:cs="Arial" w:eastAsia="Arial" w:hAnsi="Arial"/>
          <w:sz w:val="16"/>
          <w:szCs w:val="16"/>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in the manner provided by law. The list shall also be open to the examination of any stockholder during the whole time of the meeting as provided by law.</w:t>
      </w:r>
    </w:p>
    <w:p>
      <w:pPr>
        <w:spacing w:after="0" w:line="166" w:lineRule="exact"/>
        <w:rPr>
          <w:sz w:val="20"/>
          <w:szCs w:val="20"/>
          <w:color w:val="auto"/>
        </w:rPr>
      </w:pPr>
    </w:p>
    <w:p>
      <w:pPr>
        <w:ind w:right="60" w:firstLine="629"/>
        <w:spacing w:after="0" w:line="262"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Presiding Officer</w:t>
      </w:r>
      <w:r>
        <w:rPr>
          <w:rFonts w:ascii="Arial" w:cs="Arial" w:eastAsia="Arial" w:hAnsi="Arial"/>
          <w:sz w:val="17"/>
          <w:szCs w:val="17"/>
          <w:color w:val="auto"/>
        </w:rPr>
        <w:t>.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Sections 4 and 5 of this Article I. The order of business and all other matters of procedure at any meeting of the stockholders shall be determined by the presiding officer.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29"/>
        <w:spacing w:after="0" w:line="279"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Inspectors of Elections</w:t>
      </w:r>
      <w:r>
        <w:rPr>
          <w:rFonts w:ascii="Arial" w:cs="Arial" w:eastAsia="Arial" w:hAnsi="Arial"/>
          <w:sz w:val="16"/>
          <w:szCs w:val="16"/>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ARTICLE 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Directors</w:t>
      </w:r>
    </w:p>
    <w:p>
      <w:pPr>
        <w:sectPr>
          <w:pgSz w:w="11900" w:h="16838" w:orient="portrait"/>
          <w:cols w:equalWidth="0" w:num="1">
            <w:col w:w="11420"/>
          </w:cols>
          <w:pgMar w:left="240" w:top="127" w:right="239" w:bottom="0" w:gutter="0" w:footer="0" w:header="0"/>
        </w:sectPr>
      </w:pPr>
    </w:p>
    <w:bookmarkStart w:id="241" w:name="page242"/>
    <w:bookmarkEnd w:id="241"/>
    <w:p>
      <w:pPr>
        <w:spacing w:after="0" w:line="39" w:lineRule="exact"/>
        <w:rPr>
          <w:sz w:val="20"/>
          <w:szCs w:val="20"/>
          <w:color w:val="auto"/>
        </w:rPr>
      </w:pPr>
    </w:p>
    <w:p>
      <w:pPr>
        <w:ind w:right="680" w:firstLine="629"/>
        <w:spacing w:after="0" w:line="28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Powers</w:t>
      </w:r>
      <w:r>
        <w:rPr>
          <w:rFonts w:ascii="Arial" w:cs="Arial" w:eastAsia="Arial" w:hAnsi="Arial"/>
          <w:sz w:val="17"/>
          <w:szCs w:val="17"/>
          <w:color w:val="auto"/>
        </w:rPr>
        <w:t>. The business and affairs of the Corporation shall be managed by or under the direction of the Board of Directors except as otherwise provided by the Certificate or required by law.</w:t>
      </w:r>
    </w:p>
    <w:p>
      <w:pPr>
        <w:spacing w:after="0" w:line="158"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Number and Terms</w:t>
      </w:r>
      <w:r>
        <w:rPr>
          <w:rFonts w:ascii="Arial" w:cs="Arial" w:eastAsia="Arial" w:hAnsi="Arial"/>
          <w:sz w:val="17"/>
          <w:szCs w:val="17"/>
          <w:color w:val="auto"/>
        </w:rPr>
        <w:t>. The number of directors of the Corporation shall be fixed solely and exclusively by resolution duly adopted from time to time by the Board of Directors. The directors shall hold office in the manner provided in the Certificate.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Qualification</w:t>
      </w:r>
      <w:r>
        <w:rPr>
          <w:rFonts w:ascii="Arial" w:cs="Arial" w:eastAsia="Arial" w:hAnsi="Arial"/>
          <w:sz w:val="17"/>
          <w:szCs w:val="17"/>
          <w:color w:val="auto"/>
        </w:rPr>
        <w:t>. No director need be a stockholder of the Corporation.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Vacancies</w:t>
      </w:r>
      <w:r>
        <w:rPr>
          <w:rFonts w:ascii="Arial" w:cs="Arial" w:eastAsia="Arial" w:hAnsi="Arial"/>
          <w:sz w:val="17"/>
          <w:szCs w:val="17"/>
          <w:color w:val="auto"/>
        </w:rPr>
        <w:t>. Vacancies in the Board of Directors shall be filled in the manner provided in the Certificate.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Removal</w:t>
      </w:r>
      <w:r>
        <w:rPr>
          <w:rFonts w:ascii="Arial" w:cs="Arial" w:eastAsia="Arial" w:hAnsi="Arial"/>
          <w:sz w:val="17"/>
          <w:szCs w:val="17"/>
          <w:color w:val="auto"/>
        </w:rPr>
        <w:t>. Directors may be removed from office only in the manner provided in the Certificate.</w:t>
      </w:r>
    </w:p>
    <w:p>
      <w:pPr>
        <w:spacing w:after="0" w:line="224"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Resignation</w:t>
      </w:r>
      <w:r>
        <w:rPr>
          <w:rFonts w:ascii="Arial" w:cs="Arial" w:eastAsia="Arial" w:hAnsi="Arial"/>
          <w:sz w:val="17"/>
          <w:szCs w:val="17"/>
          <w:color w:val="auto"/>
        </w:rPr>
        <w:t>. A director may resign at any time by giving written notice to the Chairman of the Board, if one is elected, the President or the Secretary. A resignation shall be effective upon receipt, unless the resignation otherwise provides.</w:t>
      </w:r>
    </w:p>
    <w:p>
      <w:pPr>
        <w:spacing w:after="0" w:line="158" w:lineRule="exact"/>
        <w:rPr>
          <w:sz w:val="20"/>
          <w:szCs w:val="20"/>
          <w:color w:val="auto"/>
        </w:rPr>
      </w:pPr>
    </w:p>
    <w:p>
      <w:pPr>
        <w:ind w:right="80" w:firstLine="629"/>
        <w:spacing w:after="0" w:line="268"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Regular Meetings</w:t>
      </w:r>
      <w:r>
        <w:rPr>
          <w:rFonts w:ascii="Arial" w:cs="Arial" w:eastAsia="Arial" w:hAnsi="Arial"/>
          <w:sz w:val="17"/>
          <w:szCs w:val="17"/>
          <w:color w:val="auto"/>
        </w:rPr>
        <w:t>. The regular annual meeting of the Board of Directors shall be held, without notice other than this Section 7, on the same date and at the same place as the Annual Meeting following the close of such meeting of stockholders. Other regular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76"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orally or in writing, by or at the request of a majority of the directors, the Chairman of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Board, if one is elected, or the President. The person calling any such special meeting of the Board of Directors may fix the hour, date and place thereof.</w:t>
      </w:r>
    </w:p>
    <w:p>
      <w:pPr>
        <w:spacing w:after="0" w:line="236" w:lineRule="exact"/>
        <w:rPr>
          <w:sz w:val="20"/>
          <w:szCs w:val="20"/>
          <w:color w:val="auto"/>
        </w:rPr>
      </w:pPr>
    </w:p>
    <w:p>
      <w:pPr>
        <w:ind w:firstLine="629"/>
        <w:spacing w:after="0" w:line="295" w:lineRule="auto"/>
        <w:rPr>
          <w:sz w:val="20"/>
          <w:szCs w:val="20"/>
          <w:color w:val="auto"/>
        </w:rPr>
      </w:pPr>
      <w:r>
        <w:rPr>
          <w:rFonts w:ascii="Arial" w:cs="Arial" w:eastAsia="Arial" w:hAnsi="Arial"/>
          <w:sz w:val="15"/>
          <w:szCs w:val="15"/>
          <w:color w:val="auto"/>
        </w:rPr>
        <w:t xml:space="preserve">SECTION 9. </w:t>
      </w:r>
      <w:r>
        <w:rPr>
          <w:rFonts w:ascii="Arial" w:cs="Arial" w:eastAsia="Arial" w:hAnsi="Arial"/>
          <w:sz w:val="15"/>
          <w:szCs w:val="15"/>
          <w:u w:val="single" w:color="auto"/>
          <w:color w:val="auto"/>
        </w:rPr>
        <w:t>Notice of Meetings</w:t>
      </w:r>
      <w:r>
        <w:rPr>
          <w:rFonts w:ascii="Arial" w:cs="Arial" w:eastAsia="Arial" w:hAnsi="Arial"/>
          <w:sz w:val="15"/>
          <w:szCs w:val="15"/>
          <w:color w:val="auto"/>
        </w:rPr>
        <w:t>.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w:t>
      </w:r>
    </w:p>
    <w:p>
      <w:pPr>
        <w:spacing w:after="0" w:line="1" w:lineRule="exact"/>
        <w:rPr>
          <w:sz w:val="20"/>
          <w:szCs w:val="20"/>
          <w:color w:val="auto"/>
        </w:rPr>
      </w:pPr>
    </w:p>
    <w:p>
      <w:pPr>
        <w:ind w:firstLine="5"/>
        <w:spacing w:after="0" w:line="279" w:lineRule="auto"/>
        <w:tabs>
          <w:tab w:leader="none" w:pos="335" w:val="left"/>
        </w:tabs>
        <w:numPr>
          <w:ilvl w:val="0"/>
          <w:numId w:val="243"/>
        </w:numPr>
        <w:rPr>
          <w:rFonts w:ascii="Arial" w:cs="Arial" w:eastAsia="Arial" w:hAnsi="Arial"/>
          <w:sz w:val="16"/>
          <w:szCs w:val="16"/>
          <w:color w:val="auto"/>
        </w:rPr>
      </w:pPr>
      <w:r>
        <w:rPr>
          <w:rFonts w:ascii="Arial" w:cs="Arial" w:eastAsia="Arial" w:hAnsi="Arial"/>
          <w:sz w:val="16"/>
          <w:szCs w:val="16"/>
          <w:color w:val="auto"/>
        </w:rPr>
        <w:t>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69"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Quorum</w:t>
      </w:r>
      <w:r>
        <w:rPr>
          <w:rFonts w:ascii="Arial" w:cs="Arial" w:eastAsia="Arial" w:hAnsi="Arial"/>
          <w:sz w:val="17"/>
          <w:szCs w:val="17"/>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79"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Action at Meeting</w:t>
      </w:r>
      <w:r>
        <w:rPr>
          <w:rFonts w:ascii="Arial" w:cs="Arial" w:eastAsia="Arial" w:hAnsi="Arial"/>
          <w:sz w:val="17"/>
          <w:szCs w:val="17"/>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58"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Action by Consent</w:t>
      </w:r>
      <w:r>
        <w:rPr>
          <w:rFonts w:ascii="Arial" w:cs="Arial" w:eastAsia="Arial" w:hAnsi="Arial"/>
          <w:sz w:val="17"/>
          <w:szCs w:val="17"/>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79" w:lineRule="exact"/>
        <w:rPr>
          <w:sz w:val="20"/>
          <w:szCs w:val="20"/>
          <w:color w:val="auto"/>
        </w:rPr>
      </w:pPr>
    </w:p>
    <w:p>
      <w:pPr>
        <w:ind w:right="540" w:firstLine="629"/>
        <w:spacing w:after="0" w:line="322"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Manner of Participation</w:t>
      </w:r>
      <w:r>
        <w:rPr>
          <w:rFonts w:ascii="Arial" w:cs="Arial" w:eastAsia="Arial" w:hAnsi="Arial"/>
          <w:sz w:val="16"/>
          <w:szCs w:val="16"/>
          <w:color w:val="auto"/>
        </w:rPr>
        <w:t>. Directors may participate in meetings of the Board of Directors by means of conference telephone or other communications equipment by means of which all directors participating in the meeting can hear each other, and participation in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 meeting in accordance herewith shall constitute presence in person at such meeting for purposes of these By-laws.</w:t>
      </w:r>
    </w:p>
    <w:p>
      <w:pPr>
        <w:spacing w:after="0" w:line="224"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Presiding Director</w:t>
      </w:r>
      <w:r>
        <w:rPr>
          <w:rFonts w:ascii="Arial" w:cs="Arial" w:eastAsia="Arial" w:hAnsi="Arial"/>
          <w:sz w:val="17"/>
          <w:szCs w:val="17"/>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79" w:lineRule="exact"/>
        <w:rPr>
          <w:sz w:val="20"/>
          <w:szCs w:val="20"/>
          <w:color w:val="auto"/>
        </w:rPr>
      </w:pPr>
    </w:p>
    <w:p>
      <w:pPr>
        <w:ind w:right="20" w:firstLine="629"/>
        <w:spacing w:after="0" w:line="308" w:lineRule="auto"/>
        <w:rPr>
          <w:sz w:val="20"/>
          <w:szCs w:val="20"/>
          <w:color w:val="auto"/>
        </w:rPr>
      </w:pPr>
      <w:r>
        <w:rPr>
          <w:rFonts w:ascii="Arial" w:cs="Arial" w:eastAsia="Arial" w:hAnsi="Arial"/>
          <w:sz w:val="15"/>
          <w:szCs w:val="15"/>
          <w:color w:val="auto"/>
        </w:rPr>
        <w:t xml:space="preserve">SECTION 15. </w:t>
      </w:r>
      <w:r>
        <w:rPr>
          <w:rFonts w:ascii="Arial" w:cs="Arial" w:eastAsia="Arial" w:hAnsi="Arial"/>
          <w:sz w:val="15"/>
          <w:szCs w:val="15"/>
          <w:u w:val="single" w:color="auto"/>
          <w:color w:val="auto"/>
        </w:rPr>
        <w:t>Committees</w:t>
      </w:r>
      <w:r>
        <w:rPr>
          <w:rFonts w:ascii="Arial" w:cs="Arial" w:eastAsia="Arial" w:hAnsi="Arial"/>
          <w:sz w:val="15"/>
          <w:szCs w:val="15"/>
          <w:color w:val="auto"/>
        </w:rPr>
        <w: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w:t>
      </w:r>
    </w:p>
    <w:p>
      <w:pPr>
        <w:sectPr>
          <w:pgSz w:w="11900" w:h="16878" w:orient="portrait"/>
          <w:cols w:equalWidth="0" w:num="1">
            <w:col w:w="11420"/>
          </w:cols>
          <w:pgMar w:left="240" w:top="337" w:right="239" w:bottom="0" w:gutter="0" w:footer="0" w:header="0"/>
        </w:sectPr>
      </w:pPr>
    </w:p>
    <w:bookmarkStart w:id="242" w:name="page243"/>
    <w:bookmarkEnd w:id="242"/>
    <w:p>
      <w:pPr>
        <w:ind w:right="480"/>
        <w:spacing w:after="0" w:line="289" w:lineRule="auto"/>
        <w:rPr>
          <w:sz w:val="20"/>
          <w:szCs w:val="20"/>
          <w:color w:val="auto"/>
        </w:rPr>
      </w:pPr>
      <w:r>
        <w:rPr>
          <w:rFonts w:ascii="Arial" w:cs="Arial" w:eastAsia="Arial" w:hAnsi="Arial"/>
          <w:sz w:val="17"/>
          <w:szCs w:val="17"/>
          <w:color w:val="auto"/>
        </w:rPr>
        <w:t>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58"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Directors shall receive such compensation for their services as shall be determined by a majority of the Board of Directors, or a designated committee thereof.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ARTICLE 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Officers</w:t>
      </w:r>
    </w:p>
    <w:p>
      <w:pPr>
        <w:spacing w:after="0" w:line="224" w:lineRule="exact"/>
        <w:rPr>
          <w:sz w:val="20"/>
          <w:szCs w:val="20"/>
          <w:color w:val="auto"/>
        </w:rPr>
      </w:pPr>
    </w:p>
    <w:p>
      <w:pPr>
        <w:ind w:right="20" w:firstLine="629"/>
        <w:spacing w:after="0" w:line="29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Enumeration</w:t>
      </w:r>
      <w:r>
        <w:rPr>
          <w:rFonts w:ascii="Arial" w:cs="Arial" w:eastAsia="Arial" w:hAnsi="Arial"/>
          <w:sz w:val="16"/>
          <w:szCs w:val="16"/>
          <w:color w:val="auto"/>
        </w:rPr>
        <w:t>. The officers of the Corporation shall consist of a President, a Treasurer, a Secretary and such other officers, including, without limitation, a Chairman of the Board of Directors, a Chief Executive Officer, a Chief Financial Officer and one or more Vice Presidents (including Executive Vice Presidents or Senior Vice Presidents), Assistant Vice Presidents, Assistant Treasurers and Assistant Secretaries, as the Board of Directors may determine.</w:t>
      </w:r>
    </w:p>
    <w:p>
      <w:pPr>
        <w:spacing w:after="0" w:line="154"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Election</w:t>
      </w:r>
      <w:r>
        <w:rPr>
          <w:rFonts w:ascii="Arial" w:cs="Arial" w:eastAsia="Arial" w:hAnsi="Arial"/>
          <w:sz w:val="17"/>
          <w:szCs w:val="17"/>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72"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Qualification</w:t>
      </w:r>
      <w:r>
        <w:rPr>
          <w:rFonts w:ascii="Arial" w:cs="Arial" w:eastAsia="Arial" w:hAnsi="Arial"/>
          <w:sz w:val="16"/>
          <w:szCs w:val="16"/>
          <w:color w:val="auto"/>
        </w:rPr>
        <w:t>. No officer need be a stockholder or a director. Any person may occupy more than one office of the Corporation at any time.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0" w:firstLine="629"/>
        <w:spacing w:after="0" w:line="27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Tenure</w:t>
      </w:r>
      <w:r>
        <w:rPr>
          <w:rFonts w:ascii="Arial" w:cs="Arial" w:eastAsia="Arial" w:hAnsi="Arial"/>
          <w:sz w:val="17"/>
          <w:szCs w:val="17"/>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72" w:lineRule="exact"/>
        <w:rPr>
          <w:sz w:val="20"/>
          <w:szCs w:val="20"/>
          <w:color w:val="auto"/>
        </w:rPr>
      </w:pPr>
    </w:p>
    <w:p>
      <w:pPr>
        <w:ind w:right="620" w:firstLine="629"/>
        <w:spacing w:after="0" w:line="28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Resignation</w:t>
      </w:r>
      <w:r>
        <w:rPr>
          <w:rFonts w:ascii="Arial" w:cs="Arial" w:eastAsia="Arial" w:hAnsi="Arial"/>
          <w:sz w:val="17"/>
          <w:szCs w:val="17"/>
          <w:color w:val="auto"/>
        </w:rPr>
        <w:t>. Any officer may resign by delivering his or her written resignation to the Corporation addressed to the President or the Secretary, and such resignation shall be effective upon receipt, unless the resignation otherwise provides.</w:t>
      </w:r>
    </w:p>
    <w:p>
      <w:pPr>
        <w:spacing w:after="0" w:line="158" w:lineRule="exact"/>
        <w:rPr>
          <w:sz w:val="20"/>
          <w:szCs w:val="20"/>
          <w:color w:val="auto"/>
        </w:rPr>
      </w:pPr>
    </w:p>
    <w:p>
      <w:pPr>
        <w:ind w:right="340" w:firstLine="629"/>
        <w:spacing w:after="0" w:line="28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Removal</w:t>
      </w:r>
      <w:r>
        <w:rPr>
          <w:rFonts w:ascii="Arial" w:cs="Arial" w:eastAsia="Arial" w:hAnsi="Arial"/>
          <w:sz w:val="17"/>
          <w:szCs w:val="17"/>
          <w:color w:val="auto"/>
        </w:rPr>
        <w:t>. Except as otherwise provided by law, the Board of Directors may remove any officer with or without cause by the affirmative vote of a majority of the directors then in office.</w:t>
      </w:r>
    </w:p>
    <w:p>
      <w:pPr>
        <w:spacing w:after="0" w:line="158" w:lineRule="exact"/>
        <w:rPr>
          <w:sz w:val="20"/>
          <w:szCs w:val="20"/>
          <w:color w:val="auto"/>
        </w:rPr>
      </w:pPr>
    </w:p>
    <w:p>
      <w:pPr>
        <w:ind w:right="280" w:firstLine="629"/>
        <w:spacing w:after="0" w:line="28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Absence or Disability</w:t>
      </w:r>
      <w:r>
        <w:rPr>
          <w:rFonts w:ascii="Arial" w:cs="Arial" w:eastAsia="Arial" w:hAnsi="Arial"/>
          <w:sz w:val="17"/>
          <w:szCs w:val="17"/>
          <w:color w:val="auto"/>
        </w:rPr>
        <w:t>. In the event of the absence or disability of any officer, the Board of Directors may designate another officer to act temporarily in place of such absent or disabled officer.</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Vacancies</w:t>
      </w:r>
      <w:r>
        <w:rPr>
          <w:rFonts w:ascii="Arial" w:cs="Arial" w:eastAsia="Arial" w:hAnsi="Arial"/>
          <w:sz w:val="17"/>
          <w:szCs w:val="17"/>
          <w:color w:val="auto"/>
        </w:rPr>
        <w:t>. Any vacancy in any office may be filled for the unexpired portion of the term by the Board of Directors.</w:t>
      </w:r>
    </w:p>
    <w:p>
      <w:pPr>
        <w:spacing w:after="0" w:line="224" w:lineRule="exact"/>
        <w:rPr>
          <w:sz w:val="20"/>
          <w:szCs w:val="20"/>
          <w:color w:val="auto"/>
        </w:rPr>
      </w:pPr>
    </w:p>
    <w:p>
      <w:pPr>
        <w:ind w:right="400" w:firstLine="629"/>
        <w:spacing w:after="0" w:line="289"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President</w:t>
      </w:r>
      <w:r>
        <w:rPr>
          <w:rFonts w:ascii="Arial" w:cs="Arial" w:eastAsia="Arial" w:hAnsi="Arial"/>
          <w:sz w:val="17"/>
          <w:szCs w:val="17"/>
          <w:color w:val="auto"/>
        </w:rPr>
        <w:t>. The President shall, subject to the direction of the Board of Directors, have such powers and shall perform such duties as the Board of Directors may from time to time designate.</w:t>
      </w:r>
    </w:p>
    <w:p>
      <w:pPr>
        <w:spacing w:after="0" w:line="158"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Chairman of the Board</w:t>
      </w:r>
      <w:r>
        <w:rPr>
          <w:rFonts w:ascii="Arial" w:cs="Arial" w:eastAsia="Arial" w:hAnsi="Arial"/>
          <w:sz w:val="17"/>
          <w:szCs w:val="17"/>
          <w:color w:val="auto"/>
        </w:rPr>
        <w:t>. The Chairman of the Board, if one is elected, shall have such powers and shall perform such duties as the Board of Directors may from time to time designate.</w:t>
      </w:r>
    </w:p>
    <w:p>
      <w:pPr>
        <w:spacing w:after="0" w:line="158" w:lineRule="exact"/>
        <w:rPr>
          <w:sz w:val="20"/>
          <w:szCs w:val="20"/>
          <w:color w:val="auto"/>
        </w:rPr>
      </w:pPr>
    </w:p>
    <w:p>
      <w:pPr>
        <w:jc w:val="both"/>
        <w:ind w:right="100" w:firstLine="629"/>
        <w:spacing w:after="0" w:line="28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Chief Executive Officer, if one is elected, shall have such powers and shall perform such duties as the Board of Directors may from time to time designate.</w:t>
      </w:r>
    </w:p>
    <w:p>
      <w:pPr>
        <w:spacing w:after="0" w:line="158" w:lineRule="exact"/>
        <w:rPr>
          <w:sz w:val="20"/>
          <w:szCs w:val="20"/>
          <w:color w:val="auto"/>
        </w:rPr>
      </w:pPr>
    </w:p>
    <w:p>
      <w:pPr>
        <w:jc w:val="both"/>
        <w:ind w:right="80" w:firstLine="629"/>
        <w:spacing w:after="0" w:line="27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Vice Presidents and Assistant Vice Presidents</w:t>
      </w:r>
      <w:r>
        <w:rPr>
          <w:rFonts w:ascii="Arial" w:cs="Arial" w:eastAsia="Arial" w:hAnsi="Arial"/>
          <w:sz w:val="17"/>
          <w:szCs w:val="17"/>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72" w:lineRule="exact"/>
        <w:rPr>
          <w:sz w:val="20"/>
          <w:szCs w:val="20"/>
          <w:color w:val="auto"/>
        </w:rPr>
      </w:pPr>
    </w:p>
    <w:p>
      <w:pPr>
        <w:ind w:right="100" w:firstLine="629"/>
        <w:spacing w:after="0" w:line="285"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Treasurer and Assistant Treasurers</w:t>
      </w:r>
      <w:r>
        <w:rPr>
          <w:rFonts w:ascii="Arial" w:cs="Arial" w:eastAsia="Arial" w:hAnsi="Arial"/>
          <w:sz w:val="16"/>
          <w:szCs w:val="16"/>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66"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Secretary and Assistant Secretaries</w:t>
      </w:r>
      <w:r>
        <w:rPr>
          <w:rFonts w:ascii="Arial" w:cs="Arial" w:eastAsia="Arial" w:hAnsi="Arial"/>
          <w:sz w:val="17"/>
          <w:szCs w:val="17"/>
          <w:color w:val="auto"/>
        </w:rPr>
        <w:t>. The Secretary shall record all the proceedings of the meetings of the stockholders and the Board of Directors (including committees of the Board of Directors) in books kept for that purpose. In his or her absence from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67"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Other Powers and Duties</w:t>
      </w:r>
      <w:r>
        <w:rPr>
          <w:rFonts w:ascii="Arial" w:cs="Arial" w:eastAsia="Arial" w:hAnsi="Arial"/>
          <w:sz w:val="17"/>
          <w:szCs w:val="17"/>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ARTICLE IV</w:t>
      </w:r>
    </w:p>
    <w:p>
      <w:pPr>
        <w:sectPr>
          <w:pgSz w:w="11900" w:h="16838" w:orient="portrait"/>
          <w:cols w:equalWidth="0" w:num="1">
            <w:col w:w="11420"/>
          </w:cols>
          <w:pgMar w:left="240" w:top="127" w:right="239" w:bottom="0" w:gutter="0" w:footer="0" w:header="0"/>
        </w:sectPr>
      </w:pPr>
    </w:p>
    <w:bookmarkStart w:id="243" w:name="page244"/>
    <w:bookmarkEnd w:id="243"/>
    <w:p>
      <w:pPr>
        <w:jc w:val="center"/>
        <w:spacing w:after="0"/>
        <w:rPr>
          <w:sz w:val="20"/>
          <w:szCs w:val="20"/>
          <w:color w:val="auto"/>
        </w:rPr>
      </w:pPr>
      <w:r>
        <w:rPr>
          <w:rFonts w:ascii="Arial" w:cs="Arial" w:eastAsia="Arial" w:hAnsi="Arial"/>
          <w:sz w:val="17"/>
          <w:szCs w:val="17"/>
          <w:u w:val="single" w:color="auto"/>
          <w:color w:val="auto"/>
        </w:rPr>
        <w:t>Capital Stock</w:t>
      </w:r>
    </w:p>
    <w:p>
      <w:pPr>
        <w:spacing w:after="0" w:line="224"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Certificates of Stock</w:t>
      </w:r>
      <w:r>
        <w:rPr>
          <w:rFonts w:ascii="Arial" w:cs="Arial" w:eastAsia="Arial" w:hAnsi="Arial"/>
          <w:sz w:val="16"/>
          <w:szCs w:val="16"/>
          <w:color w:val="auto"/>
        </w:rPr>
        <w:t>. Each stockholder shall be entitled to a certificate of the capital stock of the Corporation in such form as may from time to time be prescribed by the Board of Directors. Such certificate shall be signed by the Chairman of the Board, the President, the Chief Executive Officer or a Vice President, and by the Chief Financial Officer, the Treasurer or an Assistant Treasurer, or the Secretary or an Assistant Secretary.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of the Corporation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69"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Transfers</w:t>
      </w:r>
      <w:r>
        <w:rPr>
          <w:rFonts w:ascii="Arial" w:cs="Arial" w:eastAsia="Arial" w:hAnsi="Arial"/>
          <w:sz w:val="17"/>
          <w:szCs w:val="17"/>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58" w:lineRule="exact"/>
        <w:rPr>
          <w:sz w:val="20"/>
          <w:szCs w:val="20"/>
          <w:color w:val="auto"/>
        </w:rPr>
      </w:pPr>
    </w:p>
    <w:p>
      <w:pPr>
        <w:ind w:right="300" w:firstLine="629"/>
        <w:spacing w:after="0" w:line="26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Record Holders</w:t>
      </w:r>
      <w:r>
        <w:rPr>
          <w:rFonts w:ascii="Arial" w:cs="Arial" w:eastAsia="Arial" w:hAnsi="Arial"/>
          <w:sz w:val="17"/>
          <w:szCs w:val="17"/>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76" w:lineRule="exact"/>
        <w:rPr>
          <w:sz w:val="20"/>
          <w:szCs w:val="20"/>
          <w:color w:val="auto"/>
        </w:rPr>
      </w:pPr>
    </w:p>
    <w:p>
      <w:pPr>
        <w:ind w:right="60" w:firstLine="629"/>
        <w:spacing w:after="0" w:line="294"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u w:val="single" w:color="auto"/>
          <w:color w:val="auto"/>
        </w:rPr>
        <w:t>Record Date</w:t>
      </w:r>
      <w:r>
        <w:rPr>
          <w:rFonts w:ascii="Arial" w:cs="Arial" w:eastAsia="Arial" w:hAnsi="Arial"/>
          <w:sz w:val="15"/>
          <w:szCs w:val="15"/>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w:t>
      </w:r>
    </w:p>
    <w:p>
      <w:pPr>
        <w:spacing w:after="0" w:line="3" w:lineRule="exact"/>
        <w:rPr>
          <w:sz w:val="20"/>
          <w:szCs w:val="20"/>
          <w:color w:val="auto"/>
        </w:rPr>
      </w:pPr>
    </w:p>
    <w:p>
      <w:pPr>
        <w:ind w:right="320" w:firstLine="5"/>
        <w:spacing w:after="0" w:line="291" w:lineRule="auto"/>
        <w:tabs>
          <w:tab w:leader="none" w:pos="209" w:val="left"/>
        </w:tabs>
        <w:numPr>
          <w:ilvl w:val="0"/>
          <w:numId w:val="244"/>
        </w:numPr>
        <w:rPr>
          <w:rFonts w:ascii="Arial" w:cs="Arial" w:eastAsia="Arial" w:hAnsi="Arial"/>
          <w:sz w:val="15"/>
          <w:szCs w:val="15"/>
          <w:color w:val="auto"/>
        </w:rPr>
      </w:pPr>
      <w:r>
        <w:rPr>
          <w:rFonts w:ascii="Arial" w:cs="Arial" w:eastAsia="Arial" w:hAnsi="Arial"/>
          <w:sz w:val="15"/>
          <w:szCs w:val="15"/>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w:t>
      </w:r>
    </w:p>
    <w:p>
      <w:pPr>
        <w:spacing w:after="0" w:line="1" w:lineRule="exact"/>
        <w:rPr>
          <w:rFonts w:ascii="Arial" w:cs="Arial" w:eastAsia="Arial" w:hAnsi="Arial"/>
          <w:sz w:val="15"/>
          <w:szCs w:val="15"/>
          <w:color w:val="auto"/>
        </w:rPr>
      </w:pPr>
    </w:p>
    <w:p>
      <w:pPr>
        <w:ind w:right="440" w:firstLine="5"/>
        <w:spacing w:after="0" w:line="275" w:lineRule="auto"/>
        <w:tabs>
          <w:tab w:leader="none" w:pos="257"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record date for determining stockholders for any other purpose shall be at the close of business on the day on which the Board of Directors adopts the resolution relating thereto.</w:t>
      </w:r>
    </w:p>
    <w:p>
      <w:pPr>
        <w:spacing w:after="0" w:line="169" w:lineRule="exact"/>
        <w:rPr>
          <w:sz w:val="20"/>
          <w:szCs w:val="20"/>
          <w:color w:val="auto"/>
        </w:rPr>
      </w:pPr>
    </w:p>
    <w:p>
      <w:pPr>
        <w:ind w:right="340" w:firstLine="629"/>
        <w:spacing w:after="0" w:line="28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Replacement of Certificates</w:t>
      </w:r>
      <w:r>
        <w:rPr>
          <w:rFonts w:ascii="Arial" w:cs="Arial" w:eastAsia="Arial" w:hAnsi="Arial"/>
          <w:sz w:val="17"/>
          <w:szCs w:val="17"/>
          <w:color w:val="auto"/>
        </w:rPr>
        <w:t>. In case of the alleged loss, destruction or mutilation of a certificate of stock of the Corporation, a duplicate certificate may be issued in place thereof, upon such terms as the Board of Directors may prescribe.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ARTICLE 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Indemnification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Article:</w:t>
      </w:r>
    </w:p>
    <w:p>
      <w:pPr>
        <w:spacing w:after="0" w:line="218" w:lineRule="exact"/>
        <w:rPr>
          <w:sz w:val="20"/>
          <w:szCs w:val="20"/>
          <w:color w:val="auto"/>
        </w:rPr>
      </w:pPr>
    </w:p>
    <w:p>
      <w:pPr>
        <w:ind w:firstLine="634"/>
        <w:spacing w:after="0" w:line="264" w:lineRule="auto"/>
        <w:tabs>
          <w:tab w:leader="none" w:pos="867" w:val="left"/>
        </w:tabs>
        <w:numPr>
          <w:ilvl w:val="0"/>
          <w:numId w:val="245"/>
        </w:numPr>
        <w:rPr>
          <w:rFonts w:ascii="Arial" w:cs="Arial" w:eastAsia="Arial" w:hAnsi="Arial"/>
          <w:sz w:val="17"/>
          <w:szCs w:val="17"/>
          <w:color w:val="auto"/>
        </w:rPr>
      </w:pPr>
      <w:r>
        <w:rPr>
          <w:rFonts w:ascii="Arial" w:cs="Arial" w:eastAsia="Arial" w:hAnsi="Arial"/>
          <w:sz w:val="17"/>
          <w:szCs w:val="17"/>
          <w:b w:val="1"/>
          <w:bCs w:val="1"/>
          <w:color w:val="auto"/>
        </w:rPr>
        <w:t xml:space="preserve">“Corporate Status” </w:t>
      </w:r>
      <w:r>
        <w:rPr>
          <w:rFonts w:ascii="Arial" w:cs="Arial" w:eastAsia="Arial" w:hAnsi="Arial"/>
          <w:sz w:val="17"/>
          <w:szCs w:val="17"/>
          <w:color w:val="auto"/>
        </w:rPr>
        <w:t>describes the status of a person who is serving or has served (i) as a Director of the Corporation, (ii) as an Officer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such person’s activities prior to said transaction, unless specifically authorized by the Board of Directors or the stockholders of the Corporation;</w:t>
      </w:r>
    </w:p>
    <w:p>
      <w:pPr>
        <w:spacing w:after="0" w:line="230" w:lineRule="exact"/>
        <w:rPr>
          <w:sz w:val="20"/>
          <w:szCs w:val="20"/>
          <w:color w:val="auto"/>
        </w:rPr>
      </w:pPr>
    </w:p>
    <w:p>
      <w:pPr>
        <w:ind w:left="880" w:hanging="246"/>
        <w:spacing w:after="0"/>
        <w:tabs>
          <w:tab w:leader="none" w:pos="880" w:val="left"/>
        </w:tabs>
        <w:numPr>
          <w:ilvl w:val="0"/>
          <w:numId w:val="246"/>
        </w:numPr>
        <w:rPr>
          <w:rFonts w:ascii="Arial" w:cs="Arial" w:eastAsia="Arial" w:hAnsi="Arial"/>
          <w:sz w:val="17"/>
          <w:szCs w:val="17"/>
          <w:color w:val="auto"/>
        </w:rPr>
      </w:pPr>
      <w:r>
        <w:rPr>
          <w:rFonts w:ascii="Arial" w:cs="Arial" w:eastAsia="Arial" w:hAnsi="Arial"/>
          <w:sz w:val="17"/>
          <w:szCs w:val="17"/>
          <w:b w:val="1"/>
          <w:bCs w:val="1"/>
          <w:color w:val="auto"/>
        </w:rPr>
        <w:t xml:space="preserve">“Director” </w:t>
      </w:r>
      <w:r>
        <w:rPr>
          <w:rFonts w:ascii="Arial" w:cs="Arial" w:eastAsia="Arial" w:hAnsi="Arial"/>
          <w:sz w:val="17"/>
          <w:szCs w:val="17"/>
          <w:color w:val="auto"/>
        </w:rPr>
        <w:t>means any person who serves or has served the Corporation as a director on the Board of Directors of the Corporation;</w:t>
      </w:r>
    </w:p>
    <w:p>
      <w:pPr>
        <w:spacing w:after="0" w:line="224" w:lineRule="exact"/>
        <w:rPr>
          <w:rFonts w:ascii="Arial" w:cs="Arial" w:eastAsia="Arial" w:hAnsi="Arial"/>
          <w:sz w:val="17"/>
          <w:szCs w:val="17"/>
          <w:color w:val="auto"/>
        </w:rPr>
      </w:pPr>
    </w:p>
    <w:p>
      <w:pPr>
        <w:ind w:right="760" w:firstLine="634"/>
        <w:spacing w:after="0" w:line="297" w:lineRule="auto"/>
        <w:tabs>
          <w:tab w:leader="none" w:pos="867" w:val="left"/>
        </w:tabs>
        <w:numPr>
          <w:ilvl w:val="0"/>
          <w:numId w:val="246"/>
        </w:numPr>
        <w:rPr>
          <w:rFonts w:ascii="Arial" w:cs="Arial" w:eastAsia="Arial" w:hAnsi="Arial"/>
          <w:sz w:val="17"/>
          <w:szCs w:val="17"/>
          <w:color w:val="auto"/>
        </w:rPr>
      </w:pPr>
      <w:r>
        <w:rPr>
          <w:rFonts w:ascii="Arial" w:cs="Arial" w:eastAsia="Arial" w:hAnsi="Arial"/>
          <w:sz w:val="17"/>
          <w:szCs w:val="17"/>
          <w:b w:val="1"/>
          <w:bCs w:val="1"/>
          <w:color w:val="auto"/>
        </w:rPr>
        <w:t xml:space="preserve">“Disinterested Director” </w:t>
      </w:r>
      <w:r>
        <w:rPr>
          <w:rFonts w:ascii="Arial" w:cs="Arial" w:eastAsia="Arial" w:hAnsi="Arial"/>
          <w:sz w:val="17"/>
          <w:szCs w:val="17"/>
          <w:color w:val="auto"/>
        </w:rPr>
        <w:t>means, with respect to each Proceeding in respect of which indemnification is sought hereunder, a Director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who is not and was not a party to such Proceeding;</w:t>
      </w:r>
    </w:p>
    <w:p>
      <w:pPr>
        <w:spacing w:after="0" w:line="145" w:lineRule="exact"/>
        <w:rPr>
          <w:rFonts w:ascii="Arial" w:cs="Arial" w:eastAsia="Arial" w:hAnsi="Arial"/>
          <w:sz w:val="17"/>
          <w:szCs w:val="17"/>
          <w:color w:val="auto"/>
        </w:rPr>
      </w:pPr>
    </w:p>
    <w:p>
      <w:pPr>
        <w:ind w:right="160" w:firstLine="634"/>
        <w:spacing w:after="0" w:line="265" w:lineRule="auto"/>
        <w:tabs>
          <w:tab w:leader="none" w:pos="877" w:val="left"/>
        </w:tabs>
        <w:numPr>
          <w:ilvl w:val="0"/>
          <w:numId w:val="246"/>
        </w:numPr>
        <w:rPr>
          <w:rFonts w:ascii="Arial" w:cs="Arial" w:eastAsia="Arial" w:hAnsi="Arial"/>
          <w:sz w:val="17"/>
          <w:szCs w:val="17"/>
          <w:color w:val="auto"/>
        </w:rPr>
      </w:pPr>
      <w:r>
        <w:rPr>
          <w:rFonts w:ascii="Arial" w:cs="Arial" w:eastAsia="Arial" w:hAnsi="Arial"/>
          <w:sz w:val="17"/>
          <w:szCs w:val="17"/>
          <w:b w:val="1"/>
          <w:bCs w:val="1"/>
          <w:color w:val="auto"/>
        </w:rPr>
        <w:t xml:space="preserve">“Expenses” </w:t>
      </w:r>
      <w:r>
        <w:rPr>
          <w:rFonts w:ascii="Arial" w:cs="Arial" w:eastAsia="Arial" w:hAnsi="Arial"/>
          <w:sz w:val="17"/>
          <w:szCs w:val="17"/>
          <w:color w:val="auto"/>
        </w:rPr>
        <w:t>means all attorneys’ fees, retainers, court costs, transcript costs, fees of expert witnesses, private investigators and professional advisors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73" w:lineRule="exact"/>
        <w:rPr>
          <w:rFonts w:ascii="Arial" w:cs="Arial" w:eastAsia="Arial" w:hAnsi="Arial"/>
          <w:sz w:val="17"/>
          <w:szCs w:val="17"/>
          <w:color w:val="auto"/>
        </w:rPr>
      </w:pPr>
    </w:p>
    <w:p>
      <w:pPr>
        <w:ind w:left="880" w:hanging="246"/>
        <w:spacing w:after="0"/>
        <w:tabs>
          <w:tab w:leader="none" w:pos="880" w:val="left"/>
        </w:tabs>
        <w:numPr>
          <w:ilvl w:val="0"/>
          <w:numId w:val="246"/>
        </w:numPr>
        <w:rPr>
          <w:rFonts w:ascii="Arial" w:cs="Arial" w:eastAsia="Arial" w:hAnsi="Arial"/>
          <w:sz w:val="17"/>
          <w:szCs w:val="17"/>
          <w:color w:val="auto"/>
        </w:rPr>
      </w:pPr>
      <w:r>
        <w:rPr>
          <w:rFonts w:ascii="Arial" w:cs="Arial" w:eastAsia="Arial" w:hAnsi="Arial"/>
          <w:sz w:val="17"/>
          <w:szCs w:val="17"/>
          <w:b w:val="1"/>
          <w:bCs w:val="1"/>
          <w:color w:val="auto"/>
        </w:rPr>
        <w:t xml:space="preserve">“Liabilities” </w:t>
      </w:r>
      <w:r>
        <w:rPr>
          <w:rFonts w:ascii="Arial" w:cs="Arial" w:eastAsia="Arial" w:hAnsi="Arial"/>
          <w:sz w:val="17"/>
          <w:szCs w:val="17"/>
          <w:color w:val="auto"/>
        </w:rPr>
        <w:t>means judgments, damages, liabilities, losses, penalties, excise taxes, fines and amounts paid in settlement;</w:t>
      </w:r>
    </w:p>
    <w:p>
      <w:pPr>
        <w:sectPr>
          <w:pgSz w:w="11900" w:h="16838" w:orient="portrait"/>
          <w:cols w:equalWidth="0" w:num="1">
            <w:col w:w="11420"/>
          </w:cols>
          <w:pgMar w:left="240" w:top="127" w:right="239" w:bottom="0" w:gutter="0" w:footer="0" w:header="0"/>
        </w:sectPr>
      </w:pPr>
    </w:p>
    <w:bookmarkStart w:id="244" w:name="page245"/>
    <w:bookmarkEnd w:id="244"/>
    <w:p>
      <w:pPr>
        <w:ind w:right="520" w:firstLine="634"/>
        <w:spacing w:after="0" w:line="297" w:lineRule="auto"/>
        <w:tabs>
          <w:tab w:leader="none" w:pos="847" w:val="left"/>
        </w:tabs>
        <w:numPr>
          <w:ilvl w:val="1"/>
          <w:numId w:val="247"/>
        </w:numPr>
        <w:rPr>
          <w:rFonts w:ascii="Arial" w:cs="Arial" w:eastAsia="Arial" w:hAnsi="Arial"/>
          <w:sz w:val="17"/>
          <w:szCs w:val="17"/>
          <w:color w:val="auto"/>
        </w:rPr>
      </w:pPr>
      <w:r>
        <w:rPr>
          <w:rFonts w:ascii="Arial" w:cs="Arial" w:eastAsia="Arial" w:hAnsi="Arial"/>
          <w:sz w:val="17"/>
          <w:szCs w:val="17"/>
          <w:b w:val="1"/>
          <w:bCs w:val="1"/>
          <w:color w:val="auto"/>
        </w:rPr>
        <w:t xml:space="preserve">“Non-Officer Employee” </w:t>
      </w:r>
      <w:r>
        <w:rPr>
          <w:rFonts w:ascii="Arial" w:cs="Arial" w:eastAsia="Arial" w:hAnsi="Arial"/>
          <w:sz w:val="17"/>
          <w:szCs w:val="17"/>
          <w:color w:val="auto"/>
        </w:rPr>
        <w:t>means any person who serves or has served as an employee or agent of the Corporation, but who is not or was not a</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or Officer;</w:t>
      </w:r>
    </w:p>
    <w:p>
      <w:pPr>
        <w:spacing w:after="0" w:line="145" w:lineRule="exact"/>
        <w:rPr>
          <w:rFonts w:ascii="Arial" w:cs="Arial" w:eastAsia="Arial" w:hAnsi="Arial"/>
          <w:sz w:val="17"/>
          <w:szCs w:val="17"/>
          <w:color w:val="auto"/>
        </w:rPr>
      </w:pPr>
    </w:p>
    <w:p>
      <w:pPr>
        <w:ind w:right="300" w:firstLine="634"/>
        <w:spacing w:after="0" w:line="297" w:lineRule="auto"/>
        <w:tabs>
          <w:tab w:leader="none" w:pos="877" w:val="left"/>
        </w:tabs>
        <w:numPr>
          <w:ilvl w:val="1"/>
          <w:numId w:val="247"/>
        </w:numPr>
        <w:rPr>
          <w:rFonts w:ascii="Arial" w:cs="Arial" w:eastAsia="Arial" w:hAnsi="Arial"/>
          <w:sz w:val="17"/>
          <w:szCs w:val="17"/>
          <w:color w:val="auto"/>
        </w:rPr>
      </w:pPr>
      <w:r>
        <w:rPr>
          <w:rFonts w:ascii="Arial" w:cs="Arial" w:eastAsia="Arial" w:hAnsi="Arial"/>
          <w:sz w:val="17"/>
          <w:szCs w:val="17"/>
          <w:b w:val="1"/>
          <w:bCs w:val="1"/>
          <w:color w:val="auto"/>
        </w:rPr>
        <w:t xml:space="preserve">“Officer” </w:t>
      </w:r>
      <w:r>
        <w:rPr>
          <w:rFonts w:ascii="Arial" w:cs="Arial" w:eastAsia="Arial" w:hAnsi="Arial"/>
          <w:sz w:val="17"/>
          <w:szCs w:val="17"/>
          <w:color w:val="auto"/>
        </w:rPr>
        <w:t>means any person who serves or has served the Corporation as an officer of the Corporation appointed by the Board of Directors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w:t>
      </w:r>
    </w:p>
    <w:p>
      <w:pPr>
        <w:spacing w:after="0" w:line="145" w:lineRule="exact"/>
        <w:rPr>
          <w:rFonts w:ascii="Arial" w:cs="Arial" w:eastAsia="Arial" w:hAnsi="Arial"/>
          <w:sz w:val="17"/>
          <w:szCs w:val="17"/>
          <w:color w:val="auto"/>
        </w:rPr>
      </w:pPr>
    </w:p>
    <w:p>
      <w:pPr>
        <w:ind w:right="240" w:firstLine="634"/>
        <w:spacing w:after="0" w:line="297" w:lineRule="auto"/>
        <w:tabs>
          <w:tab w:leader="none" w:pos="877" w:val="left"/>
        </w:tabs>
        <w:numPr>
          <w:ilvl w:val="1"/>
          <w:numId w:val="247"/>
        </w:numPr>
        <w:rPr>
          <w:rFonts w:ascii="Arial" w:cs="Arial" w:eastAsia="Arial" w:hAnsi="Arial"/>
          <w:sz w:val="17"/>
          <w:szCs w:val="17"/>
          <w:color w:val="auto"/>
        </w:rPr>
      </w:pPr>
      <w:r>
        <w:rPr>
          <w:rFonts w:ascii="Arial" w:cs="Arial" w:eastAsia="Arial" w:hAnsi="Arial"/>
          <w:sz w:val="17"/>
          <w:szCs w:val="17"/>
          <w:b w:val="1"/>
          <w:bCs w:val="1"/>
          <w:color w:val="auto"/>
        </w:rPr>
        <w:t xml:space="preserve">“Proceeding” </w:t>
      </w:r>
      <w:r>
        <w:rPr>
          <w:rFonts w:ascii="Arial" w:cs="Arial" w:eastAsia="Arial" w:hAnsi="Arial"/>
          <w:sz w:val="17"/>
          <w:szCs w:val="17"/>
          <w:color w:val="auto"/>
        </w:rPr>
        <w:t>means any threatened, pending or completed action, suit, arbitration, alternate dispute resolution mechanism, inquiry, investigation,</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 hearing or other proceeding, whether civil, criminal, administrative, arbitrative or investigative; and</w:t>
      </w:r>
    </w:p>
    <w:p>
      <w:pPr>
        <w:spacing w:after="0" w:line="145" w:lineRule="exact"/>
        <w:rPr>
          <w:rFonts w:ascii="Arial" w:cs="Arial" w:eastAsia="Arial" w:hAnsi="Arial"/>
          <w:sz w:val="17"/>
          <w:szCs w:val="17"/>
          <w:color w:val="auto"/>
        </w:rPr>
      </w:pPr>
    </w:p>
    <w:p>
      <w:pPr>
        <w:ind w:right="260" w:firstLine="634"/>
        <w:spacing w:after="0" w:line="285" w:lineRule="auto"/>
        <w:tabs>
          <w:tab w:leader="none" w:pos="838" w:val="left"/>
        </w:tabs>
        <w:numPr>
          <w:ilvl w:val="1"/>
          <w:numId w:val="247"/>
        </w:numPr>
        <w:rPr>
          <w:rFonts w:ascii="Arial" w:cs="Arial" w:eastAsia="Arial" w:hAnsi="Arial"/>
          <w:sz w:val="16"/>
          <w:szCs w:val="16"/>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shall mean any corporation, partnership, limited liability company, joint venture, trust or other entity of which the Corporation owns</w:t>
      </w:r>
      <w:r>
        <w:rPr>
          <w:rFonts w:ascii="Arial" w:cs="Arial" w:eastAsia="Arial" w:hAnsi="Arial"/>
          <w:sz w:val="16"/>
          <w:szCs w:val="16"/>
          <w:b w:val="1"/>
          <w:bCs w:val="1"/>
          <w:color w:val="auto"/>
        </w:rPr>
        <w:t xml:space="preserve"> </w:t>
      </w:r>
      <w:r>
        <w:rPr>
          <w:rFonts w:ascii="Arial" w:cs="Arial" w:eastAsia="Arial" w:hAnsi="Arial"/>
          <w:sz w:val="16"/>
          <w:szCs w:val="16"/>
          <w:color w:val="auto"/>
        </w:rPr>
        <w:t>(either directly or through or together with another Subsidiary of the Corporation) either (i) a general partner, managing member or other similar interest or</w:t>
      </w:r>
    </w:p>
    <w:p>
      <w:pPr>
        <w:ind w:right="100" w:firstLine="5"/>
        <w:spacing w:after="0" w:line="266" w:lineRule="auto"/>
        <w:tabs>
          <w:tab w:leader="none" w:pos="257" w:val="left"/>
        </w:tabs>
        <w:numPr>
          <w:ilvl w:val="0"/>
          <w:numId w:val="248"/>
        </w:numPr>
        <w:rPr>
          <w:rFonts w:ascii="Arial" w:cs="Arial" w:eastAsia="Arial" w:hAnsi="Arial"/>
          <w:sz w:val="17"/>
          <w:szCs w:val="17"/>
          <w:color w:val="auto"/>
        </w:rPr>
      </w:pPr>
      <w:r>
        <w:rPr>
          <w:rFonts w:ascii="Arial" w:cs="Arial" w:eastAsia="Arial" w:hAnsi="Arial"/>
          <w:sz w:val="17"/>
          <w:szCs w:val="17"/>
          <w:color w:val="auto"/>
        </w:rPr>
        <w:t>(A)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Indemnification of Directors and Officers</w:t>
      </w:r>
      <w:r>
        <w:rPr>
          <w:rFonts w:ascii="Arial" w:cs="Arial" w:eastAsia="Arial" w:hAnsi="Arial"/>
          <w:sz w:val="17"/>
          <w:szCs w:val="17"/>
          <w:color w:val="auto"/>
        </w:rPr>
        <w:t>.</w:t>
      </w:r>
    </w:p>
    <w:p>
      <w:pPr>
        <w:spacing w:after="0" w:line="224" w:lineRule="exact"/>
        <w:rPr>
          <w:sz w:val="20"/>
          <w:szCs w:val="20"/>
          <w:color w:val="auto"/>
        </w:rPr>
      </w:pPr>
    </w:p>
    <w:p>
      <w:pPr>
        <w:ind w:right="220" w:firstLine="634"/>
        <w:spacing w:after="0" w:line="268" w:lineRule="auto"/>
        <w:tabs>
          <w:tab w:leader="none" w:pos="867" w:val="left"/>
        </w:tabs>
        <w:numPr>
          <w:ilvl w:val="0"/>
          <w:numId w:val="249"/>
        </w:numPr>
        <w:rPr>
          <w:rFonts w:ascii="Arial" w:cs="Arial" w:eastAsia="Arial" w:hAnsi="Arial"/>
          <w:sz w:val="17"/>
          <w:szCs w:val="17"/>
          <w:color w:val="auto"/>
        </w:rPr>
      </w:pPr>
      <w:r>
        <w:rPr>
          <w:rFonts w:ascii="Arial" w:cs="Arial" w:eastAsia="Arial" w:hAnsi="Arial"/>
          <w:sz w:val="17"/>
          <w:szCs w:val="17"/>
          <w:color w:val="auto"/>
        </w:rPr>
        <w:t>Subject to the operation of Section 4 of this Article V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477"/>
        <w:spacing w:after="0" w:line="263" w:lineRule="auto"/>
        <w:tabs>
          <w:tab w:leader="none" w:pos="719"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Actions, Suits and Proceedings Other than By or In the Right of the Corporation</w:t>
      </w:r>
      <w:r>
        <w:rPr>
          <w:rFonts w:ascii="Arial" w:cs="Arial" w:eastAsia="Arial" w:hAnsi="Arial"/>
          <w:sz w:val="17"/>
          <w:szCs w:val="17"/>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83" w:lineRule="exact"/>
        <w:rPr>
          <w:rFonts w:ascii="Arial" w:cs="Arial" w:eastAsia="Arial" w:hAnsi="Arial"/>
          <w:sz w:val="17"/>
          <w:szCs w:val="17"/>
          <w:color w:val="auto"/>
        </w:rPr>
      </w:pPr>
    </w:p>
    <w:p>
      <w:pPr>
        <w:ind w:firstLine="477"/>
        <w:spacing w:after="0" w:line="261" w:lineRule="auto"/>
        <w:tabs>
          <w:tab w:leader="none" w:pos="719"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Actions, Suits and Proceedings By or In the Right of the Corporation</w:t>
      </w:r>
      <w:r>
        <w:rPr>
          <w:rFonts w:ascii="Arial" w:cs="Arial" w:eastAsia="Arial" w:hAnsi="Arial"/>
          <w:sz w:val="17"/>
          <w:szCs w:val="17"/>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84" w:lineRule="exact"/>
        <w:rPr>
          <w:rFonts w:ascii="Arial" w:cs="Arial" w:eastAsia="Arial" w:hAnsi="Arial"/>
          <w:sz w:val="17"/>
          <w:szCs w:val="17"/>
          <w:color w:val="auto"/>
        </w:rPr>
      </w:pPr>
    </w:p>
    <w:p>
      <w:pPr>
        <w:ind w:right="440" w:firstLine="477"/>
        <w:spacing w:after="0" w:line="289" w:lineRule="auto"/>
        <w:tabs>
          <w:tab w:leader="none" w:pos="719"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Survival of Rights</w:t>
      </w:r>
      <w:r>
        <w:rPr>
          <w:rFonts w:ascii="Arial" w:cs="Arial" w:eastAsia="Arial" w:hAnsi="Arial"/>
          <w:sz w:val="17"/>
          <w:szCs w:val="17"/>
          <w:color w:val="auto"/>
        </w:rPr>
        <w:t>. The rights of indemnification provided by Section 2 shall continue as to a Director or Officer after he or she has ceased to be a Director or Officer and shall inure to the benefit of his or her heirs, executors, administrators and personal representatives.</w:t>
      </w:r>
    </w:p>
    <w:p>
      <w:pPr>
        <w:spacing w:after="0" w:line="158" w:lineRule="exact"/>
        <w:rPr>
          <w:rFonts w:ascii="Arial" w:cs="Arial" w:eastAsia="Arial" w:hAnsi="Arial"/>
          <w:sz w:val="17"/>
          <w:szCs w:val="17"/>
          <w:color w:val="auto"/>
        </w:rPr>
      </w:pPr>
    </w:p>
    <w:p>
      <w:pPr>
        <w:ind w:right="120" w:firstLine="477"/>
        <w:spacing w:after="0" w:line="290" w:lineRule="auto"/>
        <w:tabs>
          <w:tab w:leader="none" w:pos="719"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Actions by Directors or Officers</w:t>
      </w:r>
      <w:r>
        <w:rPr>
          <w:rFonts w:ascii="Arial" w:cs="Arial" w:eastAsia="Arial" w:hAnsi="Arial"/>
          <w:sz w:val="16"/>
          <w:szCs w:val="16"/>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159" w:lineRule="exact"/>
        <w:rPr>
          <w:sz w:val="20"/>
          <w:szCs w:val="20"/>
          <w:color w:val="auto"/>
        </w:rPr>
      </w:pPr>
    </w:p>
    <w:p>
      <w:pPr>
        <w:ind w:right="60" w:firstLine="629"/>
        <w:spacing w:after="0" w:line="263"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Indemnification of Non-Officer Employees</w:t>
      </w:r>
      <w:r>
        <w:rPr>
          <w:rFonts w:ascii="Arial" w:cs="Arial" w:eastAsia="Arial" w:hAnsi="Arial"/>
          <w:sz w:val="17"/>
          <w:szCs w:val="17"/>
          <w:color w:val="auto"/>
        </w:rPr>
        <w:t>. Subject to the operation of Section 4 of this Article V of these By-laws, each 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179"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Determination</w:t>
      </w:r>
      <w:r>
        <w:rPr>
          <w:rFonts w:ascii="Arial" w:cs="Arial" w:eastAsia="Arial" w:hAnsi="Arial"/>
          <w:sz w:val="17"/>
          <w:szCs w:val="17"/>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Advancement of Expenses to Directors Prior to Final Disposition</w:t>
      </w:r>
      <w:r>
        <w:rPr>
          <w:rFonts w:ascii="Arial" w:cs="Arial" w:eastAsia="Arial" w:hAnsi="Arial"/>
          <w:sz w:val="17"/>
          <w:szCs w:val="17"/>
          <w:color w:val="auto"/>
        </w:rPr>
        <w:t>.</w:t>
      </w:r>
    </w:p>
    <w:p>
      <w:pPr>
        <w:sectPr>
          <w:pgSz w:w="11900" w:h="16838" w:orient="portrait"/>
          <w:cols w:equalWidth="0" w:num="1">
            <w:col w:w="11360"/>
          </w:cols>
          <w:pgMar w:left="240" w:top="331" w:right="299" w:bottom="0" w:gutter="0" w:footer="0" w:header="0"/>
        </w:sectPr>
      </w:pPr>
    </w:p>
    <w:bookmarkStart w:id="245" w:name="page246"/>
    <w:bookmarkEnd w:id="245"/>
    <w:p>
      <w:pPr>
        <w:spacing w:after="0" w:line="15" w:lineRule="exact"/>
        <w:rPr>
          <w:sz w:val="20"/>
          <w:szCs w:val="20"/>
          <w:color w:val="auto"/>
        </w:rPr>
      </w:pPr>
    </w:p>
    <w:p>
      <w:pPr>
        <w:ind w:right="180" w:firstLine="634"/>
        <w:spacing w:after="0" w:line="301" w:lineRule="auto"/>
        <w:tabs>
          <w:tab w:leader="none" w:pos="864" w:val="left"/>
        </w:tabs>
        <w:numPr>
          <w:ilvl w:val="0"/>
          <w:numId w:val="251"/>
        </w:numPr>
        <w:rPr>
          <w:rFonts w:ascii="Arial" w:cs="Arial" w:eastAsia="Arial" w:hAnsi="Arial"/>
          <w:sz w:val="15"/>
          <w:szCs w:val="15"/>
          <w:color w:val="auto"/>
        </w:rPr>
      </w:pPr>
      <w:r>
        <w:rPr>
          <w:rFonts w:ascii="Arial" w:cs="Arial" w:eastAsia="Arial" w:hAnsi="Arial"/>
          <w:sz w:val="15"/>
          <w:szCs w:val="15"/>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of the Corporation, or (ii) brought to enforce such Director’s rights to indemnification or advancement of Expenses under these By-laws.</w:t>
      </w:r>
    </w:p>
    <w:p>
      <w:pPr>
        <w:spacing w:after="0" w:line="157" w:lineRule="exact"/>
        <w:rPr>
          <w:rFonts w:ascii="Arial" w:cs="Arial" w:eastAsia="Arial" w:hAnsi="Arial"/>
          <w:sz w:val="15"/>
          <w:szCs w:val="15"/>
          <w:color w:val="auto"/>
        </w:rPr>
      </w:pPr>
    </w:p>
    <w:p>
      <w:pPr>
        <w:ind w:right="20" w:firstLine="634"/>
        <w:spacing w:after="0" w:line="263" w:lineRule="auto"/>
        <w:tabs>
          <w:tab w:leader="none" w:pos="877" w:val="left"/>
        </w:tabs>
        <w:numPr>
          <w:ilvl w:val="0"/>
          <w:numId w:val="251"/>
        </w:numPr>
        <w:rPr>
          <w:rFonts w:ascii="Arial" w:cs="Arial" w:eastAsia="Arial" w:hAnsi="Arial"/>
          <w:sz w:val="17"/>
          <w:szCs w:val="17"/>
          <w:color w:val="auto"/>
        </w:rPr>
      </w:pPr>
      <w:r>
        <w:rPr>
          <w:rFonts w:ascii="Arial" w:cs="Arial" w:eastAsia="Arial" w:hAnsi="Arial"/>
          <w:sz w:val="17"/>
          <w:szCs w:val="17"/>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shall not create a presumption that such advancement is not permissible. The burden of proving that a Director is not entitled to an advancement of expenses shall be on the Corporation.</w:t>
      </w:r>
    </w:p>
    <w:p>
      <w:pPr>
        <w:spacing w:after="0" w:line="158" w:lineRule="exact"/>
        <w:rPr>
          <w:sz w:val="20"/>
          <w:szCs w:val="20"/>
          <w:color w:val="auto"/>
        </w:rPr>
      </w:pPr>
    </w:p>
    <w:p>
      <w:pPr>
        <w:ind w:right="400" w:firstLine="5"/>
        <w:spacing w:after="0" w:line="322" w:lineRule="auto"/>
        <w:tabs>
          <w:tab w:leader="none" w:pos="238"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Advancement of Expenses to Officers and Non-Officer Employees Prior to Final Disposition</w:t>
      </w:r>
      <w:r>
        <w:rPr>
          <w:rFonts w:ascii="Arial" w:cs="Arial" w:eastAsia="Arial" w:hAnsi="Arial"/>
          <w:sz w:val="17"/>
          <w:szCs w:val="17"/>
          <w:color w:val="auto"/>
        </w:rPr>
        <w:t>.</w:t>
      </w:r>
    </w:p>
    <w:p>
      <w:pPr>
        <w:spacing w:after="0" w:line="224" w:lineRule="exact"/>
        <w:rPr>
          <w:sz w:val="20"/>
          <w:szCs w:val="20"/>
          <w:color w:val="auto"/>
        </w:rPr>
      </w:pPr>
    </w:p>
    <w:p>
      <w:pPr>
        <w:ind w:firstLine="634"/>
        <w:spacing w:after="0" w:line="283" w:lineRule="auto"/>
        <w:tabs>
          <w:tab w:leader="none" w:pos="864"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66" w:lineRule="exact"/>
        <w:rPr>
          <w:rFonts w:ascii="Arial" w:cs="Arial" w:eastAsia="Arial" w:hAnsi="Arial"/>
          <w:sz w:val="16"/>
          <w:szCs w:val="16"/>
          <w:color w:val="auto"/>
        </w:rPr>
      </w:pPr>
    </w:p>
    <w:p>
      <w:pPr>
        <w:ind w:right="180" w:firstLine="634"/>
        <w:spacing w:after="0" w:line="273" w:lineRule="auto"/>
        <w:tabs>
          <w:tab w:leader="none" w:pos="877" w:val="left"/>
        </w:tabs>
        <w:numPr>
          <w:ilvl w:val="0"/>
          <w:numId w:val="253"/>
        </w:numPr>
        <w:rPr>
          <w:rFonts w:ascii="Arial" w:cs="Arial" w:eastAsia="Arial" w:hAnsi="Arial"/>
          <w:sz w:val="17"/>
          <w:szCs w:val="17"/>
          <w:color w:val="auto"/>
        </w:rPr>
      </w:pPr>
      <w:r>
        <w:rPr>
          <w:rFonts w:ascii="Arial" w:cs="Arial" w:eastAsia="Arial" w:hAnsi="Arial"/>
          <w:sz w:val="17"/>
          <w:szCs w:val="17"/>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Contractual Nature of Rights</w:t>
      </w:r>
      <w:r>
        <w:rPr>
          <w:rFonts w:ascii="Arial" w:cs="Arial" w:eastAsia="Arial" w:hAnsi="Arial"/>
          <w:sz w:val="17"/>
          <w:szCs w:val="17"/>
          <w:color w:val="auto"/>
        </w:rPr>
        <w:t>.</w:t>
      </w:r>
    </w:p>
    <w:p>
      <w:pPr>
        <w:spacing w:after="0" w:line="224" w:lineRule="exact"/>
        <w:rPr>
          <w:sz w:val="20"/>
          <w:szCs w:val="20"/>
          <w:color w:val="auto"/>
        </w:rPr>
      </w:pPr>
    </w:p>
    <w:p>
      <w:pPr>
        <w:ind w:right="60" w:firstLine="634"/>
        <w:spacing w:after="0" w:line="261" w:lineRule="auto"/>
        <w:tabs>
          <w:tab w:leader="none" w:pos="864"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of Incorporation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181" w:lineRule="exact"/>
        <w:rPr>
          <w:rFonts w:ascii="Arial" w:cs="Arial" w:eastAsia="Arial" w:hAnsi="Arial"/>
          <w:sz w:val="17"/>
          <w:szCs w:val="17"/>
          <w:color w:val="auto"/>
        </w:rPr>
      </w:pPr>
    </w:p>
    <w:p>
      <w:pPr>
        <w:ind w:right="500" w:firstLine="634"/>
        <w:spacing w:after="0" w:line="289" w:lineRule="auto"/>
        <w:tabs>
          <w:tab w:leader="none" w:pos="877" w:val="left"/>
        </w:tabs>
        <w:numPr>
          <w:ilvl w:val="0"/>
          <w:numId w:val="254"/>
        </w:numPr>
        <w:rPr>
          <w:rFonts w:ascii="Arial" w:cs="Arial" w:eastAsia="Arial" w:hAnsi="Arial"/>
          <w:sz w:val="17"/>
          <w:szCs w:val="17"/>
          <w:color w:val="auto"/>
        </w:rPr>
      </w:pPr>
      <w:r>
        <w:rPr>
          <w:rFonts w:ascii="Arial" w:cs="Arial" w:eastAsia="Arial" w:hAnsi="Arial"/>
          <w:sz w:val="17"/>
          <w:szCs w:val="17"/>
          <w:color w:val="auto"/>
        </w:rPr>
        <w:t>If a claim for indemnification hereunder by a Director or Officer is not paid in full by the Corporation within sixty (60) days after receipt by the Corporation of a written claim for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83" w:lineRule="exact"/>
        <w:rPr>
          <w:sz w:val="20"/>
          <w:szCs w:val="20"/>
          <w:color w:val="auto"/>
        </w:rPr>
      </w:pPr>
    </w:p>
    <w:p>
      <w:pPr>
        <w:ind w:right="180" w:firstLine="634"/>
        <w:spacing w:after="0" w:line="289" w:lineRule="auto"/>
        <w:tabs>
          <w:tab w:leader="none" w:pos="867" w:val="left"/>
        </w:tabs>
        <w:numPr>
          <w:ilvl w:val="0"/>
          <w:numId w:val="255"/>
        </w:numPr>
        <w:rPr>
          <w:rFonts w:ascii="Arial" w:cs="Arial" w:eastAsia="Arial" w:hAnsi="Arial"/>
          <w:sz w:val="17"/>
          <w:szCs w:val="17"/>
          <w:color w:val="auto"/>
        </w:rPr>
      </w:pPr>
      <w:r>
        <w:rPr>
          <w:rFonts w:ascii="Arial" w:cs="Arial" w:eastAsia="Arial" w:hAnsi="Arial"/>
          <w:sz w:val="17"/>
          <w:szCs w:val="17"/>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58" w:lineRule="exact"/>
        <w:rPr>
          <w:sz w:val="20"/>
          <w:szCs w:val="20"/>
          <w:color w:val="auto"/>
        </w:rPr>
      </w:pPr>
    </w:p>
    <w:p>
      <w:pPr>
        <w:jc w:val="both"/>
        <w:ind w:right="100" w:firstLine="629"/>
        <w:spacing w:after="0" w:line="273"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Non-Exclusivity of Rights</w:t>
      </w:r>
      <w:r>
        <w:rPr>
          <w:rFonts w:ascii="Arial" w:cs="Arial" w:eastAsia="Arial" w:hAnsi="Arial"/>
          <w:sz w:val="17"/>
          <w:szCs w:val="17"/>
          <w:color w:val="auto"/>
        </w:rPr>
        <w:t>. The rights to indemnification and to advancement of Expenses set forth in this Article V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72" w:lineRule="exact"/>
        <w:rPr>
          <w:sz w:val="20"/>
          <w:szCs w:val="20"/>
          <w:color w:val="auto"/>
        </w:rPr>
      </w:pPr>
    </w:p>
    <w:p>
      <w:pPr>
        <w:ind w:right="140" w:firstLine="629"/>
        <w:spacing w:after="0" w:line="268"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ectPr>
          <w:pgSz w:w="11900" w:h="16854" w:orient="portrait"/>
          <w:cols w:equalWidth="0" w:num="1">
            <w:col w:w="11420"/>
          </w:cols>
          <w:pgMar w:left="240" w:top="337" w:right="239" w:bottom="0" w:gutter="0" w:footer="0" w:header="0"/>
        </w:sectPr>
      </w:pPr>
    </w:p>
    <w:bookmarkStart w:id="246" w:name="page247"/>
    <w:bookmarkEnd w:id="246"/>
    <w:p>
      <w:pPr>
        <w:ind w:right="20" w:firstLine="629"/>
        <w:spacing w:after="0" w:line="262"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Other Indemnification</w:t>
      </w:r>
      <w:r>
        <w:rPr>
          <w:rFonts w:ascii="Arial" w:cs="Arial" w:eastAsia="Arial" w:hAnsi="Arial"/>
          <w:sz w:val="17"/>
          <w:szCs w:val="17"/>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Arial" w:cs="Arial" w:eastAsia="Arial" w:hAnsi="Arial"/>
          <w:sz w:val="17"/>
          <w:szCs w:val="17"/>
          <w:b w:val="1"/>
          <w:bCs w:val="1"/>
          <w:color w:val="auto"/>
        </w:rPr>
        <w:t>Primary Indemnitor</w:t>
      </w:r>
      <w:r>
        <w:rPr>
          <w:rFonts w:ascii="Arial" w:cs="Arial" w:eastAsia="Arial" w:hAnsi="Arial"/>
          <w:sz w:val="17"/>
          <w:szCs w:val="17"/>
          <w:color w:val="auto"/>
        </w:rPr>
        <w:t>”).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7"/>
          <w:szCs w:val="17"/>
          <w:u w:val="single" w:color="auto"/>
          <w:color w:val="auto"/>
        </w:rPr>
        <w:t>ARTICLE VI</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u w:val="single" w:color="auto"/>
          <w:color w:val="auto"/>
        </w:rPr>
        <w:t>Miscellaneous Provisions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Fiscal Year</w:t>
      </w:r>
      <w:r>
        <w:rPr>
          <w:rFonts w:ascii="Arial" w:cs="Arial" w:eastAsia="Arial" w:hAnsi="Arial"/>
          <w:sz w:val="17"/>
          <w:szCs w:val="17"/>
          <w:color w:val="auto"/>
        </w:rPr>
        <w:t>. The fiscal year of the Corporation shall be determined by the Board of Directors.</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Seal</w:t>
      </w:r>
      <w:r>
        <w:rPr>
          <w:rFonts w:ascii="Arial" w:cs="Arial" w:eastAsia="Arial" w:hAnsi="Arial"/>
          <w:sz w:val="17"/>
          <w:szCs w:val="17"/>
          <w:color w:val="auto"/>
        </w:rPr>
        <w:t>. The Board of Directors shall have power to adopt and alter the seal of the Corporation.</w:t>
      </w:r>
    </w:p>
    <w:p>
      <w:pPr>
        <w:spacing w:after="0" w:line="224" w:lineRule="exact"/>
        <w:rPr>
          <w:sz w:val="20"/>
          <w:szCs w:val="20"/>
          <w:color w:val="auto"/>
        </w:rPr>
      </w:pPr>
    </w:p>
    <w:p>
      <w:pPr>
        <w:ind w:right="60" w:firstLine="629"/>
        <w:spacing w:after="0" w:line="26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Execution of Instruments</w:t>
      </w:r>
      <w:r>
        <w:rPr>
          <w:rFonts w:ascii="Arial" w:cs="Arial" w:eastAsia="Arial" w:hAnsi="Arial"/>
          <w:sz w:val="17"/>
          <w:szCs w:val="17"/>
          <w:color w:val="auto"/>
        </w:rPr>
        <w:t>. All deeds, leases, transfers, contracts, bonds, notes and other obligations to be entered into by the Corporation in the ordinary course of its business without director action may be executed on behalf of the Corporation by the Chairman of the Board, if one is elected, the President, the Chief Executive Officer, the Chief Financial Officer or the Treasurer or any other officer, employee or agent of the Corporation as the Board of Directors or the executive committee of the Board may authorize.</w:t>
      </w:r>
    </w:p>
    <w:p>
      <w:pPr>
        <w:spacing w:after="0" w:line="176" w:lineRule="exact"/>
        <w:rPr>
          <w:sz w:val="20"/>
          <w:szCs w:val="20"/>
          <w:color w:val="auto"/>
        </w:rPr>
      </w:pPr>
    </w:p>
    <w:p>
      <w:pPr>
        <w:ind w:right="100" w:firstLine="629"/>
        <w:spacing w:after="0" w:line="268"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Voting of Securities</w:t>
      </w:r>
      <w:r>
        <w:rPr>
          <w:rFonts w:ascii="Arial" w:cs="Arial" w:eastAsia="Arial" w:hAnsi="Arial"/>
          <w:sz w:val="17"/>
          <w:szCs w:val="17"/>
          <w:color w:val="auto"/>
        </w:rPr>
        <w:t>. Unless the Board of Directors otherwise provides, the Chairman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76"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Resident Agent</w:t>
      </w:r>
      <w:r>
        <w:rPr>
          <w:rFonts w:ascii="Arial" w:cs="Arial" w:eastAsia="Arial" w:hAnsi="Arial"/>
          <w:sz w:val="17"/>
          <w:szCs w:val="17"/>
          <w:color w:val="auto"/>
        </w:rPr>
        <w:t>. The Board of Directors may appoint a resident agent upon whom legal process may be served in any action or proceeding against the Corporation.</w:t>
      </w:r>
    </w:p>
    <w:p>
      <w:pPr>
        <w:spacing w:after="0" w:line="158"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Corporate Records</w:t>
      </w:r>
      <w:r>
        <w:rPr>
          <w:rFonts w:ascii="Arial" w:cs="Arial" w:eastAsia="Arial" w:hAnsi="Arial"/>
          <w:sz w:val="17"/>
          <w:szCs w:val="17"/>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76" w:lineRule="exact"/>
        <w:rPr>
          <w:sz w:val="20"/>
          <w:szCs w:val="20"/>
          <w:color w:val="auto"/>
        </w:rPr>
      </w:pPr>
    </w:p>
    <w:p>
      <w:pPr>
        <w:ind w:right="740" w:firstLine="629"/>
        <w:spacing w:after="0" w:line="28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Certificate</w:t>
      </w:r>
      <w:r>
        <w:rPr>
          <w:rFonts w:ascii="Arial" w:cs="Arial" w:eastAsia="Arial" w:hAnsi="Arial"/>
          <w:sz w:val="17"/>
          <w:szCs w:val="17"/>
          <w:color w:val="auto"/>
        </w:rPr>
        <w:t>. All references in these By-laws to the Certificate shall be deemed to refer to the Amended and Restated Certificate of Incorporation of the Corporation, as amended and/or restated and in effect from time to time.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Amendment of By-laws</w:t>
      </w:r>
      <w:r>
        <w:rPr>
          <w:rFonts w:ascii="Arial" w:cs="Arial" w:eastAsia="Arial" w:hAnsi="Arial"/>
          <w:sz w:val="17"/>
          <w:szCs w:val="17"/>
          <w:color w:val="auto"/>
        </w:rPr>
        <w:t>.</w:t>
      </w:r>
    </w:p>
    <w:p>
      <w:pPr>
        <w:spacing w:after="0" w:line="224" w:lineRule="exact"/>
        <w:rPr>
          <w:sz w:val="20"/>
          <w:szCs w:val="20"/>
          <w:color w:val="auto"/>
        </w:rPr>
      </w:pPr>
    </w:p>
    <w:p>
      <w:pPr>
        <w:ind w:right="640" w:firstLine="634"/>
        <w:spacing w:after="0" w:line="289" w:lineRule="auto"/>
        <w:tabs>
          <w:tab w:leader="none" w:pos="867"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Amendment by Directors</w:t>
      </w:r>
      <w:r>
        <w:rPr>
          <w:rFonts w:ascii="Arial" w:cs="Arial" w:eastAsia="Arial" w:hAnsi="Arial"/>
          <w:sz w:val="17"/>
          <w:szCs w:val="17"/>
          <w:color w:val="auto"/>
        </w:rPr>
        <w:t>. Except as provided otherwise by law, these By-laws may be amended or repealed by the Board of Directors by the affirmative vote of a majority of the directors then in office.</w:t>
      </w:r>
    </w:p>
    <w:p>
      <w:pPr>
        <w:spacing w:after="0" w:line="158" w:lineRule="exact"/>
        <w:rPr>
          <w:rFonts w:ascii="Arial" w:cs="Arial" w:eastAsia="Arial" w:hAnsi="Arial"/>
          <w:sz w:val="17"/>
          <w:szCs w:val="17"/>
          <w:color w:val="auto"/>
        </w:rPr>
      </w:pPr>
    </w:p>
    <w:p>
      <w:pPr>
        <w:ind w:right="60" w:firstLine="634"/>
        <w:spacing w:after="0" w:line="263" w:lineRule="auto"/>
        <w:tabs>
          <w:tab w:leader="none" w:pos="877"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Amendment by Stockholders</w:t>
      </w:r>
      <w:r>
        <w:rPr>
          <w:rFonts w:ascii="Arial" w:cs="Arial" w:eastAsia="Arial" w:hAnsi="Arial"/>
          <w:sz w:val="17"/>
          <w:szCs w:val="17"/>
          <w:color w:val="auto"/>
        </w:rPr>
        <w:t>. These By-laws may be amended or repealed at any Annual Meeting, or special meeting of stockholders called for such purpose in accordance with these By-Laws, by the affirmative vote of at least 66 2/3% of the outstanding shares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83"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Notices</w:t>
      </w:r>
      <w:r>
        <w:rPr>
          <w:rFonts w:ascii="Arial" w:cs="Arial" w:eastAsia="Arial" w:hAnsi="Arial"/>
          <w:sz w:val="17"/>
          <w:szCs w:val="17"/>
          <w:color w:val="auto"/>
        </w:rPr>
        <w:t>. If mailed, notice to stockholders shall be deemed given when deposited in the mail, postage prepaid, directed to the stockholder at such stockholder’s address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58"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Waivers</w:t>
      </w:r>
      <w:r>
        <w:rPr>
          <w:rFonts w:ascii="Arial" w:cs="Arial" w:eastAsia="Arial" w:hAnsi="Arial"/>
          <w:sz w:val="17"/>
          <w:szCs w:val="17"/>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80" w:type="dxa"/>
            <w:vAlign w:val="bottom"/>
          </w:tcPr>
          <w:p>
            <w:pPr>
              <w:spacing w:after="0"/>
              <w:rPr>
                <w:sz w:val="20"/>
                <w:szCs w:val="20"/>
                <w:color w:val="auto"/>
              </w:rPr>
            </w:pPr>
            <w:r>
              <w:rPr>
                <w:rFonts w:ascii="Arial" w:cs="Arial" w:eastAsia="Arial" w:hAnsi="Arial"/>
                <w:sz w:val="17"/>
                <w:szCs w:val="17"/>
                <w:color w:val="auto"/>
              </w:rPr>
              <w:t>Adopted May 1, 2013 and effective as of</w:t>
            </w:r>
          </w:p>
        </w:tc>
        <w:tc>
          <w:tcPr>
            <w:tcW w:w="700" w:type="dxa"/>
            <w:vAlign w:val="bottom"/>
          </w:tcPr>
          <w:p>
            <w:pPr>
              <w:jc w:val="right"/>
              <w:spacing w:after="0"/>
              <w:rPr>
                <w:sz w:val="20"/>
                <w:szCs w:val="20"/>
                <w:color w:val="auto"/>
              </w:rPr>
            </w:pPr>
            <w:r>
              <w:rPr>
                <w:rFonts w:ascii="Arial" w:cs="Arial" w:eastAsia="Arial" w:hAnsi="Arial"/>
                <w:sz w:val="17"/>
                <w:szCs w:val="17"/>
                <w:color w:val="auto"/>
              </w:rPr>
              <w:t>, 2013.</w:t>
            </w:r>
          </w:p>
        </w:tc>
      </w:tr>
    </w:tbl>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60"/>
          </w:cols>
          <w:pgMar w:left="240" w:top="337" w:right="299" w:bottom="927" w:gutter="0" w:footer="0" w:header="0"/>
        </w:sectPr>
      </w:pPr>
    </w:p>
    <w:bookmarkStart w:id="247" w:name="page248"/>
    <w:bookmarkEnd w:id="247"/>
    <w:p>
      <w:pPr>
        <w:jc w:val="right"/>
        <w:spacing w:after="0"/>
        <w:rPr>
          <w:sz w:val="20"/>
          <w:szCs w:val="20"/>
          <w:color w:val="auto"/>
        </w:rPr>
      </w:pPr>
      <w:r>
        <w:rPr>
          <w:rFonts w:ascii="Arial" w:cs="Arial" w:eastAsia="Arial" w:hAnsi="Arial"/>
          <w:sz w:val="17"/>
          <w:szCs w:val="17"/>
          <w:b w:val="1"/>
          <w:bCs w:val="1"/>
          <w:color w:val="auto"/>
        </w:rPr>
        <w:t>Exhibit 4.1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REGISTRATION RIGHTS AGREEMENT</w:t>
      </w:r>
    </w:p>
    <w:p>
      <w:pPr>
        <w:spacing w:after="0" w:line="230"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THIS REGISTRATION RIGHTS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the Effective Date (defined herein), is by and between Applied Optoelectronics, Inc., a Texas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and the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xml:space="preserve"> (specified on the signature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WHEREAS, the Company and the Holder are parties to the Subscription Agreement of even date herewith (the “</w:t>
      </w:r>
      <w:r>
        <w:rPr>
          <w:rFonts w:ascii="Arial" w:cs="Arial" w:eastAsia="Arial" w:hAnsi="Arial"/>
          <w:sz w:val="17"/>
          <w:szCs w:val="17"/>
          <w:b w:val="1"/>
          <w:bCs w:val="1"/>
          <w:i w:val="1"/>
          <w:iCs w:val="1"/>
          <w:color w:val="auto"/>
        </w:rPr>
        <w:t>Purchase Agreement</w:t>
      </w:r>
      <w:r>
        <w:rPr>
          <w:rFonts w:ascii="Arial" w:cs="Arial" w:eastAsia="Arial" w:hAnsi="Arial"/>
          <w:sz w:val="17"/>
          <w:szCs w:val="17"/>
          <w:color w:val="auto"/>
        </w:rPr>
        <w:t>”); and</w:t>
      </w:r>
    </w:p>
    <w:p>
      <w:pPr>
        <w:spacing w:after="0" w:line="224" w:lineRule="exact"/>
        <w:rPr>
          <w:sz w:val="20"/>
          <w:szCs w:val="20"/>
          <w:color w:val="auto"/>
        </w:rPr>
      </w:pPr>
    </w:p>
    <w:p>
      <w:pPr>
        <w:ind w:right="160" w:firstLine="629"/>
        <w:spacing w:after="0" w:line="273" w:lineRule="auto"/>
        <w:rPr>
          <w:sz w:val="20"/>
          <w:szCs w:val="20"/>
          <w:color w:val="auto"/>
        </w:rPr>
      </w:pPr>
      <w:r>
        <w:rPr>
          <w:rFonts w:ascii="Arial" w:cs="Arial" w:eastAsia="Arial" w:hAnsi="Arial"/>
          <w:sz w:val="17"/>
          <w:szCs w:val="17"/>
          <w:color w:val="auto"/>
        </w:rPr>
        <w:t>WHEREAS, in order to induce the Company to enter into the Purchase Agreement and to induce the Holder to invest funds in the Company pursuant to the Purchase Agreement, the Holder and the Company hereby agree that this Agreement shall govern the rights of the Holder to cause the Company to register shares of Common Stock issuable to the Holder and certain other matters as set forth herein.</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THE PARTIES HERETO HEREBY AGREE AS FOLLOWS:</w:t>
      </w:r>
    </w:p>
    <w:p>
      <w:pPr>
        <w:spacing w:after="0" w:line="218" w:lineRule="exact"/>
        <w:rPr>
          <w:sz w:val="20"/>
          <w:szCs w:val="20"/>
          <w:color w:val="auto"/>
        </w:rPr>
      </w:pPr>
    </w:p>
    <w:p>
      <w:pPr>
        <w:ind w:left="1900" w:hanging="637"/>
        <w:spacing w:after="0"/>
        <w:tabs>
          <w:tab w:leader="none" w:pos="1900"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w:t>
      </w:r>
    </w:p>
    <w:p>
      <w:pPr>
        <w:spacing w:after="0" w:line="230" w:lineRule="exact"/>
        <w:rPr>
          <w:sz w:val="20"/>
          <w:szCs w:val="20"/>
          <w:color w:val="auto"/>
        </w:rPr>
      </w:pPr>
    </w:p>
    <w:p>
      <w:pPr>
        <w:ind w:left="1900"/>
        <w:spacing w:after="0"/>
        <w:tabs>
          <w:tab w:leader="none" w:pos="250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u w:val="single" w:color="auto"/>
          <w:color w:val="auto"/>
        </w:rPr>
        <w:t>Capitalized Terms</w:t>
      </w:r>
      <w:r>
        <w:rPr>
          <w:rFonts w:ascii="Arial" w:cs="Arial" w:eastAsia="Arial" w:hAnsi="Arial"/>
          <w:sz w:val="15"/>
          <w:szCs w:val="15"/>
          <w:color w:val="auto"/>
        </w:rPr>
        <w:t>. Capitalized terms used herein but not defined herein shall have the meanings ascribed to such terms in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Purchase Agreement.</w:t>
      </w:r>
    </w:p>
    <w:p>
      <w:pPr>
        <w:spacing w:after="0" w:line="212" w:lineRule="exact"/>
        <w:rPr>
          <w:sz w:val="20"/>
          <w:szCs w:val="20"/>
          <w:color w:val="auto"/>
        </w:rPr>
      </w:pPr>
    </w:p>
    <w:p>
      <w:pPr>
        <w:ind w:left="1900"/>
        <w:spacing w:after="0"/>
        <w:tabs>
          <w:tab w:leader="none" w:pos="250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The following capitalized terms as used in this Agreement shall have the meanings set forth below.</w:t>
      </w:r>
    </w:p>
    <w:p>
      <w:pPr>
        <w:spacing w:after="0" w:line="224" w:lineRule="exact"/>
        <w:rPr>
          <w:sz w:val="20"/>
          <w:szCs w:val="20"/>
          <w:color w:val="auto"/>
        </w:rPr>
      </w:pPr>
    </w:p>
    <w:p>
      <w:pPr>
        <w:ind w:right="60" w:firstLine="2522"/>
        <w:spacing w:after="0" w:line="268" w:lineRule="auto"/>
        <w:tabs>
          <w:tab w:leader="none" w:pos="3143" w:val="left"/>
        </w:tabs>
        <w:numPr>
          <w:ilvl w:val="0"/>
          <w:numId w:val="258"/>
        </w:numPr>
        <w:rPr>
          <w:rFonts w:ascii="Arial" w:cs="Arial" w:eastAsia="Arial" w:hAnsi="Arial"/>
          <w:sz w:val="17"/>
          <w:szCs w:val="17"/>
          <w:color w:val="auto"/>
        </w:rPr>
      </w:pPr>
      <w:r>
        <w:rPr>
          <w:rFonts w:ascii="Arial" w:cs="Arial" w:eastAsia="Arial" w:hAnsi="Arial"/>
          <w:sz w:val="17"/>
          <w:szCs w:val="17"/>
          <w:color w:val="auto"/>
        </w:rPr>
        <w:t>An “</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of any Person shall mean a Person that directly or indirectly, through one or more intermediaries, controls, is controlled by or is under common control with the first mentioned Person. A Person shall be deemed to control another Person if such first Person possesses directly or indirectly the power to direct, or cause the direction of, the management and policies of the second Person, whether through the ownership of voting securities, by contract or otherwise.</w:t>
      </w:r>
    </w:p>
    <w:p>
      <w:pPr>
        <w:spacing w:after="0" w:line="175" w:lineRule="exact"/>
        <w:rPr>
          <w:rFonts w:ascii="Arial" w:cs="Arial" w:eastAsia="Arial" w:hAnsi="Arial"/>
          <w:sz w:val="17"/>
          <w:szCs w:val="17"/>
          <w:color w:val="auto"/>
        </w:rPr>
      </w:pPr>
    </w:p>
    <w:p>
      <w:pPr>
        <w:ind w:left="3160" w:hanging="638"/>
        <w:spacing w:after="0"/>
        <w:tabs>
          <w:tab w:leader="none" w:pos="31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Board of Directors</w:t>
      </w:r>
      <w:r>
        <w:rPr>
          <w:rFonts w:ascii="Arial" w:cs="Arial" w:eastAsia="Arial" w:hAnsi="Arial"/>
          <w:sz w:val="17"/>
          <w:szCs w:val="17"/>
          <w:color w:val="auto"/>
        </w:rPr>
        <w:t>” shall mean the Board of Directors of the Company.</w:t>
      </w:r>
    </w:p>
    <w:p>
      <w:pPr>
        <w:spacing w:after="0" w:line="224" w:lineRule="exact"/>
        <w:rPr>
          <w:rFonts w:ascii="Arial" w:cs="Arial" w:eastAsia="Arial" w:hAnsi="Arial"/>
          <w:sz w:val="17"/>
          <w:szCs w:val="17"/>
          <w:color w:val="auto"/>
        </w:rPr>
      </w:pPr>
    </w:p>
    <w:p>
      <w:pPr>
        <w:ind w:left="3160" w:hanging="638"/>
        <w:spacing w:after="0"/>
        <w:tabs>
          <w:tab w:leader="none" w:pos="316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shall mean the Common Stock, and any other securities into which the Common Stock</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may be converted or exchanged pursuant to a plan of recapitalization, reorganization, merger, sale of assets or otherwise.</w:t>
      </w:r>
    </w:p>
    <w:p>
      <w:pPr>
        <w:spacing w:after="0" w:line="212" w:lineRule="exact"/>
        <w:rPr>
          <w:rFonts w:ascii="Arial" w:cs="Arial" w:eastAsia="Arial" w:hAnsi="Arial"/>
          <w:sz w:val="16"/>
          <w:szCs w:val="16"/>
          <w:color w:val="auto"/>
        </w:rPr>
      </w:pPr>
    </w:p>
    <w:p>
      <w:pPr>
        <w:ind w:right="40" w:firstLine="2522"/>
        <w:spacing w:after="0" w:line="273" w:lineRule="auto"/>
        <w:tabs>
          <w:tab w:leader="none" w:pos="3153"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Form S-3</w:t>
      </w:r>
      <w:r>
        <w:rPr>
          <w:rFonts w:ascii="Arial" w:cs="Arial" w:eastAsia="Arial" w:hAnsi="Arial"/>
          <w:sz w:val="17"/>
          <w:szCs w:val="17"/>
          <w:color w:val="auto"/>
        </w:rPr>
        <w:t>” shall mean such form under the Securities Act as in effect on the date hereof or any registration form under the Securities Act subsequently adopted by the SEC in lieu of such form as currently in effect which similarly permits inclusion or incorporation of substantial information by reference to other documents filed by the Company with the SEC.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160" w:hanging="638"/>
        <w:spacing w:after="0"/>
        <w:tabs>
          <w:tab w:leader="none" w:pos="31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shall mean any person owning or having the right to acquire Registrable Securities or any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assignee thereof.</w:t>
      </w:r>
    </w:p>
    <w:p>
      <w:pPr>
        <w:spacing w:after="0" w:line="212" w:lineRule="exact"/>
        <w:rPr>
          <w:sz w:val="20"/>
          <w:szCs w:val="20"/>
          <w:color w:val="auto"/>
        </w:rPr>
      </w:pPr>
    </w:p>
    <w:p>
      <w:pPr>
        <w:ind w:right="60" w:firstLine="2522"/>
        <w:spacing w:after="0" w:line="273" w:lineRule="auto"/>
        <w:tabs>
          <w:tab w:leader="none" w:pos="315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Initial Public Offering</w:t>
      </w:r>
      <w:r>
        <w:rPr>
          <w:rFonts w:ascii="Arial" w:cs="Arial" w:eastAsia="Arial" w:hAnsi="Arial"/>
          <w:sz w:val="17"/>
          <w:szCs w:val="17"/>
          <w:color w:val="auto"/>
        </w:rPr>
        <w:t>” shall mean the initial sale of Common Stock pursuant to an effective registration statement filed by the Company under the Securities Act (as hereinafter defined) in connection with a firm commitment underwritten offering of such securities to the general public.</w:t>
      </w:r>
    </w:p>
    <w:p>
      <w:pPr>
        <w:spacing w:after="0" w:line="171" w:lineRule="exact"/>
        <w:rPr>
          <w:rFonts w:ascii="Arial" w:cs="Arial" w:eastAsia="Arial" w:hAnsi="Arial"/>
          <w:sz w:val="17"/>
          <w:szCs w:val="17"/>
          <w:color w:val="auto"/>
        </w:rPr>
      </w:pPr>
    </w:p>
    <w:p>
      <w:pPr>
        <w:ind w:left="3180" w:hanging="658"/>
        <w:spacing w:after="0"/>
        <w:tabs>
          <w:tab w:leader="none" w:pos="318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1934 Act</w:t>
      </w:r>
      <w:r>
        <w:rPr>
          <w:rFonts w:ascii="Arial" w:cs="Arial" w:eastAsia="Arial" w:hAnsi="Arial"/>
          <w:sz w:val="17"/>
          <w:szCs w:val="17"/>
          <w:color w:val="auto"/>
        </w:rPr>
        <w:t>” shall mean the Securities Exchange Act of 1934, as amended.</w:t>
      </w:r>
    </w:p>
    <w:p>
      <w:pPr>
        <w:spacing w:after="0" w:line="224" w:lineRule="exact"/>
        <w:rPr>
          <w:rFonts w:ascii="Arial" w:cs="Arial" w:eastAsia="Arial" w:hAnsi="Arial"/>
          <w:sz w:val="17"/>
          <w:szCs w:val="17"/>
          <w:color w:val="auto"/>
        </w:rPr>
      </w:pPr>
    </w:p>
    <w:p>
      <w:pPr>
        <w:ind w:right="180" w:firstLine="2522"/>
        <w:spacing w:after="0" w:line="289" w:lineRule="auto"/>
        <w:tabs>
          <w:tab w:leader="none" w:pos="3153"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shall mean an individual, a corporation, a partnership, a joint venture, a trust, an unincorporated organization, a limited liability company, and any other entity or organization, governmental or otherwise.</w:t>
      </w:r>
    </w:p>
    <w:p>
      <w:pPr>
        <w:spacing w:after="0" w:line="158" w:lineRule="exact"/>
        <w:rPr>
          <w:rFonts w:ascii="Arial" w:cs="Arial" w:eastAsia="Arial" w:hAnsi="Arial"/>
          <w:sz w:val="17"/>
          <w:szCs w:val="17"/>
          <w:color w:val="auto"/>
        </w:rPr>
      </w:pPr>
    </w:p>
    <w:p>
      <w:pPr>
        <w:ind w:right="140" w:firstLine="2522"/>
        <w:spacing w:after="0" w:line="322" w:lineRule="auto"/>
        <w:tabs>
          <w:tab w:leader="none" w:pos="3167"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shall mean the Series · Convertible Preferred Stock, and any other securities into which the Preferred Stock may be converted or exchanged pursuant to a plan or recapitalization, reorganization, merger, sale of assets or otherwise.</w:t>
      </w:r>
    </w:p>
    <w:p>
      <w:pPr>
        <w:spacing w:after="0" w:line="135" w:lineRule="exact"/>
        <w:rPr>
          <w:rFonts w:ascii="Arial" w:cs="Arial" w:eastAsia="Arial" w:hAnsi="Arial"/>
          <w:sz w:val="16"/>
          <w:szCs w:val="16"/>
          <w:color w:val="auto"/>
        </w:rPr>
      </w:pPr>
    </w:p>
    <w:p>
      <w:pPr>
        <w:ind w:right="100" w:firstLine="2522"/>
        <w:spacing w:after="0" w:line="273" w:lineRule="auto"/>
        <w:tabs>
          <w:tab w:leader="none" w:pos="3154"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terms “register,” “registered,” and “registration” shall refer to a registration effected by preparing and filing a registration statement or similar document in compliance with the Securities Act, and the declaration or ordering of effectiveness of such registration statement or document.</w:t>
      </w:r>
    </w:p>
    <w:p>
      <w:pPr>
        <w:spacing w:after="0" w:line="171" w:lineRule="exact"/>
        <w:rPr>
          <w:rFonts w:ascii="Arial" w:cs="Arial" w:eastAsia="Arial" w:hAnsi="Arial"/>
          <w:sz w:val="17"/>
          <w:szCs w:val="17"/>
          <w:color w:val="auto"/>
        </w:rPr>
      </w:pPr>
    </w:p>
    <w:p>
      <w:pPr>
        <w:ind w:right="60" w:firstLine="2522"/>
        <w:spacing w:after="0" w:line="281" w:lineRule="auto"/>
        <w:tabs>
          <w:tab w:leader="none" w:pos="3153"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Registrable Securities</w:t>
      </w:r>
      <w:r>
        <w:rPr>
          <w:rFonts w:ascii="Arial" w:cs="Arial" w:eastAsia="Arial" w:hAnsi="Arial"/>
          <w:sz w:val="16"/>
          <w:szCs w:val="16"/>
          <w:color w:val="auto"/>
        </w:rPr>
        <w:t>” shall mean the Common Stock issuable or issued upon conversion of the Preferred Stock and any shares of Common Stock issued or issuable with respect to any such shares described above by way of a stock dividend or stock split or in connection with a combination of shares, recapitalization, merger, consolidation or other reorganization; provided, however, that notwithstanding anything to the contrary contained herein, “Registrable Securities” shall not at any time include any securities (i) registered and sold pursuant to the Securities Act, (ii) sold to the public pursuant to Rule 144 promulgated under the Securities Act (“Rule 144”), (iii) that may be sold to the public under Rule 144, or (iv) that have otherwise been transferred and a new certificate or other evidence of ownership for them not bearing a restrictive legend and not subject to any stop transfer order has been delivered by or on behalf of the Company and no other restriction on transfer exists by operation of law.</w:t>
      </w:r>
    </w:p>
    <w:p>
      <w:pPr>
        <w:spacing w:after="0" w:line="170" w:lineRule="exact"/>
        <w:rPr>
          <w:rFonts w:ascii="Arial" w:cs="Arial" w:eastAsia="Arial" w:hAnsi="Arial"/>
          <w:sz w:val="16"/>
          <w:szCs w:val="16"/>
          <w:color w:val="auto"/>
        </w:rPr>
      </w:pPr>
    </w:p>
    <w:p>
      <w:pPr>
        <w:ind w:right="280" w:firstLine="2522"/>
        <w:spacing w:after="0" w:line="273" w:lineRule="auto"/>
        <w:tabs>
          <w:tab w:leader="none" w:pos="3167"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number of shares of “Registrable Securities then outstanding” shall be determined by the number of shares of Common Stock outstanding which are, and the number of shares of Common Stock issuable pursuant to then exercisable or convertible securities which are, Registrable Securities.</w:t>
      </w:r>
    </w:p>
    <w:p>
      <w:pPr>
        <w:spacing w:after="0" w:line="171" w:lineRule="exact"/>
        <w:rPr>
          <w:rFonts w:ascii="Arial" w:cs="Arial" w:eastAsia="Arial" w:hAnsi="Arial"/>
          <w:sz w:val="17"/>
          <w:szCs w:val="17"/>
          <w:color w:val="auto"/>
        </w:rPr>
      </w:pPr>
    </w:p>
    <w:p>
      <w:pPr>
        <w:ind w:left="3160" w:hanging="638"/>
        <w:spacing w:after="0"/>
        <w:tabs>
          <w:tab w:leader="none" w:pos="316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SEC</w:t>
      </w:r>
      <w:r>
        <w:rPr>
          <w:rFonts w:ascii="Arial" w:cs="Arial" w:eastAsia="Arial" w:hAnsi="Arial"/>
          <w:sz w:val="17"/>
          <w:szCs w:val="17"/>
          <w:color w:val="auto"/>
        </w:rPr>
        <w:t>” shall mean the Securities and Exchange Commission.</w:t>
      </w:r>
    </w:p>
    <w:p>
      <w:pPr>
        <w:sectPr>
          <w:pgSz w:w="11900" w:h="16838" w:orient="portrait"/>
          <w:cols w:equalWidth="0" w:num="1">
            <w:col w:w="11420"/>
          </w:cols>
          <w:pgMar w:left="240" w:top="357" w:right="239" w:bottom="0" w:gutter="0" w:footer="0" w:header="0"/>
        </w:sectPr>
      </w:pPr>
    </w:p>
    <w:bookmarkStart w:id="248" w:name="page249"/>
    <w:bookmarkEnd w:id="248"/>
    <w:p>
      <w:pPr>
        <w:ind w:left="5680" w:right="2820" w:hanging="3158"/>
        <w:spacing w:after="0" w:line="547" w:lineRule="auto"/>
        <w:tabs>
          <w:tab w:leader="none" w:pos="3168" w:val="left"/>
        </w:tabs>
        <w:numPr>
          <w:ilvl w:val="1"/>
          <w:numId w:val="261"/>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shall mean the Securities Act of 1933, as amended. 2</w:t>
      </w:r>
    </w:p>
    <w:p>
      <w:pPr>
        <w:spacing w:after="0" w:line="200" w:lineRule="exact"/>
        <w:rPr>
          <w:rFonts w:ascii="Arial" w:cs="Arial" w:eastAsia="Arial" w:hAnsi="Arial"/>
          <w:sz w:val="17"/>
          <w:szCs w:val="17"/>
          <w:color w:val="auto"/>
        </w:rPr>
      </w:pPr>
    </w:p>
    <w:p>
      <w:pPr>
        <w:spacing w:after="0" w:line="227" w:lineRule="exact"/>
        <w:rPr>
          <w:rFonts w:ascii="Arial" w:cs="Arial" w:eastAsia="Arial" w:hAnsi="Arial"/>
          <w:sz w:val="17"/>
          <w:szCs w:val="17"/>
          <w:color w:val="auto"/>
        </w:rPr>
      </w:pPr>
    </w:p>
    <w:p>
      <w:pPr>
        <w:ind w:left="1900" w:hanging="637"/>
        <w:spacing w:after="0"/>
        <w:tabs>
          <w:tab w:leader="none" w:pos="1900" w:val="left"/>
        </w:tabs>
        <w:numPr>
          <w:ilvl w:val="0"/>
          <w:numId w:val="262"/>
        </w:numPr>
        <w:rPr>
          <w:rFonts w:ascii="Arial" w:cs="Arial" w:eastAsia="Arial" w:hAnsi="Arial"/>
          <w:sz w:val="17"/>
          <w:szCs w:val="17"/>
          <w:b w:val="1"/>
          <w:bCs w:val="1"/>
          <w:color w:val="auto"/>
        </w:rPr>
      </w:pPr>
      <w:r>
        <w:rPr>
          <w:rFonts w:ascii="Arial" w:cs="Arial" w:eastAsia="Arial" w:hAnsi="Arial"/>
          <w:sz w:val="17"/>
          <w:szCs w:val="17"/>
          <w:b w:val="1"/>
          <w:bCs w:val="1"/>
          <w:color w:val="auto"/>
        </w:rPr>
        <w:t>Registration Rights</w:t>
      </w:r>
      <w:r>
        <w:rPr>
          <w:rFonts w:ascii="Arial" w:cs="Arial" w:eastAsia="Arial" w:hAnsi="Arial"/>
          <w:sz w:val="17"/>
          <w:szCs w:val="17"/>
          <w:color w:val="auto"/>
        </w:rPr>
        <w:t>.</w:t>
      </w:r>
    </w:p>
    <w:p>
      <w:pPr>
        <w:spacing w:after="0" w:line="230" w:lineRule="exact"/>
        <w:rPr>
          <w:rFonts w:ascii="Arial" w:cs="Arial" w:eastAsia="Arial" w:hAnsi="Arial"/>
          <w:sz w:val="17"/>
          <w:szCs w:val="17"/>
          <w:b w:val="1"/>
          <w:bCs w:val="1"/>
          <w:color w:val="auto"/>
        </w:rPr>
      </w:pPr>
    </w:p>
    <w:p>
      <w:pPr>
        <w:ind w:left="1900"/>
        <w:spacing w:after="0"/>
        <w:rPr>
          <w:rFonts w:ascii="Arial" w:cs="Arial" w:eastAsia="Arial" w:hAnsi="Arial"/>
          <w:sz w:val="17"/>
          <w:szCs w:val="17"/>
          <w:b w:val="1"/>
          <w:bCs w:val="1"/>
          <w:color w:val="auto"/>
        </w:rPr>
      </w:pPr>
      <w:r>
        <w:rPr>
          <w:rFonts w:ascii="Arial" w:cs="Arial" w:eastAsia="Arial" w:hAnsi="Arial"/>
          <w:sz w:val="17"/>
          <w:szCs w:val="17"/>
          <w:color w:val="auto"/>
        </w:rPr>
        <w:t>2.1</w:t>
      </w:r>
      <w:r>
        <w:rPr>
          <w:rFonts w:ascii="Arial" w:cs="Arial" w:eastAsia="Arial" w:hAnsi="Arial"/>
          <w:sz w:val="15"/>
          <w:szCs w:val="15"/>
          <w:u w:val="single" w:color="auto"/>
          <w:color w:val="auto"/>
        </w:rPr>
        <w:t>Demand Registration Rights</w:t>
      </w:r>
      <w:r>
        <w:rPr>
          <w:rFonts w:ascii="Arial" w:cs="Arial" w:eastAsia="Arial" w:hAnsi="Arial"/>
          <w:sz w:val="15"/>
          <w:szCs w:val="15"/>
          <w:color w:val="auto"/>
        </w:rPr>
        <w:t>.</w:t>
      </w:r>
    </w:p>
    <w:p>
      <w:pPr>
        <w:spacing w:after="0" w:line="224" w:lineRule="exact"/>
        <w:rPr>
          <w:rFonts w:ascii="Arial" w:cs="Arial" w:eastAsia="Arial" w:hAnsi="Arial"/>
          <w:sz w:val="17"/>
          <w:szCs w:val="17"/>
          <w:b w:val="1"/>
          <w:bCs w:val="1"/>
          <w:color w:val="auto"/>
        </w:rPr>
      </w:pPr>
    </w:p>
    <w:p>
      <w:pPr>
        <w:ind w:right="20" w:firstLine="2522"/>
        <w:spacing w:after="0" w:line="285" w:lineRule="auto"/>
        <w:tabs>
          <w:tab w:leader="none" w:pos="3143" w:val="left"/>
        </w:tabs>
        <w:numPr>
          <w:ilvl w:val="1"/>
          <w:numId w:val="262"/>
        </w:numPr>
        <w:rPr>
          <w:rFonts w:ascii="Arial" w:cs="Arial" w:eastAsia="Arial" w:hAnsi="Arial"/>
          <w:sz w:val="16"/>
          <w:szCs w:val="16"/>
          <w:color w:val="auto"/>
        </w:rPr>
      </w:pPr>
      <w:r>
        <w:rPr>
          <w:rFonts w:ascii="Arial" w:cs="Arial" w:eastAsia="Arial" w:hAnsi="Arial"/>
          <w:sz w:val="16"/>
          <w:szCs w:val="16"/>
          <w:color w:val="auto"/>
        </w:rPr>
        <w:t>If the Company shall receive at any time after one hundred and eighty (180) days after the effective date of the first registration statement for an Initial Public Offering of securities of the Company (other than a registration statement relating either to the sale of securities to employees of the Company pursuant to a stock option, stock purchase or similar plan or a SEC Rule 145 transaction), a written request from the Holders of more than 50% of the Registrable Securities then outstanding that the Company file a registration statement under the Securities Act covering the registration and sale of Registrable Securities and such other securities (if any) then outstanding and held by the Holders, then the Company shall:</w:t>
      </w:r>
    </w:p>
    <w:p>
      <w:pPr>
        <w:spacing w:after="0" w:line="166" w:lineRule="exact"/>
        <w:rPr>
          <w:rFonts w:ascii="Arial" w:cs="Arial" w:eastAsia="Arial" w:hAnsi="Arial"/>
          <w:sz w:val="16"/>
          <w:szCs w:val="16"/>
          <w:color w:val="auto"/>
        </w:rPr>
      </w:pPr>
    </w:p>
    <w:p>
      <w:pPr>
        <w:ind w:left="3800" w:hanging="649"/>
        <w:spacing w:after="0"/>
        <w:tabs>
          <w:tab w:leader="none" w:pos="3800" w:val="left"/>
        </w:tabs>
        <w:numPr>
          <w:ilvl w:val="2"/>
          <w:numId w:val="262"/>
        </w:numPr>
        <w:rPr>
          <w:rFonts w:ascii="Arial" w:cs="Arial" w:eastAsia="Arial" w:hAnsi="Arial"/>
          <w:sz w:val="17"/>
          <w:szCs w:val="17"/>
          <w:color w:val="auto"/>
        </w:rPr>
      </w:pPr>
      <w:r>
        <w:rPr>
          <w:rFonts w:ascii="Arial" w:cs="Arial" w:eastAsia="Arial" w:hAnsi="Arial"/>
          <w:sz w:val="17"/>
          <w:szCs w:val="17"/>
          <w:color w:val="auto"/>
        </w:rPr>
        <w:t>within ten (10) days of the receipt thereof, give written notice of such request to all Holders; and</w:t>
      </w:r>
    </w:p>
    <w:p>
      <w:pPr>
        <w:spacing w:after="0" w:line="224" w:lineRule="exact"/>
        <w:rPr>
          <w:rFonts w:ascii="Arial" w:cs="Arial" w:eastAsia="Arial" w:hAnsi="Arial"/>
          <w:sz w:val="17"/>
          <w:szCs w:val="17"/>
          <w:color w:val="auto"/>
        </w:rPr>
      </w:pPr>
    </w:p>
    <w:p>
      <w:pPr>
        <w:ind w:right="120" w:firstLine="3151"/>
        <w:spacing w:after="0" w:line="290" w:lineRule="auto"/>
        <w:tabs>
          <w:tab w:leader="none" w:pos="3805" w:val="left"/>
        </w:tabs>
        <w:numPr>
          <w:ilvl w:val="2"/>
          <w:numId w:val="262"/>
        </w:numPr>
        <w:rPr>
          <w:rFonts w:ascii="Arial" w:cs="Arial" w:eastAsia="Arial" w:hAnsi="Arial"/>
          <w:sz w:val="16"/>
          <w:szCs w:val="16"/>
          <w:color w:val="auto"/>
        </w:rPr>
      </w:pPr>
      <w:r>
        <w:rPr>
          <w:rFonts w:ascii="Arial" w:cs="Arial" w:eastAsia="Arial" w:hAnsi="Arial"/>
          <w:sz w:val="16"/>
          <w:szCs w:val="16"/>
          <w:color w:val="auto"/>
        </w:rPr>
        <w:t>file, as soon as practicable and in any event within ninety (90) days of the receipt of such request, a registration statement with the SEC under the Securities Act covering all Registrable Securities which the Holders request to be registered (such request having been made within twenty (20) days of the mailing of such notice by the Company in accordance with Section 3.5) subject to the limitations of Section 2.1(b), and thereafter to use its reasonable best efforts to cause the registration statement to be declared effective as soon as practicable.</w:t>
      </w:r>
    </w:p>
    <w:p>
      <w:pPr>
        <w:spacing w:after="0" w:line="159" w:lineRule="exact"/>
        <w:rPr>
          <w:rFonts w:ascii="Arial" w:cs="Arial" w:eastAsia="Arial" w:hAnsi="Arial"/>
          <w:sz w:val="16"/>
          <w:szCs w:val="16"/>
          <w:color w:val="auto"/>
        </w:rPr>
      </w:pPr>
    </w:p>
    <w:p>
      <w:pPr>
        <w:ind w:right="60" w:firstLine="2522"/>
        <w:spacing w:after="0" w:line="280" w:lineRule="auto"/>
        <w:tabs>
          <w:tab w:leader="none" w:pos="3153" w:val="left"/>
        </w:tabs>
        <w:numPr>
          <w:ilvl w:val="1"/>
          <w:numId w:val="262"/>
        </w:numPr>
        <w:rPr>
          <w:rFonts w:ascii="Arial" w:cs="Arial" w:eastAsia="Arial" w:hAnsi="Arial"/>
          <w:sz w:val="16"/>
          <w:szCs w:val="16"/>
          <w:color w:val="auto"/>
        </w:rPr>
      </w:pPr>
      <w:r>
        <w:rPr>
          <w:rFonts w:ascii="Arial" w:cs="Arial" w:eastAsia="Arial" w:hAnsi="Arial"/>
          <w:sz w:val="16"/>
          <w:szCs w:val="16"/>
          <w:color w:val="auto"/>
        </w:rPr>
        <w:t>If the Holders initiating the registration request hereunder (the “</w:t>
      </w:r>
      <w:r>
        <w:rPr>
          <w:rFonts w:ascii="Arial" w:cs="Arial" w:eastAsia="Arial" w:hAnsi="Arial"/>
          <w:sz w:val="16"/>
          <w:szCs w:val="16"/>
          <w:b w:val="1"/>
          <w:bCs w:val="1"/>
          <w:i w:val="1"/>
          <w:iCs w:val="1"/>
          <w:color w:val="auto"/>
        </w:rPr>
        <w:t>Initiating Holders</w:t>
      </w:r>
      <w:r>
        <w:rPr>
          <w:rFonts w:ascii="Arial" w:cs="Arial" w:eastAsia="Arial" w:hAnsi="Arial"/>
          <w:sz w:val="16"/>
          <w:szCs w:val="16"/>
          <w:color w:val="auto"/>
        </w:rPr>
        <w:t>”) intend to distribute the Registrable Securities covered by their request by means of an underwriting, they shall so advise the Company as a part of their request made pursuant to Section 2.1(a) and the Company shall include such information in the written notice referred to in Section 2.1(a). The managing underwriter will be selected by the Company and shall be reasonably acceptable to a majority in interest of the Initiating Holders.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(together with the Company as provided in Section 2.3(j)) enter into an underwriting agreement in customary form with the underwriter or underwriters selected for such underwriting.</w:t>
      </w:r>
    </w:p>
    <w:p>
      <w:pPr>
        <w:spacing w:after="0" w:line="170" w:lineRule="exact"/>
        <w:rPr>
          <w:rFonts w:ascii="Arial" w:cs="Arial" w:eastAsia="Arial" w:hAnsi="Arial"/>
          <w:sz w:val="16"/>
          <w:szCs w:val="16"/>
          <w:color w:val="auto"/>
        </w:rPr>
      </w:pPr>
    </w:p>
    <w:p>
      <w:pPr>
        <w:ind w:right="20" w:firstLine="2522"/>
        <w:spacing w:after="0" w:line="263" w:lineRule="auto"/>
        <w:tabs>
          <w:tab w:leader="none" w:pos="3157" w:val="left"/>
        </w:tabs>
        <w:numPr>
          <w:ilvl w:val="1"/>
          <w:numId w:val="262"/>
        </w:numPr>
        <w:rPr>
          <w:rFonts w:ascii="Arial" w:cs="Arial" w:eastAsia="Arial" w:hAnsi="Arial"/>
          <w:sz w:val="17"/>
          <w:szCs w:val="17"/>
          <w:color w:val="auto"/>
        </w:rPr>
      </w:pPr>
      <w:r>
        <w:rPr>
          <w:rFonts w:ascii="Arial" w:cs="Arial" w:eastAsia="Arial" w:hAnsi="Arial"/>
          <w:sz w:val="17"/>
          <w:szCs w:val="17"/>
          <w:color w:val="auto"/>
        </w:rPr>
        <w:t xml:space="preserve">The Company agrees, if requested by the Initiating Holders, not to effect a public or private sale or distribution of its Common Stock, or any securities convertible into or exchangeable for such securities (other than any such sale or distribution of such securities in connection with any merger or consolidation by the Company or a subsidiary thereof or the acquisition by the Company or a subsidiary thereof of the capital stock or assets of any other Person or registration on Form S-4 or Form S-8 or any successor forms) during the 15-day period prior to filing through the 90-day period beginning on the effective date of any firm underwritten Registration Statement filed pursuant to Sections 2(a) hereof unless the underwriters managing the requested public offering otherwise agree;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-4647565</wp:posOffset>
            </wp:positionV>
            <wp:extent cx="7271385" cy="292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color w:val="auto"/>
        </w:rPr>
        <w:t>the provisions of this paragraph (c) shall not prevent the sale, distribution, conversion or exchange of any securities and grants of options during such periods pursuant to stock option or benefit plans of the Company.</w:t>
      </w:r>
    </w:p>
    <w:p>
      <w:pPr>
        <w:spacing w:after="0" w:line="158" w:lineRule="exact"/>
        <w:rPr>
          <w:sz w:val="20"/>
          <w:szCs w:val="20"/>
          <w:color w:val="auto"/>
        </w:rPr>
      </w:pPr>
    </w:p>
    <w:p>
      <w:pPr>
        <w:ind w:left="3160" w:hanging="638"/>
        <w:spacing w:after="0"/>
        <w:tabs>
          <w:tab w:leader="none" w:pos="316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In addition, the Company shall not be obligated to effect, or to take any action to effect, any registration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this Section 2.1:</w:t>
      </w:r>
    </w:p>
    <w:p>
      <w:pPr>
        <w:spacing w:after="0" w:line="212" w:lineRule="exact"/>
        <w:rPr>
          <w:sz w:val="20"/>
          <w:szCs w:val="20"/>
          <w:color w:val="auto"/>
        </w:rPr>
      </w:pPr>
    </w:p>
    <w:p>
      <w:pPr>
        <w:ind w:left="3800" w:hanging="649"/>
        <w:spacing w:after="0"/>
        <w:tabs>
          <w:tab w:leader="none" w:pos="380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After the Company has effected one (1) registration requested pursuant to this Section 2.1;</w:t>
      </w:r>
    </w:p>
    <w:p>
      <w:pPr>
        <w:spacing w:after="0" w:line="224" w:lineRule="exact"/>
        <w:rPr>
          <w:rFonts w:ascii="Arial" w:cs="Arial" w:eastAsia="Arial" w:hAnsi="Arial"/>
          <w:sz w:val="17"/>
          <w:szCs w:val="17"/>
          <w:color w:val="auto"/>
        </w:rPr>
      </w:pPr>
    </w:p>
    <w:p>
      <w:pPr>
        <w:ind w:right="20" w:firstLine="3151"/>
        <w:spacing w:after="0" w:line="273" w:lineRule="auto"/>
        <w:tabs>
          <w:tab w:leader="none" w:pos="3805" w:val="left"/>
        </w:tabs>
        <w:numPr>
          <w:ilvl w:val="0"/>
          <w:numId w:val="264"/>
        </w:numPr>
        <w:rPr>
          <w:rFonts w:ascii="Arial" w:cs="Arial" w:eastAsia="Arial" w:hAnsi="Arial"/>
          <w:sz w:val="17"/>
          <w:szCs w:val="17"/>
          <w:color w:val="auto"/>
        </w:rPr>
      </w:pPr>
      <w:r>
        <w:rPr>
          <w:rFonts w:ascii="Arial" w:cs="Arial" w:eastAsia="Arial" w:hAnsi="Arial"/>
          <w:sz w:val="17"/>
          <w:szCs w:val="17"/>
          <w:color w:val="auto"/>
        </w:rPr>
        <w:t>During the period starting with the date sixty (60) days prior to the Company’s good faith estimate of the date of filing of, and ending on a date ninety (90) days after the effective date of, a registration subject to Section 2.2 hereof; provided that the Company is actively employing in good faith its reasonable best efforts to cause such registration statement to become effective;</w:t>
      </w:r>
    </w:p>
    <w:p>
      <w:pPr>
        <w:spacing w:after="0" w:line="171" w:lineRule="exact"/>
        <w:rPr>
          <w:rFonts w:ascii="Arial" w:cs="Arial" w:eastAsia="Arial" w:hAnsi="Arial"/>
          <w:sz w:val="17"/>
          <w:szCs w:val="17"/>
          <w:color w:val="auto"/>
        </w:rPr>
      </w:pPr>
    </w:p>
    <w:p>
      <w:pPr>
        <w:ind w:left="3820" w:hanging="669"/>
        <w:spacing w:after="0"/>
        <w:tabs>
          <w:tab w:leader="none" w:pos="382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If the Holders propose to dispose of shares of Registrable Securities that may be immediately registered on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Form S-3 pursuant to a request made pursuant to Section 2.11 below and such registration statement has been declared or ordered effective; or</w:t>
      </w:r>
    </w:p>
    <w:p>
      <w:pPr>
        <w:spacing w:after="0" w:line="212" w:lineRule="exact"/>
        <w:rPr>
          <w:rFonts w:ascii="Arial" w:cs="Arial" w:eastAsia="Arial" w:hAnsi="Arial"/>
          <w:sz w:val="16"/>
          <w:szCs w:val="16"/>
          <w:color w:val="auto"/>
        </w:rPr>
      </w:pPr>
    </w:p>
    <w:p>
      <w:pPr>
        <w:ind w:right="520" w:firstLine="3151"/>
        <w:spacing w:after="0" w:line="289" w:lineRule="auto"/>
        <w:tabs>
          <w:tab w:leader="none" w:pos="3792" w:val="left"/>
        </w:tabs>
        <w:numPr>
          <w:ilvl w:val="0"/>
          <w:numId w:val="264"/>
        </w:numPr>
        <w:rPr>
          <w:rFonts w:ascii="Arial" w:cs="Arial" w:eastAsia="Arial" w:hAnsi="Arial"/>
          <w:sz w:val="17"/>
          <w:szCs w:val="17"/>
          <w:color w:val="auto"/>
        </w:rPr>
      </w:pPr>
      <w:r>
        <w:rPr>
          <w:rFonts w:ascii="Arial" w:cs="Arial" w:eastAsia="Arial" w:hAnsi="Arial"/>
          <w:sz w:val="17"/>
          <w:szCs w:val="17"/>
          <w:color w:val="auto"/>
        </w:rPr>
        <w:t>If there is requested to be included in such registration less than $2.0 million of Registrable Securities (unless all remaining Registrable Securities are included in such registration).</w:t>
      </w:r>
    </w:p>
    <w:p>
      <w:pPr>
        <w:spacing w:after="0" w:line="158" w:lineRule="exact"/>
        <w:rPr>
          <w:sz w:val="20"/>
          <w:szCs w:val="20"/>
          <w:color w:val="auto"/>
        </w:rPr>
      </w:pPr>
    </w:p>
    <w:p>
      <w:pPr>
        <w:ind w:right="100" w:firstLine="1888"/>
        <w:spacing w:after="0" w:line="295"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Company Registration</w:t>
      </w:r>
      <w:r>
        <w:rPr>
          <w:rFonts w:ascii="Arial" w:cs="Arial" w:eastAsia="Arial" w:hAnsi="Arial"/>
          <w:sz w:val="15"/>
          <w:szCs w:val="15"/>
          <w:color w:val="auto"/>
        </w:rPr>
        <w:t>. If the Company at any time proposes to register (including for this purpose a registration effected by the Company for stockholders other than the Holders) any of its stock or other securities under the Securities Act in connection with the public offering of such securities solely for cash (other than a registration statement relating either to the sale of securities to employees of the Company pursuant to a stock option, stock purchase or similar plan or a SEC Rule 145 transaction), the Company shall, at such time, promptly give each Holder at least thirty (30) days written notice of its intention to do so. Upon the written request of each Holder given within twenty (20) days after receipt of such notice by the Holder in accordance with</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 xml:space="preserve">Section 3.5, the Company shall use its reasonable best efforts to cause to be included in such registration all of the Registrable Securities that each such Holder has requested to be registered;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is advised in writing in good faith by any managing underwriter of the Company’s securities being offered in an underwritten public offering pursuant to such registration statement that the amount to be sold by persons other than the Company (collectively, “</w:t>
      </w:r>
      <w:r>
        <w:rPr>
          <w:rFonts w:ascii="Arial" w:cs="Arial" w:eastAsia="Arial" w:hAnsi="Arial"/>
          <w:sz w:val="17"/>
          <w:szCs w:val="17"/>
          <w:b w:val="1"/>
          <w:bCs w:val="1"/>
          <w:i w:val="1"/>
          <w:iCs w:val="1"/>
          <w:color w:val="auto"/>
        </w:rPr>
        <w:t>Selling Stockholders</w:t>
      </w:r>
      <w:r>
        <w:rPr>
          <w:rFonts w:ascii="Arial" w:cs="Arial" w:eastAsia="Arial" w:hAnsi="Arial"/>
          <w:sz w:val="17"/>
          <w:szCs w:val="17"/>
          <w:color w:val="auto"/>
        </w:rPr>
        <w:t>”) is greater than the amount which can be offered without adversely affecting the offering, the Company may reduce the amount offered for the accounts of Selling Stockholders (including such holders of Registrable Securities) to a number deemed satisfactory by such managing underwriter (which reduction shall be pro rata among such Selling Shareholders on the basis of the number of shares requested by such Selling Shareholders to be included in such registration).</w:t>
      </w:r>
    </w:p>
    <w:p>
      <w:pPr>
        <w:spacing w:after="0" w:line="184" w:lineRule="exact"/>
        <w:rPr>
          <w:sz w:val="20"/>
          <w:szCs w:val="20"/>
          <w:color w:val="auto"/>
        </w:rPr>
      </w:pPr>
    </w:p>
    <w:p>
      <w:pPr>
        <w:ind w:right="200" w:firstLine="1888"/>
        <w:spacing w:after="0" w:line="28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Obligations of the Company</w:t>
      </w:r>
      <w:r>
        <w:rPr>
          <w:rFonts w:ascii="Arial" w:cs="Arial" w:eastAsia="Arial" w:hAnsi="Arial"/>
          <w:sz w:val="17"/>
          <w:szCs w:val="17"/>
          <w:color w:val="auto"/>
        </w:rPr>
        <w:t>. Whenever required under this Section 2 to effect the registration of any Registrable Securities, the Company shall, as expeditiously as reasonably possible:</w:t>
      </w:r>
    </w:p>
    <w:p>
      <w:pPr>
        <w:sectPr>
          <w:pgSz w:w="11900" w:h="16838" w:orient="portrait"/>
          <w:cols w:equalWidth="0" w:num="1">
            <w:col w:w="11420"/>
          </w:cols>
          <w:pgMar w:left="240" w:top="127" w:right="239" w:bottom="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27" w:right="239" w:bottom="0" w:gutter="0" w:footer="0" w:header="0"/>
          <w:type w:val="continuous"/>
        </w:sectPr>
      </w:pPr>
    </w:p>
    <w:bookmarkStart w:id="249" w:name="page250"/>
    <w:bookmarkEnd w:id="249"/>
    <w:p>
      <w:pPr>
        <w:ind w:firstLine="2522"/>
        <w:spacing w:after="0" w:line="293" w:lineRule="auto"/>
        <w:tabs>
          <w:tab w:leader="none" w:pos="3143" w:val="left"/>
        </w:tabs>
        <w:numPr>
          <w:ilvl w:val="1"/>
          <w:numId w:val="26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71385" cy="27305"/>
                    </a:xfrm>
                    <a:prstGeom prst="rect">
                      <a:avLst/>
                    </a:prstGeom>
                    <a:noFill/>
                  </pic:spPr>
                </pic:pic>
              </a:graphicData>
            </a:graphic>
          </wp:anchor>
        </w:drawing>
        <w:t>Prepare and file with the SEC, within ninety (90) days of the receipt of a request pursuant to this Section 2, a registration statement on the appropriate form under the Securities Act with respect to such securities, which form shall comply in all material respects with the requirements of the SEC, and use its reasonable best efforts to cause such registration statement to become and remain effective until the completion of the proposed offering (but for no more than One Hundred Eighty (180) days); provided, however, that (i) such One Hundred Eighty (180) day period shall be extended for a period of time equal to the period the Holder refrains from selling any securities included in such registration at the request of an underwriter of Common Stock (or other securities) of the Company; and (ii) in the case of any registration of Registrable Securities on Form S-3 which are intended to be offered on a continuous or delayed basis, such One Hundred Eighty (180) day period shall be extended, if necessary, to keep the registration statement effective until all such Registrable Securities are sold or such securities are no longer Registrable Securities, provided that Rule 415, or any successor rule under the Securities Act, permits an offering on a continuous or delayed basis, and provided further that applicable rules under the Securities Act governing the obligation to file a post-effective amendment permit, in lieu of filing a post-effective amendment which (I) includes any prospectus required by Section 10(a)(3) of the Securities Act or</w:t>
      </w:r>
    </w:p>
    <w:p>
      <w:pPr>
        <w:spacing w:after="0" w:line="3" w:lineRule="exact"/>
        <w:rPr>
          <w:rFonts w:ascii="Arial" w:cs="Arial" w:eastAsia="Arial" w:hAnsi="Arial"/>
          <w:sz w:val="15"/>
          <w:szCs w:val="15"/>
          <w:color w:val="auto"/>
        </w:rPr>
      </w:pPr>
    </w:p>
    <w:p>
      <w:pPr>
        <w:ind w:right="160" w:firstLine="5"/>
        <w:spacing w:after="0" w:line="266" w:lineRule="auto"/>
        <w:tabs>
          <w:tab w:leader="none" w:pos="276" w:val="left"/>
        </w:tabs>
        <w:numPr>
          <w:ilvl w:val="0"/>
          <w:numId w:val="266"/>
        </w:numPr>
        <w:rPr>
          <w:rFonts w:ascii="Arial" w:cs="Arial" w:eastAsia="Arial" w:hAnsi="Arial"/>
          <w:sz w:val="17"/>
          <w:szCs w:val="17"/>
          <w:color w:val="auto"/>
        </w:rPr>
      </w:pPr>
      <w:r>
        <w:rPr>
          <w:rFonts w:ascii="Arial" w:cs="Arial" w:eastAsia="Arial" w:hAnsi="Arial"/>
          <w:sz w:val="17"/>
          <w:szCs w:val="17"/>
          <w:color w:val="auto"/>
        </w:rPr>
        <w:t>reflects facts or events representing a material or fundamental change in the information set forth in the registration statement, the incorporation by reference of information required to be included in (I) and (II) above to be contained in periodic reports filed pursuant to Section 13 or 15(d) of the 1934 Act in the registration statement;</w:t>
      </w:r>
    </w:p>
    <w:p>
      <w:pPr>
        <w:spacing w:after="0" w:line="177" w:lineRule="exact"/>
        <w:rPr>
          <w:rFonts w:ascii="Arial" w:cs="Arial" w:eastAsia="Arial" w:hAnsi="Arial"/>
          <w:sz w:val="17"/>
          <w:szCs w:val="17"/>
          <w:color w:val="auto"/>
        </w:rPr>
      </w:pPr>
    </w:p>
    <w:p>
      <w:pPr>
        <w:ind w:right="240" w:firstLine="2522"/>
        <w:spacing w:after="0" w:line="273" w:lineRule="auto"/>
        <w:tabs>
          <w:tab w:leader="none" w:pos="3153" w:val="left"/>
        </w:tabs>
        <w:numPr>
          <w:ilvl w:val="1"/>
          <w:numId w:val="266"/>
        </w:numPr>
        <w:rPr>
          <w:rFonts w:ascii="Arial" w:cs="Arial" w:eastAsia="Arial" w:hAnsi="Arial"/>
          <w:sz w:val="17"/>
          <w:szCs w:val="17"/>
          <w:color w:val="auto"/>
        </w:rPr>
      </w:pPr>
      <w:r>
        <w:rPr>
          <w:rFonts w:ascii="Arial" w:cs="Arial" w:eastAsia="Arial" w:hAnsi="Arial"/>
          <w:sz w:val="17"/>
          <w:szCs w:val="17"/>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sale or other disposition of all of the securities covered by such registration statement;</w:t>
      </w:r>
    </w:p>
    <w:p>
      <w:pPr>
        <w:spacing w:after="0" w:line="171" w:lineRule="exact"/>
        <w:rPr>
          <w:rFonts w:ascii="Arial" w:cs="Arial" w:eastAsia="Arial" w:hAnsi="Arial"/>
          <w:sz w:val="17"/>
          <w:szCs w:val="17"/>
          <w:color w:val="auto"/>
        </w:rPr>
      </w:pPr>
    </w:p>
    <w:p>
      <w:pPr>
        <w:ind w:right="40" w:firstLine="2522"/>
        <w:spacing w:after="0" w:line="268" w:lineRule="auto"/>
        <w:tabs>
          <w:tab w:leader="none" w:pos="3157" w:val="left"/>
        </w:tabs>
        <w:numPr>
          <w:ilvl w:val="1"/>
          <w:numId w:val="266"/>
        </w:numPr>
        <w:rPr>
          <w:rFonts w:ascii="Arial" w:cs="Arial" w:eastAsia="Arial" w:hAnsi="Arial"/>
          <w:sz w:val="17"/>
          <w:szCs w:val="17"/>
          <w:color w:val="auto"/>
        </w:rPr>
      </w:pPr>
      <w:r>
        <w:rPr>
          <w:rFonts w:ascii="Arial" w:cs="Arial" w:eastAsia="Arial" w:hAnsi="Arial"/>
          <w:sz w:val="17"/>
          <w:szCs w:val="17"/>
          <w:color w:val="auto"/>
        </w:rPr>
        <w:t>Furnish to the Holders whose Registrable Securities are included in such registration statement and the underwriters, if any, such numbers of copies of such registration statement, any amendments thereto, any documents incorporated by reference therein, the prospectus, including a preliminary prospectus, in conformity with the requirements of the Securities Act, and such other documents as they may reasonably request in order to facilitate the sale or other disposition of the securities owned by them;</w:t>
      </w:r>
    </w:p>
    <w:p>
      <w:pPr>
        <w:spacing w:after="0" w:line="175" w:lineRule="exact"/>
        <w:rPr>
          <w:rFonts w:ascii="Arial" w:cs="Arial" w:eastAsia="Arial" w:hAnsi="Arial"/>
          <w:sz w:val="17"/>
          <w:szCs w:val="17"/>
          <w:color w:val="auto"/>
        </w:rPr>
      </w:pPr>
    </w:p>
    <w:p>
      <w:pPr>
        <w:ind w:right="40" w:firstLine="2522"/>
        <w:spacing w:after="0" w:line="263" w:lineRule="auto"/>
        <w:tabs>
          <w:tab w:leader="none" w:pos="3153" w:val="left"/>
        </w:tabs>
        <w:numPr>
          <w:ilvl w:val="1"/>
          <w:numId w:val="266"/>
        </w:numPr>
        <w:rPr>
          <w:rFonts w:ascii="Arial" w:cs="Arial" w:eastAsia="Arial" w:hAnsi="Arial"/>
          <w:sz w:val="17"/>
          <w:szCs w:val="17"/>
          <w:color w:val="auto"/>
        </w:rPr>
      </w:pPr>
      <w:r>
        <w:rPr>
          <w:rFonts w:ascii="Arial" w:cs="Arial" w:eastAsia="Arial" w:hAnsi="Arial"/>
          <w:sz w:val="17"/>
          <w:szCs w:val="17"/>
          <w:color w:val="auto"/>
        </w:rPr>
        <w:t>Use its reasonable best efforts to register and qualify the securities covered by such registration statement under such other securities or Blue Sky laws of such jurisdictions as shall be reasonably requested by the applicable Holders and do any and all other acts and things that may be necessary under such securities and blue sky laws to enable such selling Holders to consummate the sale or other disposition of the securities owned by them; provided that the Company shall not be required in connection therewith or as a condition thereto to qualify to do business or to file a general consent to service of process in any such states or jurisdictions, unless the Company is already subject to service in such jurisdiction and except as may be required by the Securities Act;</w:t>
      </w:r>
    </w:p>
    <w:p>
      <w:pPr>
        <w:spacing w:after="0" w:line="183" w:lineRule="exact"/>
        <w:rPr>
          <w:rFonts w:ascii="Arial" w:cs="Arial" w:eastAsia="Arial" w:hAnsi="Arial"/>
          <w:sz w:val="17"/>
          <w:szCs w:val="17"/>
          <w:color w:val="auto"/>
        </w:rPr>
      </w:pPr>
    </w:p>
    <w:p>
      <w:pPr>
        <w:ind w:left="3160" w:hanging="638"/>
        <w:spacing w:after="0"/>
        <w:tabs>
          <w:tab w:leader="none" w:pos="3160" w:val="left"/>
        </w:tabs>
        <w:numPr>
          <w:ilvl w:val="1"/>
          <w:numId w:val="266"/>
        </w:numPr>
        <w:rPr>
          <w:rFonts w:ascii="Arial" w:cs="Arial" w:eastAsia="Arial" w:hAnsi="Arial"/>
          <w:sz w:val="15"/>
          <w:szCs w:val="15"/>
          <w:color w:val="auto"/>
        </w:rPr>
      </w:pPr>
      <w:r>
        <w:rPr>
          <w:rFonts w:ascii="Arial" w:cs="Arial" w:eastAsia="Arial" w:hAnsi="Arial"/>
          <w:sz w:val="15"/>
          <w:szCs w:val="15"/>
          <w:color w:val="auto"/>
        </w:rPr>
        <w:t>Within a reasonable time before each filing of the registration statement or prospectus or amendments or supplements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thereto with the SEC, furnish</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to counsel selected by any holders of Registrable Securities copies of such documents proposed to be filed, which documents shall be subject to the reasonable approval of such counsel;</w:t>
      </w:r>
    </w:p>
    <w:p>
      <w:pPr>
        <w:spacing w:after="0" w:line="158" w:lineRule="exact"/>
        <w:rPr>
          <w:sz w:val="20"/>
          <w:szCs w:val="20"/>
          <w:color w:val="auto"/>
        </w:rPr>
      </w:pPr>
    </w:p>
    <w:p>
      <w:pPr>
        <w:ind w:right="120" w:firstLine="2522"/>
        <w:spacing w:after="0" w:line="262" w:lineRule="auto"/>
        <w:tabs>
          <w:tab w:leader="none" w:pos="315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Promptly notify each selling Holder of Registrable Securities, such selling Holder’s counsel and any applicable underwriter and (if requested by any such Person) confirm such notice in writing, of the happening of any event which makes any statement made in the registration statement or related prospectus untrue or which requires the making of any changes in such registration statement or prospectus so that they will not contain any untrue statement of a material fact or omit to state any material fact required to be stated therein or necessary to make the statements therein in the light of the circumstances under which they were made not misleading; and, as promptly as practicable thereafter, prepare and file with the SEC and furnish a supplement or amendment to such prospectus so that, as thereafter deliverable to the purchasers of such Registrable Securities, such prospectus will not contain any untrue statement of a material fact or omit to state a material fact necessary to make the statements therein, in the light of the circumstances under which they were made, not misleading;</w:t>
      </w:r>
    </w:p>
    <w:p>
      <w:pPr>
        <w:spacing w:after="0" w:line="180" w:lineRule="exact"/>
        <w:rPr>
          <w:rFonts w:ascii="Arial" w:cs="Arial" w:eastAsia="Arial" w:hAnsi="Arial"/>
          <w:sz w:val="17"/>
          <w:szCs w:val="17"/>
          <w:color w:val="auto"/>
        </w:rPr>
      </w:pPr>
    </w:p>
    <w:p>
      <w:pPr>
        <w:ind w:right="200" w:firstLine="2522"/>
        <w:spacing w:after="0" w:line="273" w:lineRule="auto"/>
        <w:tabs>
          <w:tab w:leader="none" w:pos="3166" w:val="left"/>
        </w:tabs>
        <w:numPr>
          <w:ilvl w:val="0"/>
          <w:numId w:val="267"/>
        </w:numPr>
        <w:rPr>
          <w:rFonts w:ascii="Arial" w:cs="Arial" w:eastAsia="Arial" w:hAnsi="Arial"/>
          <w:sz w:val="17"/>
          <w:szCs w:val="17"/>
          <w:color w:val="auto"/>
        </w:rPr>
      </w:pPr>
      <w:r>
        <w:rPr>
          <w:rFonts w:ascii="Arial" w:cs="Arial" w:eastAsia="Arial" w:hAnsi="Arial"/>
          <w:sz w:val="17"/>
          <w:szCs w:val="17"/>
          <w:color w:val="auto"/>
        </w:rPr>
        <w:t>Use its reasonable best efforts to prevent the issuance of any order suspending the effectiveness of a registration statement and, if one is issued, use its reasonable best efforts to obtain the withdrawal of any order suspending the effectiveness of a registration statement at the earliest possible moment;</w:t>
      </w:r>
    </w:p>
    <w:p>
      <w:pPr>
        <w:spacing w:after="0" w:line="171" w:lineRule="exact"/>
        <w:rPr>
          <w:rFonts w:ascii="Arial" w:cs="Arial" w:eastAsia="Arial" w:hAnsi="Arial"/>
          <w:sz w:val="17"/>
          <w:szCs w:val="17"/>
          <w:color w:val="auto"/>
        </w:rPr>
      </w:pPr>
    </w:p>
    <w:p>
      <w:pPr>
        <w:ind w:right="360" w:firstLine="2522"/>
        <w:spacing w:after="0" w:line="308" w:lineRule="auto"/>
        <w:tabs>
          <w:tab w:leader="none" w:pos="3153" w:val="left"/>
        </w:tabs>
        <w:numPr>
          <w:ilvl w:val="0"/>
          <w:numId w:val="267"/>
        </w:numPr>
        <w:rPr>
          <w:rFonts w:ascii="Arial" w:cs="Arial" w:eastAsia="Arial" w:hAnsi="Arial"/>
          <w:sz w:val="15"/>
          <w:szCs w:val="15"/>
          <w:color w:val="auto"/>
        </w:rPr>
      </w:pPr>
      <w:r>
        <w:rPr>
          <w:rFonts w:ascii="Arial" w:cs="Arial" w:eastAsia="Arial" w:hAnsi="Arial"/>
          <w:sz w:val="15"/>
          <w:szCs w:val="15"/>
          <w:color w:val="auto"/>
        </w:rPr>
        <w:t>If requested by the managing underwriter or underwriters (if any), any selling Holder, or such selling Holder’s counsel, promptly incorporate in a prospectus supplement or post-effective amendment such information as such Person requests to be included therein with respect to the selling Holder or the securities being sold, including, without limitation, with respect to the securities being sold by such selling Holder to such underwriter or underwriters, the purchase price being paid therefor by such underwriter or underwriters and with respect to any other terms of an underwritten offering of the securities to be sold in such offering, and promptly make all required filings of such prospectus supplement or post-effective amendment;</w:t>
      </w:r>
    </w:p>
    <w:p>
      <w:pPr>
        <w:spacing w:after="0" w:line="151" w:lineRule="exact"/>
        <w:rPr>
          <w:rFonts w:ascii="Arial" w:cs="Arial" w:eastAsia="Arial" w:hAnsi="Arial"/>
          <w:sz w:val="15"/>
          <w:szCs w:val="15"/>
          <w:color w:val="auto"/>
        </w:rPr>
      </w:pPr>
    </w:p>
    <w:p>
      <w:pPr>
        <w:ind w:right="40" w:firstLine="2522"/>
        <w:spacing w:after="0" w:line="279" w:lineRule="auto"/>
        <w:tabs>
          <w:tab w:leader="none" w:pos="316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Make available to each selling Holder, any underwriter participating in any disposition pursuant to a registration statement, and any attorney, accountant or other agent or representative retained by any such selling Holder or underwriter (collectively, the “Inspectors”), upon request, all financial and other records, pertinent corporate documents and properties of the Company (collectively, the “Records”), as shall be reasonably necessary to enable them to exercise their due diligence responsibility, and cause the Company’s officers, directors and employees to supply all information reasonably requested by any such Inspector in connection with such registration statement subject, in each case, to such confidentiality agreements as the Company shall reasonably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records, information or documents that are designated by the Company in writing as confidential shall be kept confidential by such Persons unless (i) such information or documents are in the public domain at the relevant time (other than by reason of breach of this Agreement) or (ii) disclosure of such records, information or documents is required by court or administrative order;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if any Holder or such representative, counsel or accountant is ordered to disclose any of such records, documents or information, such Holder or such representative, counsel or accountant will provide the Company with prompt written notice of such requirement so that the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717" w:right="239" w:bottom="612" w:gutter="0" w:footer="0" w:header="0"/>
        </w:sectPr>
      </w:pPr>
    </w:p>
    <w:bookmarkStart w:id="250" w:name="page251"/>
    <w:bookmarkEnd w:id="250"/>
    <w:p>
      <w:pPr>
        <w:ind w:right="60"/>
        <w:spacing w:after="0" w:line="314" w:lineRule="auto"/>
        <w:rPr>
          <w:sz w:val="20"/>
          <w:szCs w:val="20"/>
          <w:color w:val="auto"/>
        </w:rPr>
      </w:pPr>
      <w:r>
        <w:rPr>
          <w:rFonts w:ascii="Arial" w:cs="Arial" w:eastAsia="Arial" w:hAnsi="Arial"/>
          <w:sz w:val="15"/>
          <w:szCs w:val="15"/>
          <w:color w:val="auto"/>
        </w:rPr>
        <w:t>Company at its expense may seek a protective order or other appropriate remedy and/or waive compliance with this Section 2.3(i), and, in the event that such protective order or other remedy is not obtained, or that the Company waives compliance with the provisions hereof, such Holder and such representative, counsel and accountant agrees to furnish only that portion of such records, documents or information which such Holder or such representative, counsel or accountant is legally required to disclose in the opinion of the special counsel or counsel representing the Holders or such representative, underwriter or accountant;</w:t>
      </w:r>
    </w:p>
    <w:p>
      <w:pPr>
        <w:spacing w:after="0" w:line="146" w:lineRule="exact"/>
        <w:rPr>
          <w:sz w:val="20"/>
          <w:szCs w:val="20"/>
          <w:color w:val="auto"/>
        </w:rPr>
      </w:pPr>
    </w:p>
    <w:p>
      <w:pPr>
        <w:ind w:right="660" w:firstLine="2522"/>
        <w:spacing w:after="0" w:line="289" w:lineRule="auto"/>
        <w:tabs>
          <w:tab w:leader="none" w:pos="3154" w:val="left"/>
        </w:tabs>
        <w:numPr>
          <w:ilvl w:val="0"/>
          <w:numId w:val="268"/>
        </w:numPr>
        <w:rPr>
          <w:rFonts w:ascii="Arial" w:cs="Arial" w:eastAsia="Arial" w:hAnsi="Arial"/>
          <w:sz w:val="17"/>
          <w:szCs w:val="17"/>
          <w:color w:val="auto"/>
        </w:rPr>
      </w:pPr>
      <w:r>
        <w:rPr>
          <w:rFonts w:ascii="Arial" w:cs="Arial" w:eastAsia="Arial" w:hAnsi="Arial"/>
          <w:sz w:val="17"/>
          <w:szCs w:val="17"/>
          <w:color w:val="auto"/>
        </w:rPr>
        <w:t>In the event of any underwritten public offering, enter into and perform its obligations under an underwriting agreement, in usual and customary form, with the managing underwriter or underwriters of such offering;</w:t>
      </w:r>
    </w:p>
    <w:p>
      <w:pPr>
        <w:spacing w:after="0" w:line="158" w:lineRule="exact"/>
        <w:rPr>
          <w:rFonts w:ascii="Arial" w:cs="Arial" w:eastAsia="Arial" w:hAnsi="Arial"/>
          <w:sz w:val="17"/>
          <w:szCs w:val="17"/>
          <w:color w:val="auto"/>
        </w:rPr>
      </w:pPr>
    </w:p>
    <w:p>
      <w:pPr>
        <w:ind w:right="120" w:firstLine="2522"/>
        <w:spacing w:after="0" w:line="289" w:lineRule="auto"/>
        <w:tabs>
          <w:tab w:leader="none" w:pos="3153" w:val="left"/>
        </w:tabs>
        <w:numPr>
          <w:ilvl w:val="0"/>
          <w:numId w:val="268"/>
        </w:numPr>
        <w:rPr>
          <w:rFonts w:ascii="Arial" w:cs="Arial" w:eastAsia="Arial" w:hAnsi="Arial"/>
          <w:sz w:val="17"/>
          <w:szCs w:val="17"/>
          <w:color w:val="auto"/>
        </w:rPr>
      </w:pPr>
      <w:r>
        <w:rPr>
          <w:rFonts w:ascii="Arial" w:cs="Arial" w:eastAsia="Arial" w:hAnsi="Arial"/>
          <w:sz w:val="17"/>
          <w:szCs w:val="17"/>
          <w:color w:val="auto"/>
        </w:rPr>
        <w:t>Cause all such Registrable Securities registered pursuant to such registration statement to be listed on each securities exchange or quoted on the quotation system on which the Company’s Common Stock is then listed or quoted;</w:t>
      </w:r>
    </w:p>
    <w:p>
      <w:pPr>
        <w:spacing w:after="0" w:line="158" w:lineRule="exact"/>
        <w:rPr>
          <w:rFonts w:ascii="Arial" w:cs="Arial" w:eastAsia="Arial" w:hAnsi="Arial"/>
          <w:sz w:val="17"/>
          <w:szCs w:val="17"/>
          <w:color w:val="auto"/>
        </w:rPr>
      </w:pPr>
    </w:p>
    <w:p>
      <w:pPr>
        <w:ind w:right="540" w:firstLine="2522"/>
        <w:spacing w:after="0" w:line="289" w:lineRule="auto"/>
        <w:tabs>
          <w:tab w:leader="none" w:pos="3167" w:val="left"/>
        </w:tabs>
        <w:numPr>
          <w:ilvl w:val="0"/>
          <w:numId w:val="268"/>
        </w:numPr>
        <w:rPr>
          <w:rFonts w:ascii="Arial" w:cs="Arial" w:eastAsia="Arial" w:hAnsi="Arial"/>
          <w:sz w:val="17"/>
          <w:szCs w:val="17"/>
          <w:color w:val="auto"/>
        </w:rPr>
      </w:pPr>
      <w:r>
        <w:rPr>
          <w:rFonts w:ascii="Arial" w:cs="Arial" w:eastAsia="Arial" w:hAnsi="Arial"/>
          <w:sz w:val="17"/>
          <w:szCs w:val="17"/>
          <w:color w:val="auto"/>
        </w:rPr>
        <w:t>Provide a transfer agent and registrar for all Registrable Securities registered pursuant hereunder and a CUSIP number for all such Registrable Securities, in each case not later than the effective date of such registration;</w:t>
      </w:r>
    </w:p>
    <w:p>
      <w:pPr>
        <w:spacing w:after="0" w:line="158" w:lineRule="exact"/>
        <w:rPr>
          <w:rFonts w:ascii="Arial" w:cs="Arial" w:eastAsia="Arial" w:hAnsi="Arial"/>
          <w:sz w:val="17"/>
          <w:szCs w:val="17"/>
          <w:color w:val="auto"/>
        </w:rPr>
      </w:pPr>
    </w:p>
    <w:p>
      <w:pPr>
        <w:ind w:right="200" w:firstLine="2522"/>
        <w:spacing w:after="0" w:line="268" w:lineRule="auto"/>
        <w:tabs>
          <w:tab w:leader="none" w:pos="3149" w:val="left"/>
        </w:tabs>
        <w:numPr>
          <w:ilvl w:val="0"/>
          <w:numId w:val="268"/>
        </w:numPr>
        <w:rPr>
          <w:rFonts w:ascii="Arial" w:cs="Arial" w:eastAsia="Arial" w:hAnsi="Arial"/>
          <w:sz w:val="17"/>
          <w:szCs w:val="17"/>
          <w:color w:val="auto"/>
        </w:rPr>
      </w:pPr>
      <w:r>
        <w:rPr>
          <w:rFonts w:ascii="Arial" w:cs="Arial" w:eastAsia="Arial" w:hAnsi="Arial"/>
          <w:sz w:val="17"/>
          <w:szCs w:val="17"/>
          <w:color w:val="auto"/>
        </w:rPr>
        <w:t>Otherwise use its reasonable best efforts to comply with all applicable rules and regulations of the SEC and make generally available to its security holders, in each case as soon as practicable, but not later than 45 days after the close of the period covered thereby, an earnings statement of the Company which will satisfy the provisions of Section 11(a) of the Securities Act and Rule 158 thereunder (or any comparable successor provisions);</w:t>
      </w:r>
    </w:p>
    <w:p>
      <w:pPr>
        <w:spacing w:after="0" w:line="175" w:lineRule="exact"/>
        <w:rPr>
          <w:rFonts w:ascii="Arial" w:cs="Arial" w:eastAsia="Arial" w:hAnsi="Arial"/>
          <w:sz w:val="17"/>
          <w:szCs w:val="17"/>
          <w:color w:val="auto"/>
        </w:rPr>
      </w:pPr>
    </w:p>
    <w:p>
      <w:pPr>
        <w:ind w:right="100" w:firstLine="2522"/>
        <w:spacing w:after="0" w:line="263" w:lineRule="auto"/>
        <w:tabs>
          <w:tab w:leader="none" w:pos="3153" w:val="left"/>
        </w:tabs>
        <w:numPr>
          <w:ilvl w:val="0"/>
          <w:numId w:val="268"/>
        </w:numPr>
        <w:rPr>
          <w:rFonts w:ascii="Arial" w:cs="Arial" w:eastAsia="Arial" w:hAnsi="Arial"/>
          <w:sz w:val="17"/>
          <w:szCs w:val="17"/>
          <w:color w:val="auto"/>
        </w:rPr>
      </w:pPr>
      <w:r>
        <w:rPr>
          <w:rFonts w:ascii="Arial" w:cs="Arial" w:eastAsia="Arial" w:hAnsi="Arial"/>
          <w:sz w:val="17"/>
          <w:szCs w:val="17"/>
          <w:color w:val="auto"/>
        </w:rPr>
        <w:t>Furnish, at the request of any Holder requesting registration of Registrable Securities pursuant to this Section 2, on the date that such Registrable Securities are delivered to the underwriters for sale in connection with a registration pursuant to this Section 2, if such securities are being sold through underwriter(s), (i) an opinion, dated such date, of the counsel representing the Company for the purposes of such registration, in form and substance as is customarily given to underwriters in an underwritten public offering, addressed to the underwriter(s), and (ii) a letter dated such date, from the independent certified public accountants of the Company, in form and substance as is customarily given by independent certified public accountants to underwriters in an underwritten public offering, addressed to the underwriter(s); and</w:t>
      </w:r>
    </w:p>
    <w:p>
      <w:pPr>
        <w:spacing w:after="0" w:line="183" w:lineRule="exact"/>
        <w:rPr>
          <w:rFonts w:ascii="Arial" w:cs="Arial" w:eastAsia="Arial" w:hAnsi="Arial"/>
          <w:sz w:val="17"/>
          <w:szCs w:val="17"/>
          <w:color w:val="auto"/>
        </w:rPr>
      </w:pPr>
    </w:p>
    <w:p>
      <w:pPr>
        <w:ind w:right="60" w:firstLine="2522"/>
        <w:spacing w:after="0" w:line="360" w:lineRule="auto"/>
        <w:tabs>
          <w:tab w:leader="none" w:pos="3153" w:val="left"/>
        </w:tabs>
        <w:numPr>
          <w:ilvl w:val="0"/>
          <w:numId w:val="268"/>
        </w:numPr>
        <w:rPr>
          <w:rFonts w:ascii="Arial" w:cs="Arial" w:eastAsia="Arial" w:hAnsi="Arial"/>
          <w:sz w:val="15"/>
          <w:szCs w:val="15"/>
          <w:color w:val="auto"/>
        </w:rPr>
      </w:pPr>
      <w:r>
        <w:rPr>
          <w:rFonts w:ascii="Arial" w:cs="Arial" w:eastAsia="Arial" w:hAnsi="Arial"/>
          <w:sz w:val="15"/>
          <w:szCs w:val="15"/>
          <w:color w:val="auto"/>
        </w:rPr>
        <w:t>Otherwise cooperate with the underwriter(s), the SEC and other regulatory agencies and take all reasonable actions and execute and deliver or cause to be executed and delivered all documents reasonably necessary to effect the registration of any securities under this Agreement.</w:t>
      </w:r>
    </w:p>
    <w:p>
      <w:pPr>
        <w:spacing w:after="0" w:line="112" w:lineRule="exact"/>
        <w:rPr>
          <w:sz w:val="20"/>
          <w:szCs w:val="20"/>
          <w:color w:val="auto"/>
        </w:rPr>
      </w:pPr>
    </w:p>
    <w:p>
      <w:pPr>
        <w:ind w:firstLine="1888"/>
        <w:spacing w:after="0" w:line="268"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Furnish Information</w:t>
      </w:r>
      <w:r>
        <w:rPr>
          <w:rFonts w:ascii="Arial" w:cs="Arial" w:eastAsia="Arial" w:hAnsi="Arial"/>
          <w:sz w:val="17"/>
          <w:szCs w:val="17"/>
          <w:color w:val="auto"/>
        </w:rPr>
        <w:t>. It shall be a condition precedent to the obligations of the Company to take any action pursuant to this Section 2 with respect to the Registrable Securities of any selling Holder that such Holder shall furnish to the Company such information regarding itself, the Registrable Securities held by it, and the intended method of disposition of such securities as shall reasonably be required to effect the registration of such Holder’s Registrable Securities.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firstLine="1888"/>
        <w:spacing w:after="0" w:line="279"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xml:space="preserve">. All expenses incident to the Company’s performance of or compliance with this Agreement, including without limitation SEC registration and filing fees, fees with respect to filings required to be made with the National Association of Securities Dealers, Inc., fees and expenses in compliance with state securities, or blue sky, laws (including fees and disbursements of counsel for the underwriters in connection with blue sky qualifications of the Registrable Securities), printing expenses, and fees and disbursements of counsel for the Company and of all independent certified public accountants of the Company (including the expenses of any special audit and “cold comfort” letters required by or incident to such performance) and the fees and expenses incurred in connection with the listing of the securities to be registered on each securities exchange on which similar securities issued by the Company are then listed in connection with the demand registration or any piggyback registration hereunder will be borne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underwriting discounts and selling commissions applicable to the sale of the Registrable Securities and all other expenses of the Holders incurred in connection with the distribution of Registrable Securities (including all fees and expenses of the consultants, advisors, attorneys, special experts and other Persons engaged by the Holders, and all relevant taxes, including transfer taxes) will be borne by the Holders.</w:t>
      </w:r>
    </w:p>
    <w:p>
      <w:pPr>
        <w:spacing w:after="0" w:line="168" w:lineRule="exact"/>
        <w:rPr>
          <w:sz w:val="20"/>
          <w:szCs w:val="20"/>
          <w:color w:val="auto"/>
        </w:rPr>
      </w:pPr>
    </w:p>
    <w:p>
      <w:pPr>
        <w:ind w:right="100" w:firstLine="1888"/>
        <w:spacing w:after="0" w:line="290"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 In connection with any offering involving an underwriting of shares of the Company’s capital stock, the Company shall not be required under Section 2.2 to include any of the Holders’ securities in such underwriting unless such Holders accept the terms of the underwriting as agreed upon between the Company and the underwriters selected by the Company (or by other persons entitled to select the underwriters) and then only in such quantity as the underwriters determine in their sole discretion will not, jeopardize the success of the offering by the Company.</w:t>
      </w:r>
    </w:p>
    <w:p>
      <w:pPr>
        <w:spacing w:after="0" w:line="159" w:lineRule="exact"/>
        <w:rPr>
          <w:sz w:val="20"/>
          <w:szCs w:val="20"/>
          <w:color w:val="auto"/>
        </w:rPr>
      </w:pPr>
    </w:p>
    <w:p>
      <w:pPr>
        <w:ind w:right="20" w:firstLine="1888"/>
        <w:spacing w:after="0" w:line="276"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Blackouts</w:t>
      </w:r>
      <w:r>
        <w:rPr>
          <w:rFonts w:ascii="Arial" w:cs="Arial" w:eastAsia="Arial" w:hAnsi="Arial"/>
          <w:sz w:val="16"/>
          <w:szCs w:val="16"/>
          <w:color w:val="auto"/>
        </w:rPr>
        <w:t xml:space="preserve">. Notwithstanding the foregoing, (a) the Company may delay the filing of any registration statement, any amendment thereof or any supplement to the related prospectus, and may withhold efforts to cause any registration statement to become effective, and (b) the Company may prohibit offers and sales of Registrable Securities pursuant to a registration statement at any time, if (i)(A) the Company is in possession of material non-public information, (B) an executive officer of the Company (the “Executive Officer”), after consultation with the Board of Directors of the Company (the </w:t>
      </w:r>
      <w:r>
        <w:rPr>
          <w:rFonts w:ascii="Arial" w:cs="Arial" w:eastAsia="Arial" w:hAnsi="Arial"/>
          <w:sz w:val="16"/>
          <w:szCs w:val="16"/>
          <w:i w:val="1"/>
          <w:iCs w:val="1"/>
          <w:color w:val="auto"/>
        </w:rPr>
        <w:t>“</w:t>
      </w:r>
      <w:r>
        <w:rPr>
          <w:rFonts w:ascii="Arial" w:cs="Arial" w:eastAsia="Arial" w:hAnsi="Arial"/>
          <w:sz w:val="16"/>
          <w:szCs w:val="16"/>
          <w:color w:val="auto"/>
        </w:rPr>
        <w:t>Board”), reasonably determines that such prohibition is necessary in order to avoid an obligation to disclose such information and (C) the Executive Officer, after consultation with the Board, determines in good faith that disclosure of such information would not be in the best interest of the Company or its stockholders or</w:t>
      </w:r>
    </w:p>
    <w:p>
      <w:pPr>
        <w:spacing w:after="0" w:line="1" w:lineRule="exact"/>
        <w:rPr>
          <w:sz w:val="20"/>
          <w:szCs w:val="20"/>
          <w:color w:val="auto"/>
        </w:rPr>
      </w:pPr>
    </w:p>
    <w:p>
      <w:pPr>
        <w:ind w:right="20" w:firstLine="5"/>
        <w:spacing w:after="0" w:line="279" w:lineRule="auto"/>
        <w:tabs>
          <w:tab w:leader="none" w:pos="257"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the Company has made a public announcement relating to an acquisition or business combination transaction including the Company and/or one or more of its subsidiaries for which the Executive Officer, after consultation with the Board, determines in good faith that offers and sales of Registrable Securities pursuant to a registration statement prior to the consummation of such transaction (or such earlier date as the Executive Officer, after consultation with the Board shall determine) would not be in the best interest of the Company or its stockholders;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duration of all such delays or periods in which shares of Registrable Securities may not be sold pursuant to an effective registration statement shall not exceed 90 days in any 12-month period in the aggregate;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Company shall be required to keep such registration statement effective for an additional period of time beyond the first anniversary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hereof equal to the number of days the effectiveness thereof is suspended pursuant to this proviso.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1888"/>
        <w:spacing w:after="0" w:line="265"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Damages</w:t>
      </w:r>
      <w:r>
        <w:rPr>
          <w:rFonts w:ascii="Arial" w:cs="Arial" w:eastAsia="Arial" w:hAnsi="Arial"/>
          <w:sz w:val="17"/>
          <w:szCs w:val="17"/>
          <w:color w:val="auto"/>
        </w:rPr>
        <w:t>. The Company recognizes and agrees that each holder of Registrable Securities will not have an adequate remedy if the Company fails to comply with the terms and provisions of this Agreement and that damages will not be readily ascertainable, and the Company expressly agrees that, in the event of such failure, it shall not oppose an application by any holder of Registrable Securities or any other Person entitled to the benefits of this Agreement requiring specific performance of any and all provisions hereof or enjoining the Company from continuing to commit any such breach of this Agreement.</w:t>
      </w:r>
    </w:p>
    <w:p>
      <w:pPr>
        <w:sectPr>
          <w:pgSz w:w="11900" w:h="16838" w:orient="portrait"/>
          <w:cols w:equalWidth="0" w:num="1">
            <w:col w:w="11420"/>
          </w:cols>
          <w:pgMar w:left="240" w:top="127" w:right="239" w:bottom="0" w:gutter="0" w:footer="0" w:header="0"/>
        </w:sectPr>
      </w:pPr>
    </w:p>
    <w:bookmarkStart w:id="251" w:name="page252"/>
    <w:bookmarkEnd w:id="251"/>
    <w:p>
      <w:pPr>
        <w:spacing w:after="0" w:line="8" w:lineRule="exact"/>
        <w:rPr>
          <w:sz w:val="20"/>
          <w:szCs w:val="20"/>
          <w:color w:val="auto"/>
        </w:rPr>
      </w:pPr>
    </w:p>
    <w:p>
      <w:pPr>
        <w:ind w:left="1900"/>
        <w:spacing w:after="0"/>
        <w:tabs>
          <w:tab w:leader="none" w:pos="2500" w:val="left"/>
        </w:tabs>
        <w:rPr>
          <w:sz w:val="20"/>
          <w:szCs w:val="20"/>
          <w:color w:val="auto"/>
        </w:rPr>
      </w:pPr>
      <w:r>
        <w:rPr>
          <w:rFonts w:ascii="Arial" w:cs="Arial" w:eastAsia="Arial" w:hAnsi="Arial"/>
          <w:sz w:val="17"/>
          <w:szCs w:val="17"/>
          <w:color w:val="auto"/>
        </w:rPr>
        <w:t>2.9</w:t>
      </w:r>
      <w:r>
        <w:rPr>
          <w:sz w:val="20"/>
          <w:szCs w:val="20"/>
          <w:color w:val="auto"/>
        </w:rPr>
        <w:tab/>
      </w:r>
      <w:r>
        <w:rPr>
          <w:rFonts w:ascii="Arial" w:cs="Arial" w:eastAsia="Arial" w:hAnsi="Arial"/>
          <w:sz w:val="15"/>
          <w:szCs w:val="15"/>
          <w:u w:val="single" w:color="auto"/>
          <w:color w:val="auto"/>
        </w:rPr>
        <w:t>Indemnification</w:t>
      </w:r>
      <w:r>
        <w:rPr>
          <w:rFonts w:ascii="Arial" w:cs="Arial" w:eastAsia="Arial" w:hAnsi="Arial"/>
          <w:sz w:val="15"/>
          <w:szCs w:val="15"/>
          <w:color w:val="auto"/>
        </w:rPr>
        <w:t>. In the event any Registrable Securities are included in a registration statement under this Section 2:</w:t>
      </w:r>
    </w:p>
    <w:p>
      <w:pPr>
        <w:spacing w:after="0" w:line="224" w:lineRule="exact"/>
        <w:rPr>
          <w:sz w:val="20"/>
          <w:szCs w:val="20"/>
          <w:color w:val="auto"/>
        </w:rPr>
      </w:pPr>
    </w:p>
    <w:p>
      <w:pPr>
        <w:ind w:right="20" w:firstLine="2522"/>
        <w:spacing w:after="0" w:line="276" w:lineRule="auto"/>
        <w:tabs>
          <w:tab w:leader="none" w:pos="3143"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Company shall indemnify and hold harmless each selling Holder, each underwriter (as defined in the Securities Act) and each Person who participates in the offering of securities under such registration statement, and each other Person, if any, who controls (within the meaning of the Securities Act) such seller, underwriter or participating Person (individually and collectively, the “Indemnified Person”), against any losses, claims, damages or liabilities (joint or several) to which they become subject under the Securities Act, the 1934 Act or other federal or state law, insofar as such losses, claims, damages, or liabilities (joint or several), or actions in respect thereof, to which such Indemnified Person becomes subject under the Securities Act or any other statute or at common law which arise out of or are based upon: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1934 Act, any state securities law or any rule or regulation promulgated under the Securities Act, the 1934 Act or any state securities law in connection with an offering pursuant to Section 2.1, 2.2 or 2.11 hereof or including Registrable Securities pursuant to Section 2.3 hereof, and the Company shall pay to each such Indemnified Person, as incurred, any reasonable legal or other expenses reasonably incurred by them in connection with investigating or defending any such loss, claim, damage, liability, or action; provided, however, that the Company shall not be liable to any Indemnified Person in any such case for any such loss, claim, damage, liability, or action to the extent that it arises out of or is based upon any untrue statement or alleged untrue statement or omission or alleged omission in such registration statement, preliminary or final prospectus, or amendment or supplement thereto, in reliance upon and in conformity with written furnished to the Company by such Person expressly for use therein; and provided, further, that the Company shall not be liable in any such case to the extent that any such loss, claim, damage, or liability arises out of or is based upon an untrue statement or omission, or alleged untrue statement or omission, in a prospectus, if such untrue statement or omission, or alleged untrue statement or omission, is corrected in an amendment or supplement to such prospectus and if the Holders or the underwriter, as the case may be, thereafter fail to deliver such prospectus as so amended or supplemented prior to or concurrently with the sale by the Holders or the underwriter, as the case may be, of the Registrable Securities to the Person asserting such loss, claim, damage, liability or expense.</w:t>
      </w:r>
    </w:p>
    <w:p>
      <w:pPr>
        <w:spacing w:after="0" w:line="173" w:lineRule="exact"/>
        <w:rPr>
          <w:rFonts w:ascii="Arial" w:cs="Arial" w:eastAsia="Arial" w:hAnsi="Arial"/>
          <w:sz w:val="16"/>
          <w:szCs w:val="16"/>
          <w:color w:val="auto"/>
        </w:rPr>
      </w:pPr>
    </w:p>
    <w:p>
      <w:pPr>
        <w:ind w:right="460" w:firstLine="2522"/>
        <w:spacing w:after="0" w:line="322" w:lineRule="auto"/>
        <w:tabs>
          <w:tab w:leader="none" w:pos="3153"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To the extent permitted by law, each selling Holder of Registrable Securities included in such registration being effected shall indemnify and hold harmless the Company, each of its directors, each of its officers who has signed the registration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statement, each underwriter, any other Holder selling securities in such registration statement and any Person who controls (within the meaning of the Securities Act) the Company, such underwriter or such Holder (individually or collectively, also the “Indemnified Person”), against any losses, claims, damages, or liabilities (joint or several), or actions in respect thereof, to which they may become subject, under the Securities Act or any other statute or at common law, which arise out of or are based upon any other statute or at common law, which arises out of or is based upon (i) any untrue statement or alleged untrue statement of any material fact contained, on the effective date thereof, in any registration statement under which securities were registered under the Securities Act, any preliminary prospectus or final prospectus contained therein, or any amendment or supplement thereto, or (ii) any omission or alleged omission by such selling Holder to state therein a material fact required to be stated therein or necessary to make the statements therein not misleading under the circumstances in which such statements were made, in the case of (i) and (ii) to the extent, but only to the extent, that such untrue statement or alleged untrue statement or omission or alleged omission was made in such registration statement, preliminary or final prospectus, amendment or supplement thereto in reliance upon and in conformity with information furnished to the Company by such selling Holder specifically for use therein; and such selling Holder shall reimburse any Indemnified Person for any legal fees incurred in investigating or defending any such liability; provided, however, that such selling Holder’s obligations hereunder shall be limited to an amount equal to the proceeds (net of underwriting discounts, commissions and expenses) to such selling Holder of the securities sold in any such registration; and provided further, that no selling Holder shall be required to indemnify any Person against any liability arising from any untrue or misleading statement or omission contained in any preliminary prospectus if such deficiency is corrected in the final prospectus or for any liability which arises out of the failure of any Person to deliver a prospectus as required by the Securities Act.</w:t>
      </w:r>
    </w:p>
    <w:p>
      <w:pPr>
        <w:spacing w:after="0" w:line="171" w:lineRule="exact"/>
        <w:rPr>
          <w:sz w:val="20"/>
          <w:szCs w:val="20"/>
          <w:color w:val="auto"/>
        </w:rPr>
      </w:pPr>
    </w:p>
    <w:p>
      <w:pPr>
        <w:ind w:right="40" w:firstLine="2522"/>
        <w:spacing w:after="0" w:line="297" w:lineRule="auto"/>
        <w:tabs>
          <w:tab w:leader="none" w:pos="3157" w:val="left"/>
        </w:tabs>
        <w:numPr>
          <w:ilvl w:val="0"/>
          <w:numId w:val="271"/>
        </w:numPr>
        <w:rPr>
          <w:rFonts w:ascii="Arial" w:cs="Arial" w:eastAsia="Arial" w:hAnsi="Arial"/>
          <w:sz w:val="15"/>
          <w:szCs w:val="15"/>
          <w:color w:val="auto"/>
        </w:rPr>
      </w:pPr>
      <w:r>
        <w:rPr>
          <w:rFonts w:ascii="Arial" w:cs="Arial" w:eastAsia="Arial" w:hAnsi="Arial"/>
          <w:sz w:val="15"/>
          <w:szCs w:val="15"/>
          <w:color w:val="auto"/>
        </w:rPr>
        <w:t>Promptly after receipt by an indemnified party under this Section 2.9 of a complaint, claim or notice of the commencement of any liability or action (including any governmental action), such indemnified party will, if a claim in respect thereof is to be made against any indemnifying party under this Section 2.9, promptly notify the indemnifying party of such complaint, claim, notice or action, and such indemnifying party shall have the right to investigate and assume the defense thereof with counsel mutually satisfactory to the parties; provided, however, that an indemnified party (together with all other indemnified parties which may be represented without conflict by one counsel) shall have the right to retain one separate counsel, with the reasonable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Person claiming indemnification shall have the right to employ separate counsel in any such action and to participate in the defense thereof but the fees and the expenses of such counsel shall not be at the expense of the Person against whom indemnification is sought (unless the indemnifying party fails to promptly defend, in which case the reasonable fees and expenses of such separate counsel shall be borne by the Person against whom indemnification is sought). The failure to deliver written notice to the indemnifying party within a reasonable time of the commencement of any such action, if materially prejudicial to its ability to defend such action, shall relieve such indemnifying party of any liability to the indemnified party for any losses, claims, damages or liabilities emanating from such action for which indemnification would otherwise be available under this Section 2.9, but the omission to so deliver written notice to the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indemnifying party will not relieve it of any liability that it may have to any indemnified party otherwise than under this Section 2.9. In no event shall a Person against whom indemnification is sought be obligated to indemnify any Person for any settlement of any claim or action effected without the indemnifying Person’s prior written consent which shall not be unreasonably withheld.</w:t>
      </w:r>
    </w:p>
    <w:p>
      <w:pPr>
        <w:spacing w:after="0" w:line="172" w:lineRule="exact"/>
        <w:rPr>
          <w:sz w:val="20"/>
          <w:szCs w:val="20"/>
          <w:color w:val="auto"/>
        </w:rPr>
      </w:pPr>
    </w:p>
    <w:p>
      <w:pPr>
        <w:ind w:right="60" w:firstLine="2522"/>
        <w:spacing w:after="0" w:line="297" w:lineRule="auto"/>
        <w:tabs>
          <w:tab w:leader="none" w:pos="3153" w:val="left"/>
        </w:tabs>
        <w:numPr>
          <w:ilvl w:val="1"/>
          <w:numId w:val="272"/>
        </w:numPr>
        <w:rPr>
          <w:rFonts w:ascii="Arial" w:cs="Arial" w:eastAsia="Arial" w:hAnsi="Arial"/>
          <w:sz w:val="15"/>
          <w:szCs w:val="15"/>
          <w:color w:val="auto"/>
        </w:rPr>
      </w:pPr>
      <w:r>
        <w:rPr>
          <w:rFonts w:ascii="Arial" w:cs="Arial" w:eastAsia="Arial" w:hAnsi="Arial"/>
          <w:sz w:val="15"/>
          <w:szCs w:val="15"/>
          <w:color w:val="auto"/>
        </w:rPr>
        <w:t>If the indemnification provided for in this Section 2.9 is held by a court of competent jurisdiction to be unavailable to an indemnified party with respect to any loss, liability, claim, damage, or expense referred to therein, then each indemnifying party, in lieu of indemnifying such indemnified party hereunder, shall contribute to the amount paid or payable by such indemnified party as a result of such loss, liability, claim, damage, or expense</w:t>
      </w:r>
    </w:p>
    <w:p>
      <w:pPr>
        <w:ind w:right="80" w:firstLine="5"/>
        <w:spacing w:after="0" w:line="299" w:lineRule="auto"/>
        <w:tabs>
          <w:tab w:leader="none" w:pos="209" w:val="left"/>
        </w:tabs>
        <w:numPr>
          <w:ilvl w:val="0"/>
          <w:numId w:val="273"/>
        </w:numPr>
        <w:rPr>
          <w:rFonts w:ascii="Arial" w:cs="Arial" w:eastAsia="Arial" w:hAnsi="Arial"/>
          <w:sz w:val="15"/>
          <w:szCs w:val="15"/>
          <w:color w:val="auto"/>
        </w:rPr>
      </w:pPr>
      <w:r>
        <w:rPr>
          <w:rFonts w:ascii="Arial" w:cs="Arial" w:eastAsia="Arial" w:hAnsi="Arial"/>
          <w:sz w:val="15"/>
          <w:szCs w:val="15"/>
          <w:color w:val="auto"/>
        </w:rPr>
        <w:t>in such proportion as is appropriate to reflect the relative benefits received by the Company, the other Selling Stockholders and the underwriters from the offering of the Registrable Securities or (ii) if the allocation provided by clause (i) above is not permitted by applicable law, in such proportion as is appropriate to reflect not only the relative benefits referred to in clause (i) above but also the relative fault of the Company, the selling Holders of Registrable Securities and the underwriters in connection with the statements or omissions which resulted in such losses, claims, damages, expenses or liabilities, as well as any other relevant equitable considerations. The relative benefits received by the Company, the selling Holders of Registrable Securities and the underwriters shall be deemed to be in the same respective proportions that the proceeds from the offering received by the Company and the selling Holders of Registrable Securities and the underwriting discount received by the underwriters, in each case as set forth in the table on the cover page of the applicable prospectus, bear to the aggregate public offering price of the Registrable Securities. The relative fault of the Company, the selling Holders of Registrable Securities and the underwriters shall be</w:t>
      </w:r>
    </w:p>
    <w:p>
      <w:pPr>
        <w:sectPr>
          <w:pgSz w:w="11900" w:h="16846" w:orient="portrait"/>
          <w:cols w:equalWidth="0" w:num="1">
            <w:col w:w="11420"/>
          </w:cols>
          <w:pgMar w:left="240" w:top="127" w:right="239" w:bottom="0" w:gutter="0" w:footer="0" w:header="0"/>
        </w:sectPr>
      </w:pPr>
    </w:p>
    <w:bookmarkStart w:id="252" w:name="page253"/>
    <w:bookmarkEnd w:id="252"/>
    <w:p>
      <w:pPr>
        <w:ind w:right="340"/>
        <w:spacing w:after="0" w:line="273" w:lineRule="auto"/>
        <w:rPr>
          <w:sz w:val="20"/>
          <w:szCs w:val="20"/>
          <w:color w:val="auto"/>
        </w:rPr>
      </w:pPr>
      <w:r>
        <w:rPr>
          <w:rFonts w:ascii="Arial" w:cs="Arial" w:eastAsia="Arial" w:hAnsi="Arial"/>
          <w:sz w:val="17"/>
          <w:szCs w:val="17"/>
          <w:color w:val="auto"/>
        </w:rPr>
        <w:t>determined by reference to, among other things, whether the untrue or alleged untrue statement of a material fact or the omission or alleged omission to state a material fact relates to information supplied by the Company, the selling Holders of Registrable Securities or the underwriters and the parties’ relative intent, knowledge, access to information and opportunity to correct or prevent such statement or omission.</w:t>
      </w:r>
    </w:p>
    <w:p>
      <w:pPr>
        <w:spacing w:after="0" w:line="172" w:lineRule="exact"/>
        <w:rPr>
          <w:sz w:val="20"/>
          <w:szCs w:val="20"/>
          <w:color w:val="auto"/>
        </w:rPr>
      </w:pPr>
    </w:p>
    <w:p>
      <w:pPr>
        <w:ind w:right="100" w:firstLine="1259"/>
        <w:spacing w:after="0" w:line="283" w:lineRule="auto"/>
        <w:rPr>
          <w:sz w:val="20"/>
          <w:szCs w:val="20"/>
          <w:color w:val="auto"/>
        </w:rPr>
      </w:pPr>
      <w:r>
        <w:rPr>
          <w:rFonts w:ascii="Arial" w:cs="Arial" w:eastAsia="Arial" w:hAnsi="Arial"/>
          <w:sz w:val="16"/>
          <w:szCs w:val="16"/>
          <w:color w:val="auto"/>
        </w:rPr>
        <w:t>The Company and the selling Holders of Registrable Securities agree that it would not be just and equitable if contribution pursuant to this Section 2.9 were determined by pro rata or per capita allocation or by any other method of allocation which does not take account of the equitable considerations referred to in the immediately preceding paragraph. In no event, however, shall a Selling Stockholder be required to contribute any amount under this Section 2.8 in excess of the proceeds (net of underwriting discounts, commissions and expenses) received by such Selling Stockholder from its sale of Registrable Securities under such registration statement. No person found guilty of fraudulent misrepresentation (within the meaning of Section 11(f) of the Securities Act) shall be entitled to contribution from any person who was not found guilty of such fraudulent misrepresentation.</w:t>
      </w:r>
    </w:p>
    <w:p>
      <w:pPr>
        <w:spacing w:after="0" w:line="167" w:lineRule="exact"/>
        <w:rPr>
          <w:sz w:val="20"/>
          <w:szCs w:val="20"/>
          <w:color w:val="auto"/>
        </w:rPr>
      </w:pPr>
    </w:p>
    <w:p>
      <w:pPr>
        <w:ind w:left="3160" w:hanging="638"/>
        <w:spacing w:after="0"/>
        <w:tabs>
          <w:tab w:leader="none" w:pos="316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The obligations of the Company and Holders under this Section 2.8 shall survive the completion of any offering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Registrable Securities in a registration statement under this Section 2, and otherwise, and the termination of this Agreement.</w:t>
      </w:r>
    </w:p>
    <w:p>
      <w:pPr>
        <w:spacing w:after="0" w:line="212" w:lineRule="exact"/>
        <w:rPr>
          <w:sz w:val="20"/>
          <w:szCs w:val="20"/>
          <w:color w:val="auto"/>
        </w:rPr>
      </w:pPr>
    </w:p>
    <w:p>
      <w:pPr>
        <w:ind w:right="380" w:firstLine="1888"/>
        <w:spacing w:after="0" w:line="289"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Reports Under Securities Exchange Act of 1934</w:t>
      </w:r>
      <w:r>
        <w:rPr>
          <w:rFonts w:ascii="Arial" w:cs="Arial" w:eastAsia="Arial" w:hAnsi="Arial"/>
          <w:sz w:val="17"/>
          <w:szCs w:val="17"/>
          <w:color w:val="auto"/>
        </w:rPr>
        <w:t>. With a view to making available to the Holders the benefits of Rule 144 (together, with any successor rule, Rule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40" w:firstLine="5"/>
        <w:spacing w:after="0" w:line="273" w:lineRule="auto"/>
        <w:tabs>
          <w:tab w:leader="none" w:pos="364" w:val="left"/>
        </w:tabs>
        <w:numPr>
          <w:ilvl w:val="0"/>
          <w:numId w:val="275"/>
        </w:numPr>
        <w:rPr>
          <w:rFonts w:ascii="Arial" w:cs="Arial" w:eastAsia="Arial" w:hAnsi="Arial"/>
          <w:sz w:val="17"/>
          <w:szCs w:val="17"/>
          <w:color w:val="auto"/>
        </w:rPr>
      </w:pPr>
      <w:r>
        <w:rPr>
          <w:rFonts w:ascii="Arial" w:cs="Arial" w:eastAsia="Arial" w:hAnsi="Arial"/>
          <w:sz w:val="17"/>
          <w:szCs w:val="17"/>
          <w:color w:val="auto"/>
        </w:rPr>
        <w:t>promulgated under the Securities Act and any other rule or regulation of the SEC that may at any time permit a Holder to sell securities of the Company to the public without registration or pursuant to a registration on Form S-3, provided the Company is qualified to register securities on Form S-3 (or any successor form), the Company agrees to use its reasonable efforts to:</w:t>
      </w:r>
    </w:p>
    <w:p>
      <w:pPr>
        <w:spacing w:after="0" w:line="171" w:lineRule="exact"/>
        <w:rPr>
          <w:rFonts w:ascii="Arial" w:cs="Arial" w:eastAsia="Arial" w:hAnsi="Arial"/>
          <w:sz w:val="17"/>
          <w:szCs w:val="17"/>
          <w:color w:val="auto"/>
        </w:rPr>
      </w:pPr>
    </w:p>
    <w:p>
      <w:pPr>
        <w:ind w:right="100" w:firstLine="2522"/>
        <w:spacing w:after="0" w:line="273" w:lineRule="auto"/>
        <w:tabs>
          <w:tab w:leader="none" w:pos="3143" w:val="left"/>
        </w:tabs>
        <w:numPr>
          <w:ilvl w:val="1"/>
          <w:numId w:val="275"/>
        </w:numPr>
        <w:rPr>
          <w:rFonts w:ascii="Arial" w:cs="Arial" w:eastAsia="Arial" w:hAnsi="Arial"/>
          <w:sz w:val="17"/>
          <w:szCs w:val="17"/>
          <w:color w:val="auto"/>
        </w:rPr>
      </w:pPr>
      <w:r>
        <w:rPr>
          <w:rFonts w:ascii="Arial" w:cs="Arial" w:eastAsia="Arial" w:hAnsi="Arial"/>
          <w:sz w:val="17"/>
          <w:szCs w:val="17"/>
          <w:color w:val="auto"/>
        </w:rPr>
        <w:t>make and keep public information available, as those terms are understood and defined in SEC Rule 144, at all times after the effective date of the first registration statement filed by the Company for the offering of its securities to the general public, and all action as may be required as a condition to the availability of SEC Rule 144;</w:t>
      </w:r>
    </w:p>
    <w:p>
      <w:pPr>
        <w:spacing w:after="0" w:line="171" w:lineRule="exact"/>
        <w:rPr>
          <w:rFonts w:ascii="Arial" w:cs="Arial" w:eastAsia="Arial" w:hAnsi="Arial"/>
          <w:sz w:val="17"/>
          <w:szCs w:val="17"/>
          <w:color w:val="auto"/>
        </w:rPr>
      </w:pPr>
    </w:p>
    <w:p>
      <w:pPr>
        <w:jc w:val="both"/>
        <w:ind w:right="280" w:firstLine="2522"/>
        <w:spacing w:after="0" w:line="298" w:lineRule="auto"/>
        <w:tabs>
          <w:tab w:leader="none" w:pos="3153" w:val="left"/>
        </w:tabs>
        <w:numPr>
          <w:ilvl w:val="1"/>
          <w:numId w:val="275"/>
        </w:numPr>
        <w:rPr>
          <w:rFonts w:ascii="Arial" w:cs="Arial" w:eastAsia="Arial" w:hAnsi="Arial"/>
          <w:sz w:val="16"/>
          <w:szCs w:val="16"/>
          <w:color w:val="auto"/>
        </w:rPr>
      </w:pPr>
      <w:r>
        <w:rPr>
          <w:rFonts w:ascii="Arial" w:cs="Arial" w:eastAsia="Arial" w:hAnsi="Arial"/>
          <w:sz w:val="16"/>
          <w:szCs w:val="16"/>
          <w:color w:val="auto"/>
        </w:rPr>
        <w:t>take such action, including the voluntary registration of its Common Stock under Section 12 of the 1934 Act, as is necessary to enable the Holders to utilize Form S-3 for the sale of their Registrable Securities, such action to be taken as soon as practicable after the end of the fiscal year in which the first registration statement filed by the Company for the offering of its Common Stock to the general public is declared effective;</w:t>
      </w:r>
    </w:p>
    <w:p>
      <w:pPr>
        <w:spacing w:after="0" w:line="153" w:lineRule="exact"/>
        <w:rPr>
          <w:rFonts w:ascii="Arial" w:cs="Arial" w:eastAsia="Arial" w:hAnsi="Arial"/>
          <w:sz w:val="16"/>
          <w:szCs w:val="16"/>
          <w:color w:val="auto"/>
        </w:rPr>
      </w:pPr>
    </w:p>
    <w:p>
      <w:pPr>
        <w:ind w:left="3160" w:hanging="638"/>
        <w:spacing w:after="0"/>
        <w:tabs>
          <w:tab w:leader="none" w:pos="316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file with the SEC in a timely manner all reports and other documents required of the Company under the Securities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Act and the 1934 Act;</w:t>
      </w:r>
    </w:p>
    <w:p>
      <w:pPr>
        <w:spacing w:after="0" w:line="212" w:lineRule="exact"/>
        <w:rPr>
          <w:rFonts w:ascii="Arial" w:cs="Arial" w:eastAsia="Arial" w:hAnsi="Arial"/>
          <w:sz w:val="16"/>
          <w:szCs w:val="16"/>
          <w:color w:val="auto"/>
        </w:rPr>
      </w:pPr>
    </w:p>
    <w:p>
      <w:pPr>
        <w:ind w:right="200" w:firstLine="2522"/>
        <w:spacing w:after="0" w:line="263" w:lineRule="auto"/>
        <w:tabs>
          <w:tab w:leader="none" w:pos="3153" w:val="left"/>
        </w:tabs>
        <w:numPr>
          <w:ilvl w:val="1"/>
          <w:numId w:val="275"/>
        </w:numPr>
        <w:rPr>
          <w:rFonts w:ascii="Arial" w:cs="Arial" w:eastAsia="Arial" w:hAnsi="Arial"/>
          <w:sz w:val="17"/>
          <w:szCs w:val="17"/>
          <w:color w:val="auto"/>
        </w:rPr>
      </w:pPr>
      <w:r>
        <w:rPr>
          <w:rFonts w:ascii="Arial" w:cs="Arial" w:eastAsia="Arial" w:hAnsi="Arial"/>
          <w:sz w:val="17"/>
          <w:szCs w:val="17"/>
          <w:color w:val="auto"/>
        </w:rPr>
        <w:t>furnish to any Holder, so long as the Holder owns any Registrable Securities, forthwith upon request (i) a written statement by the Company that it has complied with the reporting requirements of SEC Rule 144, the Securities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which permits the selling of any such securities without registration or pursuant to such form; and</w:t>
      </w:r>
    </w:p>
    <w:p>
      <w:pPr>
        <w:spacing w:after="0" w:line="183" w:lineRule="exact"/>
        <w:rPr>
          <w:rFonts w:ascii="Arial" w:cs="Arial" w:eastAsia="Arial" w:hAnsi="Arial"/>
          <w:sz w:val="17"/>
          <w:szCs w:val="17"/>
          <w:color w:val="auto"/>
        </w:rPr>
      </w:pPr>
    </w:p>
    <w:p>
      <w:pPr>
        <w:ind w:firstLine="2522"/>
        <w:spacing w:after="0" w:line="289" w:lineRule="auto"/>
        <w:tabs>
          <w:tab w:leader="none" w:pos="3157" w:val="left"/>
        </w:tabs>
        <w:numPr>
          <w:ilvl w:val="1"/>
          <w:numId w:val="275"/>
        </w:numPr>
        <w:rPr>
          <w:rFonts w:ascii="Arial" w:cs="Arial" w:eastAsia="Arial" w:hAnsi="Arial"/>
          <w:sz w:val="17"/>
          <w:szCs w:val="17"/>
          <w:color w:val="auto"/>
        </w:rPr>
      </w:pPr>
      <w:r>
        <w:rPr>
          <w:rFonts w:ascii="Arial" w:cs="Arial" w:eastAsia="Arial" w:hAnsi="Arial"/>
          <w:sz w:val="17"/>
          <w:szCs w:val="17"/>
          <w:color w:val="auto"/>
        </w:rPr>
        <w:t>facilitate and expedite transfers of Registrable Securities pursuant to SEC Rule 144, including providing timely notice to its transfer agent to expedite such transfers.</w:t>
      </w:r>
    </w:p>
    <w:p>
      <w:pPr>
        <w:spacing w:after="0" w:line="158" w:lineRule="exact"/>
        <w:rPr>
          <w:sz w:val="20"/>
          <w:szCs w:val="20"/>
          <w:color w:val="auto"/>
        </w:rPr>
      </w:pPr>
    </w:p>
    <w:p>
      <w:pPr>
        <w:ind w:right="160" w:firstLine="1888"/>
        <w:spacing w:after="0" w:line="290"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Form S-3 Registration</w:t>
      </w:r>
      <w:r>
        <w:rPr>
          <w:rFonts w:ascii="Arial" w:cs="Arial" w:eastAsia="Arial" w:hAnsi="Arial"/>
          <w:sz w:val="16"/>
          <w:szCs w:val="16"/>
          <w:color w:val="auto"/>
        </w:rPr>
        <w:t>. After the first public offering of its Common Stock registered under the Securities Act, the Company shall use its reasonable efforts to qualify and remain qualified to register securities on Form S-3 (or any successor form) under the Securities Act. In case the Company shall receive from any Holder or Holders a written request or requests that the Company effect a registration on Form S-3 and any related qualification or compliance with respect to all or a part of the Registrable Securities owned by such Holder or Holders, the Company will:</w:t>
      </w:r>
    </w:p>
    <w:p>
      <w:pPr>
        <w:spacing w:after="0" w:line="159" w:lineRule="exact"/>
        <w:rPr>
          <w:sz w:val="20"/>
          <w:szCs w:val="20"/>
          <w:color w:val="auto"/>
        </w:rPr>
      </w:pPr>
    </w:p>
    <w:p>
      <w:pPr>
        <w:ind w:left="3140" w:hanging="618"/>
        <w:spacing w:after="0"/>
        <w:tabs>
          <w:tab w:leader="none" w:pos="314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promptly give at least thirty (30) days written notice of the proposed registration, and any related qualification or</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compliance, to all other Holders; and</w:t>
      </w:r>
    </w:p>
    <w:p>
      <w:pPr>
        <w:spacing w:after="0" w:line="212" w:lineRule="exact"/>
        <w:rPr>
          <w:rFonts w:ascii="Arial" w:cs="Arial" w:eastAsia="Arial" w:hAnsi="Arial"/>
          <w:sz w:val="16"/>
          <w:szCs w:val="16"/>
          <w:color w:val="auto"/>
        </w:rPr>
      </w:pPr>
    </w:p>
    <w:p>
      <w:pPr>
        <w:ind w:right="20" w:firstLine="2522"/>
        <w:spacing w:after="0" w:line="268" w:lineRule="auto"/>
        <w:tabs>
          <w:tab w:leader="none" w:pos="3153" w:val="left"/>
        </w:tabs>
        <w:numPr>
          <w:ilvl w:val="0"/>
          <w:numId w:val="276"/>
        </w:numPr>
        <w:rPr>
          <w:rFonts w:ascii="Arial" w:cs="Arial" w:eastAsia="Arial" w:hAnsi="Arial"/>
          <w:sz w:val="17"/>
          <w:szCs w:val="17"/>
          <w:color w:val="auto"/>
        </w:rPr>
      </w:pPr>
      <w:r>
        <w:rPr>
          <w:rFonts w:ascii="Arial" w:cs="Arial" w:eastAsia="Arial" w:hAnsi="Arial"/>
          <w:sz w:val="17"/>
          <w:szCs w:val="17"/>
          <w:color w:val="auto"/>
        </w:rPr>
        <w:t>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fifteen (15) days after receipt of such written notice from the Company; provided, however, that the Company shall not be obligated to effect any such registration, qualification or compliance, pursuant to this Section 2.11: (1) if Form S-3 is not available for such offering by the Holders; (2) 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Two Million Dollars ($2,000,000); or (3) if (i)(A) the Company is in possession of material non-public information, (B) an Executive Officer, after consultation with the Board, reasonably determines that such prohibition is necessary in order to avoid an obligation to disclose such information and (C) the Executive Officer, after consultation with the Board, determines in good faith that disclosure of such information would not be in the best interest of the Company or its stockholders or (ii) the Company has made a public announcement relating to an acquisition or business combination transaction including the Company and/or one or more of its subsidiaries for which the Executive Officer, after consultation with the Board, determines in good faith that offers and sales of Registrable Securities pursuant to a registration statement prior to the consummation of such transaction (or such earlier date as the Executive Officer, after consultation with the Board shall determine) would not be in the best interest of the Company or its stockholders</w:t>
      </w:r>
      <w:r>
        <w:rPr>
          <w:rFonts w:ascii="Arial" w:cs="Arial" w:eastAsia="Arial" w:hAnsi="Arial"/>
          <w:sz w:val="16"/>
          <w:szCs w:val="16"/>
          <w:i w:val="1"/>
          <w:iCs w:val="1"/>
          <w:color w:val="auto"/>
        </w:rPr>
        <w:t>,</w:t>
      </w:r>
      <w:r>
        <w:rPr>
          <w:rFonts w:ascii="Arial" w:cs="Arial" w:eastAsia="Arial" w:hAnsi="Arial"/>
          <w:sz w:val="16"/>
          <w:szCs w:val="16"/>
          <w:color w:val="auto"/>
        </w:rPr>
        <w:t xml:space="preserve"> in which event the Company shall have the right to defer the filing of the Form S-3 registration statement for a period of not more than ninety (90) days after receipt of the request of the Holder or Holders under this Section 2.11; provided, however, that the Company shall not utilize this right more than once in any twelve (12) month period.</w:t>
      </w:r>
    </w:p>
    <w:p>
      <w:pPr>
        <w:sectPr>
          <w:pgSz w:w="11900" w:h="16838" w:orient="portrait"/>
          <w:cols w:equalWidth="0" w:num="1">
            <w:col w:w="11420"/>
          </w:cols>
          <w:pgMar w:left="240" w:top="128" w:right="239" w:bottom="40" w:gutter="0" w:footer="0" w:header="0"/>
        </w:sectPr>
      </w:pPr>
    </w:p>
    <w:bookmarkStart w:id="253" w:name="page254"/>
    <w:bookmarkEnd w:id="253"/>
    <w:p>
      <w:pPr>
        <w:spacing w:after="0" w:line="32" w:lineRule="exact"/>
        <w:rPr>
          <w:sz w:val="20"/>
          <w:szCs w:val="20"/>
          <w:color w:val="auto"/>
        </w:rPr>
      </w:pPr>
    </w:p>
    <w:p>
      <w:pPr>
        <w:ind w:right="40" w:firstLine="2522"/>
        <w:spacing w:after="0" w:line="273" w:lineRule="auto"/>
        <w:tabs>
          <w:tab w:leader="none" w:pos="3157" w:val="left"/>
        </w:tabs>
        <w:numPr>
          <w:ilvl w:val="0"/>
          <w:numId w:val="277"/>
        </w:numPr>
        <w:rPr>
          <w:rFonts w:ascii="Arial" w:cs="Arial" w:eastAsia="Arial" w:hAnsi="Arial"/>
          <w:sz w:val="17"/>
          <w:szCs w:val="17"/>
          <w:color w:val="auto"/>
        </w:rPr>
      </w:pPr>
      <w:r>
        <w:rPr>
          <w:rFonts w:ascii="Arial" w:cs="Arial" w:eastAsia="Arial" w:hAnsi="Arial"/>
          <w:sz w:val="17"/>
          <w:szCs w:val="17"/>
          <w:color w:val="auto"/>
        </w:rPr>
        <w:t>Subject to the foregoing, the Company shall file a registration statement covering the Registrable Securities and other securities so requested to be registered as soon as practicable after receipt of the request or requests of the Holders. Registrations effected pursuant to this Section 2.11 shall not be counted as demands for registration or registrations effected pursuant to Sections 2.1 or 2.2, respectively.</w:t>
      </w:r>
    </w:p>
    <w:p>
      <w:pPr>
        <w:spacing w:after="0" w:line="172" w:lineRule="exact"/>
        <w:rPr>
          <w:sz w:val="20"/>
          <w:szCs w:val="20"/>
          <w:color w:val="auto"/>
        </w:rPr>
      </w:pPr>
    </w:p>
    <w:p>
      <w:pPr>
        <w:ind w:right="20" w:firstLine="1888"/>
        <w:spacing w:after="0" w:line="263"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Assignment of Registration Rights</w:t>
      </w:r>
      <w:r>
        <w:rPr>
          <w:rFonts w:ascii="Arial" w:cs="Arial" w:eastAsia="Arial" w:hAnsi="Arial"/>
          <w:sz w:val="17"/>
          <w:szCs w:val="17"/>
          <w:color w:val="auto"/>
        </w:rPr>
        <w:t>. The rights to cause the Company to register Registrable Securities pursuant to this Section 2 may be assigned (but only with all related obligations) by a Holder to any subsequent Holder of Registrable Securities, provided that: (a) the Company is furnished with written notice of the name and address of such transferee or assignee and the securities with respect to which such registration rights are being assigned; (b) such transferee or assignee agrees in writing to be bound by and subject to the terms and conditions of this Agreement; and (c) the transferee or assignee acquires at least 20% of the total number of Registrable Securities on the date hereof except that this Section 2.12(c) will not apply to transfers to an Affiliate of any Holder (subject to adjustment for stock splits and stock dividends).</w:t>
      </w:r>
    </w:p>
    <w:p>
      <w:pPr>
        <w:spacing w:after="0" w:line="183" w:lineRule="exact"/>
        <w:rPr>
          <w:sz w:val="20"/>
          <w:szCs w:val="20"/>
          <w:color w:val="auto"/>
        </w:rPr>
      </w:pPr>
    </w:p>
    <w:p>
      <w:pPr>
        <w:ind w:right="540" w:firstLine="1888"/>
        <w:spacing w:after="0" w:line="322"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Limitations</w:t>
      </w:r>
      <w:r>
        <w:rPr>
          <w:rFonts w:ascii="Arial" w:cs="Arial" w:eastAsia="Arial" w:hAnsi="Arial"/>
          <w:sz w:val="16"/>
          <w:szCs w:val="16"/>
          <w:color w:val="auto"/>
        </w:rPr>
        <w:t>. From and after the date of this Agreement, the Company shall not, without the prior written consent of the Holders holding a majority of the outstanding Registrable Securities, allow purchasers of the Company’s securities to become a party to this Agreement.</w:t>
      </w:r>
    </w:p>
    <w:p>
      <w:pPr>
        <w:spacing w:after="0" w:line="136" w:lineRule="exact"/>
        <w:rPr>
          <w:sz w:val="20"/>
          <w:szCs w:val="20"/>
          <w:color w:val="auto"/>
        </w:rPr>
      </w:pPr>
    </w:p>
    <w:p>
      <w:pPr>
        <w:ind w:right="60" w:firstLine="1888"/>
        <w:spacing w:after="0" w:line="273"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Superior Registration Rights</w:t>
      </w:r>
      <w:r>
        <w:rPr>
          <w:rFonts w:ascii="Arial" w:cs="Arial" w:eastAsia="Arial" w:hAnsi="Arial"/>
          <w:sz w:val="17"/>
          <w:szCs w:val="17"/>
          <w:color w:val="auto"/>
        </w:rPr>
        <w:t>. If any other registration rights are granted to any other party that are superior to the rights granted by this Agreement, then this Agreement shall be automatically deemed to have been amended without any action required from either the Company or the Holder to the extent necessary to provide the Holder with no less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favorable terms, deliveries, conditions, covenants or other registration rights or benefits provided to the other party.</w:t>
      </w:r>
    </w:p>
    <w:p>
      <w:pPr>
        <w:spacing w:after="0" w:line="218" w:lineRule="exact"/>
        <w:rPr>
          <w:sz w:val="20"/>
          <w:szCs w:val="20"/>
          <w:color w:val="auto"/>
        </w:rPr>
      </w:pPr>
    </w:p>
    <w:p>
      <w:pPr>
        <w:ind w:left="1900" w:hanging="637"/>
        <w:spacing w:after="0"/>
        <w:tabs>
          <w:tab w:leader="none" w:pos="1900" w:val="left"/>
        </w:tabs>
        <w:numPr>
          <w:ilvl w:val="0"/>
          <w:numId w:val="278"/>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r>
        <w:rPr>
          <w:rFonts w:ascii="Arial" w:cs="Arial" w:eastAsia="Arial" w:hAnsi="Arial"/>
          <w:sz w:val="17"/>
          <w:szCs w:val="17"/>
          <w:color w:val="auto"/>
        </w:rPr>
        <w:t>.</w:t>
      </w:r>
    </w:p>
    <w:p>
      <w:pPr>
        <w:spacing w:after="0" w:line="230" w:lineRule="exact"/>
        <w:rPr>
          <w:sz w:val="20"/>
          <w:szCs w:val="20"/>
          <w:color w:val="auto"/>
        </w:rPr>
      </w:pPr>
    </w:p>
    <w:p>
      <w:pPr>
        <w:ind w:right="80" w:firstLine="1888"/>
        <w:spacing w:after="0" w:line="268"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Except as otherwise provided herein,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76" w:lineRule="exact"/>
        <w:rPr>
          <w:sz w:val="20"/>
          <w:szCs w:val="20"/>
          <w:color w:val="auto"/>
        </w:rPr>
      </w:pPr>
    </w:p>
    <w:p>
      <w:pPr>
        <w:ind w:right="300" w:firstLine="1888"/>
        <w:spacing w:after="0" w:line="28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under the laws of the State of Texas, exclusive of the provisions thereof governing conflicts of laws.</w:t>
      </w:r>
    </w:p>
    <w:p>
      <w:pPr>
        <w:spacing w:after="0" w:line="158" w:lineRule="exact"/>
        <w:rPr>
          <w:sz w:val="20"/>
          <w:szCs w:val="20"/>
          <w:color w:val="auto"/>
        </w:rPr>
      </w:pPr>
    </w:p>
    <w:p>
      <w:pPr>
        <w:ind w:right="20" w:firstLine="1888"/>
        <w:spacing w:after="0" w:line="28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shall be deemed an original, but all of which together shall constitute one and the same instrument.</w:t>
      </w:r>
    </w:p>
    <w:p>
      <w:pPr>
        <w:spacing w:after="0" w:line="158" w:lineRule="exact"/>
        <w:rPr>
          <w:sz w:val="20"/>
          <w:szCs w:val="20"/>
          <w:color w:val="auto"/>
        </w:rPr>
      </w:pPr>
    </w:p>
    <w:p>
      <w:pPr>
        <w:ind w:right="240" w:firstLine="1888"/>
        <w:spacing w:after="0" w:line="273"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Titles and Subtitles; Gender</w:t>
      </w:r>
      <w:r>
        <w:rPr>
          <w:rFonts w:ascii="Arial" w:cs="Arial" w:eastAsia="Arial" w:hAnsi="Arial"/>
          <w:sz w:val="17"/>
          <w:szCs w:val="17"/>
          <w:color w:val="auto"/>
        </w:rPr>
        <w:t>. The titles and subtitles used in this Agreement are used for convenience only and are not to be considered in construing or interpreting this Agreement. The use in this Agreement of the masculine pronoun in reference to a party hereto shall be deemed to include the feminine member, and vice versa as the context may require.</w:t>
      </w:r>
    </w:p>
    <w:p>
      <w:pPr>
        <w:spacing w:after="0" w:line="172" w:lineRule="exact"/>
        <w:rPr>
          <w:sz w:val="20"/>
          <w:szCs w:val="20"/>
          <w:color w:val="auto"/>
        </w:rPr>
      </w:pPr>
    </w:p>
    <w:p>
      <w:pPr>
        <w:ind w:right="100" w:firstLine="1888"/>
        <w:spacing w:after="0" w:line="268"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Notices</w:t>
      </w:r>
      <w:r>
        <w:rPr>
          <w:rFonts w:ascii="Arial" w:cs="Arial" w:eastAsia="Arial" w:hAnsi="Arial"/>
          <w:sz w:val="17"/>
          <w:szCs w:val="17"/>
          <w:color w:val="auto"/>
        </w:rPr>
        <w:t>. Any notice, request, demand or other communication required or permitted hereunder shall be given in writing and shall be deemed effectively given upon personal delivery to the party to be notified, upon the date of transmittal of services via telecopy to the party to whom notice is being given, or on the fifth day after deposit in the United States Post Office, by registered or certified mail, with postage and fees prepaid, return receipt requested, and addressed to the other party to:</w:t>
      </w:r>
    </w:p>
    <w:p>
      <w:pPr>
        <w:spacing w:after="0" w:line="176" w:lineRule="exact"/>
        <w:rPr>
          <w:sz w:val="20"/>
          <w:szCs w:val="20"/>
          <w:color w:val="auto"/>
        </w:rPr>
      </w:pPr>
    </w:p>
    <w:p>
      <w:pPr>
        <w:ind w:left="3280" w:hanging="758"/>
        <w:spacing w:after="0"/>
        <w:tabs>
          <w:tab w:leader="none" w:pos="328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if to the Company, to:</w:t>
      </w:r>
    </w:p>
    <w:p>
      <w:pPr>
        <w:spacing w:after="0" w:line="224"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Applied Optoelectronics, Inc.</w:t>
      </w:r>
    </w:p>
    <w:p>
      <w:pPr>
        <w:spacing w:after="0" w:line="26"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Attn: Thompson Lin</w:t>
      </w:r>
    </w:p>
    <w:p>
      <w:pPr>
        <w:spacing w:after="0" w:line="14"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Attn: N. Stephan Kinsella</w:t>
      </w:r>
    </w:p>
    <w:p>
      <w:pPr>
        <w:spacing w:after="0" w:line="14"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13115 Jess Pirtle Blvd.</w:t>
      </w:r>
    </w:p>
    <w:p>
      <w:pPr>
        <w:spacing w:after="0" w:line="14"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Sugar Land, TX 77478</w:t>
      </w:r>
    </w:p>
    <w:p>
      <w:pPr>
        <w:spacing w:after="0" w:line="14"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Telephone Number: (281) 295-1800</w:t>
      </w:r>
    </w:p>
    <w:p>
      <w:pPr>
        <w:spacing w:after="0" w:line="14"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Facsimile Number: (281) 295-1889</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or such other address designated by the Company to the Holders and the other parties hereto in writing;</w:t>
      </w:r>
    </w:p>
    <w:p>
      <w:pPr>
        <w:spacing w:after="0" w:line="224" w:lineRule="exact"/>
        <w:rPr>
          <w:sz w:val="20"/>
          <w:szCs w:val="20"/>
          <w:color w:val="auto"/>
        </w:rPr>
      </w:pPr>
    </w:p>
    <w:p>
      <w:pPr>
        <w:ind w:right="500" w:firstLine="2522"/>
        <w:spacing w:after="0" w:line="289" w:lineRule="auto"/>
        <w:tabs>
          <w:tab w:leader="none" w:pos="3153" w:val="left"/>
        </w:tabs>
        <w:numPr>
          <w:ilvl w:val="0"/>
          <w:numId w:val="280"/>
        </w:numPr>
        <w:rPr>
          <w:rFonts w:ascii="Arial" w:cs="Arial" w:eastAsia="Arial" w:hAnsi="Arial"/>
          <w:sz w:val="17"/>
          <w:szCs w:val="17"/>
          <w:color w:val="auto"/>
        </w:rPr>
      </w:pPr>
      <w:r>
        <w:rPr>
          <w:rFonts w:ascii="Arial" w:cs="Arial" w:eastAsia="Arial" w:hAnsi="Arial"/>
          <w:sz w:val="17"/>
          <w:szCs w:val="17"/>
          <w:color w:val="auto"/>
        </w:rPr>
        <w:t>if to the Holders, to each Holder at the mailing address as shown on the signature pages hereto, or at such other address designated by a Holder to the Company and the other Holders in writing.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888"/>
        <w:spacing w:after="0" w:line="322"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Expenses</w:t>
      </w:r>
      <w:r>
        <w:rPr>
          <w:rFonts w:ascii="Arial" w:cs="Arial" w:eastAsia="Arial" w:hAnsi="Arial"/>
          <w:sz w:val="16"/>
          <w:szCs w:val="16"/>
          <w:color w:val="auto"/>
        </w:rPr>
        <w:t>.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136" w:lineRule="exact"/>
        <w:rPr>
          <w:sz w:val="20"/>
          <w:szCs w:val="20"/>
          <w:color w:val="auto"/>
        </w:rPr>
      </w:pPr>
    </w:p>
    <w:p>
      <w:pPr>
        <w:ind w:firstLine="1888"/>
        <w:spacing w:after="0" w:line="273"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Any term of this Agreement may be amended and the observance of any term of this Agreement may be waived (either generally or in a particular instance and either retroactively or prospectively), only with the written consent of the Company and the Holders of sixty-six and two-thirds percent (66.67%) of Registrable Securities, voting together as a single class.</w:t>
      </w:r>
    </w:p>
    <w:p>
      <w:pPr>
        <w:spacing w:after="0" w:line="172" w:lineRule="exact"/>
        <w:rPr>
          <w:sz w:val="20"/>
          <w:szCs w:val="20"/>
          <w:color w:val="auto"/>
        </w:rPr>
      </w:pPr>
    </w:p>
    <w:p>
      <w:pPr>
        <w:ind w:right="220" w:firstLine="1888"/>
        <w:spacing w:after="0" w:line="273"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Severability</w:t>
      </w:r>
      <w:r>
        <w:rPr>
          <w:rFonts w:ascii="Arial" w:cs="Arial" w:eastAsia="Arial" w:hAnsi="Arial"/>
          <w:sz w:val="17"/>
          <w:szCs w:val="17"/>
          <w:color w:val="auto"/>
        </w:rPr>
        <w:t>.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w:t>
      </w:r>
    </w:p>
    <w:p>
      <w:pPr>
        <w:spacing w:after="0" w:line="172" w:lineRule="exact"/>
        <w:rPr>
          <w:sz w:val="20"/>
          <w:szCs w:val="20"/>
          <w:color w:val="auto"/>
        </w:rPr>
      </w:pPr>
    </w:p>
    <w:p>
      <w:pPr>
        <w:ind w:right="460" w:firstLine="1888"/>
        <w:spacing w:after="0" w:line="289"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Aggregation of Stock</w:t>
      </w:r>
      <w:r>
        <w:rPr>
          <w:rFonts w:ascii="Arial" w:cs="Arial" w:eastAsia="Arial" w:hAnsi="Arial"/>
          <w:sz w:val="17"/>
          <w:szCs w:val="17"/>
          <w:color w:val="auto"/>
        </w:rPr>
        <w:t>. All shares of Preferred Stock held or acquired by affiliated entities or persons shall be aggregated together for the purpose of determining the availability of any rights under this Agreement.</w:t>
      </w:r>
    </w:p>
    <w:p>
      <w:pPr>
        <w:sectPr>
          <w:pgSz w:w="11900" w:h="16871" w:orient="portrait"/>
          <w:cols w:equalWidth="0" w:num="1">
            <w:col w:w="11420"/>
          </w:cols>
          <w:pgMar w:left="240" w:top="127" w:right="239" w:bottom="0" w:gutter="0" w:footer="0" w:header="0"/>
        </w:sectPr>
      </w:pPr>
    </w:p>
    <w:bookmarkStart w:id="254" w:name="page255"/>
    <w:bookmarkEnd w:id="254"/>
    <w:p>
      <w:pPr>
        <w:ind w:right="80" w:firstLine="1888"/>
        <w:spacing w:after="0" w:line="289"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Entire Agreement; Amendment; Waiver</w:t>
      </w:r>
      <w:r>
        <w:rPr>
          <w:rFonts w:ascii="Arial" w:cs="Arial" w:eastAsia="Arial" w:hAnsi="Arial"/>
          <w:sz w:val="17"/>
          <w:szCs w:val="17"/>
          <w:color w:val="auto"/>
        </w:rPr>
        <w:t>. This Agreement and the documents referred to herein constitute the entire agreement among the parties with regard to the subjects hereof and thereof.</w:t>
      </w:r>
    </w:p>
    <w:p>
      <w:pPr>
        <w:spacing w:after="0" w:line="158" w:lineRule="exact"/>
        <w:rPr>
          <w:sz w:val="20"/>
          <w:szCs w:val="20"/>
          <w:color w:val="auto"/>
        </w:rPr>
      </w:pPr>
    </w:p>
    <w:p>
      <w:pPr>
        <w:ind w:right="140" w:firstLine="1888"/>
        <w:spacing w:after="0" w:line="298"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automatically terminate, with no action required by any party hereto, (a) when there are no Registrable Securities or (b) on the date occurring five years after the Initial Public Offering (plus the aggregate number of days of all blackouts invoked by the Company pursuant to Sections 2.7 and 2.11(b)), except, in each such case, Sections 2.9 and 3.2, which shall survive termination of this Agreement.</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IN WITNESS WHEREOF, the parties have caused this Registration Rights Agreement to be duly executed and delivered as of</w:t>
      </w:r>
    </w:p>
    <w:p>
      <w:pPr>
        <w:spacing w:after="0" w:line="26" w:lineRule="exact"/>
        <w:rPr>
          <w:sz w:val="20"/>
          <w:szCs w:val="20"/>
          <w:color w:val="auto"/>
        </w:rPr>
      </w:pPr>
    </w:p>
    <w:p>
      <w:pPr>
        <w:ind w:left="1320" w:hanging="92"/>
        <w:spacing w:after="0"/>
        <w:tabs>
          <w:tab w:leader="none" w:pos="132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20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212" w:lineRule="exact"/>
        <w:rPr>
          <w:sz w:val="20"/>
          <w:szCs w:val="20"/>
          <w:color w:val="auto"/>
        </w:rPr>
      </w:pPr>
    </w:p>
    <w:p>
      <w:pPr>
        <w:ind w:left="5720"/>
        <w:spacing w:after="0"/>
        <w:rPr>
          <w:sz w:val="20"/>
          <w:szCs w:val="20"/>
          <w:color w:val="auto"/>
        </w:rPr>
      </w:pPr>
      <w:r>
        <w:rPr>
          <w:rFonts w:ascii="Arial" w:cs="Arial" w:eastAsia="Arial" w:hAnsi="Arial"/>
          <w:sz w:val="17"/>
          <w:szCs w:val="17"/>
          <w:u w:val="single" w:color="auto"/>
          <w:color w:val="auto"/>
        </w:rPr>
        <w:t>THE COMPANY</w:t>
      </w:r>
      <w:r>
        <w:rPr>
          <w:rFonts w:ascii="Arial" w:cs="Arial" w:eastAsia="Arial" w:hAnsi="Arial"/>
          <w:sz w:val="17"/>
          <w:szCs w:val="17"/>
          <w:color w:val="auto"/>
        </w:rPr>
        <w:t>:</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u w:val="single" w:color="auto"/>
          <w:color w:val="auto"/>
        </w:rPr>
        <w:t>Applied Optoelectronics, Inc.</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7"/>
                <w:szCs w:val="17"/>
                <w:color w:val="auto"/>
              </w:rPr>
              <w:t>By:</w:t>
            </w:r>
          </w:p>
        </w:tc>
        <w:tc>
          <w:tcPr>
            <w:tcW w:w="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5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060" w:type="dxa"/>
            <w:vAlign w:val="bottom"/>
          </w:tcPr>
          <w:p>
            <w:pPr>
              <w:ind w:left="60"/>
              <w:spacing w:after="0" w:line="191" w:lineRule="exact"/>
              <w:rPr>
                <w:sz w:val="20"/>
                <w:szCs w:val="20"/>
                <w:color w:val="auto"/>
              </w:rPr>
            </w:pPr>
            <w:r>
              <w:rPr>
                <w:rFonts w:ascii="Arial" w:cs="Arial" w:eastAsia="Arial" w:hAnsi="Arial"/>
                <w:sz w:val="17"/>
                <w:szCs w:val="17"/>
                <w:color w:val="auto"/>
              </w:rPr>
              <w:t>Chih-Hsiang (Thompson) Lin</w:t>
            </w:r>
          </w:p>
        </w:tc>
        <w:tc>
          <w:tcPr>
            <w:tcW w:w="40" w:type="dxa"/>
            <w:vAlign w:val="bottom"/>
          </w:tcPr>
          <w:p>
            <w:pPr>
              <w:spacing w:after="0"/>
              <w:rPr>
                <w:sz w:val="16"/>
                <w:szCs w:val="16"/>
                <w:color w:val="auto"/>
              </w:rPr>
            </w:pPr>
          </w:p>
        </w:tc>
      </w:tr>
      <w:tr>
        <w:trPr>
          <w:trHeight w:val="222"/>
        </w:trPr>
        <w:tc>
          <w:tcPr>
            <w:tcW w:w="5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Arial" w:cs="Arial" w:eastAsia="Arial" w:hAnsi="Arial"/>
                <w:sz w:val="17"/>
                <w:szCs w:val="17"/>
                <w:color w:val="auto"/>
              </w:rPr>
              <w:t>Title:</w:t>
            </w:r>
          </w:p>
        </w:tc>
        <w:tc>
          <w:tcPr>
            <w:tcW w:w="4060" w:type="dxa"/>
            <w:vAlign w:val="bottom"/>
          </w:tcPr>
          <w:p>
            <w:pPr>
              <w:ind w:left="60"/>
              <w:spacing w:after="0"/>
              <w:rPr>
                <w:sz w:val="20"/>
                <w:szCs w:val="20"/>
                <w:color w:val="auto"/>
              </w:rPr>
            </w:pPr>
            <w:r>
              <w:rPr>
                <w:rFonts w:ascii="Arial" w:cs="Arial" w:eastAsia="Arial" w:hAnsi="Arial"/>
                <w:sz w:val="17"/>
                <w:szCs w:val="17"/>
                <w:color w:val="auto"/>
              </w:rPr>
              <w:t>President and Chief Executive Officer</w:t>
            </w:r>
          </w:p>
        </w:tc>
        <w:tc>
          <w:tcPr>
            <w:tcW w:w="40" w:type="dxa"/>
            <w:vAlign w:val="bottom"/>
          </w:tcPr>
          <w:p>
            <w:pPr>
              <w:spacing w:after="0"/>
              <w:rPr>
                <w:sz w:val="19"/>
                <w:szCs w:val="19"/>
                <w:color w:val="auto"/>
              </w:rPr>
            </w:pPr>
          </w:p>
        </w:tc>
      </w:tr>
      <w:tr>
        <w:trPr>
          <w:trHeight w:val="590"/>
        </w:trPr>
        <w:tc>
          <w:tcPr>
            <w:tcW w:w="57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7"/>
                <w:szCs w:val="17"/>
                <w:color w:val="auto"/>
              </w:rPr>
              <w:t>HOLDER:</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5720" w:type="dxa"/>
            <w:vAlign w:val="bottom"/>
          </w:tcPr>
          <w:p>
            <w:pPr>
              <w:spacing w:after="0"/>
              <w:rPr>
                <w:sz w:val="24"/>
                <w:szCs w:val="2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60" w:type="dxa"/>
            <w:vAlign w:val="bottom"/>
          </w:tcPr>
          <w:p>
            <w:pPr>
              <w:jc w:val="right"/>
              <w:ind w:right="349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r>
      <w:tr>
        <w:trPr>
          <w:trHeight w:val="222"/>
        </w:trPr>
        <w:tc>
          <w:tcPr>
            <w:tcW w:w="5720" w:type="dxa"/>
            <w:vAlign w:val="bottom"/>
          </w:tcPr>
          <w:p>
            <w:pPr>
              <w:spacing w:after="0"/>
              <w:rPr>
                <w:sz w:val="19"/>
                <w:szCs w:val="19"/>
                <w:color w:val="auto"/>
              </w:rPr>
            </w:pPr>
          </w:p>
        </w:tc>
        <w:tc>
          <w:tcPr>
            <w:tcW w:w="5700" w:type="dxa"/>
            <w:vAlign w:val="bottom"/>
            <w:gridSpan w:val="5"/>
          </w:tcPr>
          <w:p>
            <w:pPr>
              <w:spacing w:after="0"/>
              <w:rPr>
                <w:sz w:val="20"/>
                <w:szCs w:val="20"/>
                <w:color w:val="auto"/>
              </w:rPr>
            </w:pPr>
            <w:r>
              <w:rPr>
                <w:rFonts w:ascii="Arial" w:cs="Arial" w:eastAsia="Arial" w:hAnsi="Arial"/>
                <w:sz w:val="17"/>
                <w:szCs w:val="17"/>
                <w:color w:val="auto"/>
              </w:rPr>
              <w:t>PRINTED NAME OF HOLDER</w:t>
            </w:r>
          </w:p>
        </w:tc>
        <w:tc>
          <w:tcPr>
            <w:tcW w:w="40" w:type="dxa"/>
            <w:vAlign w:val="bottom"/>
          </w:tcPr>
          <w:p>
            <w:pPr>
              <w:spacing w:after="0"/>
              <w:rPr>
                <w:sz w:val="19"/>
                <w:szCs w:val="19"/>
                <w:color w:val="auto"/>
              </w:rPr>
            </w:pPr>
          </w:p>
        </w:tc>
      </w:tr>
      <w:tr>
        <w:trPr>
          <w:trHeight w:val="420"/>
        </w:trPr>
        <w:tc>
          <w:tcPr>
            <w:tcW w:w="57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7"/>
                <w:szCs w:val="17"/>
                <w:color w:val="auto"/>
              </w:rPr>
              <w:t>By:</w:t>
            </w:r>
          </w:p>
        </w:tc>
        <w:tc>
          <w:tcPr>
            <w:tcW w:w="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5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7"/>
                <w:szCs w:val="17"/>
                <w:color w:val="auto"/>
              </w:rPr>
              <w:t>SIGNATURE</w:t>
            </w:r>
          </w:p>
        </w:tc>
        <w:tc>
          <w:tcPr>
            <w:tcW w:w="40" w:type="dxa"/>
            <w:vAlign w:val="bottom"/>
          </w:tcPr>
          <w:p>
            <w:pPr>
              <w:spacing w:after="0"/>
              <w:rPr>
                <w:sz w:val="18"/>
                <w:szCs w:val="18"/>
                <w:color w:val="auto"/>
              </w:rPr>
            </w:pPr>
          </w:p>
        </w:tc>
      </w:tr>
      <w:tr>
        <w:trPr>
          <w:trHeight w:val="407"/>
        </w:trPr>
        <w:tc>
          <w:tcPr>
            <w:tcW w:w="57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7"/>
                <w:szCs w:val="17"/>
                <w:color w:val="auto"/>
              </w:rPr>
              <w:t>Name:</w:t>
            </w:r>
          </w:p>
        </w:tc>
        <w:tc>
          <w:tcPr>
            <w:tcW w:w="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5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7"/>
                <w:szCs w:val="17"/>
                <w:color w:val="auto"/>
              </w:rPr>
              <w:t>PRINTED NAME OF PERSON SIGNING</w:t>
            </w:r>
          </w:p>
        </w:tc>
        <w:tc>
          <w:tcPr>
            <w:tcW w:w="40" w:type="dxa"/>
            <w:vAlign w:val="bottom"/>
          </w:tcPr>
          <w:p>
            <w:pPr>
              <w:spacing w:after="0"/>
              <w:rPr>
                <w:sz w:val="18"/>
                <w:szCs w:val="18"/>
                <w:color w:val="auto"/>
              </w:rPr>
            </w:pPr>
          </w:p>
        </w:tc>
      </w:tr>
      <w:tr>
        <w:trPr>
          <w:trHeight w:val="407"/>
        </w:trPr>
        <w:tc>
          <w:tcPr>
            <w:tcW w:w="57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7"/>
                <w:szCs w:val="17"/>
                <w:color w:val="auto"/>
              </w:rPr>
              <w:t>Title:</w:t>
            </w:r>
          </w:p>
        </w:tc>
        <w:tc>
          <w:tcPr>
            <w:tcW w:w="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5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7"/>
                <w:szCs w:val="17"/>
                <w:color w:val="auto"/>
              </w:rPr>
              <w:t>PRINTED TITLE OF PERSON SIGNING</w:t>
            </w:r>
          </w:p>
        </w:tc>
        <w:tc>
          <w:tcPr>
            <w:tcW w:w="40" w:type="dxa"/>
            <w:vAlign w:val="bottom"/>
          </w:tcPr>
          <w:p>
            <w:pPr>
              <w:spacing w:after="0"/>
              <w:rPr>
                <w:sz w:val="18"/>
                <w:szCs w:val="18"/>
                <w:color w:val="auto"/>
              </w:rPr>
            </w:pPr>
          </w:p>
        </w:tc>
      </w:tr>
      <w:tr>
        <w:trPr>
          <w:trHeight w:val="395"/>
        </w:trPr>
        <w:tc>
          <w:tcPr>
            <w:tcW w:w="57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7"/>
                <w:szCs w:val="17"/>
                <w:color w:val="auto"/>
              </w:rPr>
              <w:t>Address:</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60" w:type="dxa"/>
            <w:vAlign w:val="bottom"/>
          </w:tcPr>
          <w:p>
            <w:pPr>
              <w:jc w:val="right"/>
              <w:ind w:right="177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r>
      <w:tr>
        <w:trPr>
          <w:trHeight w:val="210"/>
        </w:trPr>
        <w:tc>
          <w:tcPr>
            <w:tcW w:w="5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60" w:type="dxa"/>
            <w:vAlign w:val="bottom"/>
          </w:tcPr>
          <w:p>
            <w:pPr>
              <w:jc w:val="right"/>
              <w:ind w:right="177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22"/>
        </w:trPr>
        <w:tc>
          <w:tcPr>
            <w:tcW w:w="5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60" w:type="dxa"/>
            <w:vAlign w:val="bottom"/>
          </w:tcPr>
          <w:p>
            <w:pPr>
              <w:jc w:val="right"/>
              <w:ind w:right="177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338"/>
        </w:trPr>
        <w:tc>
          <w:tcPr>
            <w:tcW w:w="572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40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55" w:name="page256"/>
    <w:bookmarkEnd w:id="255"/>
    <w:p>
      <w:pPr>
        <w:spacing w:after="0" w:line="1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4.2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THIRD AMENDED AND RESTATED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SHAREHOLDERS’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212" w:lineRule="exact"/>
        <w:rPr>
          <w:sz w:val="20"/>
          <w:szCs w:val="20"/>
          <w:color w:val="auto"/>
        </w:rPr>
      </w:pPr>
    </w:p>
    <w:p>
      <w:pPr>
        <w:ind w:right="80" w:firstLine="629"/>
        <w:spacing w:after="0" w:line="290" w:lineRule="auto"/>
        <w:rPr>
          <w:sz w:val="20"/>
          <w:szCs w:val="20"/>
          <w:color w:val="auto"/>
        </w:rPr>
      </w:pPr>
      <w:r>
        <w:rPr>
          <w:rFonts w:ascii="Arial" w:cs="Arial" w:eastAsia="Arial" w:hAnsi="Arial"/>
          <w:sz w:val="16"/>
          <w:szCs w:val="16"/>
          <w:color w:val="auto"/>
        </w:rPr>
        <w:t>This Third Amended and Restated Shareholders’ Agreement, dated effective as of September 15, 2006 (as amended, restated, supplemented or otherwise modified from time to time,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by and among Applied Optoelectronics, Inc., a Texas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the holders of the Company’s Common Stock (defined below) (the “</w:t>
      </w:r>
      <w:r>
        <w:rPr>
          <w:rFonts w:ascii="Arial" w:cs="Arial" w:eastAsia="Arial" w:hAnsi="Arial"/>
          <w:sz w:val="16"/>
          <w:szCs w:val="16"/>
          <w:b w:val="1"/>
          <w:bCs w:val="1"/>
          <w:i w:val="1"/>
          <w:iCs w:val="1"/>
          <w:color w:val="auto"/>
        </w:rPr>
        <w:t>Common Shareholders</w:t>
      </w:r>
      <w:r>
        <w:rPr>
          <w:rFonts w:ascii="Arial" w:cs="Arial" w:eastAsia="Arial" w:hAnsi="Arial"/>
          <w:sz w:val="16"/>
          <w:szCs w:val="16"/>
          <w:color w:val="auto"/>
        </w:rPr>
        <w:t>”), the holders of the Company’s Preferred Stock (defined below) (the “</w:t>
      </w:r>
      <w:r>
        <w:rPr>
          <w:rFonts w:ascii="Arial" w:cs="Arial" w:eastAsia="Arial" w:hAnsi="Arial"/>
          <w:sz w:val="16"/>
          <w:szCs w:val="16"/>
          <w:b w:val="1"/>
          <w:bCs w:val="1"/>
          <w:i w:val="1"/>
          <w:iCs w:val="1"/>
          <w:color w:val="auto"/>
        </w:rPr>
        <w:t>Preferred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Shareholders</w:t>
      </w:r>
      <w:r>
        <w:rPr>
          <w:rFonts w:ascii="Arial" w:cs="Arial" w:eastAsia="Arial" w:hAnsi="Arial"/>
          <w:sz w:val="16"/>
          <w:szCs w:val="16"/>
          <w:color w:val="auto"/>
        </w:rPr>
        <w:t>”), and such other persons or entities who execute this Agreement from time to time (collectively, the “</w:t>
      </w:r>
      <w:r>
        <w:rPr>
          <w:rFonts w:ascii="Arial" w:cs="Arial" w:eastAsia="Arial" w:hAnsi="Arial"/>
          <w:sz w:val="16"/>
          <w:szCs w:val="16"/>
          <w:b w:val="1"/>
          <w:bCs w:val="1"/>
          <w:i w:val="1"/>
          <w:iCs w:val="1"/>
          <w:color w:val="auto"/>
        </w:rPr>
        <w:t>Shareholders</w:t>
      </w:r>
      <w:r>
        <w:rPr>
          <w:rFonts w:ascii="Arial" w:cs="Arial" w:eastAsia="Arial" w:hAnsi="Arial"/>
          <w:sz w:val="16"/>
          <w:szCs w:val="16"/>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30" w:lineRule="exact"/>
        <w:rPr>
          <w:sz w:val="20"/>
          <w:szCs w:val="20"/>
          <w:color w:val="auto"/>
        </w:rPr>
      </w:pPr>
    </w:p>
    <w:p>
      <w:pPr>
        <w:ind w:right="60" w:firstLine="634"/>
        <w:spacing w:after="0" w:line="273" w:lineRule="auto"/>
        <w:tabs>
          <w:tab w:leader="none" w:pos="1271"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The Common Shareholders own shares of common stock, no par value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the Company, and the Preferred Shareholders own Preferred Stock, no par value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as designated pursuant to the Company’s Articles of Incorporation (as amended, restated, supplemented or otherwise modified from time to time).</w:t>
      </w:r>
    </w:p>
    <w:p>
      <w:pPr>
        <w:spacing w:after="0" w:line="171" w:lineRule="exact"/>
        <w:rPr>
          <w:rFonts w:ascii="Arial" w:cs="Arial" w:eastAsia="Arial" w:hAnsi="Arial"/>
          <w:sz w:val="17"/>
          <w:szCs w:val="17"/>
          <w:color w:val="auto"/>
        </w:rPr>
      </w:pPr>
    </w:p>
    <w:p>
      <w:pPr>
        <w:ind w:right="160" w:firstLine="634"/>
        <w:spacing w:after="0" w:line="270" w:lineRule="auto"/>
        <w:tabs>
          <w:tab w:leader="none" w:pos="1261" w:val="left"/>
        </w:tabs>
        <w:numPr>
          <w:ilvl w:val="0"/>
          <w:numId w:val="282"/>
        </w:numPr>
        <w:rPr>
          <w:rFonts w:ascii="Arial" w:cs="Arial" w:eastAsia="Arial" w:hAnsi="Arial"/>
          <w:sz w:val="16"/>
          <w:szCs w:val="16"/>
          <w:color w:val="auto"/>
        </w:rPr>
      </w:pPr>
      <w:r>
        <w:rPr>
          <w:rFonts w:ascii="Arial" w:cs="Arial" w:eastAsia="Arial" w:hAnsi="Arial"/>
          <w:sz w:val="16"/>
          <w:szCs w:val="16"/>
          <w:color w:val="auto"/>
        </w:rPr>
        <w:t>Certain of the Shareholders entered into the First Amended and Restated Shareholders’ Agreement dated as of May 4, 2001 and the Second Amended and Restated Shareholders’ Agreement dated as of December 9, 2004 (collectively, the “</w:t>
      </w:r>
      <w:r>
        <w:rPr>
          <w:rFonts w:ascii="Arial" w:cs="Arial" w:eastAsia="Arial" w:hAnsi="Arial"/>
          <w:sz w:val="16"/>
          <w:szCs w:val="16"/>
          <w:b w:val="1"/>
          <w:bCs w:val="1"/>
          <w:i w:val="1"/>
          <w:iCs w:val="1"/>
          <w:color w:val="auto"/>
        </w:rPr>
        <w:t>Previous Agreements</w:t>
      </w:r>
      <w:r>
        <w:rPr>
          <w:rFonts w:ascii="Arial" w:cs="Arial" w:eastAsia="Arial" w:hAnsi="Arial"/>
          <w:sz w:val="16"/>
          <w:szCs w:val="16"/>
          <w:color w:val="auto"/>
        </w:rPr>
        <w:t xml:space="preserve">”) with the Company, which agreements provided that they could be amended, modified or replaced by a writing signed by the Company and Shareholders holding Shares equal or greater than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outstanding Common Stock (on an as-converted basis), and this Agreement has been signed by the Company and Shareholders holding at least the requisite amount of Common Stock, all of whom desire to amend, restate, and replace the Previous Agreements with this Agreement.</w:t>
      </w:r>
    </w:p>
    <w:p>
      <w:pPr>
        <w:spacing w:after="0" w:line="171" w:lineRule="exact"/>
        <w:rPr>
          <w:rFonts w:ascii="Arial" w:cs="Arial" w:eastAsia="Arial" w:hAnsi="Arial"/>
          <w:sz w:val="16"/>
          <w:szCs w:val="16"/>
          <w:color w:val="auto"/>
        </w:rPr>
      </w:pPr>
    </w:p>
    <w:p>
      <w:pPr>
        <w:ind w:right="120" w:firstLine="634"/>
        <w:spacing w:after="0" w:line="289" w:lineRule="auto"/>
        <w:tabs>
          <w:tab w:leader="none" w:pos="1261" w:val="left"/>
        </w:tabs>
        <w:numPr>
          <w:ilvl w:val="0"/>
          <w:numId w:val="282"/>
        </w:numPr>
        <w:rPr>
          <w:rFonts w:ascii="Arial" w:cs="Arial" w:eastAsia="Arial" w:hAnsi="Arial"/>
          <w:sz w:val="17"/>
          <w:szCs w:val="17"/>
          <w:color w:val="auto"/>
        </w:rPr>
      </w:pPr>
      <w:r>
        <w:rPr>
          <w:rFonts w:ascii="Arial" w:cs="Arial" w:eastAsia="Arial" w:hAnsi="Arial"/>
          <w:sz w:val="17"/>
          <w:szCs w:val="17"/>
          <w:color w:val="auto"/>
        </w:rPr>
        <w:t>From time to time after the date of this Agreement, at the Company’s option, Persons (herein defined) who acquire Shares (herein defined) may execute this Agreement and become party hereto.</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230" w:lineRule="exact"/>
        <w:rPr>
          <w:sz w:val="20"/>
          <w:szCs w:val="20"/>
          <w:color w:val="auto"/>
        </w:rPr>
      </w:pPr>
    </w:p>
    <w:p>
      <w:pPr>
        <w:ind w:right="780" w:firstLine="629"/>
        <w:spacing w:after="0" w:line="322" w:lineRule="auto"/>
        <w:rPr>
          <w:sz w:val="20"/>
          <w:szCs w:val="20"/>
          <w:color w:val="auto"/>
        </w:rPr>
      </w:pPr>
      <w:r>
        <w:rPr>
          <w:rFonts w:ascii="Arial" w:cs="Arial" w:eastAsia="Arial" w:hAnsi="Arial"/>
          <w:sz w:val="16"/>
          <w:szCs w:val="16"/>
          <w:color w:val="auto"/>
        </w:rPr>
        <w:t>NOW, THEREFORE, in consideration of the premises and the mutual covenants and agreements contained herein and other good and valuable consideration (the receipt and sufficiency of which are hereby stipulated and acknowledged), the parties hereto agree as follows: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AND RESTATEMENT OF PREVIOUS AGREEMENTS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parties hereto hereby amend and restate, and replace in their entirety, the Previous Agreements with this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Specific Definitions</w:t>
      </w:r>
      <w:r>
        <w:rPr>
          <w:rFonts w:ascii="Arial" w:cs="Arial" w:eastAsia="Arial" w:hAnsi="Arial"/>
          <w:sz w:val="17"/>
          <w:szCs w:val="17"/>
          <w:color w:val="auto"/>
        </w:rPr>
        <w:t>. The following capitalized terms have the following definitions:</w:t>
      </w:r>
    </w:p>
    <w:p>
      <w:pPr>
        <w:spacing w:after="0" w:line="224"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Action</w:t>
      </w:r>
      <w:r>
        <w:rPr>
          <w:rFonts w:ascii="Arial" w:cs="Arial" w:eastAsia="Arial" w:hAnsi="Arial"/>
          <w:sz w:val="17"/>
          <w:szCs w:val="17"/>
          <w:color w:val="auto"/>
        </w:rPr>
        <w:t>” means any action, appeal, petition, plea, charge, complaint, claim, suit, demand, litigation, arbitration, mediation, hearing, inquiry, investigation or similar event, occurrence, or proceeding.</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defined in the Preamble.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Company’s Board of Directors.</w:t>
      </w:r>
    </w:p>
    <w:p>
      <w:pPr>
        <w:spacing w:after="0" w:line="224" w:lineRule="exact"/>
        <w:rPr>
          <w:sz w:val="20"/>
          <w:szCs w:val="20"/>
          <w:color w:val="auto"/>
        </w:rPr>
      </w:pPr>
    </w:p>
    <w:p>
      <w:pPr>
        <w:ind w:right="32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Breach</w:t>
      </w:r>
      <w:r>
        <w:rPr>
          <w:rFonts w:ascii="Arial" w:cs="Arial" w:eastAsia="Arial" w:hAnsi="Arial"/>
          <w:sz w:val="17"/>
          <w:szCs w:val="17"/>
          <w:color w:val="auto"/>
        </w:rPr>
        <w:t>” means any breach, inaccuracy, failure to perform, failure to comply, conflict with, default, violation, acceleration, termination, cancellation, modification, or required notification.</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Common Shareholders</w:t>
      </w:r>
      <w:r>
        <w:rPr>
          <w:rFonts w:ascii="Arial" w:cs="Arial" w:eastAsia="Arial" w:hAnsi="Arial"/>
          <w:sz w:val="17"/>
          <w:szCs w:val="17"/>
          <w:color w:val="auto"/>
        </w:rPr>
        <w:t>” is defined in the Preamble.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is defined in the Recitals.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defined in the Preamble.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Equity</w:t>
      </w:r>
      <w:r>
        <w:rPr>
          <w:rFonts w:ascii="Arial" w:cs="Arial" w:eastAsia="Arial" w:hAnsi="Arial"/>
          <w:sz w:val="17"/>
          <w:szCs w:val="17"/>
          <w:color w:val="auto"/>
        </w:rPr>
        <w:t>” means the Company’s Common Stock and the Company’s Preferred Stock.</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Consent</w:t>
      </w:r>
      <w:r>
        <w:rPr>
          <w:rFonts w:ascii="Arial" w:cs="Arial" w:eastAsia="Arial" w:hAnsi="Arial"/>
          <w:sz w:val="17"/>
          <w:szCs w:val="17"/>
          <w:color w:val="auto"/>
        </w:rPr>
        <w:t>” means any consent, approval, notification, waiver, or other similar action that is necessary or convenient.</w:t>
      </w:r>
    </w:p>
    <w:p>
      <w:pPr>
        <w:spacing w:after="0" w:line="224" w:lineRule="exact"/>
        <w:rPr>
          <w:sz w:val="20"/>
          <w:szCs w:val="20"/>
          <w:color w:val="auto"/>
        </w:rPr>
      </w:pPr>
    </w:p>
    <w:p>
      <w:pPr>
        <w:ind w:right="60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Contract</w:t>
      </w:r>
      <w:r>
        <w:rPr>
          <w:rFonts w:ascii="Arial" w:cs="Arial" w:eastAsia="Arial" w:hAnsi="Arial"/>
          <w:sz w:val="17"/>
          <w:szCs w:val="17"/>
          <w:color w:val="auto"/>
        </w:rPr>
        <w:t>” means any contract, agreement, arrangement, commitment, letter of intent, memorandum of understanding, promise, obligation, right, instrument, document, or other similar understanding, whether written or oral.</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w:t>
      </w:r>
    </w:p>
    <w:p>
      <w:pPr>
        <w:spacing w:after="0" w:line="224" w:lineRule="exact"/>
        <w:rPr>
          <w:sz w:val="20"/>
          <w:szCs w:val="20"/>
          <w:color w:val="auto"/>
        </w:rPr>
      </w:pPr>
    </w:p>
    <w:p>
      <w:pPr>
        <w:ind w:right="200" w:firstLine="62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the fair market value of the applicable Shares on the date of the applicable purchase as determined by an independent appraiser, which independent appraiser shall be an investment banking firm, an accounting firm or a similar firm with expertise valuing businesses similar to the Company.</w:t>
      </w:r>
    </w:p>
    <w:p>
      <w:pPr>
        <w:spacing w:after="0" w:line="172" w:lineRule="exact"/>
        <w:rPr>
          <w:sz w:val="20"/>
          <w:szCs w:val="20"/>
          <w:color w:val="auto"/>
        </w:rPr>
      </w:pPr>
    </w:p>
    <w:p>
      <w:pPr>
        <w:ind w:right="200" w:firstLine="629"/>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Authority</w:t>
      </w:r>
      <w:r>
        <w:rPr>
          <w:rFonts w:ascii="Arial" w:cs="Arial" w:eastAsia="Arial" w:hAnsi="Arial"/>
          <w:sz w:val="16"/>
          <w:szCs w:val="16"/>
          <w:color w:val="auto"/>
        </w:rPr>
        <w:t>” means any legislature, agency, bureau, branch, department, division, commission, court, tribunal, magistrate, justice, multi-national organization, quasi-governmental body, or other similar recognized organization or body of any federal, state, county, municipal, local, or foreign</w:t>
      </w:r>
    </w:p>
    <w:p>
      <w:pPr>
        <w:sectPr>
          <w:pgSz w:w="11900" w:h="16854" w:orient="portrait"/>
          <w:cols w:equalWidth="0" w:num="1">
            <w:col w:w="11420"/>
          </w:cols>
          <w:pgMar w:left="240" w:top="357" w:right="239" w:bottom="0" w:gutter="0" w:footer="0" w:header="0"/>
        </w:sectPr>
      </w:pPr>
    </w:p>
    <w:bookmarkStart w:id="256" w:name="page257"/>
    <w:bookmarkEnd w:id="256"/>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government or other similar recognized organization or body exercising similar powers or authority.</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2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IPO</w:t>
      </w:r>
      <w:r>
        <w:rPr>
          <w:rFonts w:ascii="Arial" w:cs="Arial" w:eastAsia="Arial" w:hAnsi="Arial"/>
          <w:sz w:val="17"/>
          <w:szCs w:val="17"/>
          <w:color w:val="auto"/>
        </w:rPr>
        <w:t>” means an underwritten public offering under an effective registration statement under the Securities Act, covering the offering and sale of Common Stock for the account of the Company.</w:t>
      </w:r>
    </w:p>
    <w:p>
      <w:pPr>
        <w:spacing w:after="0" w:line="158" w:lineRule="exact"/>
        <w:rPr>
          <w:sz w:val="20"/>
          <w:szCs w:val="20"/>
          <w:color w:val="auto"/>
        </w:rPr>
      </w:pPr>
    </w:p>
    <w:p>
      <w:pPr>
        <w:jc w:val="both"/>
        <w:ind w:right="20" w:firstLine="62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Law</w:t>
      </w:r>
      <w:r>
        <w:rPr>
          <w:rFonts w:ascii="Arial" w:cs="Arial" w:eastAsia="Arial" w:hAnsi="Arial"/>
          <w:sz w:val="17"/>
          <w:szCs w:val="17"/>
          <w:color w:val="auto"/>
        </w:rPr>
        <w:t>” means any law (statutory, common, or otherwise), constitution, treaty, convention, ordinance, equitable principle, code, rule, regulation, executive order, or other similar authority enacted, adopted, promulgated, or applied by any Governmental Authority and any rule or regulation of any stock exchange upon which any Common Stock is listed, each as amended and now in effect.</w:t>
      </w:r>
    </w:p>
    <w:p>
      <w:pPr>
        <w:spacing w:after="0" w:line="172"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Major Investor</w:t>
      </w:r>
      <w:r>
        <w:rPr>
          <w:rFonts w:ascii="Arial" w:cs="Arial" w:eastAsia="Arial" w:hAnsi="Arial"/>
          <w:sz w:val="17"/>
          <w:szCs w:val="17"/>
          <w:color w:val="auto"/>
        </w:rPr>
        <w:t>” means any Person who owns of record a number of shares of Company Equity equal to, on an as-converted basis, 2,000,000 shares of Common Stock (as adjusted for stock splits, reverse stock splits, stock dividends and similar transactions).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Offer Exercise Period</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5.3(b)</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Offer Notice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5.3(a)</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Offered Shares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5.3(a)</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Offering Holder</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5.3(a)</w:t>
      </w:r>
      <w:r>
        <w:rPr>
          <w:rFonts w:ascii="Arial" w:cs="Arial" w:eastAsia="Arial" w:hAnsi="Arial"/>
          <w:sz w:val="17"/>
          <w:szCs w:val="17"/>
          <w:color w:val="auto"/>
        </w:rPr>
        <w:t>.</w:t>
      </w:r>
    </w:p>
    <w:p>
      <w:pPr>
        <w:spacing w:after="0" w:line="224" w:lineRule="exact"/>
        <w:rPr>
          <w:sz w:val="20"/>
          <w:szCs w:val="20"/>
          <w:color w:val="auto"/>
        </w:rPr>
      </w:pPr>
    </w:p>
    <w:p>
      <w:pPr>
        <w:ind w:right="160" w:firstLine="629"/>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Order</w:t>
      </w:r>
      <w:r>
        <w:rPr>
          <w:rFonts w:ascii="Arial" w:cs="Arial" w:eastAsia="Arial" w:hAnsi="Arial"/>
          <w:sz w:val="16"/>
          <w:szCs w:val="16"/>
          <w:color w:val="auto"/>
        </w:rPr>
        <w:t>” means any order, ruling, decision, verdict, decree, writ, subpoena, mandate, precept, command, directive, consent, approval, award, judgment, injunction, or other similar determination or finding by, before, or under the supervision of any Governmental Authority, arbitrator, or mediator.</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means the Company and the Shareholders.</w:t>
      </w:r>
    </w:p>
    <w:p>
      <w:pPr>
        <w:spacing w:after="0" w:line="224" w:lineRule="exact"/>
        <w:rPr>
          <w:sz w:val="20"/>
          <w:szCs w:val="20"/>
          <w:color w:val="auto"/>
        </w:rPr>
      </w:pPr>
    </w:p>
    <w:p>
      <w:pPr>
        <w:ind w:right="82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w:t>
      </w:r>
      <w:r>
        <w:rPr>
          <w:rFonts w:ascii="Arial" w:cs="Arial" w:eastAsia="Arial" w:hAnsi="Arial"/>
          <w:sz w:val="17"/>
          <w:szCs w:val="17"/>
          <w:color w:val="auto"/>
        </w:rPr>
        <w:t>” means any permit, license, certificate, approval, consent, notice, waiver, franchise, registration, filing, accreditation, or other similar authorization required by any Law, Governmental Authority, or Contract.</w:t>
      </w:r>
    </w:p>
    <w:p>
      <w:pPr>
        <w:spacing w:after="0" w:line="158" w:lineRule="exact"/>
        <w:rPr>
          <w:sz w:val="20"/>
          <w:szCs w:val="20"/>
          <w:color w:val="auto"/>
        </w:rPr>
      </w:pPr>
    </w:p>
    <w:p>
      <w:pPr>
        <w:ind w:right="740" w:firstLine="629"/>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individual, partnership, limited liability company, corporation, association, joint stock company, trust, joint venture, labor organization, unincorporated organization, or governmental authority (including any administrative, legislative or judicial department thereof).</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Preferred Shareholders</w:t>
      </w:r>
      <w:r>
        <w:rPr>
          <w:rFonts w:ascii="Arial" w:cs="Arial" w:eastAsia="Arial" w:hAnsi="Arial"/>
          <w:sz w:val="17"/>
          <w:szCs w:val="17"/>
          <w:color w:val="auto"/>
        </w:rPr>
        <w:t>” is defined in the Preamble.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is defined in the Recitals.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Previous Agreements</w:t>
      </w:r>
      <w:r>
        <w:rPr>
          <w:rFonts w:ascii="Arial" w:cs="Arial" w:eastAsia="Arial" w:hAnsi="Arial"/>
          <w:sz w:val="17"/>
          <w:szCs w:val="17"/>
          <w:color w:val="auto"/>
        </w:rPr>
        <w:t>” is defined in the Recitals.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w:t>
      </w:r>
      <w:r>
        <w:rPr>
          <w:rFonts w:ascii="Arial" w:cs="Arial" w:eastAsia="Arial" w:hAnsi="Arial"/>
          <w:sz w:val="17"/>
          <w:szCs w:val="17"/>
          <w:color w:val="auto"/>
        </w:rPr>
        <w:t>” means the Securities and Exchange Commission.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 as amended.</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Shareholders</w:t>
      </w:r>
      <w:r>
        <w:rPr>
          <w:rFonts w:ascii="Arial" w:cs="Arial" w:eastAsia="Arial" w:hAnsi="Arial"/>
          <w:sz w:val="17"/>
          <w:szCs w:val="17"/>
          <w:color w:val="auto"/>
        </w:rPr>
        <w:t>” is defined in the Preamble.</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D Lead VC</w:t>
      </w:r>
      <w:r>
        <w:rPr>
          <w:rFonts w:ascii="Arial" w:cs="Arial" w:eastAsia="Arial" w:hAnsi="Arial"/>
          <w:sz w:val="17"/>
          <w:szCs w:val="17"/>
          <w:color w:val="auto"/>
        </w:rPr>
        <w:t>” means CTB Financial Management &amp; Consulting Co., so long as it and its affiliates own at least 1,000,000 shares of the Company’s Series D Preferred Stock.</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means, at any time, all shares of capital stock of the Company owned by the applicable Shareholder.</w:t>
      </w:r>
    </w:p>
    <w:p>
      <w:pPr>
        <w:spacing w:after="0" w:line="224"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Significant Investor</w:t>
      </w:r>
      <w:r>
        <w:rPr>
          <w:rFonts w:ascii="Arial" w:cs="Arial" w:eastAsia="Arial" w:hAnsi="Arial"/>
          <w:sz w:val="17"/>
          <w:szCs w:val="17"/>
          <w:color w:val="auto"/>
        </w:rPr>
        <w:t>” means any Person that owns of record a number of shares of Company equal to, on an as-converted basis, 1,000,000 shares of Common Stock (as adjusted for stock splits, reverse stock splits, stock dividends and similar transactions).</w:t>
      </w:r>
    </w:p>
    <w:p>
      <w:pPr>
        <w:spacing w:after="0" w:line="158" w:lineRule="exact"/>
        <w:rPr>
          <w:sz w:val="20"/>
          <w:szCs w:val="20"/>
          <w:color w:val="auto"/>
        </w:rPr>
      </w:pPr>
    </w:p>
    <w:p>
      <w:pPr>
        <w:ind w:right="280" w:firstLine="6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Spouse’s Interest</w:t>
      </w:r>
      <w:r>
        <w:rPr>
          <w:rFonts w:ascii="Arial" w:cs="Arial" w:eastAsia="Arial" w:hAnsi="Arial"/>
          <w:sz w:val="17"/>
          <w:szCs w:val="17"/>
          <w:color w:val="auto"/>
        </w:rPr>
        <w:t>” means that portion of a Shareholder’s Shares that such Shareholder’s spouse or the spouse’s estate owns by virtue of the spouse’s community interest in the Shares or otherwise.</w:t>
      </w:r>
    </w:p>
    <w:p>
      <w:pPr>
        <w:spacing w:after="0" w:line="158"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means any sale, assignment, transfer, pledge, encumbrance or other disposal or alienation , whether directly or indirectly, voluntarily or involuntarily, with or without consideration, by gift, operation of law or otherwise (including by merger, consolidation, share exchange, sale of all or substantially all of a Person’s assets, or by change of control of a Person).</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ARTICLE 3</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OWNERSHIP OF EQUITY INTERESTS</w:t>
      </w:r>
    </w:p>
    <w:p>
      <w:pPr>
        <w:spacing w:after="0" w:line="212" w:lineRule="exact"/>
        <w:rPr>
          <w:sz w:val="20"/>
          <w:szCs w:val="20"/>
          <w:color w:val="auto"/>
        </w:rPr>
      </w:pPr>
    </w:p>
    <w:p>
      <w:pPr>
        <w:jc w:val="both"/>
        <w:ind w:left="620" w:right="40" w:hanging="628"/>
        <w:spacing w:after="0" w:line="298" w:lineRule="auto"/>
        <w:tabs>
          <w:tab w:leader="none" w:pos="6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6"/>
          <w:szCs w:val="16"/>
          <w:u w:val="single" w:color="auto"/>
          <w:color w:val="auto"/>
        </w:rPr>
        <w:t>Ownership; Applicability of this Agreement</w:t>
      </w:r>
      <w:r>
        <w:rPr>
          <w:rFonts w:ascii="Arial" w:cs="Arial" w:eastAsia="Arial" w:hAnsi="Arial"/>
          <w:sz w:val="16"/>
          <w:szCs w:val="16"/>
          <w:color w:val="auto"/>
        </w:rPr>
        <w:t>. Each Shareholder represents and warrants that it owns (beneficially and of record) the Shares set forth next</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to such Shareholder’s name on such Shareholder’s signature page hereto. All Shares owned (now or hereafter) by each Shareholder will be subject to all of the terms and provisions of this Agreement, and each certificate representing Shares shall contain the legends set forth in </w:t>
      </w:r>
      <w:r>
        <w:rPr>
          <w:rFonts w:ascii="Arial" w:cs="Arial" w:eastAsia="Arial" w:hAnsi="Arial"/>
          <w:sz w:val="16"/>
          <w:szCs w:val="16"/>
          <w:u w:val="single" w:color="auto"/>
          <w:color w:val="auto"/>
        </w:rPr>
        <w:t>Section 11.5</w:t>
      </w:r>
      <w:r>
        <w:rPr>
          <w:rFonts w:ascii="Arial" w:cs="Arial" w:eastAsia="Arial" w:hAnsi="Arial"/>
          <w:sz w:val="16"/>
          <w:szCs w:val="16"/>
          <w:color w:val="auto"/>
        </w:rPr>
        <w:t>.</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ARTICLE 4</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REPRESENTATIONS AND WARRANTIES</w:t>
      </w:r>
    </w:p>
    <w:p>
      <w:pPr>
        <w:spacing w:after="0" w:line="212" w:lineRule="exact"/>
        <w:rPr>
          <w:sz w:val="20"/>
          <w:szCs w:val="20"/>
          <w:color w:val="auto"/>
        </w:rPr>
      </w:pPr>
    </w:p>
    <w:p>
      <w:pPr>
        <w:ind w:left="620" w:right="200" w:hanging="628"/>
        <w:spacing w:after="0" w:line="289" w:lineRule="auto"/>
        <w:tabs>
          <w:tab w:leader="none" w:pos="60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Shareholder represents and warrants to the other Parties that the statements contained in this</w:t>
      </w:r>
      <w:r>
        <w:rPr>
          <w:rFonts w:ascii="Arial" w:cs="Arial" w:eastAsia="Arial" w:hAnsi="Arial"/>
          <w:sz w:val="17"/>
          <w:szCs w:val="17"/>
          <w:u w:val="single" w:color="auto"/>
          <w:color w:val="auto"/>
        </w:rPr>
        <w:t xml:space="preserve"> Section 4.1 </w:t>
      </w:r>
      <w:r>
        <w:rPr>
          <w:rFonts w:ascii="Arial" w:cs="Arial" w:eastAsia="Arial" w:hAnsi="Arial"/>
          <w:sz w:val="17"/>
          <w:szCs w:val="17"/>
          <w:color w:val="auto"/>
        </w:rPr>
        <w:t>are true</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correct as of the date of this Agreement.</w:t>
      </w:r>
    </w:p>
    <w:p>
      <w:pPr>
        <w:sectPr>
          <w:pgSz w:w="11900" w:h="16871" w:orient="portrait"/>
          <w:cols w:equalWidth="0" w:num="1">
            <w:col w:w="11360"/>
          </w:cols>
          <w:pgMar w:left="240" w:top="127" w:right="299" w:bottom="0" w:gutter="0" w:footer="0" w:header="0"/>
        </w:sectPr>
      </w:pPr>
    </w:p>
    <w:bookmarkStart w:id="257" w:name="page258"/>
    <w:bookmarkEnd w:id="257"/>
    <w:p>
      <w:pPr>
        <w:spacing w:after="0" w:line="79" w:lineRule="exact"/>
        <w:rPr>
          <w:sz w:val="20"/>
          <w:szCs w:val="20"/>
          <w:color w:val="auto"/>
        </w:rPr>
      </w:pPr>
    </w:p>
    <w:p>
      <w:pPr>
        <w:ind w:left="940" w:hanging="306"/>
        <w:spacing w:after="0"/>
        <w:tabs>
          <w:tab w:leader="none" w:pos="94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If such Shareholder is an entity:</w:t>
      </w:r>
    </w:p>
    <w:p>
      <w:pPr>
        <w:spacing w:after="0" w:line="224" w:lineRule="exact"/>
        <w:rPr>
          <w:rFonts w:ascii="Arial" w:cs="Arial" w:eastAsia="Arial" w:hAnsi="Arial"/>
          <w:sz w:val="17"/>
          <w:szCs w:val="17"/>
          <w:color w:val="auto"/>
        </w:rPr>
      </w:pPr>
    </w:p>
    <w:p>
      <w:pPr>
        <w:ind w:left="1900" w:right="200" w:hanging="637"/>
        <w:spacing w:after="0" w:line="273" w:lineRule="auto"/>
        <w:tabs>
          <w:tab w:leader="none" w:pos="1921" w:val="left"/>
        </w:tabs>
        <w:numPr>
          <w:ilvl w:val="1"/>
          <w:numId w:val="283"/>
        </w:numPr>
        <w:rPr>
          <w:rFonts w:ascii="Arial" w:cs="Arial" w:eastAsia="Arial" w:hAnsi="Arial"/>
          <w:sz w:val="17"/>
          <w:szCs w:val="17"/>
          <w:color w:val="auto"/>
        </w:rPr>
      </w:pPr>
      <w:r>
        <w:rPr>
          <w:rFonts w:ascii="Arial" w:cs="Arial" w:eastAsia="Arial" w:hAnsi="Arial"/>
          <w:sz w:val="17"/>
          <w:szCs w:val="17"/>
          <w:color w:val="auto"/>
        </w:rPr>
        <w:t>such Shareholder is (A) an entity duly created, formed or organized, validly existing, (B) in good standing under the Laws of the jurisdiction of its creation, formation, or organization, (C) duly authorized to conduct its business and (D) in good standing under the Laws of each jurisdiction where such qualification is required;</w:t>
      </w:r>
    </w:p>
    <w:p>
      <w:pPr>
        <w:spacing w:after="0" w:line="171" w:lineRule="exact"/>
        <w:rPr>
          <w:rFonts w:ascii="Arial" w:cs="Arial" w:eastAsia="Arial" w:hAnsi="Arial"/>
          <w:sz w:val="17"/>
          <w:szCs w:val="17"/>
          <w:color w:val="auto"/>
        </w:rPr>
      </w:pPr>
    </w:p>
    <w:p>
      <w:pPr>
        <w:ind w:left="1900" w:right="20" w:hanging="637"/>
        <w:spacing w:after="0" w:line="289" w:lineRule="auto"/>
        <w:tabs>
          <w:tab w:leader="none" w:pos="1930" w:val="left"/>
        </w:tabs>
        <w:numPr>
          <w:ilvl w:val="1"/>
          <w:numId w:val="283"/>
        </w:numPr>
        <w:rPr>
          <w:rFonts w:ascii="Arial" w:cs="Arial" w:eastAsia="Arial" w:hAnsi="Arial"/>
          <w:sz w:val="17"/>
          <w:szCs w:val="17"/>
          <w:color w:val="auto"/>
        </w:rPr>
      </w:pPr>
      <w:r>
        <w:rPr>
          <w:rFonts w:ascii="Arial" w:cs="Arial" w:eastAsia="Arial" w:hAnsi="Arial"/>
          <w:sz w:val="17"/>
          <w:szCs w:val="17"/>
          <w:color w:val="auto"/>
        </w:rPr>
        <w:t>such Shareholder (A) has the corporate power and authority to execute and deliver this Agreement, and to perform and consummate all transactions contemplated hereby, (B) has taken all actions necessary to authorize the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right="460"/>
        <w:spacing w:after="0" w:line="289" w:lineRule="auto"/>
        <w:rPr>
          <w:sz w:val="20"/>
          <w:szCs w:val="20"/>
          <w:color w:val="auto"/>
        </w:rPr>
      </w:pPr>
      <w:r>
        <w:rPr>
          <w:rFonts w:ascii="Arial" w:cs="Arial" w:eastAsia="Arial" w:hAnsi="Arial"/>
          <w:sz w:val="17"/>
          <w:szCs w:val="17"/>
          <w:color w:val="auto"/>
        </w:rPr>
        <w:t>execution and delivery of this Agreement, the performance of its obligations hereunder, and the consummation of all transactions contemplated hereby; and</w:t>
      </w:r>
    </w:p>
    <w:p>
      <w:pPr>
        <w:spacing w:after="0" w:line="158" w:lineRule="exact"/>
        <w:rPr>
          <w:sz w:val="20"/>
          <w:szCs w:val="20"/>
          <w:color w:val="auto"/>
        </w:rPr>
      </w:pPr>
    </w:p>
    <w:p>
      <w:pPr>
        <w:ind w:left="1900" w:right="60" w:hanging="637"/>
        <w:spacing w:after="0" w:line="290" w:lineRule="auto"/>
        <w:tabs>
          <w:tab w:leader="none" w:pos="1939" w:val="left"/>
        </w:tabs>
        <w:numPr>
          <w:ilvl w:val="1"/>
          <w:numId w:val="284"/>
        </w:numPr>
        <w:rPr>
          <w:rFonts w:ascii="Arial" w:cs="Arial" w:eastAsia="Arial" w:hAnsi="Arial"/>
          <w:sz w:val="16"/>
          <w:szCs w:val="16"/>
          <w:color w:val="auto"/>
        </w:rPr>
      </w:pPr>
      <w:r>
        <w:rPr>
          <w:rFonts w:ascii="Arial" w:cs="Arial" w:eastAsia="Arial" w:hAnsi="Arial"/>
          <w:sz w:val="16"/>
          <w:szCs w:val="16"/>
          <w:color w:val="auto"/>
        </w:rPr>
        <w:t>the execution and the delivery of this Agreement by such Shareholder do not, and the performance and consummation of the transactions contemplated hereby by such Shareholder will not, (A) Breach any Law or Order to which such Shareholder is subject or any provision of its articles of incorporation or bylaws, (B) Breach any Contract, Order, or Permit to which such Shareholder is a party or by which such Shareholder is bound or to which any of such Shareholder’s assets is subject, or (C) require any Consent.</w:t>
      </w:r>
    </w:p>
    <w:p>
      <w:pPr>
        <w:spacing w:after="0" w:line="159" w:lineRule="exact"/>
        <w:rPr>
          <w:rFonts w:ascii="Arial" w:cs="Arial" w:eastAsia="Arial" w:hAnsi="Arial"/>
          <w:sz w:val="16"/>
          <w:szCs w:val="16"/>
          <w:color w:val="auto"/>
        </w:rPr>
      </w:pPr>
    </w:p>
    <w:p>
      <w:pPr>
        <w:ind w:left="1260" w:right="100" w:hanging="626"/>
        <w:spacing w:after="0" w:line="289" w:lineRule="auto"/>
        <w:tabs>
          <w:tab w:leader="none" w:pos="1267" w:val="left"/>
        </w:tabs>
        <w:numPr>
          <w:ilvl w:val="0"/>
          <w:numId w:val="285"/>
        </w:numPr>
        <w:rPr>
          <w:rFonts w:ascii="Arial" w:cs="Arial" w:eastAsia="Arial" w:hAnsi="Arial"/>
          <w:sz w:val="17"/>
          <w:szCs w:val="17"/>
          <w:color w:val="auto"/>
        </w:rPr>
      </w:pPr>
      <w:r>
        <w:rPr>
          <w:rFonts w:ascii="Arial" w:cs="Arial" w:eastAsia="Arial" w:hAnsi="Arial"/>
          <w:sz w:val="17"/>
          <w:szCs w:val="17"/>
          <w:color w:val="auto"/>
        </w:rPr>
        <w:t>If such Shareholder is a natural person, such Shareholder is an adult, with the legal capacity to enter into this Agreement and perform his or her obligations hereunder.</w:t>
      </w:r>
    </w:p>
    <w:p>
      <w:pPr>
        <w:spacing w:after="0" w:line="158" w:lineRule="exact"/>
        <w:rPr>
          <w:rFonts w:ascii="Arial" w:cs="Arial" w:eastAsia="Arial" w:hAnsi="Arial"/>
          <w:sz w:val="17"/>
          <w:szCs w:val="17"/>
          <w:color w:val="auto"/>
        </w:rPr>
      </w:pPr>
    </w:p>
    <w:p>
      <w:pPr>
        <w:ind w:left="1260" w:right="320" w:hanging="626"/>
        <w:spacing w:after="0" w:line="273" w:lineRule="auto"/>
        <w:tabs>
          <w:tab w:leader="none" w:pos="127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by, and is enforceable against, such Shareholder (subject to the effects of bankruptcy, insolvency, reorganization, moratorium, or other Laws relating to or affecting the rights of creditors, and general principles of equity).</w:t>
      </w:r>
    </w:p>
    <w:p>
      <w:pPr>
        <w:spacing w:after="0" w:line="171" w:lineRule="exact"/>
        <w:rPr>
          <w:rFonts w:ascii="Arial" w:cs="Arial" w:eastAsia="Arial" w:hAnsi="Arial"/>
          <w:sz w:val="17"/>
          <w:szCs w:val="17"/>
          <w:color w:val="auto"/>
        </w:rPr>
      </w:pPr>
    </w:p>
    <w:p>
      <w:pPr>
        <w:ind w:left="1260" w:right="240" w:hanging="626"/>
        <w:spacing w:after="0" w:line="289" w:lineRule="auto"/>
        <w:tabs>
          <w:tab w:leader="none" w:pos="1267" w:val="left"/>
        </w:tabs>
        <w:numPr>
          <w:ilvl w:val="0"/>
          <w:numId w:val="285"/>
        </w:numPr>
        <w:rPr>
          <w:rFonts w:ascii="Arial" w:cs="Arial" w:eastAsia="Arial" w:hAnsi="Arial"/>
          <w:sz w:val="17"/>
          <w:szCs w:val="17"/>
          <w:color w:val="auto"/>
        </w:rPr>
      </w:pPr>
      <w:r>
        <w:rPr>
          <w:rFonts w:ascii="Arial" w:cs="Arial" w:eastAsia="Arial" w:hAnsi="Arial"/>
          <w:sz w:val="17"/>
          <w:szCs w:val="17"/>
          <w:color w:val="auto"/>
        </w:rPr>
        <w:t>Other than this Agreement, such Shareholder’s Shares are not subject to any voting agreement, shareholder agreement, proxy or other similar Contract.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5</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TRANSFER RESTRICTIONS</w:t>
      </w:r>
    </w:p>
    <w:p>
      <w:pPr>
        <w:spacing w:after="0" w:line="212"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u w:val="single" w:color="auto"/>
          <w:color w:val="auto"/>
        </w:rPr>
        <w:t>Transfer Restrictions</w:t>
      </w:r>
      <w:r>
        <w:rPr>
          <w:rFonts w:ascii="Arial" w:cs="Arial" w:eastAsia="Arial" w:hAnsi="Arial"/>
          <w:sz w:val="15"/>
          <w:szCs w:val="15"/>
          <w:color w:val="auto"/>
        </w:rPr>
        <w:t>. No Shareholder shall Transfer, or permit to be Transferred, any Shares except in accordance with this</w:t>
      </w:r>
      <w:r>
        <w:rPr>
          <w:rFonts w:ascii="Arial" w:cs="Arial" w:eastAsia="Arial" w:hAnsi="Arial"/>
          <w:sz w:val="15"/>
          <w:szCs w:val="15"/>
          <w:u w:val="single" w:color="auto"/>
          <w:color w:val="auto"/>
        </w:rPr>
        <w:t xml:space="preserve"> ARTICLE 5</w:t>
      </w:r>
      <w:r>
        <w:rPr>
          <w:rFonts w:ascii="Arial" w:cs="Arial" w:eastAsia="Arial" w:hAnsi="Arial"/>
          <w:sz w:val="15"/>
          <w:szCs w:val="15"/>
          <w:color w:val="auto"/>
        </w:rPr>
        <w:t>.</w:t>
      </w:r>
    </w:p>
    <w:p>
      <w:pPr>
        <w:spacing w:after="0" w:line="224"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5"/>
          <w:szCs w:val="15"/>
          <w:u w:val="single" w:color="auto"/>
          <w:color w:val="auto"/>
        </w:rPr>
        <w:t>Permitted Transfers</w:t>
      </w:r>
      <w:r>
        <w:rPr>
          <w:rFonts w:ascii="Arial" w:cs="Arial" w:eastAsia="Arial" w:hAnsi="Arial"/>
          <w:sz w:val="15"/>
          <w:szCs w:val="15"/>
          <w:color w:val="auto"/>
        </w:rPr>
        <w:t>. Subject to</w:t>
      </w:r>
      <w:r>
        <w:rPr>
          <w:rFonts w:ascii="Arial" w:cs="Arial" w:eastAsia="Arial" w:hAnsi="Arial"/>
          <w:sz w:val="15"/>
          <w:szCs w:val="15"/>
          <w:u w:val="single" w:color="auto"/>
          <w:color w:val="auto"/>
        </w:rPr>
        <w:t xml:space="preserve"> Section 5.6</w:t>
      </w:r>
      <w:r>
        <w:rPr>
          <w:rFonts w:ascii="Arial" w:cs="Arial" w:eastAsia="Arial" w:hAnsi="Arial"/>
          <w:sz w:val="15"/>
          <w:szCs w:val="15"/>
          <w:color w:val="auto"/>
        </w:rPr>
        <w:t>, the following Transfers may be effected without being subject to the provisions of</w:t>
      </w:r>
      <w:r>
        <w:rPr>
          <w:rFonts w:ascii="Arial" w:cs="Arial" w:eastAsia="Arial" w:hAnsi="Arial"/>
          <w:sz w:val="15"/>
          <w:szCs w:val="15"/>
          <w:u w:val="single" w:color="auto"/>
          <w:color w:val="auto"/>
        </w:rPr>
        <w:t xml:space="preserve"> Section 5.3</w:t>
      </w:r>
      <w:r>
        <w:rPr>
          <w:rFonts w:ascii="Arial" w:cs="Arial" w:eastAsia="Arial" w:hAnsi="Arial"/>
          <w:sz w:val="15"/>
          <w:szCs w:val="15"/>
          <w:color w:val="auto"/>
        </w:rPr>
        <w:t>.</w:t>
      </w:r>
    </w:p>
    <w:p>
      <w:pPr>
        <w:spacing w:after="0" w:line="224" w:lineRule="exact"/>
        <w:rPr>
          <w:sz w:val="20"/>
          <w:szCs w:val="20"/>
          <w:color w:val="auto"/>
        </w:rPr>
      </w:pPr>
    </w:p>
    <w:p>
      <w:pPr>
        <w:ind w:left="1260" w:right="220" w:hanging="626"/>
        <w:spacing w:after="0" w:line="263" w:lineRule="auto"/>
        <w:tabs>
          <w:tab w:leader="none" w:pos="1257" w:val="left"/>
        </w:tabs>
        <w:numPr>
          <w:ilvl w:val="0"/>
          <w:numId w:val="286"/>
        </w:numPr>
        <w:rPr>
          <w:rFonts w:ascii="Arial" w:cs="Arial" w:eastAsia="Arial" w:hAnsi="Arial"/>
          <w:sz w:val="17"/>
          <w:szCs w:val="17"/>
          <w:color w:val="auto"/>
        </w:rPr>
      </w:pPr>
      <w:r>
        <w:rPr>
          <w:rFonts w:ascii="Arial" w:cs="Arial" w:eastAsia="Arial" w:hAnsi="Arial"/>
          <w:sz w:val="17"/>
          <w:szCs w:val="17"/>
          <w:color w:val="auto"/>
        </w:rPr>
        <w:t xml:space="preserve">Any Shareholder that is a natural person may Transfer any of his or her Shares to one of the following: (a) a member of such Shareholder’s immediate family or (b) a trust for any natural person’s benefit, the beneficial interests in which are not readily transferable, owned by such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such transferee agrees in writing (satisfactory to the Company in its sole discretion) to take such Shares subject to this Agreement. Any such Transfer to a child who is then under 21 years old must be conditioned upon the transferor retaining and reserving for itself the right to do any act with respect to the transferred Shares on behalf of such transferee that is permitted, authorized or required hereby.</w:t>
      </w:r>
    </w:p>
    <w:p>
      <w:pPr>
        <w:spacing w:after="0" w:line="183" w:lineRule="exact"/>
        <w:rPr>
          <w:rFonts w:ascii="Arial" w:cs="Arial" w:eastAsia="Arial" w:hAnsi="Arial"/>
          <w:sz w:val="17"/>
          <w:szCs w:val="17"/>
          <w:color w:val="auto"/>
        </w:rPr>
      </w:pPr>
    </w:p>
    <w:p>
      <w:pPr>
        <w:ind w:left="1260" w:right="240" w:hanging="626"/>
        <w:spacing w:after="0" w:line="273" w:lineRule="auto"/>
        <w:tabs>
          <w:tab w:leader="none" w:pos="1267" w:val="left"/>
        </w:tabs>
        <w:numPr>
          <w:ilvl w:val="0"/>
          <w:numId w:val="286"/>
        </w:numPr>
        <w:rPr>
          <w:rFonts w:ascii="Arial" w:cs="Arial" w:eastAsia="Arial" w:hAnsi="Arial"/>
          <w:sz w:val="17"/>
          <w:szCs w:val="17"/>
          <w:color w:val="auto"/>
        </w:rPr>
      </w:pPr>
      <w:r>
        <w:rPr>
          <w:rFonts w:ascii="Arial" w:cs="Arial" w:eastAsia="Arial" w:hAnsi="Arial"/>
          <w:sz w:val="17"/>
          <w:szCs w:val="17"/>
          <w:color w:val="auto"/>
        </w:rPr>
        <w:t>Notwithstanding anything to the contrary herein, any Shareholder that is not a natural person may Transfer any of its Shares to an Affiliate of such Shareholder that remains an Affiliate of such Shareholder or pledge any of its Shares as part of a bona fide financing transaction. Notwithstanding the foregoing, any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20"/>
        <w:spacing w:after="0" w:line="290" w:lineRule="auto"/>
        <w:rPr>
          <w:sz w:val="20"/>
          <w:szCs w:val="20"/>
          <w:color w:val="auto"/>
        </w:rPr>
      </w:pPr>
      <w:r>
        <w:rPr>
          <w:rFonts w:ascii="Arial" w:cs="Arial" w:eastAsia="Arial" w:hAnsi="Arial"/>
          <w:sz w:val="16"/>
          <w:szCs w:val="16"/>
          <w:color w:val="auto"/>
        </w:rPr>
        <w:t xml:space="preserve">Shareholder that is a limited partnership and has ever owned of record at least 200,000 shares of Common Stock (on an as-converted basis) may Transfer any of its Shares to its limited and general partners, but only to the extent that (1) such Persons are “accredited investors” (as defined in the Securities Act and (2) such Transfers do not subject the Company to the registration requirements of Section 12(g) of the Exchange Act;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each case, such transferee executes (and delivers to the Company) a signature page to this Agreement.”</w:t>
      </w:r>
    </w:p>
    <w:p>
      <w:pPr>
        <w:spacing w:after="0" w:line="159" w:lineRule="exact"/>
        <w:rPr>
          <w:sz w:val="20"/>
          <w:szCs w:val="20"/>
          <w:color w:val="auto"/>
        </w:rPr>
      </w:pPr>
    </w:p>
    <w:p>
      <w:pPr>
        <w:ind w:left="1260" w:right="180" w:hanging="626"/>
        <w:spacing w:after="0" w:line="322" w:lineRule="auto"/>
        <w:tabs>
          <w:tab w:leader="none" w:pos="127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any Shareholder may Transfer any of its Shares to any transferee if the Company consents to said Transfer;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transferee executes (and delivers to the Company) a signature page to this Agreement.</w:t>
      </w:r>
    </w:p>
    <w:p>
      <w:pPr>
        <w:spacing w:after="0" w:line="136" w:lineRule="exact"/>
        <w:rPr>
          <w:sz w:val="20"/>
          <w:szCs w:val="20"/>
          <w:color w:val="auto"/>
        </w:rPr>
      </w:pPr>
    </w:p>
    <w:p>
      <w:pPr>
        <w:ind w:left="620" w:right="260" w:hanging="628"/>
        <w:spacing w:after="0" w:line="289" w:lineRule="auto"/>
        <w:tabs>
          <w:tab w:leader="none" w:pos="60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7"/>
          <w:szCs w:val="17"/>
          <w:u w:val="single" w:color="auto"/>
          <w:color w:val="auto"/>
        </w:rPr>
        <w:t>Right of First Refusal</w:t>
      </w:r>
      <w:r>
        <w:rPr>
          <w:rFonts w:ascii="Arial" w:cs="Arial" w:eastAsia="Arial" w:hAnsi="Arial"/>
          <w:sz w:val="17"/>
          <w:szCs w:val="17"/>
          <w:color w:val="auto"/>
        </w:rPr>
        <w:t>. Subject to</w:t>
      </w:r>
      <w:r>
        <w:rPr>
          <w:rFonts w:ascii="Arial" w:cs="Arial" w:eastAsia="Arial" w:hAnsi="Arial"/>
          <w:sz w:val="17"/>
          <w:szCs w:val="17"/>
          <w:u w:val="single" w:color="auto"/>
          <w:color w:val="auto"/>
        </w:rPr>
        <w:t xml:space="preserve"> Sections 5.3(d) and 5.6</w:t>
      </w:r>
      <w:r>
        <w:rPr>
          <w:rFonts w:ascii="Arial" w:cs="Arial" w:eastAsia="Arial" w:hAnsi="Arial"/>
          <w:sz w:val="17"/>
          <w:szCs w:val="17"/>
          <w:color w:val="auto"/>
        </w:rPr>
        <w:t>, no Shareholder shall Transfer any shares of Company Equity except in accordance with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following:</w:t>
      </w:r>
    </w:p>
    <w:p>
      <w:pPr>
        <w:spacing w:after="0" w:line="158" w:lineRule="exact"/>
        <w:rPr>
          <w:sz w:val="20"/>
          <w:szCs w:val="20"/>
          <w:color w:val="auto"/>
        </w:rPr>
      </w:pPr>
    </w:p>
    <w:p>
      <w:pPr>
        <w:ind w:left="1260" w:right="40" w:hanging="626"/>
        <w:spacing w:after="0" w:line="265" w:lineRule="auto"/>
        <w:tabs>
          <w:tab w:leader="none" w:pos="1257" w:val="left"/>
        </w:tabs>
        <w:numPr>
          <w:ilvl w:val="0"/>
          <w:numId w:val="288"/>
        </w:numPr>
        <w:rPr>
          <w:rFonts w:ascii="Arial" w:cs="Arial" w:eastAsia="Arial" w:hAnsi="Arial"/>
          <w:sz w:val="17"/>
          <w:szCs w:val="17"/>
          <w:color w:val="auto"/>
        </w:rPr>
      </w:pPr>
      <w:r>
        <w:rPr>
          <w:rFonts w:ascii="Arial" w:cs="Arial" w:eastAsia="Arial" w:hAnsi="Arial"/>
          <w:sz w:val="17"/>
          <w:szCs w:val="17"/>
          <w:color w:val="auto"/>
        </w:rPr>
        <w:t>If a holder of shares of Company Equity receives a bona fide offer from any unaffiliated third party that such holder desires to accept for the Transfer of all or a portion of his shares of Company Equity (or any rights or interest therein), such holder (the “</w:t>
      </w:r>
      <w:r>
        <w:rPr>
          <w:rFonts w:ascii="Arial" w:cs="Arial" w:eastAsia="Arial" w:hAnsi="Arial"/>
          <w:sz w:val="17"/>
          <w:szCs w:val="17"/>
          <w:b w:val="1"/>
          <w:bCs w:val="1"/>
          <w:i w:val="1"/>
          <w:iCs w:val="1"/>
          <w:color w:val="auto"/>
        </w:rPr>
        <w:t>Offering Holder</w:t>
      </w:r>
      <w:r>
        <w:rPr>
          <w:rFonts w:ascii="Arial" w:cs="Arial" w:eastAsia="Arial" w:hAnsi="Arial"/>
          <w:sz w:val="17"/>
          <w:szCs w:val="17"/>
          <w:color w:val="auto"/>
        </w:rPr>
        <w:t>”), shall give written notice (the “</w:t>
      </w:r>
      <w:r>
        <w:rPr>
          <w:rFonts w:ascii="Arial" w:cs="Arial" w:eastAsia="Arial" w:hAnsi="Arial"/>
          <w:sz w:val="17"/>
          <w:szCs w:val="17"/>
          <w:b w:val="1"/>
          <w:bCs w:val="1"/>
          <w:i w:val="1"/>
          <w:iCs w:val="1"/>
          <w:color w:val="auto"/>
        </w:rPr>
        <w:t>Offer Notice</w:t>
      </w:r>
      <w:r>
        <w:rPr>
          <w:rFonts w:ascii="Arial" w:cs="Arial" w:eastAsia="Arial" w:hAnsi="Arial"/>
          <w:sz w:val="17"/>
          <w:szCs w:val="17"/>
          <w:color w:val="auto"/>
        </w:rPr>
        <w:t>”) of such offer to the Company. The Offer Notice must set forth the name of the proposed transferee, the number of shares of Company Equity to be Transferred, the price per share, and a summary of the material terms and conditions of the proposed Transfer. The shares to be Transferred are hereinafter referred to as the “</w:t>
      </w:r>
      <w:r>
        <w:rPr>
          <w:rFonts w:ascii="Arial" w:cs="Arial" w:eastAsia="Arial" w:hAnsi="Arial"/>
          <w:sz w:val="17"/>
          <w:szCs w:val="17"/>
          <w:b w:val="1"/>
          <w:bCs w:val="1"/>
          <w:i w:val="1"/>
          <w:iCs w:val="1"/>
          <w:color w:val="auto"/>
        </w:rPr>
        <w:t>Offered Shares</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left="1260" w:hanging="626"/>
        <w:spacing w:after="0" w:line="268" w:lineRule="auto"/>
        <w:tabs>
          <w:tab w:leader="none" w:pos="1267"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Company shall have the exclusive and irrevocable right and option, exercisable at any time for 30 days (the “</w:t>
      </w:r>
      <w:r>
        <w:rPr>
          <w:rFonts w:ascii="Arial" w:cs="Arial" w:eastAsia="Arial" w:hAnsi="Arial"/>
          <w:sz w:val="17"/>
          <w:szCs w:val="17"/>
          <w:b w:val="1"/>
          <w:bCs w:val="1"/>
          <w:i w:val="1"/>
          <w:iCs w:val="1"/>
          <w:color w:val="auto"/>
        </w:rPr>
        <w:t>Offer Exercise Period</w:t>
      </w:r>
      <w:r>
        <w:rPr>
          <w:rFonts w:ascii="Arial" w:cs="Arial" w:eastAsia="Arial" w:hAnsi="Arial"/>
          <w:sz w:val="17"/>
          <w:szCs w:val="17"/>
          <w:color w:val="auto"/>
        </w:rPr>
        <w:t>”) from the date of its receipt of the Offer Notice, to purchase the Offered Shares at the same price (or equivalent cash value) and on the same terms and conditions as set out in such notice. If the Company elects to exercise the option, it shall give written notification thereof to the Offering Holder, and said sale and purchase shall be closed within 30 days thereafter.</w:t>
      </w:r>
    </w:p>
    <w:p>
      <w:pPr>
        <w:spacing w:after="0" w:line="175" w:lineRule="exact"/>
        <w:rPr>
          <w:rFonts w:ascii="Arial" w:cs="Arial" w:eastAsia="Arial" w:hAnsi="Arial"/>
          <w:sz w:val="17"/>
          <w:szCs w:val="17"/>
          <w:color w:val="auto"/>
        </w:rPr>
      </w:pPr>
    </w:p>
    <w:p>
      <w:pPr>
        <w:ind w:left="1260" w:hanging="626"/>
        <w:spacing w:after="0" w:line="360" w:lineRule="auto"/>
        <w:tabs>
          <w:tab w:leader="none" w:pos="1270" w:val="left"/>
        </w:tabs>
        <w:numPr>
          <w:ilvl w:val="0"/>
          <w:numId w:val="288"/>
        </w:numPr>
        <w:rPr>
          <w:rFonts w:ascii="Arial" w:cs="Arial" w:eastAsia="Arial" w:hAnsi="Arial"/>
          <w:sz w:val="15"/>
          <w:szCs w:val="15"/>
          <w:color w:val="auto"/>
        </w:rPr>
      </w:pPr>
      <w:r>
        <w:rPr>
          <w:rFonts w:ascii="Arial" w:cs="Arial" w:eastAsia="Arial" w:hAnsi="Arial"/>
          <w:sz w:val="15"/>
          <w:szCs w:val="15"/>
          <w:color w:val="auto"/>
        </w:rPr>
        <w:t>If the Company does not provide the Offering Holder with notice of its election to purchase the Offered Shares within the Offer Exercise Period, the Company shall be deemed to have elected not to exercise its option to purchase the Offered Shares, and the Offering Holder shall have the</w:t>
      </w:r>
    </w:p>
    <w:p>
      <w:pPr>
        <w:sectPr>
          <w:pgSz w:w="11900" w:h="16917" w:orient="portrait"/>
          <w:cols w:equalWidth="0" w:num="1">
            <w:col w:w="11380"/>
          </w:cols>
          <w:pgMar w:left="240" w:top="337" w:right="279" w:bottom="0" w:gutter="0" w:footer="0" w:header="0"/>
        </w:sectPr>
      </w:pPr>
    </w:p>
    <w:bookmarkStart w:id="258" w:name="page259"/>
    <w:bookmarkEnd w:id="258"/>
    <w:p>
      <w:pPr>
        <w:ind w:left="1260" w:right="80"/>
        <w:spacing w:after="0" w:line="290" w:lineRule="auto"/>
        <w:rPr>
          <w:sz w:val="20"/>
          <w:szCs w:val="20"/>
          <w:color w:val="auto"/>
        </w:rPr>
      </w:pPr>
      <w:r>
        <w:rPr>
          <w:rFonts w:ascii="Arial" w:cs="Arial" w:eastAsia="Arial" w:hAnsi="Arial"/>
          <w:sz w:val="16"/>
          <w:szCs w:val="16"/>
          <w:color w:val="auto"/>
        </w:rPr>
        <w:t xml:space="preserve">right to Transfer the Offered Shares to the prospective third party purchaser,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Transfer must be on terms and conditions at least as favorable in all respects to the Offering Holder as the terms and conditions described in the Offer Notice, (ii) such Transfer must be consummated within 60 days after the end of the Offer Exercise Period, and (iii) as a condition precedent to such Transfer, such prospective purchaser must become a party to, and agree in writing to be bound by, all terms and conditions of this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hanging="646"/>
        <w:spacing w:after="0"/>
        <w:tabs>
          <w:tab w:leader="none" w:pos="128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shall terminate upon the completion of an IPO.</w:t>
      </w:r>
    </w:p>
    <w:p>
      <w:pPr>
        <w:spacing w:after="0" w:line="22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5.4</w:t>
      </w:r>
      <w:r>
        <w:rPr>
          <w:rFonts w:ascii="Arial" w:cs="Arial" w:eastAsia="Arial" w:hAnsi="Arial"/>
          <w:sz w:val="16"/>
          <w:szCs w:val="16"/>
          <w:u w:val="single" w:color="auto"/>
          <w:color w:val="auto"/>
        </w:rPr>
        <w:t>Significant Investor Preemptive Right</w:t>
      </w:r>
      <w:r>
        <w:rPr>
          <w:rFonts w:ascii="Arial" w:cs="Arial" w:eastAsia="Arial" w:hAnsi="Arial"/>
          <w:sz w:val="16"/>
          <w:szCs w:val="16"/>
          <w:color w:val="auto"/>
        </w:rPr>
        <w:t>. [Canceled.]</w:t>
      </w:r>
    </w:p>
    <w:p>
      <w:pPr>
        <w:spacing w:after="0" w:line="22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5.5</w:t>
      </w:r>
      <w:r>
        <w:rPr>
          <w:rFonts w:ascii="Arial" w:cs="Arial" w:eastAsia="Arial" w:hAnsi="Arial"/>
          <w:sz w:val="16"/>
          <w:szCs w:val="16"/>
          <w:u w:val="single" w:color="auto"/>
          <w:color w:val="auto"/>
        </w:rPr>
        <w:t>Limitations on Preemptive Right</w:t>
      </w:r>
      <w:r>
        <w:rPr>
          <w:rFonts w:ascii="Arial" w:cs="Arial" w:eastAsia="Arial" w:hAnsi="Arial"/>
          <w:sz w:val="16"/>
          <w:szCs w:val="16"/>
          <w:color w:val="auto"/>
        </w:rPr>
        <w:t>. [Canceled.]</w:t>
      </w:r>
    </w:p>
    <w:p>
      <w:pPr>
        <w:spacing w:after="0" w:line="224" w:lineRule="exact"/>
        <w:rPr>
          <w:sz w:val="20"/>
          <w:szCs w:val="20"/>
          <w:color w:val="auto"/>
        </w:rPr>
      </w:pPr>
    </w:p>
    <w:p>
      <w:pPr>
        <w:ind w:left="620" w:hanging="628"/>
        <w:spacing w:after="0" w:line="263" w:lineRule="auto"/>
        <w:tabs>
          <w:tab w:leader="none" w:pos="60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7"/>
          <w:szCs w:val="17"/>
          <w:u w:val="single" w:color="auto"/>
          <w:color w:val="auto"/>
        </w:rPr>
        <w:t>Compliance with Securities Laws</w:t>
      </w:r>
      <w:r>
        <w:rPr>
          <w:rFonts w:ascii="Arial" w:cs="Arial" w:eastAsia="Arial" w:hAnsi="Arial"/>
          <w:sz w:val="17"/>
          <w:szCs w:val="17"/>
          <w:color w:val="auto"/>
        </w:rPr>
        <w:t>. In addition to the restrictions on Transfer of the Shares contained in this Agreement, no Transfer of any Shares shall be</w:t>
      </w:r>
      <w:r>
        <w:rPr>
          <w:rFonts w:ascii="Arial" w:cs="Arial" w:eastAsia="Arial" w:hAnsi="Arial"/>
          <w:sz w:val="17"/>
          <w:szCs w:val="17"/>
          <w:u w:val="single" w:color="auto"/>
          <w:color w:val="auto"/>
        </w:rPr>
        <w:t xml:space="preserve"> </w:t>
      </w:r>
      <w:r>
        <w:rPr>
          <w:rFonts w:ascii="Arial" w:cs="Arial" w:eastAsia="Arial" w:hAnsi="Arial"/>
          <w:sz w:val="17"/>
          <w:szCs w:val="17"/>
          <w:color w:val="auto"/>
        </w:rPr>
        <w:t>made by or on behalf of Shareholder unless the Shares are registered under the Securities Act, pursuant to an effective registration statement which contemplates the proposed Transfers and complies with the then-applicable regulations, rules and administrative procedures and practices of the SEC, and are registered or qualified in accordance with any applicable state securities laws, regulations, rules and administrative procedures and practices, or unless the Company has received the written opinion of or satisfactory to its legal counsel that the proposed transfer is exempt from registration under applicable securities laws.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6</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RIGHTS</w:t>
      </w:r>
    </w:p>
    <w:p>
      <w:pPr>
        <w:spacing w:after="0" w:line="212"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 Until the Company is required to file periodic reports with the SEC under the Exchange Act:</w:t>
      </w:r>
    </w:p>
    <w:p>
      <w:pPr>
        <w:spacing w:after="0" w:line="224" w:lineRule="exact"/>
        <w:rPr>
          <w:sz w:val="20"/>
          <w:szCs w:val="20"/>
          <w:color w:val="auto"/>
        </w:rPr>
      </w:pPr>
    </w:p>
    <w:p>
      <w:pPr>
        <w:ind w:left="1260" w:right="120" w:hanging="626"/>
        <w:spacing w:after="0" w:line="300" w:lineRule="auto"/>
        <w:tabs>
          <w:tab w:leader="none" w:pos="1257" w:val="left"/>
        </w:tabs>
        <w:numPr>
          <w:ilvl w:val="0"/>
          <w:numId w:val="290"/>
        </w:numPr>
        <w:rPr>
          <w:rFonts w:ascii="Arial" w:cs="Arial" w:eastAsia="Arial" w:hAnsi="Arial"/>
          <w:sz w:val="15"/>
          <w:szCs w:val="15"/>
          <w:color w:val="auto"/>
        </w:rPr>
      </w:pPr>
      <w:r>
        <w:rPr>
          <w:rFonts w:ascii="Arial" w:cs="Arial" w:eastAsia="Arial" w:hAnsi="Arial"/>
          <w:sz w:val="15"/>
          <w:szCs w:val="15"/>
          <w:color w:val="auto"/>
        </w:rPr>
        <w:t xml:space="preserve">The Company shall deliver to each Significant Investor: (i) within 60 days following the end of each of the first, second and third quarterly accounting periods in each fiscal year of the Company, an unaudited consolidated balance sheet as at the end of such quarterly period, an unaudited consolidated statement of income and an unaudited statement of cash flows of the Company for such period and for the current fiscal year then to date, all prepared in accordance with generally accepted accounting principles (except that no notes need be attached to such statements and year-end audit adjustments may not have been made); and (ii) within 120 days following the end of any fiscal year of the Company, an audited consolidated balance sheet of the Company as at the end of such fiscal year, an audited consolidated statement of income and an audited consolidated statement of cash flows of the Company for such fiscal year, all prepared in accordance with generally accepted accounting principles; provided, however, that the Company shall not be obligated under this </w:t>
      </w:r>
      <w:r>
        <w:rPr>
          <w:rFonts w:ascii="Arial" w:cs="Arial" w:eastAsia="Arial" w:hAnsi="Arial"/>
          <w:sz w:val="15"/>
          <w:szCs w:val="15"/>
          <w:u w:val="single" w:color="auto"/>
          <w:color w:val="auto"/>
        </w:rPr>
        <w:t>Section 6.1(a)</w:t>
      </w:r>
      <w:r>
        <w:rPr>
          <w:rFonts w:ascii="Arial" w:cs="Arial" w:eastAsia="Arial" w:hAnsi="Arial"/>
          <w:sz w:val="15"/>
          <w:szCs w:val="15"/>
          <w:color w:val="auto"/>
        </w:rPr>
        <w:t xml:space="preserve"> with respect to a competitor of the Company or with respect to information which the Board determines is confidential and should not, therefore, be disclosed; and</w:t>
      </w:r>
    </w:p>
    <w:p>
      <w:pPr>
        <w:spacing w:after="0" w:line="157" w:lineRule="exact"/>
        <w:rPr>
          <w:rFonts w:ascii="Arial" w:cs="Arial" w:eastAsia="Arial" w:hAnsi="Arial"/>
          <w:sz w:val="15"/>
          <w:szCs w:val="15"/>
          <w:color w:val="auto"/>
        </w:rPr>
      </w:pPr>
    </w:p>
    <w:p>
      <w:pPr>
        <w:ind w:left="1260" w:right="60" w:hanging="626"/>
        <w:spacing w:after="0" w:line="314" w:lineRule="auto"/>
        <w:tabs>
          <w:tab w:leader="none" w:pos="1267" w:val="left"/>
        </w:tabs>
        <w:numPr>
          <w:ilvl w:val="0"/>
          <w:numId w:val="290"/>
        </w:numPr>
        <w:rPr>
          <w:rFonts w:ascii="Arial" w:cs="Arial" w:eastAsia="Arial" w:hAnsi="Arial"/>
          <w:sz w:val="15"/>
          <w:szCs w:val="15"/>
          <w:color w:val="auto"/>
        </w:rPr>
      </w:pPr>
      <w:r>
        <w:rPr>
          <w:rFonts w:ascii="Arial" w:cs="Arial" w:eastAsia="Arial" w:hAnsi="Arial"/>
          <w:sz w:val="15"/>
          <w:szCs w:val="15"/>
          <w:color w:val="auto"/>
        </w:rPr>
        <w:t xml:space="preserve">Each Major Investor shall have the right to visit and inspect any of the properties of the Company, and to discuss the affairs, finances and accounts of the Company with its officers, and to review such information as is reasonably requested at all such reasonable times and as often as may be reasonably requested; provided, however, that the Company shall not be obligated under this </w:t>
      </w:r>
      <w:r>
        <w:rPr>
          <w:rFonts w:ascii="Arial" w:cs="Arial" w:eastAsia="Arial" w:hAnsi="Arial"/>
          <w:sz w:val="15"/>
          <w:szCs w:val="15"/>
          <w:u w:val="single" w:color="auto"/>
          <w:color w:val="auto"/>
        </w:rPr>
        <w:t>Section 6.1(b)</w:t>
      </w:r>
      <w:r>
        <w:rPr>
          <w:rFonts w:ascii="Arial" w:cs="Arial" w:eastAsia="Arial" w:hAnsi="Arial"/>
          <w:sz w:val="15"/>
          <w:szCs w:val="15"/>
          <w:color w:val="auto"/>
        </w:rPr>
        <w:t xml:space="preserve"> with respect to a competitor of the Company or with respect to information which the Board determines is confidential and should not, therefore, be disclosed; and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260" w:right="100" w:hanging="626"/>
        <w:spacing w:after="0" w:line="273" w:lineRule="auto"/>
        <w:tabs>
          <w:tab w:leader="none" w:pos="127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Company shall deliver to the Series D Lead VC: (i) a copy of each annual budget at least 30 days before the beginning of the year to which such budget relates; and (ii) within 30 days following the end of any month, a copy of the unaudited monthly financial report for such month as generated in the ordinary course of business by the Company for such month.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7</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INTENTIONALLY OMITTED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8</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INTENTIONALLY OMITTED</w:t>
      </w:r>
    </w:p>
    <w:p>
      <w:pPr>
        <w:spacing w:after="0" w:line="212"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ARTICLE 9</w:t>
      </w:r>
    </w:p>
    <w:p>
      <w:pPr>
        <w:spacing w:after="0" w:line="26" w:lineRule="exact"/>
        <w:rPr>
          <w:sz w:val="20"/>
          <w:szCs w:val="20"/>
          <w:color w:val="auto"/>
        </w:rPr>
      </w:pPr>
    </w:p>
    <w:p>
      <w:pPr>
        <w:ind w:left="5340"/>
        <w:spacing w:after="0"/>
        <w:rPr>
          <w:sz w:val="20"/>
          <w:szCs w:val="20"/>
          <w:color w:val="auto"/>
        </w:rPr>
      </w:pPr>
      <w:r>
        <w:rPr>
          <w:rFonts w:ascii="Arial" w:cs="Arial" w:eastAsia="Arial" w:hAnsi="Arial"/>
          <w:sz w:val="17"/>
          <w:szCs w:val="17"/>
          <w:b w:val="1"/>
          <w:bCs w:val="1"/>
          <w:color w:val="auto"/>
        </w:rPr>
        <w:t>LOCKUP</w:t>
      </w:r>
    </w:p>
    <w:p>
      <w:pPr>
        <w:spacing w:after="0" w:line="212" w:lineRule="exact"/>
        <w:rPr>
          <w:sz w:val="20"/>
          <w:szCs w:val="20"/>
          <w:color w:val="auto"/>
        </w:rPr>
      </w:pPr>
    </w:p>
    <w:p>
      <w:pPr>
        <w:ind w:left="620" w:right="120" w:hanging="628"/>
        <w:spacing w:after="0" w:line="265" w:lineRule="auto"/>
        <w:tabs>
          <w:tab w:leader="none" w:pos="60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7"/>
          <w:szCs w:val="17"/>
          <w:u w:val="single" w:color="auto"/>
          <w:color w:val="auto"/>
        </w:rPr>
        <w:t>Lockup</w:t>
      </w:r>
      <w:r>
        <w:rPr>
          <w:rFonts w:ascii="Arial" w:cs="Arial" w:eastAsia="Arial" w:hAnsi="Arial"/>
          <w:sz w:val="17"/>
          <w:szCs w:val="17"/>
          <w:color w:val="auto"/>
        </w:rPr>
        <w:t>. Each Shareholder hereby agrees that during the 180-day period following the closing of an IPO, it shall not, to the extent requested by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Company and the managing underwriter, sell or otherwise transfer or dispose of (other than to donees who agree to be similarly bound) any Common Stock held by it at any time during such period except Common Stock included in such registration. To enforce the foregoing, the Company may impose stop-transfer instructions with respect to the Shares of each Shareholder (and the shares or securities of every other Person subject to the foregoing restriction) until the end of such 180-day period.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10</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COMMUNITY INTEREST IN SHARES</w:t>
      </w:r>
    </w:p>
    <w:p>
      <w:pPr>
        <w:spacing w:after="0" w:line="212" w:lineRule="exact"/>
        <w:rPr>
          <w:sz w:val="20"/>
          <w:szCs w:val="20"/>
          <w:color w:val="auto"/>
        </w:rPr>
      </w:pPr>
    </w:p>
    <w:p>
      <w:pPr>
        <w:ind w:left="620" w:right="60" w:hanging="628"/>
        <w:spacing w:after="0" w:line="263" w:lineRule="auto"/>
        <w:tabs>
          <w:tab w:leader="none" w:pos="60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u w:val="single" w:color="auto"/>
          <w:color w:val="auto"/>
        </w:rPr>
        <w:t>Community Interest</w:t>
      </w:r>
      <w:r>
        <w:rPr>
          <w:rFonts w:ascii="Arial" w:cs="Arial" w:eastAsia="Arial" w:hAnsi="Arial"/>
          <w:sz w:val="17"/>
          <w:szCs w:val="17"/>
          <w:color w:val="auto"/>
        </w:rPr>
        <w:t>. Any right or interest of a spouse of a Shareholder in Shares, whether such right or interest is created by law (including community</w:t>
      </w:r>
      <w:r>
        <w:rPr>
          <w:rFonts w:ascii="Arial" w:cs="Arial" w:eastAsia="Arial" w:hAnsi="Arial"/>
          <w:sz w:val="17"/>
          <w:szCs w:val="17"/>
          <w:u w:val="single" w:color="auto"/>
          <w:color w:val="auto"/>
        </w:rPr>
        <w:t xml:space="preserve"> </w:t>
      </w:r>
      <w:r>
        <w:rPr>
          <w:rFonts w:ascii="Arial" w:cs="Arial" w:eastAsia="Arial" w:hAnsi="Arial"/>
          <w:sz w:val="17"/>
          <w:szCs w:val="17"/>
          <w:color w:val="auto"/>
        </w:rPr>
        <w:t>property laws) or otherwise, shall for all purposes hereof be included in, deemed a part of and bound by the same terms hereof as the Shares to which such right or interest relates or appertains, and any action taken, offer made or option exercisable hereunder with reference to Shares owned by a Shareholder shall be applicable to any right or interest which the spouse of such Shareholder may have or be entitled to have therein. In the event of a termination of the marital relationship, the Shareholder shall have the right to buy the Spouse’s Interest (herein defined) at a price equal to its Fair Market Value.</w:t>
      </w:r>
    </w:p>
    <w:p>
      <w:pPr>
        <w:spacing w:after="0" w:line="183" w:lineRule="exact"/>
        <w:rPr>
          <w:sz w:val="20"/>
          <w:szCs w:val="20"/>
          <w:color w:val="auto"/>
        </w:rPr>
      </w:pPr>
    </w:p>
    <w:p>
      <w:pPr>
        <w:ind w:left="620" w:right="240" w:hanging="628"/>
        <w:spacing w:after="0" w:line="360" w:lineRule="auto"/>
        <w:tabs>
          <w:tab w:leader="none" w:pos="60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u w:val="single" w:color="auto"/>
          <w:color w:val="auto"/>
        </w:rPr>
        <w:t>Joinder of Spouses</w:t>
      </w:r>
      <w:r>
        <w:rPr>
          <w:rFonts w:ascii="Arial" w:cs="Arial" w:eastAsia="Arial" w:hAnsi="Arial"/>
          <w:sz w:val="15"/>
          <w:szCs w:val="15"/>
          <w:color w:val="auto"/>
        </w:rPr>
        <w:t>. If any Shareholder marries, such Shareholder agrees to cause its spouse to execute the release and consent set forth at the signature</w:t>
      </w:r>
      <w:r>
        <w:rPr>
          <w:rFonts w:ascii="Arial" w:cs="Arial" w:eastAsia="Arial" w:hAnsi="Arial"/>
          <w:sz w:val="15"/>
          <w:szCs w:val="15"/>
          <w:u w:val="single" w:color="auto"/>
          <w:color w:val="auto"/>
        </w:rPr>
        <w:t xml:space="preserve"> </w:t>
      </w:r>
      <w:r>
        <w:rPr>
          <w:rFonts w:ascii="Arial" w:cs="Arial" w:eastAsia="Arial" w:hAnsi="Arial"/>
          <w:sz w:val="15"/>
          <w:szCs w:val="15"/>
          <w:color w:val="auto"/>
        </w:rPr>
        <w:t>page to this Agreement and to release and waive any community property or other interest such spouse may have in such Shareholder’s Shares.</w:t>
      </w:r>
    </w:p>
    <w:p>
      <w:pPr>
        <w:sectPr>
          <w:pgSz w:w="11900" w:h="16838" w:orient="portrait"/>
          <w:cols w:equalWidth="0" w:num="1">
            <w:col w:w="11420"/>
          </w:cols>
          <w:pgMar w:left="240" w:top="127" w:right="239" w:bottom="0" w:gutter="0" w:footer="0" w:header="0"/>
        </w:sectPr>
      </w:pPr>
    </w:p>
    <w:bookmarkStart w:id="259" w:name="page260"/>
    <w:bookmarkEnd w:id="259"/>
    <w:p>
      <w:pPr>
        <w:spacing w:after="0"/>
        <w:tabs>
          <w:tab w:leader="none" w:pos="60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6"/>
          <w:szCs w:val="16"/>
          <w:u w:val="single" w:color="auto"/>
          <w:color w:val="auto"/>
        </w:rPr>
        <w:t>Transfers by Operation of Law</w:t>
      </w:r>
      <w:r>
        <w:rPr>
          <w:rFonts w:ascii="Arial" w:cs="Arial" w:eastAsia="Arial" w:hAnsi="Arial"/>
          <w:sz w:val="16"/>
          <w:szCs w:val="16"/>
          <w:color w:val="auto"/>
        </w:rPr>
        <w:t>.</w:t>
      </w:r>
    </w:p>
    <w:p>
      <w:pPr>
        <w:spacing w:after="0" w:line="224" w:lineRule="exact"/>
        <w:rPr>
          <w:sz w:val="20"/>
          <w:szCs w:val="20"/>
          <w:color w:val="auto"/>
        </w:rPr>
      </w:pPr>
    </w:p>
    <w:p>
      <w:pPr>
        <w:ind w:left="1260" w:right="60" w:hanging="626"/>
        <w:spacing w:after="0" w:line="289" w:lineRule="auto"/>
        <w:tabs>
          <w:tab w:leader="none" w:pos="1257" w:val="left"/>
        </w:tabs>
        <w:numPr>
          <w:ilvl w:val="0"/>
          <w:numId w:val="292"/>
        </w:numPr>
        <w:rPr>
          <w:rFonts w:ascii="Arial" w:cs="Arial" w:eastAsia="Arial" w:hAnsi="Arial"/>
          <w:sz w:val="17"/>
          <w:szCs w:val="17"/>
          <w:color w:val="auto"/>
        </w:rPr>
      </w:pPr>
      <w:r>
        <w:rPr>
          <w:rFonts w:ascii="Arial" w:cs="Arial" w:eastAsia="Arial" w:hAnsi="Arial"/>
          <w:sz w:val="17"/>
          <w:szCs w:val="17"/>
          <w:color w:val="auto"/>
        </w:rPr>
        <w:t xml:space="preserve">The Transfer by operation of law of any Shares (with or without consideration), or of any right or interest therein (other than a transfer governed by </w:t>
      </w:r>
      <w:r>
        <w:rPr>
          <w:rFonts w:ascii="Arial" w:cs="Arial" w:eastAsia="Arial" w:hAnsi="Arial"/>
          <w:sz w:val="17"/>
          <w:szCs w:val="17"/>
          <w:u w:val="single" w:color="auto"/>
          <w:color w:val="auto"/>
        </w:rPr>
        <w:t>Section 10.4</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line="280" w:lineRule="auto"/>
        <w:rPr>
          <w:sz w:val="20"/>
          <w:szCs w:val="20"/>
          <w:color w:val="auto"/>
        </w:rPr>
      </w:pPr>
      <w:r>
        <w:rPr>
          <w:rFonts w:ascii="Arial" w:cs="Arial" w:eastAsia="Arial" w:hAnsi="Arial"/>
          <w:sz w:val="16"/>
          <w:szCs w:val="16"/>
          <w:color w:val="auto"/>
        </w:rPr>
        <w:t>shall give the Company the option to purchase such Transferred Shares in the manner and on the terms and conditions provided herein. In the event of a Transfer of Shares by operation of law, the Shareholder Transferring such Shares shall promptly give written notice of such Transfer to the Company. The Company shall be entitled to exercise its option to purchase such Shares (the “</w:t>
      </w:r>
      <w:r>
        <w:rPr>
          <w:rFonts w:ascii="Arial" w:cs="Arial" w:eastAsia="Arial" w:hAnsi="Arial"/>
          <w:sz w:val="16"/>
          <w:szCs w:val="16"/>
          <w:b w:val="1"/>
          <w:bCs w:val="1"/>
          <w:i w:val="1"/>
          <w:iCs w:val="1"/>
          <w:color w:val="auto"/>
        </w:rPr>
        <w:t>Offered Shares</w:t>
      </w:r>
      <w:r>
        <w:rPr>
          <w:rFonts w:ascii="Arial" w:cs="Arial" w:eastAsia="Arial" w:hAnsi="Arial"/>
          <w:sz w:val="16"/>
          <w:szCs w:val="16"/>
          <w:color w:val="auto"/>
        </w:rPr>
        <w:t xml:space="preserve">”) in the following manner: The Company shall have the exclusive and irrevocable right and option, exercisable at any time during a period of 30 days from the date of its receipt of such notice, to purchase the Offered Shares at a price determined in accordance with </w:t>
      </w:r>
      <w:r>
        <w:rPr>
          <w:rFonts w:ascii="Arial" w:cs="Arial" w:eastAsia="Arial" w:hAnsi="Arial"/>
          <w:sz w:val="16"/>
          <w:szCs w:val="16"/>
          <w:u w:val="single" w:color="auto"/>
          <w:color w:val="auto"/>
        </w:rPr>
        <w:t>Section 10.5</w:t>
      </w:r>
      <w:r>
        <w:rPr>
          <w:rFonts w:ascii="Arial" w:cs="Arial" w:eastAsia="Arial" w:hAnsi="Arial"/>
          <w:sz w:val="16"/>
          <w:szCs w:val="16"/>
          <w:color w:val="auto"/>
        </w:rPr>
        <w:t>. If the Company elects to exercise the option, it shall give written notification thereof to the applicable Shareholder. If the Company does not provide the applicable Shareholder with affirmative written notice of its election to purchase the Offered Shares within the applicable 30-day period, the Company shall be deemed to have not elected to exercise its option to purchase the Offered Shares.</w:t>
      </w:r>
    </w:p>
    <w:p>
      <w:pPr>
        <w:spacing w:after="0" w:line="171" w:lineRule="exact"/>
        <w:rPr>
          <w:sz w:val="20"/>
          <w:szCs w:val="20"/>
          <w:color w:val="auto"/>
        </w:rPr>
      </w:pPr>
    </w:p>
    <w:p>
      <w:pPr>
        <w:ind w:left="1260" w:right="100" w:hanging="626"/>
        <w:spacing w:after="0" w:line="263" w:lineRule="auto"/>
        <w:tabs>
          <w:tab w:leader="none" w:pos="1267"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If the Company elects to purchase all of the Offered Shares, the person(s) holding legal and beneficial title to such Shares shall sell all of such Shares, and shall execute and deliver the certificates evidencing such Shares to the Company, for the purchase price and on the terms and conditions set forth in </w:t>
      </w:r>
      <w:r>
        <w:rPr>
          <w:rFonts w:ascii="Arial" w:cs="Arial" w:eastAsia="Arial" w:hAnsi="Arial"/>
          <w:sz w:val="17"/>
          <w:szCs w:val="17"/>
          <w:u w:val="single" w:color="auto"/>
          <w:color w:val="auto"/>
        </w:rPr>
        <w:t>Sections 10.5 and 10.6</w:t>
      </w:r>
      <w:r>
        <w:rPr>
          <w:rFonts w:ascii="Arial" w:cs="Arial" w:eastAsia="Arial" w:hAnsi="Arial"/>
          <w:sz w:val="17"/>
          <w:szCs w:val="17"/>
          <w:color w:val="auto"/>
        </w:rPr>
        <w:t>. If the Company does not elect to purchase all of such Shares within the time period set forth herein for the exercise of such option, the person(s) acquiring such Shares shall execute and become a party to this Agreement and shall hold such Shares subject to all of the terms and conditions provided herein, and no further Transfer of such Shares can be made except in accordance with the terms and conditions of this Agreement.</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6"/>
          <w:szCs w:val="16"/>
          <w:u w:val="single" w:color="auto"/>
          <w:color w:val="auto"/>
        </w:rPr>
        <w:t>Death of Shareholder’s Spouse; Termination of Marital Relationship; Partition of Community Property</w:t>
      </w:r>
      <w:r>
        <w:rPr>
          <w:rFonts w:ascii="Arial" w:cs="Arial" w:eastAsia="Arial" w:hAnsi="Arial"/>
          <w:sz w:val="16"/>
          <w:szCs w:val="16"/>
          <w:color w:val="auto"/>
        </w:rPr>
        <w:t>.</w:t>
      </w:r>
    </w:p>
    <w:p>
      <w:pPr>
        <w:spacing w:after="0" w:line="224" w:lineRule="exact"/>
        <w:rPr>
          <w:sz w:val="20"/>
          <w:szCs w:val="20"/>
          <w:color w:val="auto"/>
        </w:rPr>
      </w:pPr>
    </w:p>
    <w:p>
      <w:pPr>
        <w:ind w:left="1260" w:right="60" w:hanging="626"/>
        <w:spacing w:after="0" w:line="297" w:lineRule="auto"/>
        <w:tabs>
          <w:tab w:leader="none" w:pos="1257" w:val="left"/>
        </w:tabs>
        <w:numPr>
          <w:ilvl w:val="0"/>
          <w:numId w:val="294"/>
        </w:numPr>
        <w:rPr>
          <w:rFonts w:ascii="Arial" w:cs="Arial" w:eastAsia="Arial" w:hAnsi="Arial"/>
          <w:sz w:val="15"/>
          <w:szCs w:val="15"/>
          <w:color w:val="auto"/>
        </w:rPr>
      </w:pPr>
      <w:r>
        <w:rPr>
          <w:rFonts w:ascii="Arial" w:cs="Arial" w:eastAsia="Arial" w:hAnsi="Arial"/>
          <w:sz w:val="15"/>
          <w:szCs w:val="15"/>
          <w:color w:val="auto"/>
        </w:rPr>
        <w:t xml:space="preserve">If the spouse of a Shareholder predeceases the Shareholder and such Shareholder does not succeed by the spouse’s last will and testament or by operation of law to the Spouse’s Interest in the Shares, the Shareholder shall have the option for 90 days after the death of the spouse to buy, and upon the exercise of such option, the spouse’s estate shall sell the Spouse’s Interest at the price and on the terms set forth in </w:t>
      </w:r>
      <w:r>
        <w:rPr>
          <w:rFonts w:ascii="Arial" w:cs="Arial" w:eastAsia="Arial" w:hAnsi="Arial"/>
          <w:sz w:val="15"/>
          <w:szCs w:val="15"/>
          <w:u w:val="single" w:color="auto"/>
          <w:color w:val="auto"/>
        </w:rPr>
        <w:t>Sections 10.5 and</w:t>
      </w:r>
    </w:p>
    <w:p>
      <w:pPr>
        <w:ind w:left="1260"/>
        <w:spacing w:after="0" w:line="290" w:lineRule="auto"/>
        <w:rPr>
          <w:rFonts w:ascii="Arial" w:cs="Arial" w:eastAsia="Arial" w:hAnsi="Arial"/>
          <w:sz w:val="15"/>
          <w:szCs w:val="15"/>
          <w:color w:val="auto"/>
        </w:rPr>
      </w:pPr>
      <w:r>
        <w:rPr>
          <w:rFonts w:ascii="Arial" w:cs="Arial" w:eastAsia="Arial" w:hAnsi="Arial"/>
          <w:sz w:val="16"/>
          <w:szCs w:val="16"/>
          <w:u w:val="single" w:color="auto"/>
          <w:color w:val="auto"/>
        </w:rPr>
        <w:t>10.6</w:t>
      </w:r>
      <w:r>
        <w:rPr>
          <w:rFonts w:ascii="Arial" w:cs="Arial" w:eastAsia="Arial" w:hAnsi="Arial"/>
          <w:sz w:val="16"/>
          <w:szCs w:val="16"/>
          <w:color w:val="auto"/>
        </w:rPr>
        <w:t xml:space="preserve">. If the option is not exercised by the Shareholder, such Shareholder shall notify the Company, and the Company shall be entitled to exercise their options to purchase the Spouse’s Interest in the manner provided for the purchase of Offered Shares pursuant to </w:t>
      </w:r>
      <w:r>
        <w:rPr>
          <w:rFonts w:ascii="Arial" w:cs="Arial" w:eastAsia="Arial" w:hAnsi="Arial"/>
          <w:sz w:val="16"/>
          <w:szCs w:val="16"/>
          <w:u w:val="single" w:color="auto"/>
          <w:color w:val="auto"/>
        </w:rPr>
        <w:t>Section 10.3(a);</w:t>
      </w:r>
      <w:r>
        <w:rPr>
          <w:rFonts w:ascii="Arial" w:cs="Arial" w:eastAsia="Arial" w:hAnsi="Arial"/>
          <w:sz w:val="16"/>
          <w:szCs w:val="16"/>
          <w:color w:val="auto"/>
        </w:rPr>
        <w:t xml:space="preserve"> provided, that the purchase price and the manner of payment shall be determined in accordance with </w:t>
      </w:r>
      <w:r>
        <w:rPr>
          <w:rFonts w:ascii="Arial" w:cs="Arial" w:eastAsia="Arial" w:hAnsi="Arial"/>
          <w:sz w:val="16"/>
          <w:szCs w:val="16"/>
          <w:u w:val="single" w:color="auto"/>
          <w:color w:val="auto"/>
        </w:rPr>
        <w:t>Sections 10.5 and 10.6</w:t>
      </w:r>
      <w:r>
        <w:rPr>
          <w:rFonts w:ascii="Arial" w:cs="Arial" w:eastAsia="Arial" w:hAnsi="Arial"/>
          <w:sz w:val="16"/>
          <w:szCs w:val="16"/>
          <w:color w:val="auto"/>
        </w:rPr>
        <w:t>.</w:t>
      </w:r>
    </w:p>
    <w:p>
      <w:pPr>
        <w:spacing w:after="0" w:line="160" w:lineRule="exact"/>
        <w:rPr>
          <w:rFonts w:ascii="Arial" w:cs="Arial" w:eastAsia="Arial" w:hAnsi="Arial"/>
          <w:sz w:val="15"/>
          <w:szCs w:val="15"/>
          <w:color w:val="auto"/>
        </w:rPr>
      </w:pPr>
    </w:p>
    <w:p>
      <w:pPr>
        <w:ind w:left="1260" w:right="80" w:hanging="626"/>
        <w:spacing w:after="0" w:line="268" w:lineRule="auto"/>
        <w:tabs>
          <w:tab w:leader="none" w:pos="1267" w:val="left"/>
        </w:tabs>
        <w:numPr>
          <w:ilvl w:val="0"/>
          <w:numId w:val="294"/>
        </w:numPr>
        <w:rPr>
          <w:rFonts w:ascii="Arial" w:cs="Arial" w:eastAsia="Arial" w:hAnsi="Arial"/>
          <w:sz w:val="17"/>
          <w:szCs w:val="17"/>
          <w:color w:val="auto"/>
        </w:rPr>
      </w:pPr>
      <w:r>
        <w:rPr>
          <w:rFonts w:ascii="Arial" w:cs="Arial" w:eastAsia="Arial" w:hAnsi="Arial"/>
          <w:sz w:val="17"/>
          <w:szCs w:val="17"/>
          <w:color w:val="auto"/>
        </w:rPr>
        <w:t>Upon the termination of the marital relationship of any Shareholder other than by death, or upon the partition of the community property that includes Shares between the Shareholder and such Shareholder’s spouse for any reason, such Shareholder shall have the option for 30 days after such termination or partition to buy, and upon the exercise of such option, such Shareholder’s spouse or former spouse shall sell its Spouse’s Interest in the Shares of the Shareholder for a price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260" w:right="60"/>
        <w:spacing w:after="0" w:line="268" w:lineRule="auto"/>
        <w:rPr>
          <w:sz w:val="20"/>
          <w:szCs w:val="20"/>
          <w:color w:val="auto"/>
        </w:rPr>
      </w:pPr>
      <w:r>
        <w:rPr>
          <w:rFonts w:ascii="Arial" w:cs="Arial" w:eastAsia="Arial" w:hAnsi="Arial"/>
          <w:sz w:val="17"/>
          <w:szCs w:val="17"/>
          <w:color w:val="auto"/>
        </w:rPr>
        <w:t xml:space="preserve">and on the terms set forth in </w:t>
      </w:r>
      <w:r>
        <w:rPr>
          <w:rFonts w:ascii="Arial" w:cs="Arial" w:eastAsia="Arial" w:hAnsi="Arial"/>
          <w:sz w:val="17"/>
          <w:szCs w:val="17"/>
          <w:u w:val="single" w:color="auto"/>
          <w:color w:val="auto"/>
        </w:rPr>
        <w:t>Sections 10.5 and 10.6</w:t>
      </w:r>
      <w:r>
        <w:rPr>
          <w:rFonts w:ascii="Arial" w:cs="Arial" w:eastAsia="Arial" w:hAnsi="Arial"/>
          <w:sz w:val="17"/>
          <w:szCs w:val="17"/>
          <w:color w:val="auto"/>
        </w:rPr>
        <w:t xml:space="preserve">. If such option is not exercised by such Shareholder, such Shareholder shall notify the Company, and the Company shall be entitled to exercise its option to purchase such Spouse’s Interest in the manner provided for the purchase of Offered Shares pursuant to </w:t>
      </w:r>
      <w:r>
        <w:rPr>
          <w:rFonts w:ascii="Arial" w:cs="Arial" w:eastAsia="Arial" w:hAnsi="Arial"/>
          <w:sz w:val="17"/>
          <w:szCs w:val="17"/>
          <w:u w:val="single" w:color="auto"/>
          <w:color w:val="auto"/>
        </w:rPr>
        <w:t>Section 10.3(a)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purchase price and the manner of payment shall be determined in accordance with </w:t>
      </w:r>
      <w:r>
        <w:rPr>
          <w:rFonts w:ascii="Arial" w:cs="Arial" w:eastAsia="Arial" w:hAnsi="Arial"/>
          <w:sz w:val="17"/>
          <w:szCs w:val="17"/>
          <w:u w:val="single" w:color="auto"/>
          <w:color w:val="auto"/>
        </w:rPr>
        <w:t>Sections 10.5 and 10.6</w:t>
      </w:r>
      <w:r>
        <w:rPr>
          <w:rFonts w:ascii="Arial" w:cs="Arial" w:eastAsia="Arial" w:hAnsi="Arial"/>
          <w:sz w:val="17"/>
          <w:szCs w:val="17"/>
          <w:color w:val="auto"/>
        </w:rPr>
        <w:t>.</w:t>
      </w:r>
    </w:p>
    <w:p>
      <w:pPr>
        <w:spacing w:after="0" w:line="17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5"/>
          <w:szCs w:val="15"/>
          <w:u w:val="single" w:color="auto"/>
          <w:color w:val="auto"/>
        </w:rPr>
        <w:t>Determination of Purchase Price</w:t>
      </w:r>
      <w:r>
        <w:rPr>
          <w:rFonts w:ascii="Arial" w:cs="Arial" w:eastAsia="Arial" w:hAnsi="Arial"/>
          <w:sz w:val="15"/>
          <w:szCs w:val="15"/>
          <w:color w:val="auto"/>
        </w:rPr>
        <w:t>.</w:t>
      </w:r>
    </w:p>
    <w:p>
      <w:pPr>
        <w:spacing w:after="0" w:line="224" w:lineRule="exact"/>
        <w:rPr>
          <w:sz w:val="20"/>
          <w:szCs w:val="20"/>
          <w:color w:val="auto"/>
        </w:rPr>
      </w:pPr>
    </w:p>
    <w:p>
      <w:pPr>
        <w:ind w:left="1260" w:right="20" w:hanging="626"/>
        <w:spacing w:after="0" w:line="305" w:lineRule="auto"/>
        <w:tabs>
          <w:tab w:leader="none" w:pos="1257" w:val="left"/>
        </w:tabs>
        <w:numPr>
          <w:ilvl w:val="0"/>
          <w:numId w:val="295"/>
        </w:numPr>
        <w:rPr>
          <w:rFonts w:ascii="Arial" w:cs="Arial" w:eastAsia="Arial" w:hAnsi="Arial"/>
          <w:sz w:val="15"/>
          <w:szCs w:val="15"/>
          <w:color w:val="auto"/>
        </w:rPr>
      </w:pPr>
      <w:r>
        <w:rPr>
          <w:rFonts w:ascii="Arial" w:cs="Arial" w:eastAsia="Arial" w:hAnsi="Arial"/>
          <w:sz w:val="15"/>
          <w:szCs w:val="15"/>
          <w:color w:val="auto"/>
        </w:rPr>
        <w:t xml:space="preserve">Should an option described in </w:t>
      </w:r>
      <w:r>
        <w:rPr>
          <w:rFonts w:ascii="Arial" w:cs="Arial" w:eastAsia="Arial" w:hAnsi="Arial"/>
          <w:sz w:val="15"/>
          <w:szCs w:val="15"/>
          <w:u w:val="single" w:color="auto"/>
          <w:color w:val="auto"/>
        </w:rPr>
        <w:t>Section 10.3</w:t>
      </w:r>
      <w:r>
        <w:rPr>
          <w:rFonts w:ascii="Arial" w:cs="Arial" w:eastAsia="Arial" w:hAnsi="Arial"/>
          <w:sz w:val="15"/>
          <w:szCs w:val="15"/>
          <w:color w:val="auto"/>
        </w:rPr>
        <w:t xml:space="preserve"> be exercised or otherwise become operative, the purchase price for such Shares, or portion thereof, or the Spouse’s Interest therein, shall be determined as follows: (i) within 30 days of the determination of the occurrence of the events described in </w:t>
      </w:r>
      <w:r>
        <w:rPr>
          <w:rFonts w:ascii="Arial" w:cs="Arial" w:eastAsia="Arial" w:hAnsi="Arial"/>
          <w:sz w:val="15"/>
          <w:szCs w:val="15"/>
          <w:u w:val="single" w:color="auto"/>
          <w:color w:val="auto"/>
        </w:rPr>
        <w:t>Section 10.3</w:t>
      </w:r>
      <w:r>
        <w:rPr>
          <w:rFonts w:ascii="Arial" w:cs="Arial" w:eastAsia="Arial" w:hAnsi="Arial"/>
          <w:sz w:val="15"/>
          <w:szCs w:val="15"/>
          <w:color w:val="auto"/>
        </w:rPr>
        <w:t>, the current fair market value of the Shares shall be determined and agreed upon in writing by the Company, the Shareholder whose Shares are subject to the option (or such Shareholder’s personal representatives, or the executor or administrator of the estate of such deceased Shareholder), and the spouse of the Shareholder whose Shares are subject to the option as to the Spouse’s Interest; and (ii) if the current fair market value of the Shares is not determined and agreed upon pursuant to clause (i) above, the purchase price shall be the Fair Market Value.</w:t>
      </w:r>
    </w:p>
    <w:p>
      <w:pPr>
        <w:spacing w:after="0" w:line="153" w:lineRule="exact"/>
        <w:rPr>
          <w:rFonts w:ascii="Arial" w:cs="Arial" w:eastAsia="Arial" w:hAnsi="Arial"/>
          <w:sz w:val="15"/>
          <w:szCs w:val="15"/>
          <w:color w:val="auto"/>
        </w:rPr>
      </w:pPr>
    </w:p>
    <w:p>
      <w:pPr>
        <w:ind w:left="1260" w:right="340" w:hanging="626"/>
        <w:spacing w:after="0" w:line="273" w:lineRule="auto"/>
        <w:tabs>
          <w:tab w:leader="none" w:pos="1267" w:val="left"/>
        </w:tabs>
        <w:numPr>
          <w:ilvl w:val="0"/>
          <w:numId w:val="295"/>
        </w:numPr>
        <w:rPr>
          <w:rFonts w:ascii="Arial" w:cs="Arial" w:eastAsia="Arial" w:hAnsi="Arial"/>
          <w:sz w:val="17"/>
          <w:szCs w:val="17"/>
          <w:color w:val="auto"/>
        </w:rPr>
      </w:pPr>
      <w:r>
        <w:rPr>
          <w:rFonts w:ascii="Arial" w:cs="Arial" w:eastAsia="Arial" w:hAnsi="Arial"/>
          <w:sz w:val="17"/>
          <w:szCs w:val="17"/>
          <w:color w:val="auto"/>
        </w:rPr>
        <w:t xml:space="preserve">Should an option referred to in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be exercised or otherwise become operative, the purchase price for the Spouse’s Interest in such Shares therein shall be equal to the Fair Market Value of the Shares as of the last day of the month in which the event creating such option occurred.</w:t>
      </w:r>
    </w:p>
    <w:p>
      <w:pPr>
        <w:spacing w:after="0" w:line="172"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5"/>
          <w:szCs w:val="15"/>
          <w:u w:val="single" w:color="auto"/>
          <w:color w:val="auto"/>
        </w:rPr>
        <w:t>Payment of Purchase Price</w:t>
      </w:r>
      <w:r>
        <w:rPr>
          <w:rFonts w:ascii="Arial" w:cs="Arial" w:eastAsia="Arial" w:hAnsi="Arial"/>
          <w:sz w:val="15"/>
          <w:szCs w:val="15"/>
          <w:color w:val="auto"/>
        </w:rPr>
        <w:t>.</w:t>
      </w:r>
    </w:p>
    <w:p>
      <w:pPr>
        <w:spacing w:after="0" w:line="224" w:lineRule="exact"/>
        <w:rPr>
          <w:sz w:val="20"/>
          <w:szCs w:val="20"/>
          <w:color w:val="auto"/>
        </w:rPr>
      </w:pPr>
    </w:p>
    <w:p>
      <w:pPr>
        <w:ind w:left="1260" w:right="20" w:hanging="626"/>
        <w:spacing w:after="0" w:line="261" w:lineRule="auto"/>
        <w:tabs>
          <w:tab w:leader="none" w:pos="1257"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In the event of the exercise of any option contained in </w:t>
      </w:r>
      <w:r>
        <w:rPr>
          <w:rFonts w:ascii="Arial" w:cs="Arial" w:eastAsia="Arial" w:hAnsi="Arial"/>
          <w:sz w:val="17"/>
          <w:szCs w:val="17"/>
          <w:u w:val="single" w:color="auto"/>
          <w:color w:val="auto"/>
        </w:rPr>
        <w:t>Sections 10.3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10.4</w:t>
      </w:r>
      <w:r>
        <w:rPr>
          <w:rFonts w:ascii="Arial" w:cs="Arial" w:eastAsia="Arial" w:hAnsi="Arial"/>
          <w:sz w:val="17"/>
          <w:szCs w:val="17"/>
          <w:color w:val="auto"/>
        </w:rPr>
        <w:t>, the Company may elect to pay the purchase price in cash or in installments. If the Company elects to pay in cash, the full amount of the purchase price must be paid in full at the closing of such transaction, at which time the Offering Shareholder or other person or persons holding beneficial and legal title to such Shares shall execute and deliver the certificates evidencing such Shares to the Company. If the Company elects to pay the purchase price in installments, 20% of the total purchase price shall be paid in cash at the closing, and the balance of the purchase price shall be paid in 60 equal monthly installments with interest on the unpaid principal balance at the lesser of (i) the maximum per annum rate of interest allowed by the laws of the State of Texas, or (ii) a variable interest rate equal to the prime interest rate quoted by Citibank, New York, New York, plus one-half percent per annum. The transferring Shareholder or other person(s) holding beneficial and legal title to such Offered Shares shall execute such documents as may be reasonably required by the Company to transfer title to such Offered Shares.</w:t>
      </w:r>
    </w:p>
    <w:p>
      <w:pPr>
        <w:spacing w:after="0" w:line="184" w:lineRule="exact"/>
        <w:rPr>
          <w:rFonts w:ascii="Arial" w:cs="Arial" w:eastAsia="Arial" w:hAnsi="Arial"/>
          <w:sz w:val="17"/>
          <w:szCs w:val="17"/>
          <w:color w:val="auto"/>
        </w:rPr>
      </w:pPr>
    </w:p>
    <w:p>
      <w:pPr>
        <w:ind w:left="1260" w:right="100" w:hanging="626"/>
        <w:spacing w:after="0" w:line="289" w:lineRule="auto"/>
        <w:tabs>
          <w:tab w:leader="none" w:pos="1267"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The closing of a transfer of Shares pursuant to the exercise of an option arising under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10.4</w:t>
      </w:r>
      <w:r>
        <w:rPr>
          <w:rFonts w:ascii="Arial" w:cs="Arial" w:eastAsia="Arial" w:hAnsi="Arial"/>
          <w:sz w:val="17"/>
          <w:szCs w:val="17"/>
          <w:color w:val="auto"/>
        </w:rPr>
        <w:t xml:space="preserve"> shall be held within 60 days from the notification of an</w:t>
      </w:r>
    </w:p>
    <w:p>
      <w:pPr>
        <w:sectPr>
          <w:pgSz w:w="11900" w:h="16838" w:orient="portrait"/>
          <w:cols w:equalWidth="0" w:num="1">
            <w:col w:w="11420"/>
          </w:cols>
          <w:pgMar w:left="240" w:top="127" w:right="239" w:bottom="126"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26" w:gutter="0" w:footer="0" w:header="0"/>
          <w:type w:val="continuous"/>
        </w:sectPr>
      </w:pPr>
    </w:p>
    <w:bookmarkStart w:id="260" w:name="page261"/>
    <w:bookmarkEnd w:id="260"/>
    <w:p>
      <w:pPr>
        <w:ind w:left="1220"/>
        <w:spacing w:after="0"/>
        <w:rPr>
          <w:sz w:val="20"/>
          <w:szCs w:val="20"/>
          <w:color w:val="auto"/>
        </w:rPr>
      </w:pPr>
      <w:r>
        <w:rPr>
          <w:rFonts w:ascii="Arial" w:cs="Arial" w:eastAsia="Arial" w:hAnsi="Arial"/>
          <w:sz w:val="17"/>
          <w:szCs w:val="17"/>
          <w:color w:val="auto"/>
        </w:rPr>
        <w:t>election to exercise the option to purchase the Shares arising pursuant to this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11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212" w:lineRule="exact"/>
        <w:rPr>
          <w:sz w:val="20"/>
          <w:szCs w:val="20"/>
          <w:color w:val="auto"/>
        </w:rPr>
      </w:pPr>
    </w:p>
    <w:p>
      <w:pPr>
        <w:ind w:left="580" w:right="20" w:hanging="628"/>
        <w:spacing w:after="0" w:line="290" w:lineRule="auto"/>
        <w:tabs>
          <w:tab w:leader="none" w:pos="56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Exhibits and the certificates, documents, instruments and writings that are delivered pursuant</w:t>
      </w:r>
      <w:r>
        <w:rPr>
          <w:rFonts w:ascii="Arial" w:cs="Arial" w:eastAsia="Arial" w:hAnsi="Arial"/>
          <w:sz w:val="16"/>
          <w:szCs w:val="16"/>
          <w:u w:val="single" w:color="auto"/>
          <w:color w:val="auto"/>
        </w:rPr>
        <w:t xml:space="preserve"> </w:t>
      </w:r>
      <w:r>
        <w:rPr>
          <w:rFonts w:ascii="Arial" w:cs="Arial" w:eastAsia="Arial" w:hAnsi="Arial"/>
          <w:sz w:val="16"/>
          <w:szCs w:val="16"/>
          <w:color w:val="auto"/>
        </w:rPr>
        <w:t>hereto, constitutes the entire agreement and understanding of the Parties in respect of its subject matters and supersedes all prior understandings, agreements, or representations by or among the Parties, written or oral, to the extent they relate in any way to the subject matter hereof or the transactions contemplated hereby. There are no third party beneficiaries having rights under or with respect to this Agreement.</w:t>
      </w:r>
    </w:p>
    <w:p>
      <w:pPr>
        <w:spacing w:after="0" w:line="159" w:lineRule="exact"/>
        <w:rPr>
          <w:sz w:val="20"/>
          <w:szCs w:val="20"/>
          <w:color w:val="auto"/>
        </w:rPr>
      </w:pPr>
    </w:p>
    <w:p>
      <w:pPr>
        <w:ind w:left="580" w:right="120" w:hanging="628"/>
        <w:spacing w:after="0" w:line="265" w:lineRule="auto"/>
        <w:tabs>
          <w:tab w:leader="none" w:pos="56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continue until, and shall terminate immediately upon: (i) execution of a written agreement of termination by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holders of 2/3 of the Common Stock (on an as-converted basis); (ii) the closing by the Company, or the registering Shareholders in the event of a secondary offering, of a firmly underwritten offering of shares of the Company’s capital stock to the public; (iii) the adjudication of the Company as bankrupt or insolvent by a court of competent jurisdiction; (iv) a Change of Control of the Company (as defined in the Company’s 1998 Incentive Share Plan); or (v) any time that only one Shareholder continues to own any Shares.</w:t>
      </w:r>
    </w:p>
    <w:p>
      <w:pPr>
        <w:spacing w:after="0" w:line="179" w:lineRule="exact"/>
        <w:rPr>
          <w:sz w:val="20"/>
          <w:szCs w:val="20"/>
          <w:color w:val="auto"/>
        </w:rPr>
      </w:pPr>
    </w:p>
    <w:p>
      <w:pPr>
        <w:ind w:left="580" w:right="20" w:hanging="628"/>
        <w:spacing w:after="0" w:line="273" w:lineRule="auto"/>
        <w:tabs>
          <w:tab w:leader="none" w:pos="56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 Each Shareholder agrees to use, and to use its best efforts to insure that its authorized representatives use, the same degree of care as such</w:t>
      </w:r>
      <w:r>
        <w:rPr>
          <w:rFonts w:ascii="Arial" w:cs="Arial" w:eastAsia="Arial" w:hAnsi="Arial"/>
          <w:sz w:val="17"/>
          <w:szCs w:val="17"/>
          <w:u w:val="single" w:color="auto"/>
          <w:color w:val="auto"/>
        </w:rPr>
        <w:t xml:space="preserve"> </w:t>
      </w:r>
      <w:r>
        <w:rPr>
          <w:rFonts w:ascii="Arial" w:cs="Arial" w:eastAsia="Arial" w:hAnsi="Arial"/>
          <w:sz w:val="17"/>
          <w:szCs w:val="17"/>
          <w:color w:val="auto"/>
        </w:rPr>
        <w:t>Shareholder uses to protect its own confidential information to keep confidential any information furnished to it which the Company identifies as being confidential or proprietary (so long as such information is not in the public domain).</w:t>
      </w:r>
    </w:p>
    <w:p>
      <w:pPr>
        <w:spacing w:after="0" w:line="172" w:lineRule="exact"/>
        <w:rPr>
          <w:sz w:val="20"/>
          <w:szCs w:val="20"/>
          <w:color w:val="auto"/>
        </w:rPr>
      </w:pPr>
    </w:p>
    <w:p>
      <w:pPr>
        <w:ind w:left="580" w:right="160" w:hanging="628"/>
        <w:spacing w:after="0" w:line="273" w:lineRule="auto"/>
        <w:tabs>
          <w:tab w:leader="none" w:pos="56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7"/>
          <w:szCs w:val="17"/>
          <w:u w:val="single" w:color="auto"/>
          <w:color w:val="auto"/>
        </w:rPr>
        <w:t>Successors</w:t>
      </w:r>
      <w:r>
        <w:rPr>
          <w:rFonts w:ascii="Arial" w:cs="Arial" w:eastAsia="Arial" w:hAnsi="Arial"/>
          <w:sz w:val="17"/>
          <w:szCs w:val="17"/>
          <w:color w:val="auto"/>
        </w:rPr>
        <w:t>. All of the terms, agreements, covenants, representations, warranties, and conditions of this Agreement are binding upon, and inure to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benefit of and are enforceable by, the Parties and their respective successors and assigns, including upon any Person acquiring shares of Common Stock from any Party regardless of the method of acquisition.</w:t>
      </w:r>
    </w:p>
    <w:p>
      <w:pPr>
        <w:spacing w:after="0" w:line="172" w:lineRule="exact"/>
        <w:rPr>
          <w:sz w:val="20"/>
          <w:szCs w:val="20"/>
          <w:color w:val="auto"/>
        </w:rPr>
      </w:pPr>
    </w:p>
    <w:p>
      <w:pPr>
        <w:ind w:left="580" w:right="400" w:hanging="628"/>
        <w:spacing w:after="0" w:line="289" w:lineRule="auto"/>
        <w:tabs>
          <w:tab w:leader="none" w:pos="56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7"/>
          <w:szCs w:val="17"/>
          <w:u w:val="single" w:color="auto"/>
          <w:color w:val="auto"/>
        </w:rPr>
        <w:t>Legends on Certificates</w:t>
      </w:r>
      <w:r>
        <w:rPr>
          <w:rFonts w:ascii="Arial" w:cs="Arial" w:eastAsia="Arial" w:hAnsi="Arial"/>
          <w:sz w:val="17"/>
          <w:szCs w:val="17"/>
          <w:color w:val="auto"/>
        </w:rPr>
        <w:t>. The face of each certificate representing capital stock of the Company shall bear the following legend (which shall be made</w:t>
      </w:r>
      <w:r>
        <w:rPr>
          <w:rFonts w:ascii="Arial" w:cs="Arial" w:eastAsia="Arial" w:hAnsi="Arial"/>
          <w:sz w:val="17"/>
          <w:szCs w:val="17"/>
          <w:u w:val="single" w:color="auto"/>
          <w:color w:val="auto"/>
        </w:rPr>
        <w:t xml:space="preserve"> </w:t>
      </w:r>
      <w:r>
        <w:rPr>
          <w:rFonts w:ascii="Arial" w:cs="Arial" w:eastAsia="Arial" w:hAnsi="Arial"/>
          <w:sz w:val="17"/>
          <w:szCs w:val="17"/>
          <w:color w:val="auto"/>
        </w:rPr>
        <w:t>conspicuous by using capital letters, boldface or contrasting type, underlining or similar means):</w:t>
      </w:r>
    </w:p>
    <w:p>
      <w:pPr>
        <w:spacing w:after="0" w:line="15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SEE THE REVERSE FOR TRANSFER RESTRICTIONS.</w:t>
      </w:r>
    </w:p>
    <w:p>
      <w:pPr>
        <w:spacing w:after="0" w:line="22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reverse side of each certificate representing capital stock of the Company shall bear a legend substantially as follows:</w:t>
      </w:r>
    </w:p>
    <w:p>
      <w:pPr>
        <w:spacing w:after="0" w:line="224" w:lineRule="exact"/>
        <w:rPr>
          <w:sz w:val="20"/>
          <w:szCs w:val="20"/>
          <w:color w:val="auto"/>
        </w:rPr>
      </w:pPr>
    </w:p>
    <w:p>
      <w:pPr>
        <w:ind w:left="980" w:right="100"/>
        <w:spacing w:after="0" w:line="273" w:lineRule="auto"/>
        <w:rPr>
          <w:sz w:val="20"/>
          <w:szCs w:val="20"/>
          <w:color w:val="auto"/>
        </w:rPr>
      </w:pPr>
      <w:r>
        <w:rPr>
          <w:rFonts w:ascii="Arial" w:cs="Arial" w:eastAsia="Arial" w:hAnsi="Arial"/>
          <w:sz w:val="17"/>
          <w:szCs w:val="17"/>
          <w:color w:val="auto"/>
        </w:rPr>
        <w:t>This Certificate and the shares represented hereby are issued and shall have the rights specified in and be held subject to all of the provisions of the Articles of Incorporation and the Bylaws of said Corporation and any amendments and restatements thereof, to all of which the holder of this Certificate, by acceptance hereof, assents and agrees to be bound.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81280</wp:posOffset>
            </wp:positionV>
            <wp:extent cx="7271385" cy="292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80" w:right="180"/>
        <w:spacing w:after="0" w:line="268" w:lineRule="auto"/>
        <w:rPr>
          <w:sz w:val="20"/>
          <w:szCs w:val="20"/>
          <w:color w:val="auto"/>
        </w:rPr>
      </w:pPr>
      <w:r>
        <w:rPr>
          <w:rFonts w:ascii="Arial" w:cs="Arial" w:eastAsia="Arial" w:hAnsi="Arial"/>
          <w:sz w:val="17"/>
          <w:szCs w:val="17"/>
          <w:color w:val="auto"/>
        </w:rPr>
        <w:t>A statement of the rights, preferences, privileges and restrictions granted to or imposed upon the respective classes or series of the Corporation’s capital stock and upon the holders thereof as established by said Articles of Incorporation and Bylaws and a statement of the number of shares constituting each class or series of stock and the designation thereof, may be obtained by any shareholder, upon request and without charge, at the principal office of the Corporation.</w:t>
      </w:r>
    </w:p>
    <w:p>
      <w:pPr>
        <w:spacing w:after="0" w:line="176" w:lineRule="exact"/>
        <w:rPr>
          <w:sz w:val="20"/>
          <w:szCs w:val="20"/>
          <w:color w:val="auto"/>
        </w:rPr>
      </w:pPr>
    </w:p>
    <w:p>
      <w:pPr>
        <w:ind w:left="980" w:right="140"/>
        <w:spacing w:after="0" w:line="265" w:lineRule="auto"/>
        <w:rPr>
          <w:sz w:val="20"/>
          <w:szCs w:val="20"/>
          <w:color w:val="auto"/>
        </w:rPr>
      </w:pPr>
      <w:r>
        <w:rPr>
          <w:rFonts w:ascii="Arial" w:cs="Arial" w:eastAsia="Arial" w:hAnsi="Arial"/>
          <w:sz w:val="17"/>
          <w:szCs w:val="17"/>
          <w:i w:val="1"/>
          <w:iCs w:val="1"/>
          <w:color w:val="auto"/>
        </w:rPr>
        <w:t>THE SECURITIES EVIDENCED BY THIS CERTIFICATE HAVE NOT BEEN REGISTERED UNDER THE SECURITIES ACT OF 1933 OR UNDER ANY APPLICABLE STATE LAW. THEY MAY NOT BE OFFERED FOR SALE OR SOLD WITHOUT: (1) REGISTRATION UNDER THE SECURITIES ACT OF 1933, OR (2) AN OPINION OF COUNSEL (SATISFACTORY TO THE CORPORATION) THAT SUCH REGISTRATION IS NOT REQUIRED. THIS LEGEND OF THIS PARAGRAPH ONLY SHALL AUTOMATICALLY EXPIRE ON THE DATE WHICH IS TWO YEARS FROM THE DATE OF ISSUANCE SHOWN ON THE FACE OF THIS CERTIFICATE.</w:t>
      </w:r>
    </w:p>
    <w:p>
      <w:pPr>
        <w:spacing w:after="0" w:line="179" w:lineRule="exact"/>
        <w:rPr>
          <w:sz w:val="20"/>
          <w:szCs w:val="20"/>
          <w:color w:val="auto"/>
        </w:rPr>
      </w:pPr>
    </w:p>
    <w:p>
      <w:pPr>
        <w:ind w:left="980"/>
        <w:spacing w:after="0" w:line="290" w:lineRule="auto"/>
        <w:rPr>
          <w:sz w:val="20"/>
          <w:szCs w:val="20"/>
          <w:color w:val="auto"/>
        </w:rPr>
      </w:pPr>
      <w:r>
        <w:rPr>
          <w:rFonts w:ascii="Arial" w:cs="Arial" w:eastAsia="Arial" w:hAnsi="Arial"/>
          <w:sz w:val="16"/>
          <w:szCs w:val="16"/>
          <w:i w:val="1"/>
          <w:iCs w:val="1"/>
          <w:color w:val="auto"/>
        </w:rPr>
        <w:t>IN ADDITION, THE SECURITIES MAY NOT BE SOLD, ASSIGNED, TRANSFERRED, PLEDGED, ENCUMBERED OR OTHERWISE DISPOSED OF EXCEPT IN ACCORDANCE WITH THE THIRD AMENDED AND RESTATED SHAREHOLDERS’ AGREEMENT DATED DECEMBER 9, 2004, AS AMENDED OR MODIFIED FROM TIME TO TIME, A COPY OF WHICH THE SAID CORPORATION WILL FURNISH TO THE RECORD HOLDER OF THIS CERTIFICATE UPON WRITTEN REQUEST. THIS PROVISION SHALL NOT AUTOMATICALLY EXPIRE.</w:t>
      </w:r>
    </w:p>
    <w:p>
      <w:pPr>
        <w:spacing w:after="0" w:line="159" w:lineRule="exact"/>
        <w:rPr>
          <w:sz w:val="20"/>
          <w:szCs w:val="20"/>
          <w:color w:val="auto"/>
        </w:rPr>
      </w:pPr>
    </w:p>
    <w:p>
      <w:pPr>
        <w:ind w:left="600" w:right="40"/>
        <w:spacing w:after="0" w:line="273" w:lineRule="auto"/>
        <w:rPr>
          <w:sz w:val="20"/>
          <w:szCs w:val="20"/>
          <w:color w:val="auto"/>
        </w:rPr>
      </w:pPr>
      <w:r>
        <w:rPr>
          <w:rFonts w:ascii="Arial" w:cs="Arial" w:eastAsia="Arial" w:hAnsi="Arial"/>
          <w:sz w:val="17"/>
          <w:szCs w:val="17"/>
          <w:color w:val="auto"/>
        </w:rPr>
        <w:t>In addition to the foregoing legends, a copy of this Agreement shall be placed on file at the principal place of business (and at the registered office) of the Company. Each Shareholder agrees from time to time to submit to the Secretary of the Company all certificates representing Shares owned by such Shareholder of record for the purpose of having the foregoing legends stamped thereon.</w:t>
      </w:r>
    </w:p>
    <w:p>
      <w:pPr>
        <w:spacing w:after="0" w:line="172" w:lineRule="exact"/>
        <w:rPr>
          <w:sz w:val="20"/>
          <w:szCs w:val="20"/>
          <w:color w:val="auto"/>
        </w:rPr>
      </w:pPr>
    </w:p>
    <w:p>
      <w:pPr>
        <w:jc w:val="both"/>
        <w:ind w:left="580" w:right="100" w:hanging="628"/>
        <w:spacing w:after="0" w:line="298" w:lineRule="auto"/>
        <w:tabs>
          <w:tab w:leader="none" w:pos="56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6"/>
          <w:szCs w:val="16"/>
          <w:u w:val="single" w:color="auto"/>
          <w:color w:val="auto"/>
        </w:rPr>
        <w:t>Assignments</w:t>
      </w:r>
      <w:r>
        <w:rPr>
          <w:rFonts w:ascii="Arial" w:cs="Arial" w:eastAsia="Arial" w:hAnsi="Arial"/>
          <w:sz w:val="16"/>
          <w:szCs w:val="16"/>
          <w:color w:val="auto"/>
        </w:rPr>
        <w:t>. No Party may assign either this Agreement or any of its rights, interests, or obligations hereunder without the prior written approval of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other Parties. As a condition precedent to the assignment, transfer or other alienation of a Party’s right, title or interest in any of such Party’s Shares, the purchaser of such shares must become a party to, and agree in writing to be bound by all terms and conditions of, this Agreement.</w:t>
      </w:r>
    </w:p>
    <w:p>
      <w:pPr>
        <w:spacing w:after="0" w:line="154" w:lineRule="exact"/>
        <w:rPr>
          <w:sz w:val="20"/>
          <w:szCs w:val="20"/>
          <w:color w:val="auto"/>
        </w:rPr>
      </w:pPr>
    </w:p>
    <w:p>
      <w:pPr>
        <w:ind w:left="580" w:hanging="628"/>
        <w:spacing w:after="0" w:line="273" w:lineRule="auto"/>
        <w:tabs>
          <w:tab w:leader="none" w:pos="560" w:val="left"/>
        </w:tabs>
        <w:rPr>
          <w:sz w:val="20"/>
          <w:szCs w:val="20"/>
          <w:color w:val="auto"/>
        </w:rPr>
      </w:pPr>
      <w:r>
        <w:rPr>
          <w:rFonts w:ascii="Arial" w:cs="Arial" w:eastAsia="Arial" w:hAnsi="Arial"/>
          <w:sz w:val="17"/>
          <w:szCs w:val="17"/>
          <w:color w:val="auto"/>
        </w:rPr>
        <w:t>11.7</w:t>
      </w:r>
      <w:r>
        <w:rPr>
          <w:sz w:val="20"/>
          <w:szCs w:val="20"/>
          <w:color w:val="auto"/>
        </w:rPr>
        <w:tab/>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provided for herein shall be in writing and shall be deemed to have been duly given if delivered personally</w:t>
      </w:r>
      <w:r>
        <w:rPr>
          <w:rFonts w:ascii="Arial" w:cs="Arial" w:eastAsia="Arial" w:hAnsi="Arial"/>
          <w:sz w:val="17"/>
          <w:szCs w:val="17"/>
          <w:u w:val="single" w:color="auto"/>
          <w:color w:val="auto"/>
        </w:rPr>
        <w:t xml:space="preserve"> </w:t>
      </w:r>
      <w:r>
        <w:rPr>
          <w:rFonts w:ascii="Arial" w:cs="Arial" w:eastAsia="Arial" w:hAnsi="Arial"/>
          <w:sz w:val="17"/>
          <w:szCs w:val="17"/>
          <w:color w:val="auto"/>
        </w:rPr>
        <w:t>or sent by registered or certified mail, return receipt requested, postage prepaid, to the address set forth next to the applicable Party’s name on such Party’s signature page hereto. Written notice given in any other manner shall be effective when received.</w:t>
      </w:r>
    </w:p>
    <w:p>
      <w:pPr>
        <w:spacing w:after="0" w:line="172" w:lineRule="exact"/>
        <w:rPr>
          <w:sz w:val="20"/>
          <w:szCs w:val="20"/>
          <w:color w:val="auto"/>
        </w:rPr>
      </w:pPr>
    </w:p>
    <w:p>
      <w:pPr>
        <w:ind w:left="580" w:right="400" w:hanging="628"/>
        <w:spacing w:after="0" w:line="289" w:lineRule="auto"/>
        <w:tabs>
          <w:tab w:leader="none" w:pos="560" w:val="left"/>
        </w:tabs>
        <w:rPr>
          <w:sz w:val="20"/>
          <w:szCs w:val="20"/>
          <w:color w:val="auto"/>
        </w:rPr>
      </w:pPr>
      <w:r>
        <w:rPr>
          <w:rFonts w:ascii="Arial" w:cs="Arial" w:eastAsia="Arial" w:hAnsi="Arial"/>
          <w:sz w:val="17"/>
          <w:szCs w:val="17"/>
          <w:color w:val="auto"/>
        </w:rPr>
        <w:t>11.8</w:t>
      </w:r>
      <w:r>
        <w:rPr>
          <w:sz w:val="20"/>
          <w:szCs w:val="20"/>
          <w:color w:val="auto"/>
        </w:rPr>
        <w:tab/>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each of which will be deemed an original but all of which together will</w:t>
      </w:r>
      <w:r>
        <w:rPr>
          <w:rFonts w:ascii="Arial" w:cs="Arial" w:eastAsia="Arial" w:hAnsi="Arial"/>
          <w:sz w:val="17"/>
          <w:szCs w:val="17"/>
          <w:u w:val="single" w:color="auto"/>
          <w:color w:val="auto"/>
        </w:rPr>
        <w:t xml:space="preserve"> </w:t>
      </w:r>
      <w:r>
        <w:rPr>
          <w:rFonts w:ascii="Arial" w:cs="Arial" w:eastAsia="Arial" w:hAnsi="Arial"/>
          <w:sz w:val="17"/>
          <w:szCs w:val="17"/>
          <w:color w:val="auto"/>
        </w:rPr>
        <w:t>constitute one and the same instrument.</w:t>
      </w:r>
    </w:p>
    <w:p>
      <w:pPr>
        <w:spacing w:after="0" w:line="158" w:lineRule="exact"/>
        <w:rPr>
          <w:sz w:val="20"/>
          <w:szCs w:val="20"/>
          <w:color w:val="auto"/>
        </w:rPr>
      </w:pPr>
    </w:p>
    <w:p>
      <w:pPr>
        <w:ind w:left="580" w:right="180" w:hanging="628"/>
        <w:spacing w:after="0" w:line="289" w:lineRule="auto"/>
        <w:tabs>
          <w:tab w:leader="none" w:pos="560" w:val="left"/>
        </w:tabs>
        <w:rPr>
          <w:sz w:val="20"/>
          <w:szCs w:val="20"/>
          <w:color w:val="auto"/>
        </w:rPr>
      </w:pPr>
      <w:r>
        <w:rPr>
          <w:rFonts w:ascii="Arial" w:cs="Arial" w:eastAsia="Arial" w:hAnsi="Arial"/>
          <w:sz w:val="17"/>
          <w:szCs w:val="17"/>
          <w:color w:val="auto"/>
        </w:rPr>
        <w:t>11.9</w:t>
      </w:r>
      <w:r>
        <w:rPr>
          <w:sz w:val="20"/>
          <w:szCs w:val="20"/>
          <w:color w:val="auto"/>
        </w:rPr>
        <w:tab/>
      </w:r>
      <w:r>
        <w:rPr>
          <w:rFonts w:ascii="Arial" w:cs="Arial" w:eastAsia="Arial" w:hAnsi="Arial"/>
          <w:sz w:val="17"/>
          <w:szCs w:val="17"/>
          <w:u w:val="single" w:color="auto"/>
          <w:color w:val="auto"/>
        </w:rPr>
        <w:t>Headings</w:t>
      </w:r>
      <w:r>
        <w:rPr>
          <w:rFonts w:ascii="Arial" w:cs="Arial" w:eastAsia="Arial" w:hAnsi="Arial"/>
          <w:sz w:val="17"/>
          <w:szCs w:val="17"/>
          <w:color w:val="auto"/>
        </w:rPr>
        <w:t>. The article and section headings contained in this Agreement are inserted for convenience only and will not affect in any way the meaning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interpretation of this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81280</wp:posOffset>
            </wp:positionV>
            <wp:extent cx="7271385" cy="292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60"/>
          </w:cols>
          <w:pgMar w:left="280" w:top="337" w:right="259" w:bottom="363" w:gutter="0" w:footer="0" w:header="0"/>
        </w:sectPr>
      </w:pPr>
    </w:p>
    <w:bookmarkStart w:id="261" w:name="page262"/>
    <w:bookmarkEnd w:id="261"/>
    <w:p>
      <w:pPr>
        <w:ind w:left="620" w:right="180" w:hanging="628"/>
        <w:spacing w:after="0" w:line="289" w:lineRule="auto"/>
        <w:tabs>
          <w:tab w:leader="none" w:pos="600" w:val="left"/>
        </w:tabs>
        <w:rPr>
          <w:sz w:val="20"/>
          <w:szCs w:val="20"/>
          <w:color w:val="auto"/>
        </w:rPr>
      </w:pPr>
      <w:r>
        <w:rPr>
          <w:rFonts w:ascii="Arial" w:cs="Arial" w:eastAsia="Arial" w:hAnsi="Arial"/>
          <w:sz w:val="17"/>
          <w:szCs w:val="17"/>
          <w:color w:val="auto"/>
        </w:rPr>
        <w:t>11.10</w:t>
      </w:r>
      <w:r>
        <w:rPr>
          <w:sz w:val="20"/>
          <w:szCs w:val="20"/>
          <w:color w:val="auto"/>
        </w:rPr>
        <w:tab/>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the performance of the transactions contemplated hereby and obligations of the Parties hereunder will be governed by</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construed in accordance with the Laws of the State of Texas, without giving effect to any choice of Law principles.</w:t>
      </w:r>
    </w:p>
    <w:p>
      <w:pPr>
        <w:spacing w:after="0" w:line="158" w:lineRule="exact"/>
        <w:rPr>
          <w:sz w:val="20"/>
          <w:szCs w:val="20"/>
          <w:color w:val="auto"/>
        </w:rPr>
      </w:pPr>
    </w:p>
    <w:p>
      <w:pPr>
        <w:ind w:left="600" w:right="60" w:hanging="628"/>
        <w:spacing w:after="0" w:line="250" w:lineRule="auto"/>
        <w:tabs>
          <w:tab w:leader="none" w:pos="580" w:val="left"/>
        </w:tabs>
        <w:rPr>
          <w:sz w:val="20"/>
          <w:szCs w:val="20"/>
          <w:color w:val="auto"/>
        </w:rPr>
      </w:pPr>
      <w:r>
        <w:rPr>
          <w:rFonts w:ascii="Arial" w:cs="Arial" w:eastAsia="Arial" w:hAnsi="Arial"/>
          <w:sz w:val="17"/>
          <w:szCs w:val="17"/>
          <w:color w:val="auto"/>
        </w:rPr>
        <w:t>11.11</w:t>
      </w:r>
      <w:r>
        <w:rPr>
          <w:sz w:val="20"/>
          <w:szCs w:val="20"/>
          <w:color w:val="auto"/>
        </w:rPr>
        <w:tab/>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No amendment, modification, replacement, termination or cancellation of any provision of this Agreement will be valid,</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unless the same is in writing and signed by the Company and Shareholders holding Shares equal or greater than </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xml:space="preserve"> of the outstanding Common Stock (on an as-converted basis); </w:t>
      </w:r>
      <w:r>
        <w:rPr>
          <w:rFonts w:ascii="Arial" w:cs="Arial" w:eastAsia="Arial" w:hAnsi="Arial"/>
          <w:sz w:val="17"/>
          <w:szCs w:val="17"/>
          <w:i w:val="1"/>
          <w:iCs w:val="1"/>
          <w:color w:val="auto"/>
        </w:rPr>
        <w:t>provided</w:t>
      </w:r>
      <w:r>
        <w:rPr>
          <w:rFonts w:ascii="Arial" w:cs="Arial" w:eastAsia="Arial" w:hAnsi="Arial"/>
          <w:sz w:val="17"/>
          <w:szCs w:val="17"/>
          <w:color w:val="auto"/>
        </w:rPr>
        <w:t>, that the execution of this Agreement by an additional or transferee Shareholder shall not require the consent or approval or any Shareholder, and any such amendment of this Agreement may be accomplished at the Company’s sole option. No waiver by any Party of any default, misrepresentation, or breach of warranty or covenant hereunder, whether intentional or not, may be deemed to extend to any prior or subsequent default, misrepresentation, or breach or violation of warranty or covenant hereunder or affect in any way any rights arising because of any prior or subsequent occurrence.</w:t>
      </w:r>
    </w:p>
    <w:p>
      <w:pPr>
        <w:spacing w:after="0" w:line="193" w:lineRule="exact"/>
        <w:rPr>
          <w:sz w:val="20"/>
          <w:szCs w:val="20"/>
          <w:color w:val="auto"/>
        </w:rPr>
      </w:pPr>
    </w:p>
    <w:p>
      <w:pPr>
        <w:ind w:left="620" w:right="100" w:hanging="628"/>
        <w:spacing w:after="0" w:line="265" w:lineRule="auto"/>
        <w:tabs>
          <w:tab w:leader="none" w:pos="600" w:val="left"/>
        </w:tabs>
        <w:rPr>
          <w:sz w:val="20"/>
          <w:szCs w:val="20"/>
          <w:color w:val="auto"/>
        </w:rPr>
      </w:pPr>
      <w:r>
        <w:rPr>
          <w:rFonts w:ascii="Arial" w:cs="Arial" w:eastAsia="Arial" w:hAnsi="Arial"/>
          <w:sz w:val="17"/>
          <w:szCs w:val="17"/>
          <w:color w:val="auto"/>
        </w:rPr>
        <w:t>11.12</w:t>
      </w:r>
      <w:r>
        <w:rPr>
          <w:sz w:val="20"/>
          <w:szCs w:val="20"/>
          <w:color w:val="auto"/>
        </w:rPr>
        <w:tab/>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Party acknowledges and agrees that the other Party would be damaged irreparably if any provision of this Agreement is not</w:t>
      </w:r>
      <w:r>
        <w:rPr>
          <w:rFonts w:ascii="Arial" w:cs="Arial" w:eastAsia="Arial" w:hAnsi="Arial"/>
          <w:sz w:val="17"/>
          <w:szCs w:val="17"/>
          <w:u w:val="single" w:color="auto"/>
          <w:color w:val="auto"/>
        </w:rPr>
        <w:t xml:space="preserve"> </w:t>
      </w:r>
      <w:r>
        <w:rPr>
          <w:rFonts w:ascii="Arial" w:cs="Arial" w:eastAsia="Arial" w:hAnsi="Arial"/>
          <w:sz w:val="17"/>
          <w:szCs w:val="17"/>
          <w:color w:val="auto"/>
        </w:rPr>
        <w:t>performed in accordance with its specific terms or is otherwise Breached. Accordingly, each Party agrees that the other Party will be entitled to an injunction or injunctions to prevent Breaches of the provisions of this Agreement and to enforce specifically this Agreement and its terms and provisions in any Action instituted in any court having jurisdiction over the Parties and the matter in addition to any other remedy to which they may be entitled, at Law or in equity.</w:t>
      </w:r>
    </w:p>
    <w:p>
      <w:pPr>
        <w:spacing w:after="0" w:line="179" w:lineRule="exact"/>
        <w:rPr>
          <w:sz w:val="20"/>
          <w:szCs w:val="20"/>
          <w:color w:val="auto"/>
        </w:rPr>
      </w:pPr>
    </w:p>
    <w:p>
      <w:pPr>
        <w:ind w:left="620" w:right="20" w:hanging="628"/>
        <w:spacing w:after="0" w:line="308" w:lineRule="auto"/>
        <w:tabs>
          <w:tab w:leader="none" w:pos="600" w:val="left"/>
        </w:tabs>
        <w:rPr>
          <w:sz w:val="20"/>
          <w:szCs w:val="20"/>
          <w:color w:val="auto"/>
        </w:rPr>
      </w:pPr>
      <w:r>
        <w:rPr>
          <w:rFonts w:ascii="Arial" w:cs="Arial" w:eastAsia="Arial" w:hAnsi="Arial"/>
          <w:sz w:val="17"/>
          <w:szCs w:val="17"/>
          <w:color w:val="auto"/>
        </w:rPr>
        <w:t>11.13</w:t>
      </w:r>
      <w:r>
        <w:rPr>
          <w:sz w:val="20"/>
          <w:szCs w:val="20"/>
          <w:color w:val="auto"/>
        </w:rPr>
        <w:tab/>
      </w:r>
      <w:r>
        <w:rPr>
          <w:rFonts w:ascii="Arial" w:cs="Arial" w:eastAsia="Arial" w:hAnsi="Arial"/>
          <w:sz w:val="15"/>
          <w:szCs w:val="15"/>
          <w:u w:val="single" w:color="auto"/>
          <w:color w:val="auto"/>
        </w:rPr>
        <w:t>Severability</w:t>
      </w:r>
      <w:r>
        <w:rPr>
          <w:rFonts w:ascii="Arial" w:cs="Arial" w:eastAsia="Arial" w:hAnsi="Arial"/>
          <w:sz w:val="15"/>
          <w:szCs w:val="15"/>
          <w:color w:val="auto"/>
        </w:rPr>
        <w:t>. The provisions of this Agreement will be deemed severable and the invalidity or unenforceability of any provision will not affect the validity</w:t>
      </w:r>
      <w:r>
        <w:rPr>
          <w:rFonts w:ascii="Arial" w:cs="Arial" w:eastAsia="Arial" w:hAnsi="Arial"/>
          <w:sz w:val="15"/>
          <w:szCs w:val="15"/>
          <w:u w:val="single" w:color="auto"/>
          <w:color w:val="auto"/>
        </w:rPr>
        <w:t xml:space="preserve"> </w:t>
      </w:r>
      <w:r>
        <w:rPr>
          <w:rFonts w:ascii="Arial" w:cs="Arial" w:eastAsia="Arial" w:hAnsi="Arial"/>
          <w:sz w:val="15"/>
          <w:szCs w:val="15"/>
          <w:color w:val="auto"/>
        </w:rPr>
        <w:t>or enforceability of the other provisions hereof; provided that if any provision of this Agreement, as applied to any Party or to any circumstance, is adjudged by a Governmental Authority, arbitrator, or mediator not to be enforceable in accordance with its terms, the Parties agree that the Governmental Authority, arbitrator, or mediator making such determination will have the power to modify the provision in a manner consistent with its objectives such that it is enforceable, and/or to delete specific words or phrases, and in its reduced form, such provision will then be enforceable and will be enforced.</w:t>
      </w:r>
    </w:p>
    <w:p>
      <w:pPr>
        <w:spacing w:after="0" w:line="152" w:lineRule="exact"/>
        <w:rPr>
          <w:sz w:val="20"/>
          <w:szCs w:val="20"/>
          <w:color w:val="auto"/>
        </w:rPr>
      </w:pPr>
    </w:p>
    <w:p>
      <w:pPr>
        <w:ind w:left="620" w:right="100" w:hanging="628"/>
        <w:spacing w:after="0" w:line="283" w:lineRule="auto"/>
        <w:tabs>
          <w:tab w:leader="none" w:pos="600" w:val="left"/>
        </w:tabs>
        <w:rPr>
          <w:sz w:val="20"/>
          <w:szCs w:val="20"/>
          <w:color w:val="auto"/>
        </w:rPr>
      </w:pPr>
      <w:r>
        <w:rPr>
          <w:rFonts w:ascii="Arial" w:cs="Arial" w:eastAsia="Arial" w:hAnsi="Arial"/>
          <w:sz w:val="17"/>
          <w:szCs w:val="17"/>
          <w:color w:val="auto"/>
        </w:rPr>
        <w:t>11.14</w:t>
      </w:r>
      <w:r>
        <w:rPr>
          <w:sz w:val="20"/>
          <w:szCs w:val="20"/>
          <w:color w:val="auto"/>
        </w:rPr>
        <w:tab/>
      </w:r>
      <w:r>
        <w:rPr>
          <w:rFonts w:ascii="Arial" w:cs="Arial" w:eastAsia="Arial" w:hAnsi="Arial"/>
          <w:sz w:val="16"/>
          <w:szCs w:val="16"/>
          <w:u w:val="single" w:color="auto"/>
          <w:color w:val="auto"/>
        </w:rPr>
        <w:t>Construction</w:t>
      </w:r>
      <w:r>
        <w:rPr>
          <w:rFonts w:ascii="Arial" w:cs="Arial" w:eastAsia="Arial" w:hAnsi="Arial"/>
          <w:sz w:val="16"/>
          <w:szCs w:val="16"/>
          <w:color w:val="auto"/>
        </w:rPr>
        <w:t>. The Parties have participated jointly in the negotiation and drafting of this Agreement. If an ambiguity or question of intent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interpretation arises, this Agreement will be construed as if drafted jointly by the Parties and no presumption or burden of proof will arise favoring or disfavoring any Party because of the authorship of any provision of this Agreement. Any reference to any federal, state, provincial, municipal, local, or foreign Law will be deemed also to refer to Law as amended and all rules and regulations promulgated thereunder, unless the context requires otherwise. The word “including” means “including without limitation.” The Parties intend that each representation, warranty, and covenant contained herein will have independent significance. If any Party has Breached any representation, warranty, or covenant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240"/>
        <w:spacing w:after="0" w:line="273" w:lineRule="auto"/>
        <w:rPr>
          <w:sz w:val="20"/>
          <w:szCs w:val="20"/>
          <w:color w:val="auto"/>
        </w:rPr>
      </w:pPr>
      <w:r>
        <w:rPr>
          <w:rFonts w:ascii="Arial" w:cs="Arial" w:eastAsia="Arial" w:hAnsi="Arial"/>
          <w:sz w:val="17"/>
          <w:szCs w:val="17"/>
          <w:color w:val="auto"/>
        </w:rPr>
        <w:t>contained herein in any respect, the fact that there exists another representation, warranty or covenant relating to the same subject matter (regardless of the relative levels of specificity) which the Party has not Breached will not detract from or mitigate the fact that the Party is in Breach of the first representation, warranty, or covenant.</w:t>
      </w:r>
    </w:p>
    <w:p>
      <w:pPr>
        <w:spacing w:after="0" w:line="172" w:lineRule="exact"/>
        <w:rPr>
          <w:sz w:val="20"/>
          <w:szCs w:val="20"/>
          <w:color w:val="auto"/>
        </w:rPr>
      </w:pPr>
    </w:p>
    <w:p>
      <w:pPr>
        <w:ind w:left="620" w:right="100" w:hanging="628"/>
        <w:spacing w:after="0" w:line="289" w:lineRule="auto"/>
        <w:tabs>
          <w:tab w:leader="none" w:pos="600" w:val="left"/>
        </w:tabs>
        <w:rPr>
          <w:sz w:val="20"/>
          <w:szCs w:val="20"/>
          <w:color w:val="auto"/>
        </w:rPr>
      </w:pPr>
      <w:r>
        <w:rPr>
          <w:rFonts w:ascii="Arial" w:cs="Arial" w:eastAsia="Arial" w:hAnsi="Arial"/>
          <w:sz w:val="17"/>
          <w:szCs w:val="17"/>
          <w:color w:val="auto"/>
        </w:rPr>
        <w:t>11.15</w:t>
      </w:r>
      <w:r>
        <w:rPr>
          <w:sz w:val="20"/>
          <w:szCs w:val="20"/>
          <w:color w:val="auto"/>
        </w:rPr>
        <w:tab/>
      </w:r>
      <w:r>
        <w:rPr>
          <w:rFonts w:ascii="Arial" w:cs="Arial" w:eastAsia="Arial" w:hAnsi="Arial"/>
          <w:sz w:val="17"/>
          <w:szCs w:val="17"/>
          <w:u w:val="single" w:color="auto"/>
          <w:color w:val="auto"/>
        </w:rPr>
        <w:t>Board Observer</w:t>
      </w:r>
      <w:r>
        <w:rPr>
          <w:rFonts w:ascii="Arial" w:cs="Arial" w:eastAsia="Arial" w:hAnsi="Arial"/>
          <w:sz w:val="17"/>
          <w:szCs w:val="17"/>
          <w:color w:val="auto"/>
        </w:rPr>
        <w:t>. The Parties agree that the Series D Lead VC will have the right to designate one person to attend, and act as an observer at, meetings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Company’s Board of Directors.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remainder of this page is intentionally left blank.]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this Agreement has been executed, effective as of the date first written above.</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60" w:type="dxa"/>
            <w:vAlign w:val="bottom"/>
            <w:vMerge w:val="restart"/>
          </w:tcPr>
          <w:p>
            <w:pPr>
              <w:spacing w:after="0"/>
              <w:rPr>
                <w:sz w:val="20"/>
                <w:szCs w:val="20"/>
                <w:color w:val="auto"/>
              </w:rPr>
            </w:pPr>
            <w:r>
              <w:rPr>
                <w:rFonts w:ascii="Arial" w:cs="Arial" w:eastAsia="Arial" w:hAnsi="Arial"/>
                <w:sz w:val="17"/>
                <w:szCs w:val="17"/>
                <w:color w:val="auto"/>
              </w:rPr>
              <w:t>Address:</w:t>
            </w:r>
          </w:p>
        </w:tc>
        <w:tc>
          <w:tcPr>
            <w:tcW w:w="7660" w:type="dxa"/>
            <w:vAlign w:val="bottom"/>
            <w:gridSpan w:val="3"/>
          </w:tcPr>
          <w:p>
            <w:pPr>
              <w:ind w:left="1960"/>
              <w:spacing w:after="0"/>
              <w:rPr>
                <w:sz w:val="20"/>
                <w:szCs w:val="20"/>
                <w:color w:val="auto"/>
              </w:rPr>
            </w:pPr>
            <w:r>
              <w:rPr>
                <w:rFonts w:ascii="Arial" w:cs="Arial" w:eastAsia="Arial" w:hAnsi="Arial"/>
                <w:sz w:val="17"/>
                <w:szCs w:val="17"/>
                <w:color w:val="auto"/>
              </w:rPr>
              <w:t>APPLIED OPTOELECTRONICS, INC.</w:t>
            </w:r>
          </w:p>
        </w:tc>
        <w:tc>
          <w:tcPr>
            <w:tcW w:w="0" w:type="dxa"/>
            <w:vAlign w:val="bottom"/>
          </w:tcPr>
          <w:p>
            <w:pPr>
              <w:spacing w:after="0"/>
              <w:rPr>
                <w:sz w:val="1"/>
                <w:szCs w:val="1"/>
                <w:color w:val="auto"/>
              </w:rPr>
            </w:pPr>
          </w:p>
        </w:tc>
      </w:tr>
      <w:tr>
        <w:trPr>
          <w:trHeight w:val="198"/>
        </w:trPr>
        <w:tc>
          <w:tcPr>
            <w:tcW w:w="3760" w:type="dxa"/>
            <w:vAlign w:val="bottom"/>
            <w:vMerge w:val="continue"/>
          </w:tcPr>
          <w:p>
            <w:pPr>
              <w:spacing w:after="0"/>
              <w:rPr>
                <w:sz w:val="17"/>
                <w:szCs w:val="17"/>
                <w:color w:val="auto"/>
              </w:rPr>
            </w:pP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760" w:type="dxa"/>
            <w:vAlign w:val="bottom"/>
          </w:tcPr>
          <w:p>
            <w:pPr>
              <w:spacing w:after="0"/>
              <w:rPr>
                <w:sz w:val="20"/>
                <w:szCs w:val="20"/>
                <w:color w:val="auto"/>
              </w:rPr>
            </w:pPr>
            <w:r>
              <w:rPr>
                <w:rFonts w:ascii="Arial" w:cs="Arial" w:eastAsia="Arial" w:hAnsi="Arial"/>
                <w:sz w:val="17"/>
                <w:szCs w:val="17"/>
                <w:color w:val="auto"/>
              </w:rPr>
              <w:t>13111 Jess Pirtle</w:t>
            </w:r>
          </w:p>
        </w:tc>
        <w:tc>
          <w:tcPr>
            <w:tcW w:w="2580" w:type="dxa"/>
            <w:vAlign w:val="bottom"/>
          </w:tcPr>
          <w:p>
            <w:pPr>
              <w:ind w:left="1960"/>
              <w:spacing w:after="0"/>
              <w:rPr>
                <w:sz w:val="20"/>
                <w:szCs w:val="20"/>
                <w:color w:val="auto"/>
              </w:rPr>
            </w:pPr>
            <w:r>
              <w:rPr>
                <w:rFonts w:ascii="Arial" w:cs="Arial" w:eastAsia="Arial" w:hAnsi="Arial"/>
                <w:sz w:val="17"/>
                <w:szCs w:val="17"/>
                <w:color w:val="auto"/>
              </w:rPr>
              <w:t>By:</w:t>
            </w:r>
          </w:p>
        </w:tc>
        <w:tc>
          <w:tcPr>
            <w:tcW w:w="140" w:type="dxa"/>
            <w:vAlign w:val="bottom"/>
          </w:tcPr>
          <w:p>
            <w:pPr>
              <w:spacing w:after="0"/>
              <w:rPr>
                <w:sz w:val="19"/>
                <w:szCs w:val="19"/>
                <w:color w:val="auto"/>
              </w:rPr>
            </w:pPr>
          </w:p>
        </w:tc>
        <w:tc>
          <w:tcPr>
            <w:tcW w:w="4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760" w:type="dxa"/>
            <w:vAlign w:val="bottom"/>
          </w:tcPr>
          <w:p>
            <w:pPr>
              <w:spacing w:after="0" w:line="191" w:lineRule="exact"/>
              <w:rPr>
                <w:sz w:val="20"/>
                <w:szCs w:val="20"/>
                <w:color w:val="auto"/>
              </w:rPr>
            </w:pPr>
            <w:r>
              <w:rPr>
                <w:rFonts w:ascii="Arial" w:cs="Arial" w:eastAsia="Arial" w:hAnsi="Arial"/>
                <w:sz w:val="17"/>
                <w:szCs w:val="17"/>
                <w:color w:val="auto"/>
              </w:rPr>
              <w:t>Sugar Land, Texas 77478</w:t>
            </w:r>
          </w:p>
        </w:tc>
        <w:tc>
          <w:tcPr>
            <w:tcW w:w="2580" w:type="dxa"/>
            <w:vAlign w:val="bottom"/>
          </w:tcPr>
          <w:p>
            <w:pPr>
              <w:ind w:left="1960"/>
              <w:spacing w:after="0" w:line="191" w:lineRule="exact"/>
              <w:rPr>
                <w:sz w:val="20"/>
                <w:szCs w:val="20"/>
                <w:color w:val="auto"/>
              </w:rPr>
            </w:pPr>
            <w:r>
              <w:rPr>
                <w:rFonts w:ascii="Arial" w:cs="Arial" w:eastAsia="Arial" w:hAnsi="Arial"/>
                <w:sz w:val="17"/>
                <w:szCs w:val="17"/>
                <w:color w:val="auto"/>
              </w:rPr>
              <w:t>Name:</w:t>
            </w:r>
          </w:p>
        </w:tc>
        <w:tc>
          <w:tcPr>
            <w:tcW w:w="14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Arial" w:cs="Arial" w:eastAsia="Arial" w:hAnsi="Arial"/>
                <w:sz w:val="17"/>
                <w:szCs w:val="17"/>
                <w:color w:val="auto"/>
              </w:rPr>
              <w:t>Chih-Hsiang (Thompson) Lin</w:t>
            </w:r>
          </w:p>
        </w:tc>
        <w:tc>
          <w:tcPr>
            <w:tcW w:w="0" w:type="dxa"/>
            <w:vAlign w:val="bottom"/>
          </w:tcPr>
          <w:p>
            <w:pPr>
              <w:spacing w:after="0"/>
              <w:rPr>
                <w:sz w:val="1"/>
                <w:szCs w:val="1"/>
                <w:color w:val="auto"/>
              </w:rPr>
            </w:pPr>
          </w:p>
        </w:tc>
      </w:tr>
      <w:tr>
        <w:trPr>
          <w:trHeight w:val="222"/>
        </w:trPr>
        <w:tc>
          <w:tcPr>
            <w:tcW w:w="3760" w:type="dxa"/>
            <w:vAlign w:val="bottom"/>
          </w:tcPr>
          <w:p>
            <w:pPr>
              <w:spacing w:after="0"/>
              <w:rPr>
                <w:sz w:val="19"/>
                <w:szCs w:val="19"/>
                <w:color w:val="auto"/>
              </w:rPr>
            </w:pPr>
          </w:p>
        </w:tc>
        <w:tc>
          <w:tcPr>
            <w:tcW w:w="2580" w:type="dxa"/>
            <w:vAlign w:val="bottom"/>
          </w:tcPr>
          <w:p>
            <w:pPr>
              <w:ind w:left="1960"/>
              <w:spacing w:after="0"/>
              <w:rPr>
                <w:sz w:val="20"/>
                <w:szCs w:val="20"/>
                <w:color w:val="auto"/>
              </w:rPr>
            </w:pPr>
            <w:r>
              <w:rPr>
                <w:rFonts w:ascii="Arial" w:cs="Arial" w:eastAsia="Arial" w:hAnsi="Arial"/>
                <w:sz w:val="17"/>
                <w:szCs w:val="17"/>
                <w:color w:val="auto"/>
              </w:rPr>
              <w:t>Title:</w:t>
            </w:r>
          </w:p>
        </w:tc>
        <w:tc>
          <w:tcPr>
            <w:tcW w:w="5080" w:type="dxa"/>
            <w:vAlign w:val="bottom"/>
            <w:gridSpan w:val="2"/>
          </w:tcPr>
          <w:p>
            <w:pPr>
              <w:ind w:left="140"/>
              <w:spacing w:after="0"/>
              <w:rPr>
                <w:sz w:val="20"/>
                <w:szCs w:val="20"/>
                <w:color w:val="auto"/>
              </w:rPr>
            </w:pPr>
            <w:r>
              <w:rPr>
                <w:rFonts w:ascii="Arial" w:cs="Arial" w:eastAsia="Arial" w:hAnsi="Arial"/>
                <w:sz w:val="17"/>
                <w:szCs w:val="17"/>
                <w:color w:val="auto"/>
              </w:rPr>
              <w:t>President and Chief Executive Officer</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SHAREHOLDERS’ AGREEMENT — COMPANY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19"/>
                <w:szCs w:val="19"/>
                <w:color w:val="auto"/>
              </w:rPr>
            </w:pPr>
          </w:p>
        </w:tc>
        <w:tc>
          <w:tcPr>
            <w:tcW w:w="8000" w:type="dxa"/>
            <w:vAlign w:val="bottom"/>
            <w:gridSpan w:val="3"/>
          </w:tcPr>
          <w:p>
            <w:pPr>
              <w:spacing w:after="0"/>
              <w:rPr>
                <w:sz w:val="20"/>
                <w:szCs w:val="20"/>
                <w:color w:val="auto"/>
              </w:rPr>
            </w:pPr>
            <w:r>
              <w:rPr>
                <w:rFonts w:ascii="Arial" w:cs="Arial" w:eastAsia="Arial" w:hAnsi="Arial"/>
                <w:sz w:val="17"/>
                <w:szCs w:val="17"/>
                <w:color w:val="auto"/>
              </w:rPr>
              <w:t>IN WITNESS WHEREOF, this Agreement has been executed, effective as to the undersigned as of</w:t>
            </w:r>
          </w:p>
        </w:tc>
        <w:tc>
          <w:tcPr>
            <w:tcW w:w="2780" w:type="dxa"/>
            <w:vAlign w:val="bottom"/>
          </w:tcPr>
          <w:p>
            <w:pPr>
              <w:jc w:val="right"/>
              <w:ind w:right="2113"/>
              <w:spacing w:after="0"/>
              <w:rPr>
                <w:sz w:val="20"/>
                <w:szCs w:val="20"/>
                <w:color w:val="auto"/>
              </w:rPr>
            </w:pPr>
            <w:r>
              <w:rPr>
                <w:rFonts w:ascii="Arial" w:cs="Arial" w:eastAsia="Arial" w:hAnsi="Arial"/>
                <w:sz w:val="17"/>
                <w:szCs w:val="17"/>
                <w:color w:val="auto"/>
              </w:rPr>
              <w:t>, 200  .</w:t>
            </w:r>
          </w:p>
        </w:tc>
        <w:tc>
          <w:tcPr>
            <w:tcW w:w="0" w:type="dxa"/>
            <w:vAlign w:val="bottom"/>
          </w:tcPr>
          <w:p>
            <w:pPr>
              <w:spacing w:after="0"/>
              <w:rPr>
                <w:sz w:val="1"/>
                <w:szCs w:val="1"/>
                <w:color w:val="auto"/>
              </w:rPr>
            </w:pPr>
          </w:p>
        </w:tc>
      </w:tr>
      <w:tr>
        <w:trPr>
          <w:trHeight w:val="420"/>
        </w:trPr>
        <w:tc>
          <w:tcPr>
            <w:tcW w:w="6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920" w:type="dxa"/>
            <w:vAlign w:val="bottom"/>
            <w:tcBorders>
              <w:bottom w:val="single" w:sz="8" w:color="auto"/>
            </w:tcBorders>
            <w:gridSpan w:val="2"/>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40" w:type="dxa"/>
            <w:vAlign w:val="bottom"/>
            <w:vMerge w:val="restart"/>
          </w:tcPr>
          <w:p>
            <w:pPr>
              <w:spacing w:after="0"/>
              <w:rPr>
                <w:sz w:val="20"/>
                <w:szCs w:val="20"/>
                <w:color w:val="auto"/>
              </w:rPr>
            </w:pPr>
            <w:r>
              <w:rPr>
                <w:rFonts w:ascii="Arial" w:cs="Arial" w:eastAsia="Arial" w:hAnsi="Arial"/>
                <w:sz w:val="17"/>
                <w:szCs w:val="17"/>
                <w:color w:val="auto"/>
                <w:w w:val="92"/>
              </w:rPr>
              <w:t>Address:</w:t>
            </w:r>
          </w:p>
        </w:tc>
        <w:tc>
          <w:tcPr>
            <w:tcW w:w="508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auto"/>
                <w:w w:val="99"/>
              </w:rPr>
              <w:t>PRINTED NAME OF SHAREHOLDER</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640" w:type="dxa"/>
            <w:vAlign w:val="bottom"/>
            <w:vMerge w:val="continue"/>
          </w:tcPr>
          <w:p>
            <w:pPr>
              <w:spacing w:after="0"/>
              <w:rPr>
                <w:sz w:val="16"/>
                <w:szCs w:val="16"/>
                <w:color w:val="auto"/>
              </w:rPr>
            </w:pPr>
          </w:p>
        </w:tc>
        <w:tc>
          <w:tcPr>
            <w:tcW w:w="5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20"/>
                <w:szCs w:val="20"/>
                <w:color w:val="auto"/>
              </w:rPr>
            </w:pPr>
            <w:r>
              <w:rPr>
                <w:rFonts w:ascii="Arial" w:cs="Arial" w:eastAsia="Arial" w:hAnsi="Arial"/>
                <w:sz w:val="17"/>
                <w:szCs w:val="17"/>
                <w:color w:val="auto"/>
              </w:rPr>
              <w:t>[</w:t>
            </w:r>
          </w:p>
        </w:tc>
        <w:tc>
          <w:tcPr>
            <w:tcW w:w="5080" w:type="dxa"/>
            <w:vAlign w:val="bottom"/>
          </w:tcPr>
          <w:p>
            <w:pPr>
              <w:jc w:val="right"/>
              <w:ind w:right="3673"/>
              <w:spacing w:after="0"/>
              <w:rPr>
                <w:sz w:val="20"/>
                <w:szCs w:val="20"/>
                <w:color w:val="auto"/>
              </w:rPr>
            </w:pPr>
            <w:r>
              <w:rPr>
                <w:rFonts w:ascii="Arial" w:cs="Arial" w:eastAsia="Arial" w:hAnsi="Arial"/>
                <w:sz w:val="17"/>
                <w:szCs w:val="17"/>
                <w:color w:val="auto"/>
              </w:rPr>
              <w:t>]</w:t>
            </w:r>
          </w:p>
        </w:tc>
        <w:tc>
          <w:tcPr>
            <w:tcW w:w="2920" w:type="dxa"/>
            <w:vAlign w:val="bottom"/>
            <w:gridSpan w:val="2"/>
          </w:tcPr>
          <w:p>
            <w:pPr>
              <w:spacing w:after="0"/>
              <w:rPr>
                <w:sz w:val="20"/>
                <w:szCs w:val="20"/>
                <w:color w:val="auto"/>
              </w:rPr>
            </w:pPr>
            <w:r>
              <w:rPr>
                <w:rFonts w:ascii="Arial" w:cs="Arial" w:eastAsia="Arial" w:hAnsi="Arial"/>
                <w:sz w:val="17"/>
                <w:szCs w:val="17"/>
                <w:color w:val="auto"/>
              </w:rPr>
              <w:t>By:</w:t>
            </w: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30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SIGNATURE</w:t>
            </w:r>
          </w:p>
        </w:tc>
        <w:tc>
          <w:tcPr>
            <w:tcW w:w="2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20"/>
                <w:szCs w:val="20"/>
                <w:color w:val="auto"/>
              </w:rPr>
            </w:pPr>
            <w:r>
              <w:rPr>
                <w:rFonts w:ascii="Arial" w:cs="Arial" w:eastAsia="Arial" w:hAnsi="Arial"/>
                <w:sz w:val="17"/>
                <w:szCs w:val="17"/>
                <w:color w:val="auto"/>
              </w:rPr>
              <w:t>[</w:t>
            </w:r>
          </w:p>
        </w:tc>
        <w:tc>
          <w:tcPr>
            <w:tcW w:w="5080" w:type="dxa"/>
            <w:vAlign w:val="bottom"/>
          </w:tcPr>
          <w:p>
            <w:pPr>
              <w:jc w:val="right"/>
              <w:ind w:right="3673"/>
              <w:spacing w:after="0"/>
              <w:rPr>
                <w:sz w:val="20"/>
                <w:szCs w:val="20"/>
                <w:color w:val="auto"/>
              </w:rPr>
            </w:pPr>
            <w:r>
              <w:rPr>
                <w:rFonts w:ascii="Arial" w:cs="Arial" w:eastAsia="Arial" w:hAnsi="Arial"/>
                <w:sz w:val="17"/>
                <w:szCs w:val="17"/>
                <w:color w:val="auto"/>
              </w:rPr>
              <w:t>]</w:t>
            </w:r>
          </w:p>
        </w:tc>
        <w:tc>
          <w:tcPr>
            <w:tcW w:w="2920" w:type="dxa"/>
            <w:vAlign w:val="bottom"/>
            <w:gridSpan w:val="2"/>
          </w:tcPr>
          <w:p>
            <w:pPr>
              <w:spacing w:after="0"/>
              <w:rPr>
                <w:sz w:val="20"/>
                <w:szCs w:val="20"/>
                <w:color w:val="auto"/>
              </w:rPr>
            </w:pPr>
            <w:r>
              <w:rPr>
                <w:rFonts w:ascii="Arial" w:cs="Arial" w:eastAsia="Arial" w:hAnsi="Arial"/>
                <w:sz w:val="17"/>
                <w:szCs w:val="17"/>
                <w:color w:val="auto"/>
              </w:rPr>
              <w:t>Name:</w:t>
            </w: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8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7"/>
                <w:szCs w:val="17"/>
                <w:color w:val="auto"/>
              </w:rPr>
              <w:t>PRINTED NAME OF PERSON SIGNING</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20"/>
                <w:szCs w:val="20"/>
                <w:color w:val="auto"/>
              </w:rPr>
            </w:pPr>
            <w:r>
              <w:rPr>
                <w:rFonts w:ascii="Arial" w:cs="Arial" w:eastAsia="Arial" w:hAnsi="Arial"/>
                <w:sz w:val="17"/>
                <w:szCs w:val="17"/>
                <w:color w:val="auto"/>
              </w:rPr>
              <w:t>[</w:t>
            </w:r>
          </w:p>
        </w:tc>
        <w:tc>
          <w:tcPr>
            <w:tcW w:w="5080" w:type="dxa"/>
            <w:vAlign w:val="bottom"/>
          </w:tcPr>
          <w:p>
            <w:pPr>
              <w:jc w:val="right"/>
              <w:ind w:right="3673"/>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0"/>
                <w:szCs w:val="20"/>
                <w:color w:val="auto"/>
              </w:rPr>
            </w:pPr>
            <w:r>
              <w:rPr>
                <w:rFonts w:ascii="Arial" w:cs="Arial" w:eastAsia="Arial" w:hAnsi="Arial"/>
                <w:sz w:val="17"/>
                <w:szCs w:val="17"/>
                <w:color w:val="auto"/>
              </w:rPr>
              <w:t>Title:</w:t>
            </w:r>
          </w:p>
        </w:tc>
        <w:tc>
          <w:tcPr>
            <w:tcW w:w="23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SHAREHOLDERS’ AGREEMENT —ENTITY SIGNER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593"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222"/>
        </w:trPr>
        <w:tc>
          <w:tcPr>
            <w:tcW w:w="8720" w:type="dxa"/>
            <w:vAlign w:val="bottom"/>
            <w:gridSpan w:val="5"/>
          </w:tcPr>
          <w:p>
            <w:pPr>
              <w:ind w:left="640"/>
              <w:spacing w:after="0"/>
              <w:rPr>
                <w:sz w:val="20"/>
                <w:szCs w:val="20"/>
                <w:color w:val="auto"/>
              </w:rPr>
            </w:pPr>
            <w:r>
              <w:rPr>
                <w:rFonts w:ascii="Arial" w:cs="Arial" w:eastAsia="Arial" w:hAnsi="Arial"/>
                <w:sz w:val="17"/>
                <w:szCs w:val="17"/>
                <w:color w:val="auto"/>
              </w:rPr>
              <w:t>IN WITNESS WHEREOF, this Agreement has been executed, effective as to the undersigned as of</w:t>
            </w:r>
          </w:p>
        </w:tc>
        <w:tc>
          <w:tcPr>
            <w:tcW w:w="2700" w:type="dxa"/>
            <w:vAlign w:val="bottom"/>
          </w:tcPr>
          <w:p>
            <w:pPr>
              <w:jc w:val="right"/>
              <w:ind w:right="1933"/>
              <w:spacing w:after="0"/>
              <w:rPr>
                <w:sz w:val="20"/>
                <w:szCs w:val="20"/>
                <w:color w:val="auto"/>
              </w:rPr>
            </w:pPr>
            <w:r>
              <w:rPr>
                <w:rFonts w:ascii="Arial" w:cs="Arial" w:eastAsia="Arial" w:hAnsi="Arial"/>
                <w:sz w:val="17"/>
                <w:szCs w:val="17"/>
                <w:color w:val="auto"/>
              </w:rPr>
              <w:t>, 200  .</w:t>
            </w:r>
          </w:p>
        </w:tc>
      </w:tr>
      <w:tr>
        <w:trPr>
          <w:trHeight w:val="63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215"/>
        </w:trPr>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7"/>
                <w:szCs w:val="17"/>
                <w:color w:val="auto"/>
              </w:rPr>
              <w:t>SIGNED NAME OF SHAREHOLDER</w:t>
            </w:r>
          </w:p>
        </w:tc>
        <w:tc>
          <w:tcPr>
            <w:tcW w:w="2700" w:type="dxa"/>
            <w:vAlign w:val="bottom"/>
          </w:tcPr>
          <w:p>
            <w:pPr>
              <w:spacing w:after="0"/>
              <w:rPr>
                <w:sz w:val="18"/>
                <w:szCs w:val="18"/>
                <w:color w:val="auto"/>
              </w:rPr>
            </w:pPr>
          </w:p>
        </w:tc>
      </w:tr>
      <w:tr>
        <w:trPr>
          <w:trHeight w:val="40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215"/>
        </w:trPr>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7"/>
                <w:szCs w:val="17"/>
                <w:color w:val="auto"/>
              </w:rPr>
              <w:t>PRINTED NAME OF SHAREHOLDER</w:t>
            </w:r>
          </w:p>
        </w:tc>
        <w:tc>
          <w:tcPr>
            <w:tcW w:w="2700" w:type="dxa"/>
            <w:vAlign w:val="bottom"/>
          </w:tcPr>
          <w:p>
            <w:pPr>
              <w:spacing w:after="0"/>
              <w:rPr>
                <w:sz w:val="18"/>
                <w:szCs w:val="18"/>
                <w:color w:val="auto"/>
              </w:rPr>
            </w:pPr>
          </w:p>
        </w:tc>
      </w:tr>
      <w:tr>
        <w:trPr>
          <w:trHeight w:val="617"/>
        </w:trPr>
        <w:tc>
          <w:tcPr>
            <w:tcW w:w="1100" w:type="dxa"/>
            <w:vAlign w:val="bottom"/>
          </w:tcPr>
          <w:p>
            <w:pPr>
              <w:spacing w:after="0"/>
              <w:rPr>
                <w:sz w:val="20"/>
                <w:szCs w:val="20"/>
                <w:color w:val="auto"/>
              </w:rPr>
            </w:pPr>
            <w:r>
              <w:rPr>
                <w:rFonts w:ascii="Arial" w:cs="Arial" w:eastAsia="Arial" w:hAnsi="Arial"/>
                <w:sz w:val="17"/>
                <w:szCs w:val="17"/>
                <w:color w:val="auto"/>
              </w:rPr>
              <w:t>SPOUSE OF</w:t>
            </w:r>
          </w:p>
        </w:tc>
        <w:tc>
          <w:tcPr>
            <w:tcW w:w="18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5"/>
        </w:trPr>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PRINTED NAME OF SHAREHOLDER</w:t>
            </w:r>
          </w:p>
        </w:tc>
        <w:tc>
          <w:tcPr>
            <w:tcW w:w="3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605"/>
        </w:trPr>
        <w:tc>
          <w:tcPr>
            <w:tcW w:w="1100" w:type="dxa"/>
            <w:vAlign w:val="bottom"/>
          </w:tcPr>
          <w:p>
            <w:pPr>
              <w:ind w:left="640"/>
              <w:spacing w:after="0"/>
              <w:rPr>
                <w:sz w:val="20"/>
                <w:szCs w:val="20"/>
                <w:color w:val="auto"/>
              </w:rPr>
            </w:pPr>
            <w:r>
              <w:rPr>
                <w:rFonts w:ascii="Arial" w:cs="Arial" w:eastAsia="Arial" w:hAnsi="Arial"/>
                <w:sz w:val="17"/>
                <w:szCs w:val="17"/>
                <w:color w:val="auto"/>
              </w:rPr>
              <w:t>I,</w:t>
            </w:r>
          </w:p>
        </w:tc>
        <w:tc>
          <w:tcPr>
            <w:tcW w:w="180" w:type="dxa"/>
            <w:vAlign w:val="bottom"/>
          </w:tcPr>
          <w:p>
            <w:pPr>
              <w:spacing w:after="0"/>
              <w:rPr>
                <w:sz w:val="24"/>
                <w:szCs w:val="24"/>
                <w:color w:val="auto"/>
              </w:rPr>
            </w:pPr>
          </w:p>
        </w:tc>
        <w:tc>
          <w:tcPr>
            <w:tcW w:w="4060" w:type="dxa"/>
            <w:vAlign w:val="bottom"/>
          </w:tcPr>
          <w:p>
            <w:pPr>
              <w:ind w:left="1600"/>
              <w:spacing w:after="0"/>
              <w:rPr>
                <w:sz w:val="20"/>
                <w:szCs w:val="20"/>
                <w:color w:val="auto"/>
              </w:rPr>
            </w:pPr>
            <w:r>
              <w:rPr>
                <w:rFonts w:ascii="Arial" w:cs="Arial" w:eastAsia="Arial" w:hAnsi="Arial"/>
                <w:sz w:val="17"/>
                <w:szCs w:val="17"/>
                <w:color w:val="auto"/>
              </w:rPr>
              <w:t>, the spouse of</w:t>
            </w:r>
          </w:p>
        </w:tc>
        <w:tc>
          <w:tcPr>
            <w:tcW w:w="380" w:type="dxa"/>
            <w:vAlign w:val="bottom"/>
          </w:tcPr>
          <w:p>
            <w:pPr>
              <w:spacing w:after="0"/>
              <w:rPr>
                <w:sz w:val="24"/>
                <w:szCs w:val="24"/>
                <w:color w:val="auto"/>
              </w:rPr>
            </w:pPr>
          </w:p>
        </w:tc>
        <w:tc>
          <w:tcPr>
            <w:tcW w:w="5700" w:type="dxa"/>
            <w:vAlign w:val="bottom"/>
            <w:gridSpan w:val="2"/>
          </w:tcPr>
          <w:p>
            <w:pPr>
              <w:ind w:left="400"/>
              <w:spacing w:after="0"/>
              <w:rPr>
                <w:sz w:val="20"/>
                <w:szCs w:val="20"/>
                <w:color w:val="auto"/>
              </w:rPr>
            </w:pPr>
            <w:r>
              <w:rPr>
                <w:rFonts w:ascii="Arial" w:cs="Arial" w:eastAsia="Arial" w:hAnsi="Arial"/>
                <w:sz w:val="17"/>
                <w:szCs w:val="17"/>
                <w:color w:val="auto"/>
                <w:w w:val="99"/>
              </w:rPr>
              <w:t>, do hereby acknowledge and represent that I hereby consent to all the</w:t>
            </w:r>
          </w:p>
        </w:tc>
      </w:tr>
      <w:tr>
        <w:trPr>
          <w:trHeight w:val="222"/>
        </w:trPr>
        <w:tc>
          <w:tcPr>
            <w:tcW w:w="5340" w:type="dxa"/>
            <w:vAlign w:val="bottom"/>
            <w:gridSpan w:val="3"/>
          </w:tcPr>
          <w:p>
            <w:pPr>
              <w:spacing w:after="0"/>
              <w:rPr>
                <w:sz w:val="20"/>
                <w:szCs w:val="20"/>
                <w:color w:val="auto"/>
              </w:rPr>
            </w:pPr>
            <w:r>
              <w:rPr>
                <w:rFonts w:ascii="Arial" w:cs="Arial" w:eastAsia="Arial" w:hAnsi="Arial"/>
                <w:sz w:val="17"/>
                <w:szCs w:val="17"/>
                <w:color w:val="auto"/>
                <w:w w:val="99"/>
              </w:rPr>
              <w:t>terms and provisions of this Agreement and agree to be bound thereby.</w:t>
            </w:r>
          </w:p>
        </w:tc>
        <w:tc>
          <w:tcPr>
            <w:tcW w:w="3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700" w:type="dxa"/>
            <w:vAlign w:val="bottom"/>
          </w:tcPr>
          <w:p>
            <w:pPr>
              <w:spacing w:after="0"/>
              <w:rPr>
                <w:sz w:val="19"/>
                <w:szCs w:val="19"/>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4032250</wp:posOffset>
            </wp:positionH>
            <wp:positionV relativeFrom="paragraph">
              <wp:posOffset>17145</wp:posOffset>
            </wp:positionV>
            <wp:extent cx="32213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7"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SIGNED NAME OF SPOUSE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4032250</wp:posOffset>
            </wp:positionH>
            <wp:positionV relativeFrom="paragraph">
              <wp:posOffset>283210</wp:posOffset>
            </wp:positionV>
            <wp:extent cx="32213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PRINTED NAME OF SPOUSE OF SHAREHOLDER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SHAREHOLDERS’ AGREEMENT —INDIVIDUAL SIGNER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63" w:name="page264"/>
    <w:bookmarkEnd w:id="263"/>
    <w:p>
      <w:pPr>
        <w:ind w:left="10520"/>
        <w:spacing w:after="0"/>
        <w:rPr>
          <w:sz w:val="20"/>
          <w:szCs w:val="20"/>
          <w:color w:val="auto"/>
        </w:rPr>
      </w:pPr>
      <w:r>
        <w:rPr>
          <w:rFonts w:ascii="Arial" w:cs="Arial" w:eastAsia="Arial" w:hAnsi="Arial"/>
          <w:sz w:val="16"/>
          <w:szCs w:val="16"/>
          <w:b w:val="1"/>
          <w:bCs w:val="1"/>
          <w:color w:val="auto"/>
        </w:rPr>
        <w:t>Exhibit 10.1</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INDEMNIFICATION AGREEMENT</w:t>
      </w:r>
    </w:p>
    <w:p>
      <w:pPr>
        <w:sectPr>
          <w:pgSz w:w="11900" w:h="16838" w:orient="portrait"/>
          <w:cols w:equalWidth="0" w:num="1">
            <w:col w:w="11420"/>
          </w:cols>
          <w:pgMar w:left="240" w:top="358" w:right="239" w:bottom="0" w:gutter="0" w:footer="0" w:header="0"/>
        </w:sectPr>
      </w:pPr>
    </w:p>
    <w:p>
      <w:pPr>
        <w:spacing w:after="0" w:line="23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This Agreement is made this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 2013, between Applied Optoelectronics, Inc., a Delaware corporation (the “Company”), and</w:t>
      </w:r>
    </w:p>
    <w:p>
      <w:pPr>
        <w:spacing w:after="0" w:line="49" w:lineRule="exact"/>
        <w:rPr>
          <w:sz w:val="20"/>
          <w:szCs w:val="20"/>
          <w:color w:val="auto"/>
        </w:rPr>
      </w:pPr>
    </w:p>
    <w:p>
      <w:pPr>
        <w:sectPr>
          <w:pgSz w:w="11900" w:h="16838" w:orient="portrait"/>
          <w:cols w:equalWidth="0" w:num="3">
            <w:col w:w="2640" w:space="440"/>
            <w:col w:w="820" w:space="720"/>
            <w:col w:w="6800"/>
          </w:cols>
          <w:pgMar w:left="240" w:top="358" w:right="239" w:bottom="0" w:gutter="0" w:footer="0" w:header="0"/>
          <w:type w:val="continuous"/>
        </w:sectPr>
      </w:pPr>
    </w:p>
    <w:p>
      <w:pPr>
        <w:ind w:left="1180"/>
        <w:spacing w:after="0"/>
        <w:rPr>
          <w:sz w:val="20"/>
          <w:szCs w:val="20"/>
          <w:color w:val="auto"/>
        </w:rPr>
      </w:pPr>
      <w:r>
        <w:rPr>
          <w:rFonts w:ascii="Arial" w:cs="Arial" w:eastAsia="Arial" w:hAnsi="Arial"/>
          <w:sz w:val="17"/>
          <w:szCs w:val="17"/>
          <w:color w:val="auto"/>
        </w:rPr>
        <w:t>(“Agent”).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RECITALS</w:t>
      </w:r>
    </w:p>
    <w:p>
      <w:pPr>
        <w:sectPr>
          <w:pgSz w:w="11900" w:h="16838" w:orient="portrait"/>
          <w:cols w:equalWidth="0" w:num="1">
            <w:col w:w="11420"/>
          </w:cols>
          <w:pgMar w:left="240" w:top="358" w:right="239" w:bottom="0" w:gutter="0" w:footer="0" w:header="0"/>
          <w:type w:val="continuous"/>
        </w:sectPr>
      </w:pPr>
    </w:p>
    <w:p>
      <w:pPr>
        <w:spacing w:after="0" w:line="230" w:lineRule="exact"/>
        <w:rPr>
          <w:sz w:val="20"/>
          <w:szCs w:val="20"/>
          <w:color w:val="auto"/>
        </w:rPr>
      </w:pPr>
    </w:p>
    <w:p>
      <w:pPr>
        <w:ind w:right="300" w:firstLine="634"/>
        <w:spacing w:after="0" w:line="289" w:lineRule="auto"/>
        <w:tabs>
          <w:tab w:leader="none" w:pos="1258"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The Agent is serving as a director, officer, employee or other agent of the Company or, at the request of the Company, another corporation or enterprise, and the Company desires the Agent to continue to serve in this capacity.</w:t>
      </w:r>
    </w:p>
    <w:p>
      <w:pPr>
        <w:spacing w:after="0" w:line="158" w:lineRule="exact"/>
        <w:rPr>
          <w:rFonts w:ascii="Arial" w:cs="Arial" w:eastAsia="Arial" w:hAnsi="Arial"/>
          <w:sz w:val="17"/>
          <w:szCs w:val="17"/>
          <w:color w:val="auto"/>
        </w:rPr>
      </w:pPr>
    </w:p>
    <w:p>
      <w:pPr>
        <w:jc w:val="both"/>
        <w:ind w:right="60" w:firstLine="634"/>
        <w:spacing w:after="0" w:line="326" w:lineRule="auto"/>
        <w:tabs>
          <w:tab w:leader="none" w:pos="1258" w:val="left"/>
        </w:tabs>
        <w:numPr>
          <w:ilvl w:val="0"/>
          <w:numId w:val="297"/>
        </w:numPr>
        <w:rPr>
          <w:rFonts w:ascii="Arial" w:cs="Arial" w:eastAsia="Arial" w:hAnsi="Arial"/>
          <w:sz w:val="15"/>
          <w:szCs w:val="15"/>
          <w:color w:val="auto"/>
        </w:rPr>
      </w:pPr>
      <w:r>
        <w:rPr>
          <w:rFonts w:ascii="Arial" w:cs="Arial" w:eastAsia="Arial" w:hAnsi="Arial"/>
          <w:sz w:val="15"/>
          <w:szCs w:val="15"/>
          <w:color w:val="auto"/>
        </w:rPr>
        <w:t>The Company and the Agent recognize that qualified persons are often reluctant to serve corporations as directors, officers, employees or agents of such corporations or, at the request of such corporations, other corporations or enterprises, unless they are provided with adequate protection through insurance or adequate indemnification against inordinate risks of claims and actions against them arising out of their service to, and activities on behalf of, the corporation.</w:t>
      </w:r>
    </w:p>
    <w:p>
      <w:pPr>
        <w:spacing w:after="0" w:line="136" w:lineRule="exact"/>
        <w:rPr>
          <w:rFonts w:ascii="Arial" w:cs="Arial" w:eastAsia="Arial" w:hAnsi="Arial"/>
          <w:sz w:val="15"/>
          <w:szCs w:val="15"/>
          <w:color w:val="auto"/>
        </w:rPr>
      </w:pPr>
    </w:p>
    <w:p>
      <w:pPr>
        <w:ind w:right="20" w:firstLine="634"/>
        <w:spacing w:after="0" w:line="273" w:lineRule="auto"/>
        <w:tabs>
          <w:tab w:leader="none" w:pos="1258"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The Company’s board of directors has determined that the inability to attract and retain qualified persons would be detrimental to the best interests of the Company’s shareholders and that the Company should act to assure these persons that there will be increased certainty of adequate protection in the future.</w:t>
      </w:r>
    </w:p>
    <w:p>
      <w:pPr>
        <w:spacing w:after="0" w:line="171" w:lineRule="exact"/>
        <w:rPr>
          <w:rFonts w:ascii="Arial" w:cs="Arial" w:eastAsia="Arial" w:hAnsi="Arial"/>
          <w:sz w:val="17"/>
          <w:szCs w:val="17"/>
          <w:color w:val="auto"/>
        </w:rPr>
      </w:pPr>
    </w:p>
    <w:p>
      <w:pPr>
        <w:ind w:right="80" w:firstLine="634"/>
        <w:spacing w:after="0" w:line="273" w:lineRule="auto"/>
        <w:tabs>
          <w:tab w:leader="none" w:pos="1258"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The Company has adopted bylaws (the “Bylaws”) providing for indemnification of the directors, officers, employees and other agents of the Company, including persons serving at the request of the Company in these capacities with other corporations or enterprises, in accord with the Delaware General Corporation Law, and any successor statute or code (the “DGCL”).</w:t>
      </w:r>
    </w:p>
    <w:p>
      <w:pPr>
        <w:spacing w:after="0" w:line="171" w:lineRule="exact"/>
        <w:rPr>
          <w:rFonts w:ascii="Arial" w:cs="Arial" w:eastAsia="Arial" w:hAnsi="Arial"/>
          <w:sz w:val="17"/>
          <w:szCs w:val="17"/>
          <w:color w:val="auto"/>
        </w:rPr>
      </w:pPr>
    </w:p>
    <w:p>
      <w:pPr>
        <w:ind w:right="360" w:firstLine="634"/>
        <w:spacing w:after="0" w:line="289" w:lineRule="auto"/>
        <w:tabs>
          <w:tab w:leader="none" w:pos="1258"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The bylaws, and the DGCL, by their non-exclusive nature, permit contracts between the Company and its directors, officers, employees and other agents with respect to indemnification.</w:t>
      </w:r>
    </w:p>
    <w:p>
      <w:pPr>
        <w:spacing w:after="0" w:line="158" w:lineRule="exact"/>
        <w:rPr>
          <w:rFonts w:ascii="Arial" w:cs="Arial" w:eastAsia="Arial" w:hAnsi="Arial"/>
          <w:sz w:val="17"/>
          <w:szCs w:val="17"/>
          <w:color w:val="auto"/>
        </w:rPr>
      </w:pPr>
    </w:p>
    <w:p>
      <w:pPr>
        <w:ind w:right="140" w:firstLine="634"/>
        <w:spacing w:after="0" w:line="273" w:lineRule="auto"/>
        <w:tabs>
          <w:tab w:leader="none" w:pos="1258"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To induce the Agent to continue to serve as a director, officer, employee or other agent of the Company or, at the request of the Company, other corporations or enterprises, the Company has determined it to be in its best interest to enter into this Agreement to indemnify the Agent to the fullest extent permitted by law.</w:t>
      </w:r>
    </w:p>
    <w:p>
      <w:pPr>
        <w:spacing w:after="0" w:line="166" w:lineRule="exact"/>
        <w:rPr>
          <w:sz w:val="20"/>
          <w:szCs w:val="20"/>
          <w:color w:val="auto"/>
        </w:rPr>
      </w:pPr>
    </w:p>
    <w:p>
      <w:pPr>
        <w:ind w:right="80" w:firstLine="629"/>
        <w:spacing w:after="0" w:line="297"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and in consideration of the mutual covenants and conditions contained herein, the receipt and sufficiency of which are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acknowledged, the Company and the Agent agree as follows: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AGREEMENT TO SERVE</w:t>
      </w:r>
    </w:p>
    <w:p>
      <w:pPr>
        <w:spacing w:after="0" w:line="212" w:lineRule="exact"/>
        <w:rPr>
          <w:sz w:val="20"/>
          <w:szCs w:val="20"/>
          <w:color w:val="auto"/>
        </w:rPr>
      </w:pPr>
    </w:p>
    <w:p>
      <w:pPr>
        <w:ind w:right="540" w:firstLine="629"/>
        <w:spacing w:after="0" w:line="289" w:lineRule="auto"/>
        <w:rPr>
          <w:sz w:val="20"/>
          <w:szCs w:val="20"/>
          <w:color w:val="auto"/>
        </w:rPr>
      </w:pPr>
      <w:r>
        <w:rPr>
          <w:rFonts w:ascii="Arial" w:cs="Arial" w:eastAsia="Arial" w:hAnsi="Arial"/>
          <w:sz w:val="17"/>
          <w:szCs w:val="17"/>
          <w:color w:val="auto"/>
        </w:rPr>
        <w:t>Agent will serve at the will of the Company as a director, officer, employee or other agent of the Company or, at the request of the Company, other corporations or enterprises, faithfully and to the best of her or his ability so long as she or he is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unless she or he is removed or terminated in accordance with applicable law or until such time as she or he tenders her or his resignation in writing.</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INDEMNIFICATION</w:t>
      </w:r>
    </w:p>
    <w:p>
      <w:pPr>
        <w:spacing w:after="0" w:line="212" w:lineRule="exact"/>
        <w:rPr>
          <w:sz w:val="20"/>
          <w:szCs w:val="20"/>
          <w:color w:val="auto"/>
        </w:rPr>
      </w:pPr>
    </w:p>
    <w:p>
      <w:pPr>
        <w:ind w:right="40" w:firstLine="629"/>
        <w:spacing w:after="0" w:line="29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Indemnity of Agent</w:t>
      </w:r>
      <w:r>
        <w:rPr>
          <w:rFonts w:ascii="Arial" w:cs="Arial" w:eastAsia="Arial" w:hAnsi="Arial"/>
          <w:sz w:val="16"/>
          <w:szCs w:val="16"/>
          <w:color w:val="auto"/>
        </w:rPr>
        <w:t>. In consideration of the Agent’s service to the Company, the Company hereby agrees to hold harmless and indemnify Agent to the full extent authorized or permitted by the provisions of the Bylaws and the DGCL, as same may be amended from time to time (but only to the extent that such amendment permits the Company to provide broader indemnification rights than the Bylaws or the DGCL permitted before adoption of such amendment).</w:t>
      </w:r>
    </w:p>
    <w:p>
      <w:pPr>
        <w:spacing w:after="0" w:line="154" w:lineRule="exact"/>
        <w:rPr>
          <w:sz w:val="20"/>
          <w:szCs w:val="20"/>
          <w:color w:val="auto"/>
        </w:rPr>
      </w:pPr>
    </w:p>
    <w:p>
      <w:pPr>
        <w:ind w:right="560" w:firstLine="629"/>
        <w:spacing w:after="0" w:line="28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Additional Indemnity</w:t>
      </w:r>
      <w:r>
        <w:rPr>
          <w:rFonts w:ascii="Arial" w:cs="Arial" w:eastAsia="Arial" w:hAnsi="Arial"/>
          <w:sz w:val="17"/>
          <w:szCs w:val="17"/>
          <w:color w:val="auto"/>
        </w:rPr>
        <w:t>. Subject only to the exclusions set forth in Paragraph 2.3, the Company hereby further agrees to hold harmless and indemnify Agent against:</w:t>
      </w:r>
    </w:p>
    <w:p>
      <w:pPr>
        <w:spacing w:after="0" w:line="158" w:lineRule="exact"/>
        <w:rPr>
          <w:sz w:val="20"/>
          <w:szCs w:val="20"/>
          <w:color w:val="auto"/>
        </w:rPr>
      </w:pPr>
    </w:p>
    <w:p>
      <w:pPr>
        <w:ind w:left="640" w:right="20" w:firstLine="623"/>
        <w:spacing w:after="0" w:line="263" w:lineRule="auto"/>
        <w:tabs>
          <w:tab w:leader="none" w:pos="1896" w:val="left"/>
        </w:tabs>
        <w:numPr>
          <w:ilvl w:val="0"/>
          <w:numId w:val="298"/>
        </w:numPr>
        <w:rPr>
          <w:rFonts w:ascii="Arial" w:cs="Arial" w:eastAsia="Arial" w:hAnsi="Arial"/>
          <w:sz w:val="17"/>
          <w:szCs w:val="17"/>
          <w:color w:val="auto"/>
        </w:rPr>
      </w:pPr>
      <w:r>
        <w:rPr>
          <w:rFonts w:ascii="Arial" w:cs="Arial" w:eastAsia="Arial" w:hAnsi="Arial"/>
          <w:sz w:val="17"/>
          <w:szCs w:val="17"/>
          <w:color w:val="auto"/>
        </w:rPr>
        <w:t>any and all expenses (including attorneys’ fees), fees, damages, judgments, fines and amounts paid in settlement actually and reasonably incurred by Agent in connection with any threatened, pending or completed action, suit or proceeding, whether civil, criminal, administrative or investigative (including an action by or on behalf of the Company) to which Agent is, was or at any time becomes a party, or is threatened to be made a party, by reason of the fact that Agent is, was or at any time becomes a director, officer, employee or agent of the Company, or is or was serving or at any time serves at the request of the Company as a director, officer, employee or agent of another company, partnership, joint venture, trust or other enterprise; and</w:t>
      </w:r>
    </w:p>
    <w:p>
      <w:pPr>
        <w:spacing w:after="0" w:line="183" w:lineRule="exact"/>
        <w:rPr>
          <w:rFonts w:ascii="Arial" w:cs="Arial" w:eastAsia="Arial" w:hAnsi="Arial"/>
          <w:sz w:val="17"/>
          <w:szCs w:val="17"/>
          <w:color w:val="auto"/>
        </w:rPr>
      </w:pPr>
    </w:p>
    <w:p>
      <w:pPr>
        <w:ind w:left="1900" w:hanging="637"/>
        <w:spacing w:after="0"/>
        <w:tabs>
          <w:tab w:leader="none" w:pos="190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otherwise to the fullest extent as may be provided to Agent by the Company under the non-exclusivity provisions of the DGCL and the</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Bylaws.</w:t>
      </w:r>
    </w:p>
    <w:p>
      <w:pPr>
        <w:spacing w:after="0" w:line="21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6"/>
          <w:szCs w:val="16"/>
          <w:u w:val="single" w:color="auto"/>
          <w:color w:val="auto"/>
        </w:rPr>
        <w:t>Limitations on Additional Indemnity</w:t>
      </w:r>
      <w:r>
        <w:rPr>
          <w:rFonts w:ascii="Arial" w:cs="Arial" w:eastAsia="Arial" w:hAnsi="Arial"/>
          <w:sz w:val="16"/>
          <w:szCs w:val="16"/>
          <w:color w:val="auto"/>
        </w:rPr>
        <w:t>. No indemnity pursuant to Paragraph 2.2 may be paid by the Company:</w:t>
      </w:r>
    </w:p>
    <w:p>
      <w:pPr>
        <w:spacing w:after="0" w:line="224" w:lineRule="exact"/>
        <w:rPr>
          <w:sz w:val="20"/>
          <w:szCs w:val="20"/>
          <w:color w:val="auto"/>
        </w:rPr>
      </w:pPr>
    </w:p>
    <w:p>
      <w:pPr>
        <w:ind w:left="640" w:right="160" w:firstLine="623"/>
        <w:spacing w:after="0" w:line="273" w:lineRule="auto"/>
        <w:tabs>
          <w:tab w:leader="none" w:pos="1896" w:val="left"/>
        </w:tabs>
        <w:numPr>
          <w:ilvl w:val="0"/>
          <w:numId w:val="299"/>
        </w:numPr>
        <w:rPr>
          <w:rFonts w:ascii="Arial" w:cs="Arial" w:eastAsia="Arial" w:hAnsi="Arial"/>
          <w:sz w:val="17"/>
          <w:szCs w:val="17"/>
          <w:color w:val="auto"/>
        </w:rPr>
      </w:pPr>
      <w:r>
        <w:rPr>
          <w:rFonts w:ascii="Arial" w:cs="Arial" w:eastAsia="Arial" w:hAnsi="Arial"/>
          <w:sz w:val="17"/>
          <w:szCs w:val="17"/>
          <w:color w:val="auto"/>
        </w:rPr>
        <w:t>if indemnity is not lawful (and, in this respect, both the Company and Agent have been advised that the Securities and Exchange Commission believes that indemnification for liabilities arising under the federal securities laws is against public policy and is, therefore, unenforceable and that claims for indemnification should be submitted to appropriate courts for adjudication);</w:t>
      </w:r>
    </w:p>
    <w:p>
      <w:pPr>
        <w:spacing w:after="0" w:line="171" w:lineRule="exact"/>
        <w:rPr>
          <w:rFonts w:ascii="Arial" w:cs="Arial" w:eastAsia="Arial" w:hAnsi="Arial"/>
          <w:sz w:val="17"/>
          <w:szCs w:val="17"/>
          <w:color w:val="auto"/>
        </w:rPr>
      </w:pPr>
    </w:p>
    <w:p>
      <w:pPr>
        <w:ind w:left="640" w:right="560" w:firstLine="623"/>
        <w:spacing w:after="0" w:line="273" w:lineRule="auto"/>
        <w:tabs>
          <w:tab w:leader="none" w:pos="1905" w:val="left"/>
        </w:tabs>
        <w:numPr>
          <w:ilvl w:val="0"/>
          <w:numId w:val="299"/>
        </w:numPr>
        <w:rPr>
          <w:rFonts w:ascii="Arial" w:cs="Arial" w:eastAsia="Arial" w:hAnsi="Arial"/>
          <w:sz w:val="17"/>
          <w:szCs w:val="17"/>
          <w:color w:val="auto"/>
        </w:rPr>
      </w:pPr>
      <w:r>
        <w:rPr>
          <w:rFonts w:ascii="Arial" w:cs="Arial" w:eastAsia="Arial" w:hAnsi="Arial"/>
          <w:sz w:val="17"/>
          <w:szCs w:val="17"/>
          <w:color w:val="auto"/>
        </w:rPr>
        <w:t>if judgment is rendered against Agent for an accounting of profits made from the purchase or sale by Agent of securities of the Company pursuant to the provisions of Section 16(b) of the Securities Exchange Act of 1934 and amendments thereto or similar provisions of any federal, state or local law;</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if Agent’s conduct is finally adjudged to have been knowingly fraudulent or deliberately dishonest, or to constitute willful or intentional</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misconduct;</w:t>
      </w:r>
    </w:p>
    <w:p>
      <w:pPr>
        <w:sectPr>
          <w:pgSz w:w="11900" w:h="16838" w:orient="portrait"/>
          <w:cols w:equalWidth="0" w:num="1">
            <w:col w:w="11420"/>
          </w:cols>
          <w:pgMar w:left="240" w:top="358" w:right="239" w:bottom="0" w:gutter="0" w:footer="0" w:header="0"/>
          <w:type w:val="continuous"/>
        </w:sectPr>
      </w:pPr>
    </w:p>
    <w:bookmarkStart w:id="264" w:name="page265"/>
    <w:bookmarkEnd w:id="264"/>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80" w:firstLine="623"/>
        <w:spacing w:after="0" w:line="289" w:lineRule="auto"/>
        <w:tabs>
          <w:tab w:leader="none" w:pos="1905" w:val="left"/>
        </w:tabs>
        <w:numPr>
          <w:ilvl w:val="0"/>
          <w:numId w:val="300"/>
        </w:numPr>
        <w:rPr>
          <w:rFonts w:ascii="Arial" w:cs="Arial" w:eastAsia="Arial" w:hAnsi="Arial"/>
          <w:sz w:val="17"/>
          <w:szCs w:val="17"/>
          <w:color w:val="auto"/>
        </w:rPr>
      </w:pPr>
      <w:r>
        <w:rPr>
          <w:rFonts w:ascii="Arial" w:cs="Arial" w:eastAsia="Arial" w:hAnsi="Arial"/>
          <w:sz w:val="17"/>
          <w:szCs w:val="17"/>
          <w:color w:val="auto"/>
        </w:rPr>
        <w:t>if Agent’s conduct is established by a final judgment as constituting a breach of Agent’s duty of loyalty to the Company or resulting in any personal profit or advantage to which Agent was not legally entitled;</w:t>
      </w:r>
    </w:p>
    <w:p>
      <w:pPr>
        <w:spacing w:after="0" w:line="158" w:lineRule="exact"/>
        <w:rPr>
          <w:rFonts w:ascii="Arial" w:cs="Arial" w:eastAsia="Arial" w:hAnsi="Arial"/>
          <w:sz w:val="17"/>
          <w:szCs w:val="17"/>
          <w:color w:val="auto"/>
        </w:rPr>
      </w:pPr>
    </w:p>
    <w:p>
      <w:pPr>
        <w:ind w:left="640" w:right="60" w:firstLine="623"/>
        <w:spacing w:after="0" w:line="322" w:lineRule="auto"/>
        <w:tabs>
          <w:tab w:leader="none" w:pos="1909" w:val="left"/>
        </w:tabs>
        <w:numPr>
          <w:ilvl w:val="0"/>
          <w:numId w:val="300"/>
        </w:numPr>
        <w:rPr>
          <w:rFonts w:ascii="Arial" w:cs="Arial" w:eastAsia="Arial" w:hAnsi="Arial"/>
          <w:sz w:val="16"/>
          <w:szCs w:val="16"/>
          <w:color w:val="auto"/>
        </w:rPr>
      </w:pPr>
      <w:r>
        <w:rPr>
          <w:rFonts w:ascii="Arial" w:cs="Arial" w:eastAsia="Arial" w:hAnsi="Arial"/>
          <w:sz w:val="16"/>
          <w:szCs w:val="16"/>
          <w:color w:val="auto"/>
        </w:rPr>
        <w:t>for which payment is actually made to Agent under a valid and collectible insurance policy or under a valid and enforceable indemnity clause, bylaw or agreement, except in respect of any excess beyond payment under such insurance, clause, bylaw or agreement; or</w:t>
      </w:r>
    </w:p>
    <w:p>
      <w:pPr>
        <w:spacing w:after="0" w:line="135" w:lineRule="exact"/>
        <w:rPr>
          <w:rFonts w:ascii="Arial" w:cs="Arial" w:eastAsia="Arial" w:hAnsi="Arial"/>
          <w:sz w:val="16"/>
          <w:szCs w:val="16"/>
          <w:color w:val="auto"/>
        </w:rPr>
      </w:pPr>
    </w:p>
    <w:p>
      <w:pPr>
        <w:jc w:val="both"/>
        <w:ind w:left="640" w:right="640" w:firstLine="623"/>
        <w:spacing w:after="0" w:line="273" w:lineRule="auto"/>
        <w:tabs>
          <w:tab w:leader="none" w:pos="1903" w:val="left"/>
        </w:tabs>
        <w:numPr>
          <w:ilvl w:val="0"/>
          <w:numId w:val="300"/>
        </w:numPr>
        <w:rPr>
          <w:rFonts w:ascii="Arial" w:cs="Arial" w:eastAsia="Arial" w:hAnsi="Arial"/>
          <w:sz w:val="17"/>
          <w:szCs w:val="17"/>
          <w:color w:val="auto"/>
        </w:rPr>
      </w:pPr>
      <w:r>
        <w:rPr>
          <w:rFonts w:ascii="Arial" w:cs="Arial" w:eastAsia="Arial" w:hAnsi="Arial"/>
          <w:sz w:val="17"/>
          <w:szCs w:val="17"/>
          <w:color w:val="auto"/>
        </w:rPr>
        <w:t>in connection with any proceeding (or part thereof) initiated by Agent, or any proceeding by Agent against the Company or its directors, officers, employees or other agents, unless (i) such indemnification is expressly required to be made by law, or (ii) the proceeding was authorized by the Board of Directors of the Company.</w:t>
      </w:r>
    </w:p>
    <w:p>
      <w:pPr>
        <w:spacing w:after="0" w:line="172" w:lineRule="exact"/>
        <w:rPr>
          <w:sz w:val="20"/>
          <w:szCs w:val="20"/>
          <w:color w:val="auto"/>
        </w:rPr>
      </w:pPr>
    </w:p>
    <w:p>
      <w:pPr>
        <w:ind w:firstLine="629"/>
        <w:spacing w:after="0" w:line="260"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provided in Paragraphs 2.1 and 2.2 is unavailable and may not be paid to Agent for any reason other than those set forth in Paragraph 2.3, then in respect to any threatened, pending or completed action, suit or proceeding in which the Company is jointly liable with Agent (or would be if joined in such action, suit or proceeding), the Company shall contribute to the amount of expenses (including attorneys’ fees and expenses), judgments, fines and amounts paid in settlement actually and reasonably incurred and paid or payable by Agent in such proportion as is appropriate to reflect (i) the relative benefits received by the Company on the one hand and by Agent on the other hand from the transaction from which such action, suit or proceeding arose, and (ii) the relative fault of the Company on the one hand and of Agent on the other hand in connection with the events that resulted in such expenses, judgments, fines or settlement amounts, as well as any other relevant equitable considerations. The relative fault of the Company on the one hand and of Agent on the other hand shall be determined by reference to, among other things, the parties’ relative intent, knowledge, access to information and opportunity to correct or prevent the circumstances resulting in such expenses, judgments, fines or settlement amounts. The Company agrees that it would not be just and equitable if contribution pursuant to this Paragraph 2.4 were determined by pro rata allocation or any other method of allocation that does not take account of the foregoing equitable considerations.</w:t>
      </w:r>
    </w:p>
    <w:p>
      <w:pPr>
        <w:spacing w:after="0" w:line="18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6"/>
          <w:szCs w:val="16"/>
          <w:u w:val="single" w:color="auto"/>
          <w:color w:val="auto"/>
        </w:rPr>
        <w:t>Continuation of Obligations</w:t>
      </w:r>
      <w:r>
        <w:rPr>
          <w:rFonts w:ascii="Arial" w:cs="Arial" w:eastAsia="Arial" w:hAnsi="Arial"/>
          <w:sz w:val="16"/>
          <w:szCs w:val="16"/>
          <w:color w:val="auto"/>
        </w:rPr>
        <w:t>.</w:t>
      </w:r>
    </w:p>
    <w:p>
      <w:pPr>
        <w:spacing w:after="0" w:line="224" w:lineRule="exact"/>
        <w:rPr>
          <w:sz w:val="20"/>
          <w:szCs w:val="20"/>
          <w:color w:val="auto"/>
        </w:rPr>
      </w:pPr>
    </w:p>
    <w:p>
      <w:pPr>
        <w:jc w:val="both"/>
        <w:ind w:left="640" w:right="40" w:firstLine="623"/>
        <w:spacing w:after="0" w:line="265" w:lineRule="auto"/>
        <w:tabs>
          <w:tab w:leader="none" w:pos="1896" w:val="left"/>
        </w:tabs>
        <w:numPr>
          <w:ilvl w:val="0"/>
          <w:numId w:val="301"/>
        </w:numPr>
        <w:rPr>
          <w:rFonts w:ascii="Arial" w:cs="Arial" w:eastAsia="Arial" w:hAnsi="Arial"/>
          <w:sz w:val="17"/>
          <w:szCs w:val="17"/>
          <w:color w:val="auto"/>
        </w:rPr>
      </w:pPr>
      <w:r>
        <w:rPr>
          <w:rFonts w:ascii="Arial" w:cs="Arial" w:eastAsia="Arial" w:hAnsi="Arial"/>
          <w:sz w:val="17"/>
          <w:szCs w:val="17"/>
          <w:color w:val="auto"/>
        </w:rPr>
        <w:t>All agreements and obligations of the Company contained herein shall continue during the period Agent is a director, officer, employee or agent of the Company (or is or was serving at the request of the Company as a director, officer, employee or agent of another corporation, partnership, joint venture, trust or other enterprise) and shall continue thereafter so long as Agent shall be subject to any possible claim or threatened, pending or completed action, suit or proceeding, whether civil, criminal or investigative, by reason of the fact that Agent was serving in any capacity referred to herein.</w:t>
      </w:r>
    </w:p>
    <w:p>
      <w:pPr>
        <w:spacing w:after="0" w:line="179" w:lineRule="exact"/>
        <w:rPr>
          <w:rFonts w:ascii="Arial" w:cs="Arial" w:eastAsia="Arial" w:hAnsi="Arial"/>
          <w:sz w:val="17"/>
          <w:szCs w:val="17"/>
          <w:color w:val="auto"/>
        </w:rPr>
      </w:pPr>
    </w:p>
    <w:p>
      <w:pPr>
        <w:jc w:val="both"/>
        <w:ind w:left="640" w:right="160" w:firstLine="623"/>
        <w:spacing w:after="0" w:line="273" w:lineRule="auto"/>
        <w:tabs>
          <w:tab w:leader="none" w:pos="1905" w:val="left"/>
        </w:tabs>
        <w:numPr>
          <w:ilvl w:val="0"/>
          <w:numId w:val="301"/>
        </w:numPr>
        <w:rPr>
          <w:rFonts w:ascii="Arial" w:cs="Arial" w:eastAsia="Arial" w:hAnsi="Arial"/>
          <w:sz w:val="17"/>
          <w:szCs w:val="17"/>
          <w:color w:val="auto"/>
        </w:rPr>
      </w:pPr>
      <w:r>
        <w:rPr>
          <w:rFonts w:ascii="Arial" w:cs="Arial" w:eastAsia="Arial" w:hAnsi="Arial"/>
          <w:sz w:val="17"/>
          <w:szCs w:val="17"/>
          <w:color w:val="auto"/>
        </w:rPr>
        <w:t>If Agent is deceased and is entitled to indemnification under any provision of this Agreement, the Company shall indemnify Agent’s estate and her or his spouse, heirs, administrators and executors against, and the Company shall, and does hereby agree to, assume any and all expenses (including attorneys’ fees), penalties and fines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80"/>
        <w:spacing w:after="0" w:line="268" w:lineRule="auto"/>
        <w:rPr>
          <w:sz w:val="20"/>
          <w:szCs w:val="20"/>
          <w:color w:val="auto"/>
        </w:rPr>
      </w:pPr>
      <w:r>
        <w:rPr>
          <w:rFonts w:ascii="Arial" w:cs="Arial" w:eastAsia="Arial" w:hAnsi="Arial"/>
          <w:sz w:val="17"/>
          <w:szCs w:val="17"/>
          <w:color w:val="auto"/>
        </w:rPr>
        <w:t>actually and reasonably incurred by or for Agent or her or his estate, in connection with the investigation, defense, settlement or appeal of any such action, suit or proceeding. Further, when requested in writing by the spouse of Agent, and/or the heirs, executors or administrators of Agent’s estate, the Company shall provide appropriate evidence of the Company’s agreement set out herein, to indemnify Agent against and to itself assume such costs, liabilities and expenses.</w:t>
      </w:r>
    </w:p>
    <w:p>
      <w:pPr>
        <w:spacing w:after="0" w:line="176" w:lineRule="exact"/>
        <w:rPr>
          <w:sz w:val="20"/>
          <w:szCs w:val="20"/>
          <w:color w:val="auto"/>
        </w:rPr>
      </w:pPr>
    </w:p>
    <w:p>
      <w:pPr>
        <w:ind w:right="140" w:firstLine="629"/>
        <w:spacing w:after="0" w:line="26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Notification and Defense of Claim</w:t>
      </w:r>
      <w:r>
        <w:rPr>
          <w:rFonts w:ascii="Arial" w:cs="Arial" w:eastAsia="Arial" w:hAnsi="Arial"/>
          <w:sz w:val="17"/>
          <w:szCs w:val="17"/>
          <w:color w:val="auto"/>
        </w:rPr>
        <w:t>. Not later than 30 days after receipt by Agent of notice of the commencement of any action, suit or proceeding, Agent must, if a claim in respect thereof is to be made against the Company under this Agreement, notify the Company of the commencement thereof. Agent’s omission so to notify the Company will relieve the Company from any liability that it may have to her or him under this Agreement. However, such omission will not relieve the Company from any obligation it may have to Agent other than under this Agreement.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With respect to any such action, suit or proceeding as to which Agent notifies the Company of the commencement thereof:</w:t>
      </w:r>
    </w:p>
    <w:p>
      <w:pPr>
        <w:spacing w:after="0" w:line="224" w:lineRule="exact"/>
        <w:rPr>
          <w:sz w:val="20"/>
          <w:szCs w:val="20"/>
          <w:color w:val="auto"/>
        </w:rPr>
      </w:pPr>
    </w:p>
    <w:p>
      <w:pPr>
        <w:ind w:left="1880" w:hanging="617"/>
        <w:spacing w:after="0"/>
        <w:tabs>
          <w:tab w:leader="none" w:pos="1880" w:val="left"/>
        </w:tabs>
        <w:numPr>
          <w:ilvl w:val="1"/>
          <w:numId w:val="302"/>
        </w:numPr>
        <w:rPr>
          <w:rFonts w:ascii="Arial" w:cs="Arial" w:eastAsia="Arial" w:hAnsi="Arial"/>
          <w:sz w:val="17"/>
          <w:szCs w:val="17"/>
          <w:color w:val="auto"/>
        </w:rPr>
      </w:pPr>
      <w:r>
        <w:rPr>
          <w:rFonts w:ascii="Arial" w:cs="Arial" w:eastAsia="Arial" w:hAnsi="Arial"/>
          <w:sz w:val="17"/>
          <w:szCs w:val="17"/>
          <w:color w:val="auto"/>
        </w:rPr>
        <w:t>The Company may participate therein at its own expense;</w:t>
      </w:r>
    </w:p>
    <w:p>
      <w:pPr>
        <w:spacing w:after="0" w:line="224" w:lineRule="exact"/>
        <w:rPr>
          <w:rFonts w:ascii="Arial" w:cs="Arial" w:eastAsia="Arial" w:hAnsi="Arial"/>
          <w:sz w:val="17"/>
          <w:szCs w:val="17"/>
          <w:color w:val="auto"/>
        </w:rPr>
      </w:pPr>
    </w:p>
    <w:p>
      <w:pPr>
        <w:ind w:left="640" w:right="140" w:firstLine="623"/>
        <w:spacing w:after="0" w:line="294" w:lineRule="auto"/>
        <w:tabs>
          <w:tab w:leader="none" w:pos="1905" w:val="left"/>
        </w:tabs>
        <w:numPr>
          <w:ilvl w:val="1"/>
          <w:numId w:val="302"/>
        </w:numPr>
        <w:rPr>
          <w:rFonts w:ascii="Arial" w:cs="Arial" w:eastAsia="Arial" w:hAnsi="Arial"/>
          <w:sz w:val="15"/>
          <w:szCs w:val="15"/>
          <w:color w:val="auto"/>
        </w:rPr>
      </w:pPr>
      <w:r>
        <w:rPr>
          <w:rFonts w:ascii="Arial" w:cs="Arial" w:eastAsia="Arial" w:hAnsi="Arial"/>
          <w:sz w:val="15"/>
          <w:szCs w:val="15"/>
          <w:color w:val="auto"/>
        </w:rPr>
        <w:t>Except as otherwise provided below, to the extent that it may wish, the Company, jointly with any other indemnifying party similarly notified, may assume the defense thereof, with counsel reasonably satisfactory to Agent. After notice from the Company to Agent of the Company’s election to assume the defense as provided above, the Company will not be liable to Agent under this Agreement for any legal or other expenses subsequently incurred by Agent in connection with the defense thereof, other than reasonable costs of investigation or as otherwise provided below. Agent may employ counsel in such action, suit or proceeding, but the fees and expenses of such counsel incurred after notice from the Company of its assumption of the defense thereof shall be at the expense of Agent unless (i) the employment of counsel by Agent has been authorized by the Company,</w:t>
      </w:r>
    </w:p>
    <w:p>
      <w:pPr>
        <w:spacing w:after="0" w:line="2" w:lineRule="exact"/>
        <w:rPr>
          <w:rFonts w:ascii="Arial" w:cs="Arial" w:eastAsia="Arial" w:hAnsi="Arial"/>
          <w:sz w:val="15"/>
          <w:szCs w:val="15"/>
          <w:color w:val="auto"/>
        </w:rPr>
      </w:pPr>
    </w:p>
    <w:p>
      <w:pPr>
        <w:ind w:left="900" w:hanging="266"/>
        <w:spacing w:after="0"/>
        <w:tabs>
          <w:tab w:leader="none" w:pos="90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Agent shall have reasonably concluded that there may be a conflict of interest between the Company and Agent in conducting the defense of such</w:t>
      </w:r>
    </w:p>
    <w:p>
      <w:pPr>
        <w:spacing w:after="0" w:line="25" w:lineRule="exact"/>
        <w:rPr>
          <w:rFonts w:ascii="Arial" w:cs="Arial" w:eastAsia="Arial" w:hAnsi="Arial"/>
          <w:sz w:val="16"/>
          <w:szCs w:val="16"/>
          <w:color w:val="auto"/>
        </w:rPr>
      </w:pPr>
    </w:p>
    <w:p>
      <w:pPr>
        <w:ind w:left="640" w:right="40"/>
        <w:spacing w:after="0" w:line="266" w:lineRule="auto"/>
        <w:rPr>
          <w:rFonts w:ascii="Arial" w:cs="Arial" w:eastAsia="Arial" w:hAnsi="Arial"/>
          <w:sz w:val="16"/>
          <w:szCs w:val="16"/>
          <w:color w:val="auto"/>
        </w:rPr>
      </w:pPr>
      <w:r>
        <w:rPr>
          <w:rFonts w:ascii="Arial" w:cs="Arial" w:eastAsia="Arial" w:hAnsi="Arial"/>
          <w:sz w:val="17"/>
          <w:szCs w:val="17"/>
          <w:color w:val="auto"/>
        </w:rPr>
        <w:t>action or (iii) the Company shall not in fact have employed counsel to assume the defense of such action, in each of which cases the fees and expenses of counsel shall be at the expense of the Company. The Company may not assume the defense of any action, suit or proceeding brought by or on behalf of the Company or as to which Agent shall have made the conclusion provided for in (ii) above; and</w:t>
      </w:r>
    </w:p>
    <w:p>
      <w:pPr>
        <w:spacing w:after="0" w:line="177" w:lineRule="exact"/>
        <w:rPr>
          <w:rFonts w:ascii="Arial" w:cs="Arial" w:eastAsia="Arial" w:hAnsi="Arial"/>
          <w:sz w:val="16"/>
          <w:szCs w:val="16"/>
          <w:color w:val="auto"/>
        </w:rPr>
      </w:pPr>
    </w:p>
    <w:p>
      <w:pPr>
        <w:ind w:left="640" w:firstLine="623"/>
        <w:spacing w:after="0" w:line="298" w:lineRule="auto"/>
        <w:tabs>
          <w:tab w:leader="none" w:pos="1909" w:val="left"/>
        </w:tabs>
        <w:numPr>
          <w:ilvl w:val="1"/>
          <w:numId w:val="303"/>
        </w:numPr>
        <w:rPr>
          <w:rFonts w:ascii="Arial" w:cs="Arial" w:eastAsia="Arial" w:hAnsi="Arial"/>
          <w:sz w:val="16"/>
          <w:szCs w:val="16"/>
          <w:color w:val="auto"/>
        </w:rPr>
      </w:pPr>
      <w:r>
        <w:rPr>
          <w:rFonts w:ascii="Arial" w:cs="Arial" w:eastAsia="Arial" w:hAnsi="Arial"/>
          <w:sz w:val="16"/>
          <w:szCs w:val="16"/>
          <w:color w:val="auto"/>
        </w:rPr>
        <w:t>The Company shall not be required to indemnify Agent under this Agreement for any amounts paid in settlement of any action or claim effected without its written consent. The Company may not settle any action or claim in any manner that would impose any penalty or limitation on Agent without her or his written consent. Neither the Company nor Agent will unreasonably withhold its consent to any proposed settlement.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5"/>
          <w:szCs w:val="15"/>
          <w:u w:val="single" w:color="auto"/>
          <w:color w:val="auto"/>
        </w:rPr>
        <w:t>Advancement and Repayment of Expenses</w:t>
      </w:r>
      <w:r>
        <w:rPr>
          <w:rFonts w:ascii="Arial" w:cs="Arial" w:eastAsia="Arial" w:hAnsi="Arial"/>
          <w:sz w:val="15"/>
          <w:szCs w:val="15"/>
          <w:color w:val="auto"/>
        </w:rPr>
        <w:t>.</w:t>
      </w:r>
    </w:p>
    <w:p>
      <w:pPr>
        <w:sectPr>
          <w:pgSz w:w="11900" w:h="16838" w:orient="portrait"/>
          <w:cols w:equalWidth="0" w:num="1">
            <w:col w:w="11380"/>
          </w:cols>
          <w:pgMar w:left="240" w:top="337" w:right="279" w:bottom="0" w:gutter="0" w:footer="0" w:header="0"/>
        </w:sectPr>
      </w:pPr>
    </w:p>
    <w:bookmarkStart w:id="265" w:name="page266"/>
    <w:bookmarkEnd w:id="265"/>
    <w:p>
      <w:pPr>
        <w:ind w:left="640" w:right="140" w:firstLine="623"/>
        <w:spacing w:after="0" w:line="268" w:lineRule="auto"/>
        <w:tabs>
          <w:tab w:leader="none" w:pos="1896" w:val="left"/>
        </w:tabs>
        <w:numPr>
          <w:ilvl w:val="0"/>
          <w:numId w:val="304"/>
        </w:numPr>
        <w:rPr>
          <w:rFonts w:ascii="Arial" w:cs="Arial" w:eastAsia="Arial" w:hAnsi="Arial"/>
          <w:sz w:val="17"/>
          <w:szCs w:val="17"/>
          <w:color w:val="auto"/>
        </w:rPr>
      </w:pPr>
      <w:r>
        <w:rPr>
          <w:rFonts w:ascii="Arial" w:cs="Arial" w:eastAsia="Arial" w:hAnsi="Arial"/>
          <w:sz w:val="17"/>
          <w:szCs w:val="17"/>
          <w:color w:val="auto"/>
        </w:rPr>
        <w:t>If Agent employs her or his own counsel pursuant to Paragraph 2.6(b)(i) through (iii) above, the Company shall advance to Agent any and all reasonable expenses (including legal fees and expenses) incurred in investigating or defending any threatened or pending action, suit or proceeding, whether civil, criminal, administrative or investigative, within ten (10) days after receiving from Agent copies of invoices for such expenses and prior to any final disposition of any such action, suit or proceeding.</w:t>
      </w:r>
    </w:p>
    <w:p>
      <w:pPr>
        <w:spacing w:after="0" w:line="175" w:lineRule="exact"/>
        <w:rPr>
          <w:rFonts w:ascii="Arial" w:cs="Arial" w:eastAsia="Arial" w:hAnsi="Arial"/>
          <w:sz w:val="17"/>
          <w:szCs w:val="17"/>
          <w:color w:val="auto"/>
        </w:rPr>
      </w:pPr>
    </w:p>
    <w:p>
      <w:pPr>
        <w:ind w:left="640" w:right="80" w:firstLine="623"/>
        <w:spacing w:after="0" w:line="273" w:lineRule="auto"/>
        <w:tabs>
          <w:tab w:leader="none" w:pos="1905" w:val="left"/>
        </w:tabs>
        <w:numPr>
          <w:ilvl w:val="0"/>
          <w:numId w:val="304"/>
        </w:numPr>
        <w:rPr>
          <w:rFonts w:ascii="Arial" w:cs="Arial" w:eastAsia="Arial" w:hAnsi="Arial"/>
          <w:sz w:val="17"/>
          <w:szCs w:val="17"/>
          <w:color w:val="auto"/>
        </w:rPr>
      </w:pPr>
      <w:r>
        <w:rPr>
          <w:rFonts w:ascii="Arial" w:cs="Arial" w:eastAsia="Arial" w:hAnsi="Arial"/>
          <w:sz w:val="17"/>
          <w:szCs w:val="17"/>
          <w:color w:val="auto"/>
        </w:rPr>
        <w:t>Agent agrees that she or he will reimburse the Company for all reasonable expenses paid by the Company in defending any civil or criminal action, suit or proceeding against Agent if and only to the extent it shall be ultimately determined that Agent is not entitled, under the provisions of the DGCL, the Bylaws, this Agreement or otherwise, to be indemnified by the Company for such expenses.</w:t>
      </w:r>
    </w:p>
    <w:p>
      <w:pPr>
        <w:spacing w:after="0" w:line="17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5"/>
          <w:szCs w:val="15"/>
          <w:u w:val="single" w:color="auto"/>
          <w:color w:val="auto"/>
        </w:rPr>
        <w:t>Enforcement</w:t>
      </w:r>
      <w:r>
        <w:rPr>
          <w:rFonts w:ascii="Arial" w:cs="Arial" w:eastAsia="Arial" w:hAnsi="Arial"/>
          <w:sz w:val="15"/>
          <w:szCs w:val="15"/>
          <w:color w:val="auto"/>
        </w:rPr>
        <w:t>.</w:t>
      </w:r>
    </w:p>
    <w:p>
      <w:pPr>
        <w:spacing w:after="0" w:line="224" w:lineRule="exact"/>
        <w:rPr>
          <w:sz w:val="20"/>
          <w:szCs w:val="20"/>
          <w:color w:val="auto"/>
        </w:rPr>
      </w:pPr>
    </w:p>
    <w:p>
      <w:pPr>
        <w:ind w:left="640" w:right="20" w:firstLine="623"/>
        <w:spacing w:after="0" w:line="279" w:lineRule="auto"/>
        <w:tabs>
          <w:tab w:leader="none" w:pos="1896" w:val="left"/>
        </w:tabs>
        <w:numPr>
          <w:ilvl w:val="0"/>
          <w:numId w:val="305"/>
        </w:numPr>
        <w:rPr>
          <w:rFonts w:ascii="Arial" w:cs="Arial" w:eastAsia="Arial" w:hAnsi="Arial"/>
          <w:sz w:val="16"/>
          <w:szCs w:val="16"/>
          <w:color w:val="auto"/>
        </w:rPr>
      </w:pPr>
      <w:r>
        <w:rPr>
          <w:rFonts w:ascii="Arial" w:cs="Arial" w:eastAsia="Arial" w:hAnsi="Arial"/>
          <w:sz w:val="16"/>
          <w:szCs w:val="16"/>
          <w:color w:val="auto"/>
        </w:rPr>
        <w:t>Any right to indemnification or advances granted by this Agreement to Agent shall be enforceable by or on behalf of Agent in any court of competent jurisdiction if (i) the claim for indemnification or advances is denied, in whole or in part, or (ii) no disposition of such claim is made within ninety (90) days of request therefor. Agent, in such enforcement action, if successful in whole or in part, shall be entitled to be paid also the expense of prosecuting her or his claim. It shall be a defense to any action for which a claim for indemnification is made under this Agreement (other than an action brought to enforce a claim for expenses pursuant to Section 2.7, provided that the required undertaking has been tendered to the Company) that Agent is not entitled to indemnification because of the limitations set forth in Section 2.3. Neither the failure of the Company (including its Board of Directors or its shareholders) to have made a determination prior to the commencement of such enforcement action that indemnification of Agent is proper in the circumstances, nor an actual determination by the Company (including its Board of Directors or its shareholders) that such indemnification is improper shall be a defense to the action or create a presumption that Agent is not entitled to indemnification under this Agreement or otherwise.</w:t>
      </w:r>
    </w:p>
    <w:p>
      <w:pPr>
        <w:spacing w:after="0" w:line="172" w:lineRule="exact"/>
        <w:rPr>
          <w:rFonts w:ascii="Arial" w:cs="Arial" w:eastAsia="Arial" w:hAnsi="Arial"/>
          <w:sz w:val="16"/>
          <w:szCs w:val="16"/>
          <w:color w:val="auto"/>
        </w:rPr>
      </w:pPr>
    </w:p>
    <w:p>
      <w:pPr>
        <w:ind w:left="640" w:right="520" w:firstLine="623"/>
        <w:spacing w:after="0" w:line="298" w:lineRule="auto"/>
        <w:tabs>
          <w:tab w:leader="none" w:pos="1905"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Company expressly confirms and agrees that it has entered into this Agreement and assumed the obligations imposed on the Company hereby to induce Agent to serve as a director, officer, employee or other agent of the Company or, at the request of the Company, other corporations or enterprises, and acknowledges that she or he is relying upon this Agreement in serving in such capacity.</w:t>
      </w:r>
    </w:p>
    <w:p>
      <w:pPr>
        <w:spacing w:after="0" w:line="153" w:lineRule="exact"/>
        <w:rPr>
          <w:rFonts w:ascii="Arial" w:cs="Arial" w:eastAsia="Arial" w:hAnsi="Arial"/>
          <w:sz w:val="16"/>
          <w:szCs w:val="16"/>
          <w:color w:val="auto"/>
        </w:rPr>
      </w:pPr>
    </w:p>
    <w:p>
      <w:pPr>
        <w:ind w:left="640" w:firstLine="623"/>
        <w:spacing w:after="0" w:line="289" w:lineRule="auto"/>
        <w:tabs>
          <w:tab w:leader="none" w:pos="1909" w:val="left"/>
        </w:tabs>
        <w:numPr>
          <w:ilvl w:val="0"/>
          <w:numId w:val="305"/>
        </w:numPr>
        <w:rPr>
          <w:rFonts w:ascii="Arial" w:cs="Arial" w:eastAsia="Arial" w:hAnsi="Arial"/>
          <w:sz w:val="17"/>
          <w:szCs w:val="17"/>
          <w:color w:val="auto"/>
        </w:rPr>
      </w:pPr>
      <w:r>
        <w:rPr>
          <w:rFonts w:ascii="Arial" w:cs="Arial" w:eastAsia="Arial" w:hAnsi="Arial"/>
          <w:sz w:val="17"/>
          <w:szCs w:val="17"/>
          <w:color w:val="auto"/>
        </w:rPr>
        <w:t>If Agent is required to bring any action to enforce rights or to collect moneys due under this Agreement and is successful in such action, the Company shall reimburse Agent for all of her or his reasonable fees and expenses in bringing and pursuing such action.</w:t>
      </w:r>
    </w:p>
    <w:p>
      <w:pPr>
        <w:spacing w:after="0" w:line="158"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Subrogation</w:t>
      </w:r>
      <w:r>
        <w:rPr>
          <w:rFonts w:ascii="Arial" w:cs="Arial" w:eastAsia="Arial" w:hAnsi="Arial"/>
          <w:sz w:val="17"/>
          <w:szCs w:val="17"/>
          <w:color w:val="auto"/>
        </w:rPr>
        <w:t>. In the event of payment under this Agreement, the Company shall be subrogated to the extent of such payment to all of the rights of recovery of Agent, who shall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execute all documents required and shall do all acts that may be necessary to secure such rights and to enable the Company effectively to bring suit to enforce such rights</w:t>
      </w:r>
    </w:p>
    <w:p>
      <w:pPr>
        <w:spacing w:after="0" w:line="158" w:lineRule="exact"/>
        <w:rPr>
          <w:sz w:val="20"/>
          <w:szCs w:val="20"/>
          <w:color w:val="auto"/>
        </w:rPr>
      </w:pPr>
    </w:p>
    <w:p>
      <w:pPr>
        <w:ind w:right="80" w:firstLine="629"/>
        <w:spacing w:after="0" w:line="298"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Non-Exclusivity of Rights</w:t>
      </w:r>
      <w:r>
        <w:rPr>
          <w:rFonts w:ascii="Arial" w:cs="Arial" w:eastAsia="Arial" w:hAnsi="Arial"/>
          <w:sz w:val="16"/>
          <w:szCs w:val="16"/>
          <w:color w:val="auto"/>
        </w:rPr>
        <w:t>. The rights conferred on Agent by this Agreement shall not be exclusive of any other right which Agent may have or hereafter acquire under any statute, provision of the Company’s Certificate of Incorporation (as amended) or Bylaws (as amended), agreement, vote of shareholders or directors, or otherwise, both as to action in her or his official capacity and as to action in another capacity while holding office.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3</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MISCELLANEOUS PROVISIONS</w:t>
      </w:r>
    </w:p>
    <w:p>
      <w:pPr>
        <w:spacing w:after="0" w:line="212"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Separability</w:t>
      </w:r>
      <w:r>
        <w:rPr>
          <w:rFonts w:ascii="Arial" w:cs="Arial" w:eastAsia="Arial" w:hAnsi="Arial"/>
          <w:sz w:val="17"/>
          <w:szCs w:val="17"/>
          <w:color w:val="auto"/>
        </w:rPr>
        <w:t>. Each of the provisions of this Agreement is a separate and distinct agreement and independent of the others, so that if any provision of this Agreement is held to be invalid or unenforceable for any reason, such invalidity or unenforceability shall not affect the validity or enforceability of any other provisions.</w:t>
      </w:r>
    </w:p>
    <w:p>
      <w:pPr>
        <w:spacing w:after="0" w:line="172"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Binding Effect</w:t>
      </w:r>
      <w:r>
        <w:rPr>
          <w:rFonts w:ascii="Arial" w:cs="Arial" w:eastAsia="Arial" w:hAnsi="Arial"/>
          <w:sz w:val="17"/>
          <w:szCs w:val="17"/>
          <w:color w:val="auto"/>
        </w:rPr>
        <w:t>. This Agreement shall be binding upon Agent and upon the Company, its successors and assigns, and shall inure to the benefit of Agent, her or his heirs, personal representatives and assigns and to the benefit of the Company, its successors and assigns. The Company shall require any successor (whether direct or indirect, by purchase, merger, consolidation or otherwise) to all or substantially all of the business or assets of the Company, expressly to assume and agree to perform this Agreement in the same manner and to the same extent that the Company would be required to perform if no such succession had taken place.</w:t>
      </w:r>
    </w:p>
    <w:p>
      <w:pPr>
        <w:spacing w:after="0" w:line="179" w:lineRule="exact"/>
        <w:rPr>
          <w:sz w:val="20"/>
          <w:szCs w:val="20"/>
          <w:color w:val="auto"/>
        </w:rPr>
      </w:pPr>
    </w:p>
    <w:p>
      <w:pPr>
        <w:ind w:right="200" w:firstLine="629"/>
        <w:spacing w:after="0" w:line="28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Amendment and Termination</w:t>
      </w:r>
      <w:r>
        <w:rPr>
          <w:rFonts w:ascii="Arial" w:cs="Arial" w:eastAsia="Arial" w:hAnsi="Arial"/>
          <w:sz w:val="17"/>
          <w:szCs w:val="17"/>
          <w:color w:val="auto"/>
        </w:rPr>
        <w:t>. No amendment, modification, termination or cancellation of this Agreement shall be effective unless in writing signed by both parties hereto.</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interpreted and enforced in accordance with the laws of the State of Delaware.</w:t>
      </w:r>
    </w:p>
    <w:p>
      <w:pPr>
        <w:spacing w:after="0" w:line="224"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each of which shall constitute an original and all of which shall together constitute a single instrument.</w:t>
      </w:r>
    </w:p>
    <w:p>
      <w:pPr>
        <w:spacing w:after="0" w:line="158"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of paragraphs in this Agreement are for convenience only and shall not be deemed to constitute part of this Agreement or affect the construction thereof.</w:t>
      </w:r>
    </w:p>
    <w:p>
      <w:pPr>
        <w:spacing w:after="0" w:line="158"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hereunder shall be in writing and shall be deemed to have been duly given (i) upon delivery if delivered by hand to the party to whom such communication was directed or (ii) upon the third business day after the date on which such communication was mailed if mailed by certified or registered mail with postage prepaid:</w:t>
      </w:r>
    </w:p>
    <w:p>
      <w:pPr>
        <w:spacing w:after="0" w:line="172" w:lineRule="exact"/>
        <w:rPr>
          <w:sz w:val="20"/>
          <w:szCs w:val="20"/>
          <w:color w:val="auto"/>
        </w:rPr>
      </w:pPr>
    </w:p>
    <w:p>
      <w:pPr>
        <w:ind w:left="5680" w:right="4680" w:hanging="4417"/>
        <w:spacing w:after="0" w:line="547" w:lineRule="auto"/>
        <w:tabs>
          <w:tab w:leader="none" w:pos="1899" w:val="left"/>
        </w:tabs>
        <w:numPr>
          <w:ilvl w:val="0"/>
          <w:numId w:val="306"/>
        </w:numPr>
        <w:rPr>
          <w:rFonts w:ascii="Arial" w:cs="Arial" w:eastAsia="Arial" w:hAnsi="Arial"/>
          <w:sz w:val="17"/>
          <w:szCs w:val="17"/>
          <w:color w:val="auto"/>
        </w:rPr>
      </w:pPr>
      <w:r>
        <w:rPr>
          <w:rFonts w:ascii="Arial" w:cs="Arial" w:eastAsia="Arial" w:hAnsi="Arial"/>
          <w:sz w:val="17"/>
          <w:szCs w:val="17"/>
          <w:color w:val="auto"/>
        </w:rPr>
        <w:t>if to Agent, at the address indicated on the signature page hereof; and 6</w:t>
      </w: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ind w:left="1900" w:hanging="637"/>
        <w:spacing w:after="0"/>
        <w:tabs>
          <w:tab w:leader="none" w:pos="190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if to the Company,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-492125</wp:posOffset>
            </wp:positionV>
            <wp:extent cx="7271385" cy="2921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sectPr>
      </w:pPr>
    </w:p>
    <w:bookmarkStart w:id="266" w:name="page267"/>
    <w:bookmarkEnd w:id="266"/>
    <w:p>
      <w:pPr>
        <w:ind w:left="3160"/>
        <w:spacing w:after="0"/>
        <w:rPr>
          <w:sz w:val="20"/>
          <w:szCs w:val="20"/>
          <w:color w:val="auto"/>
        </w:rPr>
      </w:pPr>
      <w:r>
        <w:rPr>
          <w:rFonts w:ascii="Arial" w:cs="Arial" w:eastAsia="Arial" w:hAnsi="Arial"/>
          <w:sz w:val="17"/>
          <w:szCs w:val="17"/>
          <w:color w:val="auto"/>
        </w:rPr>
        <w:t>Applied Optoelectronics, Inc.</w:t>
      </w:r>
    </w:p>
    <w:p>
      <w:pPr>
        <w:spacing w:after="0" w:line="26"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13115 Jess Pirtle Blvd.</w:t>
      </w:r>
    </w:p>
    <w:p>
      <w:pPr>
        <w:spacing w:after="0" w:line="14"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Sugar Land, Texas 77478</w:t>
      </w:r>
    </w:p>
    <w:p>
      <w:pPr>
        <w:spacing w:after="0" w:line="14"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Attn: President</w:t>
      </w:r>
    </w:p>
    <w:p>
      <w:pPr>
        <w:spacing w:after="0" w:line="14"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Facsimile: (281) 966-6988</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as may have been furnished to Agent by the Company as provided in this paragraph.</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Agreement as of the day and year first above written.</w:t>
      </w:r>
    </w:p>
    <w:p>
      <w:pPr>
        <w:spacing w:after="0" w:line="24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APPLIED OPTOELECTRONICS, INC.</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-123190</wp:posOffset>
            </wp:positionV>
            <wp:extent cx="31546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APPLIED OPTOELECTRONICS, INC.</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-123190</wp:posOffset>
            </wp:positionV>
            <wp:extent cx="31546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AGENT:</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-123190</wp:posOffset>
            </wp:positionV>
            <wp:extent cx="31546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Address:</w:t>
      </w:r>
    </w:p>
    <w:p>
      <w:pPr>
        <w:spacing w:after="0" w:line="224"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267" w:name="page268"/>
    <w:bookmarkEnd w:id="267"/>
    <w:p>
      <w:pPr>
        <w:jc w:val="right"/>
        <w:spacing w:after="0"/>
        <w:rPr>
          <w:sz w:val="20"/>
          <w:szCs w:val="20"/>
          <w:color w:val="auto"/>
        </w:rPr>
      </w:pPr>
      <w:r>
        <w:rPr>
          <w:rFonts w:ascii="Arial" w:cs="Arial" w:eastAsia="Arial" w:hAnsi="Arial"/>
          <w:sz w:val="17"/>
          <w:szCs w:val="17"/>
          <w:b w:val="1"/>
          <w:bCs w:val="1"/>
          <w:color w:val="auto"/>
        </w:rPr>
        <w:t>Exhibit 10.2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1998 INCENTIVE SHARE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220345</wp:posOffset>
            </wp:positionV>
            <wp:extent cx="182308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PURPOSE AND EFFECTIVE DATE</w:t>
      </w:r>
    </w:p>
    <w:p>
      <w:pPr>
        <w:spacing w:after="0" w:line="212"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i w:val="1"/>
          <w:iCs w:val="1"/>
          <w:u w:val="single" w:color="auto"/>
          <w:color w:val="auto"/>
        </w:rPr>
        <w:t>Purpose.</w:t>
      </w:r>
      <w:r>
        <w:rPr>
          <w:rFonts w:ascii="Arial" w:cs="Arial" w:eastAsia="Arial" w:hAnsi="Arial"/>
          <w:sz w:val="17"/>
          <w:szCs w:val="17"/>
          <w:color w:val="auto"/>
        </w:rPr>
        <w:t xml:space="preserve"> The purpose of the 1998 Incentive Share Plan (the “Plan”) is to advance the interests of Applied Optoelectronics, Inc. (the “Company”) and its shareholders by enabling the Company and each of its Subsidiaries (as hereinafter defined) to (A) provide share ownership opportunities to certain of their key employees to participate in the Company’s growth and (B) enhance their ability to attract and retain individuals of superior managerial or technical ability and to motivate employees, consultants, independent contractors, agents, and other persons to exert their best efforts towards future progress and profitability of the Company.</w:t>
      </w:r>
    </w:p>
    <w:p>
      <w:pPr>
        <w:spacing w:after="0" w:line="17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i w:val="1"/>
          <w:iCs w:val="1"/>
          <w:u w:val="single" w:color="auto"/>
          <w:color w:val="auto"/>
        </w:rPr>
        <w:t xml:space="preserve">Effective Date. </w:t>
      </w:r>
      <w:r>
        <w:rPr>
          <w:rFonts w:ascii="Arial" w:cs="Arial" w:eastAsia="Arial" w:hAnsi="Arial"/>
          <w:sz w:val="15"/>
          <w:szCs w:val="15"/>
          <w:color w:val="auto"/>
        </w:rPr>
        <w:t>The effective date of the Plan shall be the date that this Plan is approved by the shareholders of the Company.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used in this Plan, the following terms shall have the meanings set forth below unless the context otherwise requires:</w:t>
      </w:r>
    </w:p>
    <w:p>
      <w:pPr>
        <w:spacing w:after="0" w:line="224"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i w:val="1"/>
          <w:iCs w:val="1"/>
          <w:color w:val="auto"/>
        </w:rPr>
        <w:t>“Award”</w:t>
      </w:r>
      <w:r>
        <w:rPr>
          <w:rFonts w:ascii="Arial" w:cs="Arial" w:eastAsia="Arial" w:hAnsi="Arial"/>
          <w:sz w:val="17"/>
          <w:szCs w:val="17"/>
          <w:color w:val="auto"/>
        </w:rPr>
        <w:t xml:space="preserve"> shall mean the grant of a Stock Option, a Stock Appreciation Right, Restricted Stock, a Performance Award, or any other grant of incentive compensation pursuant to this Plan.</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Award Period</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Subsection 16.2</w:t>
      </w:r>
      <w:r>
        <w:rPr>
          <w:rFonts w:ascii="Arial" w:cs="Arial" w:eastAsia="Arial" w:hAnsi="Arial"/>
          <w:sz w:val="15"/>
          <w:szCs w:val="15"/>
          <w:color w:val="auto"/>
        </w:rPr>
        <w:t xml:space="preserve"> of this Plan.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6"/>
          <w:szCs w:val="16"/>
          <w:i w:val="1"/>
          <w:iCs w:val="1"/>
          <w:color w:val="auto"/>
        </w:rPr>
        <w:t xml:space="preserve">“Board” </w:t>
      </w:r>
      <w:r>
        <w:rPr>
          <w:rFonts w:ascii="Arial" w:cs="Arial" w:eastAsia="Arial" w:hAnsi="Arial"/>
          <w:sz w:val="16"/>
          <w:szCs w:val="16"/>
          <w:color w:val="auto"/>
        </w:rPr>
        <w:t>shall mean the Board of Directors of the Company, as the same may be constituted from time to time.</w:t>
      </w:r>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i w:val="1"/>
          <w:iCs w:val="1"/>
          <w:color w:val="auto"/>
        </w:rPr>
        <w:t>“Change in Control”</w:t>
      </w:r>
      <w:r>
        <w:rPr>
          <w:rFonts w:ascii="Arial" w:cs="Arial" w:eastAsia="Arial" w:hAnsi="Arial"/>
          <w:sz w:val="17"/>
          <w:szCs w:val="17"/>
          <w:color w:val="auto"/>
        </w:rPr>
        <w:t xml:space="preserve"> has the meaning given such term in the applicable Award agreement or, if not defined therein, shall mean, after the effective date of this Plan stated in </w:t>
      </w:r>
      <w:r>
        <w:rPr>
          <w:rFonts w:ascii="Arial" w:cs="Arial" w:eastAsia="Arial" w:hAnsi="Arial"/>
          <w:sz w:val="17"/>
          <w:szCs w:val="17"/>
          <w:u w:val="single" w:color="auto"/>
          <w:color w:val="auto"/>
        </w:rPr>
        <w:t>Subsection 1.2</w:t>
      </w:r>
      <w:r>
        <w:rPr>
          <w:rFonts w:ascii="Arial" w:cs="Arial" w:eastAsia="Arial" w:hAnsi="Arial"/>
          <w:sz w:val="17"/>
          <w:szCs w:val="17"/>
          <w:color w:val="auto"/>
        </w:rPr>
        <w:t>, (i) the occurrence of an event of a nature that would be required to be reported by the Company in response to Item 1 of a Current Report on Form 8-K (or any successor to such form), whether or not the Company is, in fact, required to report on such form, promulgated pursuant to the Exchange Act; provided that, without limitation, such a Change in Control shall be deemed to have occurred if (a) any Person or group (as defined in the Exchange Act), other than (A) the Company, (B) a wholly-owned Subsidiary, (C) any employee benefit plan (including, without limitation, an employee stock ownership plan) adopted by the Company or any wholly-owned Subsidiary or (D) any trustee or other fiduciary holding securities under any employee benefit plan adopted by the Company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189230</wp:posOffset>
            </wp:positionV>
            <wp:extent cx="7271385" cy="292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Subsidiary, becomes the “beneficial owner” (as defined in Rule 13d-3 (or any successor to such rule) promulgated under the Exchange Act), directly or indirectly, of securities of the Company representing fifty percent (50%) or more of the combined voting power of the Company’s then outstanding securities or (b) during any period of twenty-four (24) months, individuals who at the beginning of such period constitute the Board cease for any reason to constitute at least a majority thereof, unless the election by the Board or the nomination for election by the Company’s shareholders was approved by a vote of at least two-thirds (2/3) of the directors then still in office who either were directors at the beginning of such twenty-four (24) month period or whose election or nomination for election was previously so approved; (ii) a Corporate Transaction is consummated, other than a Corporate Transaction that would result in substantially all of the holders of voting securities of the Company outstanding immediately prior thereto owning (directly or indirectly and in substantially the same proportions relative to each other) not less than fifty percent (50%) of the combined voting power of the voting securities of the issuing/surviving/resulting entity outstanding immediately after such Corporate Transaction; or (iii) an agreement for the sale or other disposition of all or substantially all of the Company’s assets (evaluated on a consolidated basis, without regard to whether the sale or disposition is effected via a sale or disposition of assets of the Company, the sale or disposition of the securities of one or more Subsidiaries or the sale or disposition of the assets of one or more Subsidiaries) is consummated.</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i w:val="1"/>
          <w:iCs w:val="1"/>
          <w:color w:val="auto"/>
        </w:rPr>
        <w:t xml:space="preserve">“Code” </w:t>
      </w:r>
      <w:r>
        <w:rPr>
          <w:rFonts w:ascii="Arial" w:cs="Arial" w:eastAsia="Arial" w:hAnsi="Arial"/>
          <w:sz w:val="15"/>
          <w:szCs w:val="15"/>
          <w:color w:val="auto"/>
        </w:rPr>
        <w:t>shall mean the Internal Revenue Code of 1986, as amended from time to time (or any successor to such legislation).</w:t>
      </w:r>
    </w:p>
    <w:p>
      <w:pPr>
        <w:spacing w:after="0" w:line="224" w:lineRule="exact"/>
        <w:rPr>
          <w:sz w:val="20"/>
          <w:szCs w:val="20"/>
          <w:color w:val="auto"/>
        </w:rPr>
      </w:pPr>
    </w:p>
    <w:p>
      <w:pPr>
        <w:ind w:right="60" w:firstLine="629"/>
        <w:spacing w:after="0" w:line="290"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shall mean the Compensation Committee of the Board, if such a committee shall have been appointed and consist of two (2) or more directors of the Company who are both “Non-Employee Directors” (as that term is defined in Rule 16b-3 (or any successor to such rule) promulgated under the Exchange Act) and “outside directors” within the meaning of Section 162(m) of the Code and such Treasury regulations as may be promulgated thereunder. If a separate Compensation Committee with such membership shall not have been appointed, “Committee” shall mean the Board.</w:t>
      </w:r>
    </w:p>
    <w:p>
      <w:pPr>
        <w:spacing w:after="0" w:line="15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6"/>
          <w:szCs w:val="16"/>
          <w:i w:val="1"/>
          <w:iCs w:val="1"/>
          <w:color w:val="auto"/>
        </w:rPr>
        <w:t xml:space="preserve">“Company” </w:t>
      </w:r>
      <w:r>
        <w:rPr>
          <w:rFonts w:ascii="Arial" w:cs="Arial" w:eastAsia="Arial" w:hAnsi="Arial"/>
          <w:sz w:val="16"/>
          <w:szCs w:val="16"/>
          <w:color w:val="auto"/>
        </w:rPr>
        <w:t>shall mean Applied Optoelectronics, Inc., a Texas corporation.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5"/>
          <w:szCs w:val="15"/>
          <w:i w:val="1"/>
          <w:iCs w:val="1"/>
          <w:color w:val="auto"/>
        </w:rPr>
        <w:t xml:space="preserve">“Consultant” </w:t>
      </w:r>
      <w:r>
        <w:rPr>
          <w:rFonts w:ascii="Arial" w:cs="Arial" w:eastAsia="Arial" w:hAnsi="Arial"/>
          <w:sz w:val="15"/>
          <w:szCs w:val="15"/>
          <w:color w:val="auto"/>
        </w:rPr>
        <w:t>shall mean any Person who or which is engaged by the Company or any Subsidiary to render services as a consultant or advisor.</w:t>
      </w:r>
    </w:p>
    <w:p>
      <w:pPr>
        <w:spacing w:after="0" w:line="224" w:lineRule="exact"/>
        <w:rPr>
          <w:sz w:val="20"/>
          <w:szCs w:val="20"/>
          <w:color w:val="auto"/>
        </w:rPr>
      </w:pPr>
    </w:p>
    <w:p>
      <w:pPr>
        <w:ind w:right="540" w:firstLine="629"/>
        <w:spacing w:after="0" w:line="289"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i w:val="1"/>
          <w:iCs w:val="1"/>
          <w:color w:val="auto"/>
        </w:rPr>
        <w:t>“Corporate Transaction”</w:t>
      </w:r>
      <w:r>
        <w:rPr>
          <w:rFonts w:ascii="Arial" w:cs="Arial" w:eastAsia="Arial" w:hAnsi="Arial"/>
          <w:sz w:val="17"/>
          <w:szCs w:val="17"/>
          <w:color w:val="auto"/>
        </w:rPr>
        <w:t xml:space="preserve"> shall mean any reorganization, merger, consolidation or conversion involving the Company or any exchange of securities involving Shares, other than a Recapitalization.</w:t>
      </w:r>
    </w:p>
    <w:p>
      <w:pPr>
        <w:spacing w:after="0" w:line="158"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i w:val="1"/>
          <w:iCs w:val="1"/>
          <w:color w:val="auto"/>
        </w:rPr>
        <w:t>“Designated Beneficiary”</w:t>
      </w:r>
      <w:r>
        <w:rPr>
          <w:rFonts w:ascii="Arial" w:cs="Arial" w:eastAsia="Arial" w:hAnsi="Arial"/>
          <w:sz w:val="17"/>
          <w:szCs w:val="17"/>
          <w:color w:val="auto"/>
        </w:rPr>
        <w:t xml:space="preserve"> shall mean the beneficiary designated by a Participant, in a manner authorized by the Committee, to exercise the rights of such Participant in the event of such Participant’s death. In the absence of an effective designation by a Participant, the Designated Beneficiary shall be such Participant’s estate.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534" w:gutter="0" w:footer="0" w:header="0"/>
        </w:sectPr>
      </w:pPr>
    </w:p>
    <w:bookmarkStart w:id="268" w:name="page269"/>
    <w:bookmarkEnd w:id="268"/>
    <w:p>
      <w:pPr>
        <w:jc w:val="both"/>
        <w:ind w:right="360" w:firstLine="629"/>
        <w:spacing w:after="0" w:line="273"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i w:val="1"/>
          <w:iCs w:val="1"/>
          <w:color w:val="auto"/>
        </w:rPr>
        <w:t>“Disability”</w:t>
      </w:r>
      <w:r>
        <w:rPr>
          <w:rFonts w:ascii="Arial" w:cs="Arial" w:eastAsia="Arial" w:hAnsi="Arial"/>
          <w:sz w:val="17"/>
          <w:szCs w:val="17"/>
          <w:color w:val="auto"/>
        </w:rPr>
        <w:t xml:space="preserve"> shall mean permanent and total inability to engage in any substantial gainful activity, even with reasonable accommodation, by reason of any medically determinable physical or mental impairment which has lasted or can reasonably be expected to last without material interruption for a period of not less than twelve (12) months, as determined in the sole discretion of the Committee.</w:t>
      </w:r>
    </w:p>
    <w:p>
      <w:pPr>
        <w:spacing w:after="0" w:line="17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5"/>
          <w:szCs w:val="15"/>
          <w:i w:val="1"/>
          <w:iCs w:val="1"/>
          <w:color w:val="auto"/>
        </w:rPr>
        <w:t xml:space="preserve">“Exchange Act” </w:t>
      </w:r>
      <w:r>
        <w:rPr>
          <w:rFonts w:ascii="Arial" w:cs="Arial" w:eastAsia="Arial" w:hAnsi="Arial"/>
          <w:sz w:val="15"/>
          <w:szCs w:val="15"/>
          <w:color w:val="auto"/>
        </w:rPr>
        <w:t>shall mean the Securities Exchange Act of 1934, as amended from time to time (or any successor to such legislation).</w:t>
      </w:r>
    </w:p>
    <w:p>
      <w:pPr>
        <w:spacing w:after="0" w:line="224" w:lineRule="exact"/>
        <w:rPr>
          <w:sz w:val="20"/>
          <w:szCs w:val="20"/>
          <w:color w:val="auto"/>
        </w:rPr>
      </w:pPr>
    </w:p>
    <w:p>
      <w:pPr>
        <w:ind w:right="40" w:firstLine="629"/>
        <w:spacing w:after="0" w:line="300" w:lineRule="auto"/>
        <w:rPr>
          <w:sz w:val="20"/>
          <w:szCs w:val="20"/>
          <w:color w:val="auto"/>
        </w:rPr>
      </w:pPr>
      <w:r>
        <w:rPr>
          <w:rFonts w:ascii="Arial" w:cs="Arial" w:eastAsia="Arial" w:hAnsi="Arial"/>
          <w:sz w:val="15"/>
          <w:szCs w:val="15"/>
          <w:color w:val="auto"/>
        </w:rPr>
        <w:t xml:space="preserve">2.13 </w:t>
      </w:r>
      <w:r>
        <w:rPr>
          <w:rFonts w:ascii="Arial" w:cs="Arial" w:eastAsia="Arial" w:hAnsi="Arial"/>
          <w:sz w:val="15"/>
          <w:szCs w:val="15"/>
          <w:i w:val="1"/>
          <w:iCs w:val="1"/>
          <w:color w:val="auto"/>
        </w:rPr>
        <w:t>“Fair Market Value”</w:t>
      </w:r>
      <w:r>
        <w:rPr>
          <w:rFonts w:ascii="Arial" w:cs="Arial" w:eastAsia="Arial" w:hAnsi="Arial"/>
          <w:sz w:val="15"/>
          <w:szCs w:val="15"/>
          <w:color w:val="auto"/>
        </w:rPr>
        <w:t xml:space="preserve"> shall mean with respect to the Shares, as of any date, (i) if the Shares are listed or admitted to trade on a national securities exchange, the closing price of the Shares on the composite tape, as published in the </w:t>
      </w:r>
      <w:r>
        <w:rPr>
          <w:rFonts w:ascii="Arial" w:cs="Arial" w:eastAsia="Arial" w:hAnsi="Arial"/>
          <w:sz w:val="15"/>
          <w:szCs w:val="15"/>
          <w:i w:val="1"/>
          <w:iCs w:val="1"/>
          <w:color w:val="auto"/>
        </w:rPr>
        <w:t>Wall Street Journal</w:t>
      </w:r>
      <w:r>
        <w:rPr>
          <w:rFonts w:ascii="Arial" w:cs="Arial" w:eastAsia="Arial" w:hAnsi="Arial"/>
          <w:sz w:val="15"/>
          <w:szCs w:val="15"/>
          <w:color w:val="auto"/>
        </w:rPr>
        <w:t>, of the principal national securities exchange on which the Shares are so listed or admitted to trade, on such date or, if there is no trading in Shares on such date, then the closing price of the Shares as quoted on such composite tape on the next preceding date on which there was trading in such Shares; (ii) if the Shares are not listed or admitted to trade on a national securities exchange, then the closing price of the Shares as quoted on the National Market System of the NASD; (iii) if the Shares are not listed or admitted to trade on a national securities exchange or the National Market System of the NASD, the mean between the bid and asked price for the Shares on such date, as furnished by the NASD through NASDAQ or a similar organization if NASDAQ is no longer reporting such information; or (iv) if the Shares are not listed or admitted to trade on a national securities exchange or the National Market System of the NASD and if bid and asked prices for the Shares are not so furnished by the NASD or a similar organization, the value established by the Board, determined without regard to any restriction other than a restriction which, by its terms, will never lapse.</w:t>
      </w:r>
    </w:p>
    <w:p>
      <w:pPr>
        <w:spacing w:after="0" w:line="157"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i w:val="1"/>
          <w:iCs w:val="1"/>
          <w:color w:val="auto"/>
        </w:rPr>
        <w:t>“Incentive Stock Option”</w:t>
      </w:r>
      <w:r>
        <w:rPr>
          <w:rFonts w:ascii="Arial" w:cs="Arial" w:eastAsia="Arial" w:hAnsi="Arial"/>
          <w:sz w:val="17"/>
          <w:szCs w:val="17"/>
          <w:color w:val="auto"/>
        </w:rPr>
        <w:t xml:space="preserve"> shall mean any option to purchase Shares awarded pursuant to this Plan which qualifies as an “Incentive Stock Option” pursuant to Section 422 of the Code.</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2.15</w:t>
      </w:r>
      <w:r>
        <w:rPr>
          <w:sz w:val="20"/>
          <w:szCs w:val="20"/>
          <w:color w:val="auto"/>
        </w:rPr>
        <w:tab/>
      </w:r>
      <w:r>
        <w:rPr>
          <w:rFonts w:ascii="Arial" w:cs="Arial" w:eastAsia="Arial" w:hAnsi="Arial"/>
          <w:sz w:val="16"/>
          <w:szCs w:val="16"/>
          <w:i w:val="1"/>
          <w:iCs w:val="1"/>
          <w:color w:val="auto"/>
        </w:rPr>
        <w:t xml:space="preserve">“Named Executive Officer” </w:t>
      </w:r>
      <w:r>
        <w:rPr>
          <w:rFonts w:ascii="Arial" w:cs="Arial" w:eastAsia="Arial" w:hAnsi="Arial"/>
          <w:sz w:val="16"/>
          <w:szCs w:val="16"/>
          <w:color w:val="auto"/>
        </w:rPr>
        <w:t>shall have the meaning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Subsection 16.1</w:t>
      </w:r>
      <w:r>
        <w:rPr>
          <w:rFonts w:ascii="Arial" w:cs="Arial" w:eastAsia="Arial" w:hAnsi="Arial"/>
          <w:sz w:val="16"/>
          <w:szCs w:val="16"/>
          <w:i w:val="1"/>
          <w:iCs w:val="1"/>
          <w:color w:val="auto"/>
        </w:rPr>
        <w:t xml:space="preserve"> </w:t>
      </w:r>
      <w:r>
        <w:rPr>
          <w:rFonts w:ascii="Arial" w:cs="Arial" w:eastAsia="Arial" w:hAnsi="Arial"/>
          <w:sz w:val="16"/>
          <w:szCs w:val="16"/>
          <w:color w:val="auto"/>
        </w:rPr>
        <w:t>of this Plan.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2.16</w:t>
      </w:r>
      <w:r>
        <w:rPr>
          <w:sz w:val="20"/>
          <w:szCs w:val="20"/>
          <w:color w:val="auto"/>
        </w:rPr>
        <w:tab/>
      </w:r>
      <w:r>
        <w:rPr>
          <w:rFonts w:ascii="Arial" w:cs="Arial" w:eastAsia="Arial" w:hAnsi="Arial"/>
          <w:sz w:val="16"/>
          <w:szCs w:val="16"/>
          <w:i w:val="1"/>
          <w:iCs w:val="1"/>
          <w:color w:val="auto"/>
        </w:rPr>
        <w:t xml:space="preserve">“NASD” </w:t>
      </w:r>
      <w:r>
        <w:rPr>
          <w:rFonts w:ascii="Arial" w:cs="Arial" w:eastAsia="Arial" w:hAnsi="Arial"/>
          <w:sz w:val="16"/>
          <w:szCs w:val="16"/>
          <w:color w:val="auto"/>
        </w:rPr>
        <w:t>shall mean the National Association of Securities Dealers, Inc.</w:t>
      </w:r>
    </w:p>
    <w:p>
      <w:pPr>
        <w:spacing w:after="0" w:line="224"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i w:val="1"/>
          <w:iCs w:val="1"/>
          <w:color w:val="auto"/>
        </w:rPr>
        <w:t>“Non-Qualified Stock Option”</w:t>
      </w:r>
      <w:r>
        <w:rPr>
          <w:rFonts w:ascii="Arial" w:cs="Arial" w:eastAsia="Arial" w:hAnsi="Arial"/>
          <w:sz w:val="17"/>
          <w:szCs w:val="17"/>
          <w:color w:val="auto"/>
        </w:rPr>
        <w:t xml:space="preserve"> shall mean any option to purchase Shares awarded pursuant to this Plan that does not qualify as an Incentive Stock Option (including, without limitation, any option to purchase Shares originally designated as or intended to qualify as an Incentive Stock Option) but which does not (for whatever reason) qualify as an Incentive Stock Option.</w:t>
      </w:r>
    </w:p>
    <w:p>
      <w:pPr>
        <w:spacing w:after="0" w:line="172"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i w:val="1"/>
          <w:iCs w:val="1"/>
          <w:color w:val="auto"/>
        </w:rPr>
        <w:t>“Non-Tandem Stock Appreciation Right”</w:t>
      </w:r>
      <w:r>
        <w:rPr>
          <w:rFonts w:ascii="Arial" w:cs="Arial" w:eastAsia="Arial" w:hAnsi="Arial"/>
          <w:sz w:val="17"/>
          <w:szCs w:val="17"/>
          <w:color w:val="auto"/>
        </w:rPr>
        <w:t xml:space="preserve"> shall mean any Stock Appreciation Right granted alone and not in connection with an Award which is a Stock Option.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2.19</w:t>
      </w:r>
      <w:r>
        <w:rPr>
          <w:sz w:val="20"/>
          <w:szCs w:val="20"/>
          <w:color w:val="auto"/>
        </w:rPr>
        <w:tab/>
      </w:r>
      <w:r>
        <w:rPr>
          <w:rFonts w:ascii="Arial" w:cs="Arial" w:eastAsia="Arial" w:hAnsi="Arial"/>
          <w:sz w:val="15"/>
          <w:szCs w:val="15"/>
          <w:i w:val="1"/>
          <w:iCs w:val="1"/>
          <w:color w:val="auto"/>
        </w:rPr>
        <w:t xml:space="preserve">“Optionee” </w:t>
      </w:r>
      <w:r>
        <w:rPr>
          <w:rFonts w:ascii="Arial" w:cs="Arial" w:eastAsia="Arial" w:hAnsi="Arial"/>
          <w:sz w:val="15"/>
          <w:szCs w:val="15"/>
          <w:color w:val="auto"/>
        </w:rPr>
        <w:t>shall mean any Participant who has been granted and holds a Stock Option awarded pursuant to this Plan.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2.20</w:t>
      </w:r>
      <w:r>
        <w:rPr>
          <w:sz w:val="20"/>
          <w:szCs w:val="20"/>
          <w:color w:val="auto"/>
        </w:rPr>
        <w:tab/>
      </w:r>
      <w:r>
        <w:rPr>
          <w:rFonts w:ascii="Arial" w:cs="Arial" w:eastAsia="Arial" w:hAnsi="Arial"/>
          <w:sz w:val="15"/>
          <w:szCs w:val="15"/>
          <w:i w:val="1"/>
          <w:iCs w:val="1"/>
          <w:color w:val="auto"/>
        </w:rPr>
        <w:t xml:space="preserve">“Participant” </w:t>
      </w:r>
      <w:r>
        <w:rPr>
          <w:rFonts w:ascii="Arial" w:cs="Arial" w:eastAsia="Arial" w:hAnsi="Arial"/>
          <w:sz w:val="15"/>
          <w:szCs w:val="15"/>
          <w:color w:val="auto"/>
        </w:rPr>
        <w:t>shall mean any Person who has been granted and holds an Award granted pursuant to this Plan.</w:t>
      </w:r>
    </w:p>
    <w:p>
      <w:pPr>
        <w:spacing w:after="0" w:line="224" w:lineRule="exact"/>
        <w:rPr>
          <w:sz w:val="20"/>
          <w:szCs w:val="20"/>
          <w:color w:val="auto"/>
        </w:rPr>
      </w:pPr>
    </w:p>
    <w:p>
      <w:pPr>
        <w:ind w:right="480" w:firstLine="629"/>
        <w:spacing w:after="0" w:line="322"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i w:val="1"/>
          <w:iCs w:val="1"/>
          <w:color w:val="auto"/>
        </w:rPr>
        <w:t>“Performance Award”</w:t>
      </w:r>
      <w:r>
        <w:rPr>
          <w:rFonts w:ascii="Arial" w:cs="Arial" w:eastAsia="Arial" w:hAnsi="Arial"/>
          <w:sz w:val="16"/>
          <w:szCs w:val="16"/>
          <w:color w:val="auto"/>
        </w:rPr>
        <w:t xml:space="preserve"> shall mean any Award granted pursuant to this Plan of Shares, rights based upon, payable in or otherwise related to Shares (including Restricted Stock) or cash, as the Committee may determine, at the end of a specified performance period established by the Committee.</w:t>
      </w:r>
    </w:p>
    <w:p>
      <w:pPr>
        <w:spacing w:after="0" w:line="136" w:lineRule="exact"/>
        <w:rPr>
          <w:sz w:val="20"/>
          <w:szCs w:val="20"/>
          <w:color w:val="auto"/>
        </w:rPr>
      </w:pPr>
    </w:p>
    <w:p>
      <w:pPr>
        <w:ind w:right="40" w:firstLine="629"/>
        <w:spacing w:after="0" w:line="279" w:lineRule="auto"/>
        <w:rPr>
          <w:sz w:val="20"/>
          <w:szCs w:val="20"/>
          <w:color w:val="auto"/>
        </w:rPr>
      </w:pPr>
      <w:r>
        <w:rPr>
          <w:rFonts w:ascii="Arial" w:cs="Arial" w:eastAsia="Arial" w:hAnsi="Arial"/>
          <w:sz w:val="16"/>
          <w:szCs w:val="16"/>
          <w:color w:val="auto"/>
        </w:rPr>
        <w:t>2.22 “</w:t>
      </w:r>
      <w:r>
        <w:rPr>
          <w:rFonts w:ascii="Arial" w:cs="Arial" w:eastAsia="Arial" w:hAnsi="Arial"/>
          <w:sz w:val="16"/>
          <w:szCs w:val="16"/>
          <w:i w:val="1"/>
          <w:iCs w:val="1"/>
          <w:color w:val="auto"/>
        </w:rPr>
        <w:t>Permitted Modification</w:t>
      </w:r>
      <w:r>
        <w:rPr>
          <w:rFonts w:ascii="Arial" w:cs="Arial" w:eastAsia="Arial" w:hAnsi="Arial"/>
          <w:sz w:val="16"/>
          <w:szCs w:val="16"/>
          <w:color w:val="auto"/>
        </w:rPr>
        <w:t>” shall be deemed to be any modification of an Award which is made in connection with a Corporate Transaction and which provides (i) in connection with a Stock Option, that subsequent to the consummation of the Corporate Transaction (A) the exercise price of such Stock Option will be proportionately adjusted to reflect the exchange ratio applicable to the particular Corporate Transaction and/or (B) the nature and amount of consideration to be received upon exercise of the Stock Option will be the same (on a per share basis) as was received by Persons who were holders of Shares immediately prior to the consummation of the Corporate Transaction, (ii) in connection with a Stock Appreciation Right, that subsequent to the consummation of the Corporate Transaction (A) the base price of such Stock Appreciation Right will be proportionately adjusted to reflect the exchange ratio applicable to the particular Corporate Transaction and/or (B) the benefits to be received by the holder of such Stock Appreciation Right will be measured based upon the nature and amount of consideration received (on a per share basis) by Persons who were holders of Shares immediately prior to the consummation of the Corporate Transaction, or (iii) for a modification expressly provided for in this Plan or in an Award agreement.</w:t>
      </w:r>
    </w:p>
    <w:p>
      <w:pPr>
        <w:spacing w:after="0" w:line="173" w:lineRule="exact"/>
        <w:rPr>
          <w:sz w:val="20"/>
          <w:szCs w:val="20"/>
          <w:color w:val="auto"/>
        </w:rPr>
      </w:pPr>
    </w:p>
    <w:p>
      <w:pPr>
        <w:ind w:right="760" w:firstLine="629"/>
        <w:spacing w:after="0" w:line="289" w:lineRule="auto"/>
        <w:rPr>
          <w:sz w:val="20"/>
          <w:szCs w:val="20"/>
          <w:color w:val="auto"/>
        </w:rPr>
      </w:pPr>
      <w:r>
        <w:rPr>
          <w:rFonts w:ascii="Arial" w:cs="Arial" w:eastAsia="Arial" w:hAnsi="Arial"/>
          <w:sz w:val="17"/>
          <w:szCs w:val="17"/>
          <w:color w:val="auto"/>
        </w:rPr>
        <w:t>2.23 “</w:t>
      </w:r>
      <w:r>
        <w:rPr>
          <w:rFonts w:ascii="Arial" w:cs="Arial" w:eastAsia="Arial" w:hAnsi="Arial"/>
          <w:sz w:val="17"/>
          <w:szCs w:val="17"/>
          <w:i w:val="1"/>
          <w:iCs w:val="1"/>
          <w:color w:val="auto"/>
        </w:rPr>
        <w:t>Person</w:t>
      </w:r>
      <w:r>
        <w:rPr>
          <w:rFonts w:ascii="Arial" w:cs="Arial" w:eastAsia="Arial" w:hAnsi="Arial"/>
          <w:sz w:val="17"/>
          <w:szCs w:val="17"/>
          <w:color w:val="auto"/>
        </w:rPr>
        <w:t>” shall mean an individual, partnership, limited liability company, corporation, joint stock company, trust, estate, joint venture, association or unincorporated organization or any other form of business organization.</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2.24</w:t>
      </w:r>
      <w:r>
        <w:rPr>
          <w:sz w:val="20"/>
          <w:szCs w:val="20"/>
          <w:color w:val="auto"/>
        </w:rPr>
        <w:tab/>
      </w:r>
      <w:r>
        <w:rPr>
          <w:rFonts w:ascii="Arial" w:cs="Arial" w:eastAsia="Arial" w:hAnsi="Arial"/>
          <w:sz w:val="15"/>
          <w:szCs w:val="15"/>
          <w:i w:val="1"/>
          <w:iCs w:val="1"/>
          <w:color w:val="auto"/>
        </w:rPr>
        <w:t xml:space="preserve">“Plan” </w:t>
      </w:r>
      <w:r>
        <w:rPr>
          <w:rFonts w:ascii="Arial" w:cs="Arial" w:eastAsia="Arial" w:hAnsi="Arial"/>
          <w:sz w:val="15"/>
          <w:szCs w:val="15"/>
          <w:color w:val="auto"/>
        </w:rPr>
        <w:t>shall mean this Applied Optoelectronics, Inc. 1998 Incentive Share Plan as set out in this document and as it may be amended from time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to time.</w:t>
      </w:r>
    </w:p>
    <w:p>
      <w:pPr>
        <w:spacing w:after="0" w:line="21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2.25</w:t>
      </w:r>
      <w:r>
        <w:rPr>
          <w:sz w:val="20"/>
          <w:szCs w:val="20"/>
          <w:color w:val="auto"/>
        </w:rPr>
        <w:tab/>
      </w:r>
      <w:r>
        <w:rPr>
          <w:rFonts w:ascii="Arial" w:cs="Arial" w:eastAsia="Arial" w:hAnsi="Arial"/>
          <w:sz w:val="16"/>
          <w:szCs w:val="16"/>
          <w:i w:val="1"/>
          <w:iCs w:val="1"/>
          <w:color w:val="auto"/>
        </w:rPr>
        <w:t xml:space="preserve">“Reload Option” </w:t>
      </w:r>
      <w:r>
        <w:rPr>
          <w:rFonts w:ascii="Arial" w:cs="Arial" w:eastAsia="Arial" w:hAnsi="Arial"/>
          <w:sz w:val="16"/>
          <w:szCs w:val="16"/>
          <w:color w:val="auto"/>
        </w:rPr>
        <w:t>shall mean a Stock Option as defined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Subsection 6.6(b)</w:t>
      </w:r>
      <w:r>
        <w:rPr>
          <w:rFonts w:ascii="Arial" w:cs="Arial" w:eastAsia="Arial" w:hAnsi="Arial"/>
          <w:sz w:val="16"/>
          <w:szCs w:val="16"/>
          <w:i w:val="1"/>
          <w:iCs w:val="1"/>
          <w:color w:val="auto"/>
        </w:rPr>
        <w:t xml:space="preserve"> </w:t>
      </w:r>
      <w:r>
        <w:rPr>
          <w:rFonts w:ascii="Arial" w:cs="Arial" w:eastAsia="Arial" w:hAnsi="Arial"/>
          <w:sz w:val="16"/>
          <w:szCs w:val="16"/>
          <w:color w:val="auto"/>
        </w:rPr>
        <w:t>of this Plan.</w:t>
      </w:r>
    </w:p>
    <w:p>
      <w:pPr>
        <w:spacing w:after="0" w:line="224" w:lineRule="exact"/>
        <w:rPr>
          <w:sz w:val="20"/>
          <w:szCs w:val="20"/>
          <w:color w:val="auto"/>
        </w:rPr>
      </w:pPr>
    </w:p>
    <w:p>
      <w:pPr>
        <w:ind w:right="120" w:firstLine="629"/>
        <w:spacing w:after="0" w:line="273" w:lineRule="auto"/>
        <w:rPr>
          <w:sz w:val="20"/>
          <w:szCs w:val="20"/>
          <w:color w:val="auto"/>
        </w:rPr>
      </w:pPr>
      <w:r>
        <w:rPr>
          <w:rFonts w:ascii="Arial" w:cs="Arial" w:eastAsia="Arial" w:hAnsi="Arial"/>
          <w:sz w:val="17"/>
          <w:szCs w:val="17"/>
          <w:color w:val="auto"/>
        </w:rPr>
        <w:t>2.26 “</w:t>
      </w:r>
      <w:r>
        <w:rPr>
          <w:rFonts w:ascii="Arial" w:cs="Arial" w:eastAsia="Arial" w:hAnsi="Arial"/>
          <w:sz w:val="17"/>
          <w:szCs w:val="17"/>
          <w:i w:val="1"/>
          <w:iCs w:val="1"/>
          <w:color w:val="auto"/>
        </w:rPr>
        <w:t>Recapitalization</w:t>
      </w:r>
      <w:r>
        <w:rPr>
          <w:rFonts w:ascii="Arial" w:cs="Arial" w:eastAsia="Arial" w:hAnsi="Arial"/>
          <w:sz w:val="17"/>
          <w:szCs w:val="17"/>
          <w:color w:val="auto"/>
        </w:rPr>
        <w:t>” shall mean any stock split, stock dividend, reverse stock split, combination or subdivision of Shares or any other similar increase or decrease in the number of Shares issued and outstanding, without the Company receiving consideration therefor in money, services, or property (other than securities issued by the Company).</w:t>
      </w:r>
    </w:p>
    <w:p>
      <w:pPr>
        <w:spacing w:after="0" w:line="172" w:lineRule="exact"/>
        <w:rPr>
          <w:sz w:val="20"/>
          <w:szCs w:val="20"/>
          <w:color w:val="auto"/>
        </w:rPr>
      </w:pPr>
    </w:p>
    <w:p>
      <w:pPr>
        <w:jc w:val="center"/>
        <w:ind w:right="240"/>
        <w:spacing w:after="0"/>
        <w:tabs>
          <w:tab w:leader="none" w:pos="300" w:val="left"/>
        </w:tabs>
        <w:rPr>
          <w:sz w:val="20"/>
          <w:szCs w:val="20"/>
          <w:color w:val="auto"/>
        </w:rPr>
      </w:pPr>
      <w:r>
        <w:rPr>
          <w:rFonts w:ascii="Arial" w:cs="Arial" w:eastAsia="Arial" w:hAnsi="Arial"/>
          <w:sz w:val="17"/>
          <w:szCs w:val="17"/>
          <w:color w:val="auto"/>
        </w:rPr>
        <w:t>2.27</w:t>
      </w:r>
      <w:r>
        <w:rPr>
          <w:sz w:val="20"/>
          <w:szCs w:val="20"/>
          <w:color w:val="auto"/>
        </w:rPr>
        <w:tab/>
      </w:r>
      <w:r>
        <w:rPr>
          <w:rFonts w:ascii="Arial" w:cs="Arial" w:eastAsia="Arial" w:hAnsi="Arial"/>
          <w:sz w:val="15"/>
          <w:szCs w:val="15"/>
          <w:i w:val="1"/>
          <w:iCs w:val="1"/>
          <w:color w:val="auto"/>
        </w:rPr>
        <w:t xml:space="preserve">“Restricted Stock” </w:t>
      </w:r>
      <w:r>
        <w:rPr>
          <w:rFonts w:ascii="Arial" w:cs="Arial" w:eastAsia="Arial" w:hAnsi="Arial"/>
          <w:sz w:val="15"/>
          <w:szCs w:val="15"/>
          <w:color w:val="auto"/>
        </w:rPr>
        <w:t>shall mean any Shares granted pursuant to this Plan that are subject to restrictions or substantial risk of forfeiture.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40" w:firstLine="629"/>
        <w:spacing w:after="0" w:line="289" w:lineRule="auto"/>
        <w:rPr>
          <w:sz w:val="20"/>
          <w:szCs w:val="20"/>
          <w:color w:val="auto"/>
        </w:rPr>
      </w:pPr>
      <w:r>
        <w:rPr>
          <w:rFonts w:ascii="Arial" w:cs="Arial" w:eastAsia="Arial" w:hAnsi="Arial"/>
          <w:sz w:val="17"/>
          <w:szCs w:val="17"/>
          <w:color w:val="auto"/>
        </w:rPr>
        <w:t xml:space="preserve">2.28 </w:t>
      </w:r>
      <w:r>
        <w:rPr>
          <w:rFonts w:ascii="Arial" w:cs="Arial" w:eastAsia="Arial" w:hAnsi="Arial"/>
          <w:sz w:val="17"/>
          <w:szCs w:val="17"/>
          <w:i w:val="1"/>
          <w:iCs w:val="1"/>
          <w:color w:val="auto"/>
        </w:rPr>
        <w:t>“Retirement”</w:t>
      </w:r>
      <w:r>
        <w:rPr>
          <w:rFonts w:ascii="Arial" w:cs="Arial" w:eastAsia="Arial" w:hAnsi="Arial"/>
          <w:sz w:val="17"/>
          <w:szCs w:val="17"/>
          <w:color w:val="auto"/>
        </w:rPr>
        <w:t xml:space="preserve"> shall mean the termination of employment of an employee of the Company or any Subsidiary pursuant to the terms of any retirement plan or policy maintained by the Company or any Subsidiary in which such employee participates.</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2.29</w:t>
      </w:r>
      <w:r>
        <w:rPr>
          <w:sz w:val="20"/>
          <w:szCs w:val="20"/>
          <w:color w:val="auto"/>
        </w:rPr>
        <w:tab/>
      </w:r>
      <w:r>
        <w:rPr>
          <w:rFonts w:ascii="Arial" w:cs="Arial" w:eastAsia="Arial" w:hAnsi="Arial"/>
          <w:sz w:val="15"/>
          <w:szCs w:val="15"/>
          <w:i w:val="1"/>
          <w:iCs w:val="1"/>
          <w:color w:val="auto"/>
        </w:rPr>
        <w:t xml:space="preserve">“Securities Act” </w:t>
      </w:r>
      <w:r>
        <w:rPr>
          <w:rFonts w:ascii="Arial" w:cs="Arial" w:eastAsia="Arial" w:hAnsi="Arial"/>
          <w:sz w:val="15"/>
          <w:szCs w:val="15"/>
          <w:color w:val="auto"/>
        </w:rPr>
        <w:t>shall mean the Securities Act of 1933, as amended from time to time (or any successor to such legislation).</w:t>
      </w:r>
    </w:p>
    <w:p>
      <w:pPr>
        <w:spacing w:after="0" w:line="224"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 xml:space="preserve">2.30 </w:t>
      </w:r>
      <w:r>
        <w:rPr>
          <w:rFonts w:ascii="Arial" w:cs="Arial" w:eastAsia="Arial" w:hAnsi="Arial"/>
          <w:sz w:val="17"/>
          <w:szCs w:val="17"/>
          <w:i w:val="1"/>
          <w:iCs w:val="1"/>
          <w:color w:val="auto"/>
        </w:rPr>
        <w:t>“Shares”</w:t>
      </w:r>
      <w:r>
        <w:rPr>
          <w:rFonts w:ascii="Arial" w:cs="Arial" w:eastAsia="Arial" w:hAnsi="Arial"/>
          <w:sz w:val="17"/>
          <w:szCs w:val="17"/>
          <w:color w:val="auto"/>
        </w:rPr>
        <w:t xml:space="preserve"> shall mean shares of the common stock of the Company and any shares of capital stock or other securities hereafter issued or issuable upon, in respect of or in substitution or exchange for shares of common stock of the Company.</w:t>
      </w:r>
    </w:p>
    <w:p>
      <w:pPr>
        <w:sectPr>
          <w:pgSz w:w="11900" w:h="16838" w:orient="portrait"/>
          <w:cols w:equalWidth="0" w:num="1">
            <w:col w:w="11420"/>
          </w:cols>
          <w:pgMar w:left="240" w:top="127" w:right="239" w:bottom="23" w:gutter="0" w:footer="0" w:header="0"/>
        </w:sectPr>
      </w:pPr>
    </w:p>
    <w:bookmarkStart w:id="269" w:name="page270"/>
    <w:bookmarkEnd w:id="269"/>
    <w:p>
      <w:pPr>
        <w:spacing w:after="0" w:line="6"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i w:val="1"/>
          <w:iCs w:val="1"/>
          <w:color w:val="auto"/>
        </w:rPr>
        <w:t>“Stock Appreciation Right”</w:t>
      </w:r>
      <w:r>
        <w:rPr>
          <w:rFonts w:ascii="Arial" w:cs="Arial" w:eastAsia="Arial" w:hAnsi="Arial"/>
          <w:sz w:val="17"/>
          <w:szCs w:val="17"/>
          <w:color w:val="auto"/>
        </w:rPr>
        <w:t xml:space="preserve"> shall mean the right of the holder thereof to receive property or Shares with a Fair Market Value equal to or cash in an amount equal to the excess of the Fair Market Value of the aggregate number of Shares subject to such Stock Appreciation Right on the date of exercise over the Fair Market Value of the aggregate number of Shares subject to such Stock Appreciation Right on the date of the grant of such Stock Appreciation Right (or such other value as may be specified in the agreement granting such Stock Appreciation Right). A Stock Appreciation Right may be a Tandem Stock Appreciation Right or a Non-Tandem Stock Appreciation Right.</w:t>
      </w:r>
    </w:p>
    <w:p>
      <w:pPr>
        <w:spacing w:after="0" w:line="17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Stock Option</w:t>
      </w:r>
      <w:r>
        <w:rPr>
          <w:rFonts w:ascii="Arial" w:cs="Arial" w:eastAsia="Arial" w:hAnsi="Arial"/>
          <w:sz w:val="16"/>
          <w:szCs w:val="16"/>
          <w:color w:val="auto"/>
        </w:rPr>
        <w:t>” shall mean any Incentive Stock Option or Non-Qualified Stock Option.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2.33</w:t>
      </w:r>
      <w:r>
        <w:rPr>
          <w:sz w:val="20"/>
          <w:szCs w:val="20"/>
          <w:color w:val="auto"/>
        </w:rPr>
        <w:tab/>
      </w:r>
      <w:r>
        <w:rPr>
          <w:rFonts w:ascii="Arial" w:cs="Arial" w:eastAsia="Arial" w:hAnsi="Arial"/>
          <w:sz w:val="16"/>
          <w:szCs w:val="16"/>
          <w:i w:val="1"/>
          <w:iCs w:val="1"/>
          <w:color w:val="auto"/>
        </w:rPr>
        <w:t xml:space="preserve">“Subsidiary” </w:t>
      </w:r>
      <w:r>
        <w:rPr>
          <w:rFonts w:ascii="Arial" w:cs="Arial" w:eastAsia="Arial" w:hAnsi="Arial"/>
          <w:sz w:val="16"/>
          <w:szCs w:val="16"/>
          <w:color w:val="auto"/>
        </w:rPr>
        <w:t>shall mean a subsidiary corporation of the Company, as defined in Section 424(f) of the Code.</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2.34</w:t>
      </w:r>
      <w:r>
        <w:rPr>
          <w:sz w:val="20"/>
          <w:szCs w:val="20"/>
          <w:color w:val="auto"/>
        </w:rPr>
        <w:tab/>
      </w:r>
      <w:r>
        <w:rPr>
          <w:rFonts w:ascii="Arial" w:cs="Arial" w:eastAsia="Arial" w:hAnsi="Arial"/>
          <w:sz w:val="16"/>
          <w:szCs w:val="16"/>
          <w:i w:val="1"/>
          <w:iCs w:val="1"/>
          <w:color w:val="auto"/>
        </w:rPr>
        <w:t xml:space="preserve">“Tandem Stock Appreciation Right” </w:t>
      </w:r>
      <w:r>
        <w:rPr>
          <w:rFonts w:ascii="Arial" w:cs="Arial" w:eastAsia="Arial" w:hAnsi="Arial"/>
          <w:sz w:val="16"/>
          <w:szCs w:val="16"/>
          <w:color w:val="auto"/>
        </w:rPr>
        <w:t>shall mean a Stock Appreciation Right granted in connection with an Award which is a Stock Option.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2.35</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Transactional Consideration</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Subsection 12.2</w:t>
      </w:r>
      <w:r>
        <w:rPr>
          <w:rFonts w:ascii="Arial" w:cs="Arial" w:eastAsia="Arial" w:hAnsi="Arial"/>
          <w:sz w:val="16"/>
          <w:szCs w:val="16"/>
          <w:color w:val="auto"/>
        </w:rPr>
        <w:t xml:space="preserve"> of this Plan.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3</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ADMINISTRATION OF THIS PLAN</w:t>
      </w:r>
    </w:p>
    <w:p>
      <w:pPr>
        <w:spacing w:after="0" w:line="21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i w:val="1"/>
          <w:iCs w:val="1"/>
          <w:u w:val="single" w:color="auto"/>
          <w:color w:val="auto"/>
        </w:rPr>
        <w:t xml:space="preserve">Committee. </w:t>
      </w:r>
      <w:r>
        <w:rPr>
          <w:rFonts w:ascii="Arial" w:cs="Arial" w:eastAsia="Arial" w:hAnsi="Arial"/>
          <w:sz w:val="15"/>
          <w:szCs w:val="15"/>
          <w:color w:val="auto"/>
        </w:rPr>
        <w:t>This Plan shall be administered and interpreted by the Committee.</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6"/>
          <w:szCs w:val="16"/>
          <w:i w:val="1"/>
          <w:iCs w:val="1"/>
          <w:u w:val="single" w:color="auto"/>
          <w:color w:val="auto"/>
        </w:rPr>
        <w:t>Administration</w:t>
      </w:r>
      <w:r>
        <w:rPr>
          <w:rFonts w:ascii="Arial" w:cs="Arial" w:eastAsia="Arial" w:hAnsi="Arial"/>
          <w:sz w:val="16"/>
          <w:szCs w:val="16"/>
          <w:u w:val="single" w:color="auto"/>
          <w:color w:val="auto"/>
        </w:rPr>
        <w:t>.</w:t>
      </w:r>
    </w:p>
    <w:p>
      <w:pPr>
        <w:spacing w:after="0" w:line="224" w:lineRule="exact"/>
        <w:rPr>
          <w:sz w:val="20"/>
          <w:szCs w:val="20"/>
          <w:color w:val="auto"/>
        </w:rPr>
      </w:pPr>
    </w:p>
    <w:p>
      <w:pPr>
        <w:ind w:left="1260" w:hanging="626"/>
        <w:spacing w:after="0"/>
        <w:tabs>
          <w:tab w:leader="none" w:pos="126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Subject to the provisions of this Plan and directions from the Board, the Committee is authorized to:</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1"/>
          <w:numId w:val="307"/>
        </w:numPr>
        <w:rPr>
          <w:rFonts w:ascii="Arial" w:cs="Arial" w:eastAsia="Arial" w:hAnsi="Arial"/>
          <w:sz w:val="17"/>
          <w:szCs w:val="17"/>
          <w:color w:val="auto"/>
        </w:rPr>
      </w:pPr>
      <w:r>
        <w:rPr>
          <w:rFonts w:ascii="Arial" w:cs="Arial" w:eastAsia="Arial" w:hAnsi="Arial"/>
          <w:sz w:val="17"/>
          <w:szCs w:val="17"/>
          <w:color w:val="auto"/>
        </w:rPr>
        <w:t>determine the Persons to whom Awards are to be granted;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260" w:right="140" w:firstLine="3"/>
        <w:spacing w:after="0" w:line="268" w:lineRule="auto"/>
        <w:tabs>
          <w:tab w:leader="none" w:pos="1919" w:val="left"/>
        </w:tabs>
        <w:numPr>
          <w:ilvl w:val="0"/>
          <w:numId w:val="308"/>
        </w:numPr>
        <w:rPr>
          <w:rFonts w:ascii="Arial" w:cs="Arial" w:eastAsia="Arial" w:hAnsi="Arial"/>
          <w:sz w:val="17"/>
          <w:szCs w:val="17"/>
          <w:color w:val="auto"/>
        </w:rPr>
      </w:pPr>
      <w:r>
        <w:rPr>
          <w:rFonts w:ascii="Arial" w:cs="Arial" w:eastAsia="Arial" w:hAnsi="Arial"/>
          <w:sz w:val="17"/>
          <w:szCs w:val="17"/>
          <w:color w:val="auto"/>
        </w:rPr>
        <w:t>determine the types and combinations of Awards to be granted; the number of Shares to be covered by an Award; the exercise price of an Award; the time or times when an Award shall be granted and may be exercised; the terms, performance criteria or other conditions, vesting periods or any restrictions for an Award; any restrictions on Shares acquired pursuant to the exercise of an Award; and any other terms and conditions of an Award;</w:t>
      </w:r>
    </w:p>
    <w:p>
      <w:pPr>
        <w:spacing w:after="0" w:line="175" w:lineRule="exact"/>
        <w:rPr>
          <w:rFonts w:ascii="Arial" w:cs="Arial" w:eastAsia="Arial" w:hAnsi="Arial"/>
          <w:sz w:val="17"/>
          <w:szCs w:val="17"/>
          <w:color w:val="auto"/>
        </w:rPr>
      </w:pPr>
    </w:p>
    <w:p>
      <w:pPr>
        <w:ind w:left="1940" w:hanging="677"/>
        <w:spacing w:after="0"/>
        <w:tabs>
          <w:tab w:leader="none" w:pos="194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conclusively interpret the provisions of this Plan;</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prescribe, amend and rescind rules and regulations relating to this Plan;</w:t>
      </w:r>
    </w:p>
    <w:p>
      <w:pPr>
        <w:spacing w:after="0" w:line="224" w:lineRule="exact"/>
        <w:rPr>
          <w:rFonts w:ascii="Arial" w:cs="Arial" w:eastAsia="Arial" w:hAnsi="Arial"/>
          <w:sz w:val="17"/>
          <w:szCs w:val="17"/>
          <w:color w:val="auto"/>
        </w:rPr>
      </w:pPr>
    </w:p>
    <w:p>
      <w:pPr>
        <w:ind w:left="1900" w:right="820" w:hanging="637"/>
        <w:spacing w:after="0" w:line="289" w:lineRule="auto"/>
        <w:tabs>
          <w:tab w:leader="none" w:pos="1907" w:val="left"/>
        </w:tabs>
        <w:numPr>
          <w:ilvl w:val="0"/>
          <w:numId w:val="308"/>
        </w:numPr>
        <w:rPr>
          <w:rFonts w:ascii="Arial" w:cs="Arial" w:eastAsia="Arial" w:hAnsi="Arial"/>
          <w:sz w:val="17"/>
          <w:szCs w:val="17"/>
          <w:color w:val="auto"/>
        </w:rPr>
      </w:pPr>
      <w:r>
        <w:rPr>
          <w:rFonts w:ascii="Arial" w:cs="Arial" w:eastAsia="Arial" w:hAnsi="Arial"/>
          <w:sz w:val="17"/>
          <w:szCs w:val="17"/>
          <w:color w:val="auto"/>
        </w:rPr>
        <w:t>rely upon employees of the Company for such clerical and record keeping duties as may be necessary in connection with the administration of this Plan;</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accelerate or defer (with the consent of the Participant) the vesting of any rights pursuant to an Award; and</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make all other determinations and take all other actions necessary or advisable for the administration of this Plan.</w:t>
      </w:r>
    </w:p>
    <w:p>
      <w:pPr>
        <w:spacing w:after="0" w:line="224" w:lineRule="exact"/>
        <w:rPr>
          <w:sz w:val="20"/>
          <w:szCs w:val="20"/>
          <w:color w:val="auto"/>
        </w:rPr>
      </w:pPr>
    </w:p>
    <w:p>
      <w:pPr>
        <w:ind w:left="640" w:right="40"/>
        <w:spacing w:after="0" w:line="281" w:lineRule="auto"/>
        <w:rPr>
          <w:sz w:val="20"/>
          <w:szCs w:val="20"/>
          <w:color w:val="auto"/>
        </w:rPr>
      </w:pPr>
      <w:r>
        <w:rPr>
          <w:rFonts w:ascii="Arial" w:cs="Arial" w:eastAsia="Arial" w:hAnsi="Arial"/>
          <w:sz w:val="16"/>
          <w:szCs w:val="16"/>
          <w:color w:val="auto"/>
        </w:rPr>
        <w:t>The President of the Company shall also be authorized, subject to the provisions of this Plan and directions from the Board and the Committee, to determine the types and combinations of Awards to be granted; the number of Shares to be covered by an Award; the exercise price of an Award; the time or times when an Award shall be granted and may be exercised; the terms, performance criteria or other conditions, vesting periods or any restrictions for an Award; any restrictions on Shares acquired pursuant to the exercise of an Award; and any other terms and conditions of an Award; provided, however, that the President of the Company may not (1) grant any Award to himself or herself (2) grant Awards to any one person with respect to more than 100,000 Shares in the aggregate (which number shall be adjusted pro rata in the event of any adjustment to the limitation set forth in ARTICLE 4.1 hereof), or (3) modify any Award made by the Committee or Board.</w:t>
      </w:r>
    </w:p>
    <w:p>
      <w:pPr>
        <w:spacing w:after="0" w:line="170" w:lineRule="exact"/>
        <w:rPr>
          <w:sz w:val="20"/>
          <w:szCs w:val="20"/>
          <w:color w:val="auto"/>
        </w:rPr>
      </w:pPr>
    </w:p>
    <w:p>
      <w:pPr>
        <w:ind w:right="100" w:firstLine="634"/>
        <w:spacing w:after="0" w:line="268" w:lineRule="auto"/>
        <w:tabs>
          <w:tab w:leader="none" w:pos="1266" w:val="left"/>
        </w:tabs>
        <w:numPr>
          <w:ilvl w:val="0"/>
          <w:numId w:val="309"/>
        </w:numPr>
        <w:rPr>
          <w:rFonts w:ascii="Arial" w:cs="Arial" w:eastAsia="Arial" w:hAnsi="Arial"/>
          <w:sz w:val="17"/>
          <w:szCs w:val="17"/>
          <w:color w:val="auto"/>
        </w:rPr>
      </w:pPr>
      <w:r>
        <w:rPr>
          <w:rFonts w:ascii="Arial" w:cs="Arial" w:eastAsia="Arial" w:hAnsi="Arial"/>
          <w:sz w:val="17"/>
          <w:szCs w:val="17"/>
          <w:color w:val="auto"/>
        </w:rPr>
        <w:t>A majority of the Committee members shall constitute a quorum for action by the Committee. All determinations of the Committee in connection with the Plan shall be made by not less than a majority of its members. All questions of interpretation and application of this Plan or pertaining to any question of fact or Award granted hereunder will be decided by the Committee, whose decision will be final, conclusive and binding upon the Company and each other affected party.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4</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SHARES SUBJECT TO PLAN</w:t>
      </w:r>
    </w:p>
    <w:p>
      <w:pPr>
        <w:spacing w:after="0" w:line="212" w:lineRule="exact"/>
        <w:rPr>
          <w:sz w:val="20"/>
          <w:szCs w:val="20"/>
          <w:color w:val="auto"/>
        </w:rPr>
      </w:pPr>
    </w:p>
    <w:p>
      <w:pPr>
        <w:ind w:right="340" w:firstLine="629"/>
        <w:spacing w:after="0" w:line="29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u w:val="single" w:color="auto"/>
          <w:color w:val="auto"/>
        </w:rPr>
        <w:t>Limitations</w:t>
      </w:r>
      <w:r>
        <w:rPr>
          <w:rFonts w:ascii="Arial" w:cs="Arial" w:eastAsia="Arial" w:hAnsi="Arial"/>
          <w:sz w:val="16"/>
          <w:szCs w:val="16"/>
          <w:u w:val="single" w:color="auto"/>
          <w:color w:val="auto"/>
        </w:rPr>
        <w:t>.</w:t>
      </w:r>
      <w:r>
        <w:rPr>
          <w:rFonts w:ascii="Arial" w:cs="Arial" w:eastAsia="Arial" w:hAnsi="Arial"/>
          <w:sz w:val="16"/>
          <w:szCs w:val="16"/>
          <w:color w:val="auto"/>
        </w:rPr>
        <w:t xml:space="preserve"> The maximum number of Shares that may be issued with respect to Awards granted pursuant to this Plan shall not exceed 2,000,000 unless increased or decreased by reason of changes in the capitalization of the Company as hereinafter provided or by amendment of this Plan. The Shares issued pursuant to this Plan may be authorized but unissued Shares, or may be issued Shares which have been reacquired by the Company.</w:t>
      </w:r>
    </w:p>
    <w:p>
      <w:pPr>
        <w:spacing w:after="0" w:line="154" w:lineRule="exact"/>
        <w:rPr>
          <w:sz w:val="20"/>
          <w:szCs w:val="20"/>
          <w:color w:val="auto"/>
        </w:rPr>
      </w:pPr>
    </w:p>
    <w:p>
      <w:pPr>
        <w:ind w:firstLine="629"/>
        <w:spacing w:after="0" w:line="26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i w:val="1"/>
          <w:iCs w:val="1"/>
          <w:u w:val="single" w:color="auto"/>
          <w:color w:val="auto"/>
        </w:rPr>
        <w:t>Changes</w:t>
      </w:r>
      <w:r>
        <w:rPr>
          <w:rFonts w:ascii="Arial" w:cs="Arial" w:eastAsia="Arial" w:hAnsi="Arial"/>
          <w:sz w:val="17"/>
          <w:szCs w:val="17"/>
          <w:u w:val="single" w:color="auto"/>
          <w:color w:val="auto"/>
        </w:rPr>
        <w:t>.</w:t>
      </w:r>
      <w:r>
        <w:rPr>
          <w:rFonts w:ascii="Arial" w:cs="Arial" w:eastAsia="Arial" w:hAnsi="Arial"/>
          <w:sz w:val="17"/>
          <w:szCs w:val="17"/>
          <w:color w:val="auto"/>
        </w:rPr>
        <w:t xml:space="preserve"> To the extent that any Award granted pursuant to this Plan shall be forfeited, shall expire or shall be canceled, in whole or in part, then the number of Shares covered by the Award so forfeited, expired or canceled may again be awarded pursuant to the provisions of this Plan. In the event that Shares are delivered to the Company in full or partial payment of the exercise price for the exercise of a Stock Option, the number of Shares available for future Awards granted pursuant to this Plan shall be reduced only by the net number of Shares issued upon the exercise of the Stock Option. Awards that may be satisfied either by the issuance of Shares or by cash or other consideration shall, until the form of consideration to be paid is finally determined, be counted against the maximum number of Shares that may be issued pursuant to this Plan. If the Award is ultimately satisfied by the payment of consideration other than Shares, such Shares may again be made the subject of an Award granted pursuant to this Plan. Awards will not reduce the number of Shares that may be issued pursuant to this Plan if the settlement of the Award will not require the issuance of Shares, as, for example, a Stock Appreciation Right that can be satisfied only by the payment of cash.</w:t>
      </w:r>
    </w:p>
    <w:p>
      <w:pPr>
        <w:sectPr>
          <w:pgSz w:w="11900" w:h="16845" w:orient="portrait"/>
          <w:cols w:equalWidth="0" w:num="1">
            <w:col w:w="11420"/>
          </w:cols>
          <w:pgMar w:left="240" w:top="127" w:right="239" w:bottom="0" w:gutter="0" w:footer="0" w:header="0"/>
        </w:sectPr>
      </w:pPr>
    </w:p>
    <w:bookmarkStart w:id="270" w:name="page271"/>
    <w:bookmarkEnd w:id="270"/>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5</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ELIGIBILITY</w:t>
      </w:r>
    </w:p>
    <w:p>
      <w:pPr>
        <w:spacing w:after="0" w:line="212" w:lineRule="exact"/>
        <w:rPr>
          <w:sz w:val="20"/>
          <w:szCs w:val="20"/>
          <w:color w:val="auto"/>
        </w:rPr>
      </w:pPr>
    </w:p>
    <w:p>
      <w:pPr>
        <w:ind w:right="100" w:firstLine="629"/>
        <w:spacing w:after="0" w:line="285"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u w:val="single" w:color="auto"/>
          <w:color w:val="auto"/>
        </w:rPr>
        <w:t>Eligibility.</w:t>
      </w:r>
      <w:r>
        <w:rPr>
          <w:rFonts w:ascii="Arial" w:cs="Arial" w:eastAsia="Arial" w:hAnsi="Arial"/>
          <w:sz w:val="16"/>
          <w:szCs w:val="16"/>
          <w:color w:val="auto"/>
        </w:rPr>
        <w:t xml:space="preserve"> Eligibility for participation in this Plan shall be confined to those individuals who are employed by the Company or a Subsidiary and such Consultants and non-employee Directors as may be designated by the Committee. In making any determination as to Persons to whom Awards shall be granted, the type of Award and/or the number of Shares to be covered by the Award, the Committee shall consider the position and responsibilities of the Person, the importance of the Person to the Company, the duties of the Person, the past, present and potential contributions of the Person to the growth and success of the Company and such other factors as the Committee may deem relevant in connection with accomplishing the purposes of this Plan.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6</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STOCK OPTIONS</w:t>
      </w:r>
    </w:p>
    <w:p>
      <w:pPr>
        <w:spacing w:after="0" w:line="212"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u w:val="single" w:color="auto"/>
          <w:color w:val="auto"/>
        </w:rPr>
        <w:t>Grants</w:t>
      </w:r>
      <w:r>
        <w:rPr>
          <w:rFonts w:ascii="Arial" w:cs="Arial" w:eastAsia="Arial" w:hAnsi="Arial"/>
          <w:sz w:val="17"/>
          <w:szCs w:val="17"/>
          <w:u w:val="single" w:color="auto"/>
          <w:color w:val="auto"/>
        </w:rPr>
        <w:t>.</w:t>
      </w:r>
      <w:r>
        <w:rPr>
          <w:rFonts w:ascii="Arial" w:cs="Arial" w:eastAsia="Arial" w:hAnsi="Arial"/>
          <w:sz w:val="17"/>
          <w:szCs w:val="17"/>
          <w:color w:val="auto"/>
        </w:rPr>
        <w:t xml:space="preserve"> The Committee may grant Stock Options alone or in addition to other Awards granted pursuant to this Plan to any eligible Person. Each Person so selected shall be offered a Stock Option to purchase the number of Shares determined by the Committee. The Committee shall specify whether such Stock Option is an Incentive Stock Option or Non-Qualified Stock Option and any other terms or conditions relating to such Award; provided, however only employees of the Company or a Subsidiary may be granted Incentive Stock Options. To the extent that any Stock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Option designated as an Incentive Stock Option does not qualify as an Incentive Stock Option (whether because of its provisions, the failure of the shareholders of the Company to authorize the issuance of Incentive Stock Options, the time or manner of its exercise or otherwise), such Stock Option or the portion thereof which does not qualify shall be deemed to constitute a Non-Qualified Stock Option. Each Person to be granted a Stock Option shall enter into a written agreement with the Company, in such form as the Committee may prescribe, setting forth the terms and conditions (including, without limitation, the exercise price and vesting schedule) of the Stock Option. At any time and from time to time, the Optionee and the Committee may agree to modify an option agreement in such respects as they may deem appropriate, including, without limitation, the conversion of an Incentive Stock Option into a Non-Qualified Stock Option. The Committee may require that an Optionee meet certain conditions before the Stock Option or a portion thereof may vest or be exercised, as, for example, that the Optionee remain in the employ of the Company or a Subsidiary for a stated period or periods of time.</w:t>
      </w:r>
    </w:p>
    <w:p>
      <w:pPr>
        <w:spacing w:after="0" w:line="17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6"/>
          <w:szCs w:val="16"/>
          <w:i w:val="1"/>
          <w:iCs w:val="1"/>
          <w:u w:val="single" w:color="auto"/>
          <w:color w:val="auto"/>
        </w:rPr>
        <w:t>Incentive Stock Options Limitations.</w:t>
      </w:r>
    </w:p>
    <w:p>
      <w:pPr>
        <w:spacing w:after="0" w:line="224" w:lineRule="exact"/>
        <w:rPr>
          <w:sz w:val="20"/>
          <w:szCs w:val="20"/>
          <w:color w:val="auto"/>
        </w:rPr>
      </w:pPr>
    </w:p>
    <w:p>
      <w:pPr>
        <w:ind w:right="120" w:firstLine="634"/>
        <w:spacing w:after="0" w:line="285" w:lineRule="auto"/>
        <w:tabs>
          <w:tab w:leader="none" w:pos="1256" w:val="left"/>
        </w:tabs>
        <w:numPr>
          <w:ilvl w:val="0"/>
          <w:numId w:val="310"/>
        </w:numPr>
        <w:rPr>
          <w:rFonts w:ascii="Arial" w:cs="Arial" w:eastAsia="Arial" w:hAnsi="Arial"/>
          <w:sz w:val="16"/>
          <w:szCs w:val="16"/>
          <w:color w:val="auto"/>
        </w:rPr>
      </w:pPr>
      <w:r>
        <w:rPr>
          <w:rFonts w:ascii="Arial" w:cs="Arial" w:eastAsia="Arial" w:hAnsi="Arial"/>
          <w:sz w:val="16"/>
          <w:szCs w:val="16"/>
          <w:color w:val="auto"/>
        </w:rPr>
        <w:t xml:space="preserve">In no event shall any individual be granted Incentive Stock Options to the extent that the Shares covered by any Incentive Stock Options (and any incentive stock options granted pursuant to any other plans of the Company or its Subsidiaries) that may be exercised for the first time by such individual in any calendar year have an aggregate Fair Market Value in excess of $100,000. For this purpose, the Fair Market Value of the Shares shall be determined as of the date(s) on which the Incentive Stock Options are granted. It is intended that the limitation on Incentive Stock Options provided in this </w:t>
      </w:r>
      <w:r>
        <w:rPr>
          <w:rFonts w:ascii="Arial" w:cs="Arial" w:eastAsia="Arial" w:hAnsi="Arial"/>
          <w:sz w:val="16"/>
          <w:szCs w:val="16"/>
          <w:u w:val="single" w:color="auto"/>
          <w:color w:val="auto"/>
        </w:rPr>
        <w:t>Subsection 6.2(a)</w:t>
      </w:r>
      <w:r>
        <w:rPr>
          <w:rFonts w:ascii="Arial" w:cs="Arial" w:eastAsia="Arial" w:hAnsi="Arial"/>
          <w:sz w:val="16"/>
          <w:szCs w:val="16"/>
          <w:color w:val="auto"/>
        </w:rPr>
        <w:t xml:space="preserve"> be the maximum limitation on Stock Options which may be considered Incentive Stock Options pursuant to the Code.</w:t>
      </w:r>
    </w:p>
    <w:p>
      <w:pPr>
        <w:spacing w:after="0" w:line="166" w:lineRule="exact"/>
        <w:rPr>
          <w:rFonts w:ascii="Arial" w:cs="Arial" w:eastAsia="Arial" w:hAnsi="Arial"/>
          <w:sz w:val="16"/>
          <w:szCs w:val="16"/>
          <w:color w:val="auto"/>
        </w:rPr>
      </w:pPr>
    </w:p>
    <w:p>
      <w:pPr>
        <w:ind w:right="60" w:firstLine="634"/>
        <w:spacing w:after="0" w:line="289" w:lineRule="auto"/>
        <w:tabs>
          <w:tab w:leader="none" w:pos="1266"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option exercise price of an Incentive Stock Option shall not be less than one hundred percent (100%) of the Fair Market Value of the Shares subject to such Incentive Stock Option on the date of the grant of such Incentive Stock Option.</w:t>
      </w:r>
    </w:p>
    <w:p>
      <w:pPr>
        <w:spacing w:after="0" w:line="158" w:lineRule="exact"/>
        <w:rPr>
          <w:rFonts w:ascii="Arial" w:cs="Arial" w:eastAsia="Arial" w:hAnsi="Arial"/>
          <w:sz w:val="17"/>
          <w:szCs w:val="17"/>
          <w:color w:val="auto"/>
        </w:rPr>
      </w:pPr>
    </w:p>
    <w:p>
      <w:pPr>
        <w:ind w:right="180" w:firstLine="634"/>
        <w:spacing w:after="0" w:line="268" w:lineRule="auto"/>
        <w:tabs>
          <w:tab w:leader="none" w:pos="1269" w:val="left"/>
        </w:tabs>
        <w:numPr>
          <w:ilvl w:val="0"/>
          <w:numId w:val="310"/>
        </w:numPr>
        <w:rPr>
          <w:rFonts w:ascii="Arial" w:cs="Arial" w:eastAsia="Arial" w:hAnsi="Arial"/>
          <w:sz w:val="17"/>
          <w:szCs w:val="17"/>
          <w:color w:val="auto"/>
        </w:rPr>
      </w:pPr>
      <w:r>
        <w:rPr>
          <w:rFonts w:ascii="Arial" w:cs="Arial" w:eastAsia="Arial" w:hAnsi="Arial"/>
          <w:sz w:val="17"/>
          <w:szCs w:val="17"/>
          <w:color w:val="auto"/>
        </w:rPr>
        <w:t>Notwithstanding anything herein to the contrary, in no event shall any employee owning more than ten percent (10%) of the total combined voting power of the Company or any Subsidiary be granted an Incentive Stock Option unless the option exercise price of such Incentive Stock Option shall be at least one hundred ten percent (110%) of the Fair Market Value of the Shares subject to such Incentive Stock Option on the date of the grant of such Incentive Stock Option.</w:t>
      </w:r>
    </w:p>
    <w:p>
      <w:pPr>
        <w:spacing w:after="0" w:line="175" w:lineRule="exact"/>
        <w:rPr>
          <w:rFonts w:ascii="Arial" w:cs="Arial" w:eastAsia="Arial" w:hAnsi="Arial"/>
          <w:sz w:val="17"/>
          <w:szCs w:val="17"/>
          <w:color w:val="auto"/>
        </w:rPr>
      </w:pPr>
    </w:p>
    <w:p>
      <w:pPr>
        <w:ind w:right="160" w:firstLine="634"/>
        <w:spacing w:after="0" w:line="289" w:lineRule="auto"/>
        <w:tabs>
          <w:tab w:leader="none" w:pos="1266" w:val="left"/>
        </w:tabs>
        <w:numPr>
          <w:ilvl w:val="0"/>
          <w:numId w:val="310"/>
        </w:numPr>
        <w:rPr>
          <w:rFonts w:ascii="Arial" w:cs="Arial" w:eastAsia="Arial" w:hAnsi="Arial"/>
          <w:sz w:val="17"/>
          <w:szCs w:val="17"/>
          <w:color w:val="auto"/>
        </w:rPr>
      </w:pPr>
      <w:r>
        <w:rPr>
          <w:rFonts w:ascii="Arial" w:cs="Arial" w:eastAsia="Arial" w:hAnsi="Arial"/>
          <w:sz w:val="17"/>
          <w:szCs w:val="17"/>
          <w:color w:val="auto"/>
        </w:rPr>
        <w:t>In no event shall any individual be granted an Incentive Stock Option after the expiration of ten (10) years from the date this Plan is adopted or is approved by the shareholders of the Company (if shareholder approval is required by Section 422 of the Code), whichever is earlier.</w:t>
      </w:r>
    </w:p>
    <w:p>
      <w:pPr>
        <w:spacing w:after="0" w:line="158" w:lineRule="exact"/>
        <w:rPr>
          <w:rFonts w:ascii="Arial" w:cs="Arial" w:eastAsia="Arial" w:hAnsi="Arial"/>
          <w:sz w:val="17"/>
          <w:szCs w:val="17"/>
          <w:color w:val="auto"/>
        </w:rPr>
      </w:pPr>
    </w:p>
    <w:p>
      <w:pPr>
        <w:jc w:val="both"/>
        <w:ind w:right="100" w:firstLine="634"/>
        <w:spacing w:after="0" w:line="268" w:lineRule="auto"/>
        <w:tabs>
          <w:tab w:leader="none" w:pos="1269"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To the extent shareholder approval of this Plan is required by Section 422 of the Code, no individual shall be granted an Incentive Stock Option unless this Plan is approved by the shareholders of the Company within twelve (12) months before or after the date this Plan is initially adopted. In the event this Plan is amended to increase the number of Shares subject to issuance upon the exercise of Incentive Stock Options or to change the class of employees eligible to receive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Incentive Stock Options, no individual shall be granted an Incentive Stock Option unless such amendment is approved by the shareholders of the Company within twelve (12) months before or after such amendment.</w:t>
      </w:r>
    </w:p>
    <w:p>
      <w:pPr>
        <w:spacing w:after="0" w:line="158" w:lineRule="exact"/>
        <w:rPr>
          <w:sz w:val="20"/>
          <w:szCs w:val="20"/>
          <w:color w:val="auto"/>
        </w:rPr>
      </w:pPr>
    </w:p>
    <w:p>
      <w:pPr>
        <w:ind w:right="120" w:firstLine="634"/>
        <w:spacing w:after="0" w:line="273" w:lineRule="auto"/>
        <w:tabs>
          <w:tab w:leader="none" w:pos="1263" w:val="left"/>
        </w:tabs>
        <w:numPr>
          <w:ilvl w:val="0"/>
          <w:numId w:val="311"/>
        </w:numPr>
        <w:rPr>
          <w:rFonts w:ascii="Arial" w:cs="Arial" w:eastAsia="Arial" w:hAnsi="Arial"/>
          <w:sz w:val="17"/>
          <w:szCs w:val="17"/>
          <w:color w:val="auto"/>
        </w:rPr>
      </w:pPr>
      <w:r>
        <w:rPr>
          <w:rFonts w:ascii="Arial" w:cs="Arial" w:eastAsia="Arial" w:hAnsi="Arial"/>
          <w:sz w:val="17"/>
          <w:szCs w:val="17"/>
          <w:color w:val="auto"/>
        </w:rPr>
        <w:t>No Incentive Stock Option shall be granted to any employee owning more than ten percent (10%) of the total combined voting power of the Company or any Subsidiary unless the term of such Incentive Stock Option is equal to or less than five (5) years measured from the date on which such Incentive Stock Option is granted.</w:t>
      </w:r>
    </w:p>
    <w:p>
      <w:pPr>
        <w:spacing w:after="0" w:line="171" w:lineRule="exact"/>
        <w:rPr>
          <w:rFonts w:ascii="Arial" w:cs="Arial" w:eastAsia="Arial" w:hAnsi="Arial"/>
          <w:sz w:val="17"/>
          <w:szCs w:val="17"/>
          <w:color w:val="auto"/>
        </w:rPr>
      </w:pPr>
    </w:p>
    <w:p>
      <w:pPr>
        <w:ind w:right="20" w:firstLine="634"/>
        <w:spacing w:after="0" w:line="289" w:lineRule="auto"/>
        <w:tabs>
          <w:tab w:leader="none" w:pos="1279" w:val="left"/>
        </w:tabs>
        <w:numPr>
          <w:ilvl w:val="0"/>
          <w:numId w:val="311"/>
        </w:numPr>
        <w:rPr>
          <w:rFonts w:ascii="Arial" w:cs="Arial" w:eastAsia="Arial" w:hAnsi="Arial"/>
          <w:sz w:val="17"/>
          <w:szCs w:val="17"/>
          <w:color w:val="auto"/>
        </w:rPr>
      </w:pPr>
      <w:r>
        <w:rPr>
          <w:rFonts w:ascii="Arial" w:cs="Arial" w:eastAsia="Arial" w:hAnsi="Arial"/>
          <w:sz w:val="17"/>
          <w:szCs w:val="17"/>
          <w:color w:val="auto"/>
        </w:rPr>
        <w:t>No Incentive Stock Option granted pursuant to this Plan shall be transferable other than by will or the laws of decent and distribution and it shall be exercisable only by the Optionee during his or her lifetime.</w:t>
      </w:r>
    </w:p>
    <w:p>
      <w:pPr>
        <w:spacing w:after="0" w:line="158" w:lineRule="exact"/>
        <w:rPr>
          <w:sz w:val="20"/>
          <w:szCs w:val="20"/>
          <w:color w:val="auto"/>
        </w:rPr>
      </w:pPr>
    </w:p>
    <w:p>
      <w:pPr>
        <w:ind w:right="320" w:firstLine="629"/>
        <w:spacing w:after="0" w:line="28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i w:val="1"/>
          <w:iCs w:val="1"/>
          <w:u w:val="single" w:color="auto"/>
          <w:color w:val="auto"/>
        </w:rPr>
        <w:t>Option Term.</w:t>
      </w:r>
      <w:r>
        <w:rPr>
          <w:rFonts w:ascii="Arial" w:cs="Arial" w:eastAsia="Arial" w:hAnsi="Arial"/>
          <w:sz w:val="17"/>
          <w:szCs w:val="17"/>
          <w:color w:val="auto"/>
        </w:rPr>
        <w:t xml:space="preserve"> The term of a Stock Option shall be for such period of time from the date of its grant as may be determined by the Committee; provided, however, that no Incentive Stock Option shall be exercisable after the expiration of ten (10) years from the date of its grant.</w:t>
      </w:r>
    </w:p>
    <w:p>
      <w:pPr>
        <w:spacing w:after="0" w:line="158"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i w:val="1"/>
          <w:iCs w:val="1"/>
          <w:u w:val="single" w:color="auto"/>
          <w:color w:val="auto"/>
        </w:rPr>
        <w:t>Time of Exercise.</w:t>
      </w:r>
      <w:r>
        <w:rPr>
          <w:rFonts w:ascii="Arial" w:cs="Arial" w:eastAsia="Arial" w:hAnsi="Arial"/>
          <w:sz w:val="17"/>
          <w:szCs w:val="17"/>
          <w:color w:val="auto"/>
        </w:rPr>
        <w:t xml:space="preserve"> No Stock Option may be exercised unless it is exercised prior to the expiration of its stated term and, in connection with options granted to employees of the Company or its Subsidiaries, at the time of such exercise, the Optionee is, and has been continuously since the date of grant of such Stock Option, employed by the Company or a Subsidiary, except that:</w:t>
      </w:r>
    </w:p>
    <w:p>
      <w:pPr>
        <w:spacing w:after="0" w:line="172" w:lineRule="exact"/>
        <w:rPr>
          <w:sz w:val="20"/>
          <w:szCs w:val="20"/>
          <w:color w:val="auto"/>
        </w:rPr>
      </w:pPr>
    </w:p>
    <w:p>
      <w:pPr>
        <w:ind w:right="20" w:firstLine="634"/>
        <w:spacing w:after="0" w:line="298" w:lineRule="auto"/>
        <w:tabs>
          <w:tab w:leader="none" w:pos="1256" w:val="left"/>
        </w:tabs>
        <w:numPr>
          <w:ilvl w:val="0"/>
          <w:numId w:val="312"/>
        </w:numPr>
        <w:rPr>
          <w:rFonts w:ascii="Arial" w:cs="Arial" w:eastAsia="Arial" w:hAnsi="Arial"/>
          <w:sz w:val="16"/>
          <w:szCs w:val="16"/>
          <w:color w:val="auto"/>
        </w:rPr>
      </w:pPr>
      <w:r>
        <w:rPr>
          <w:rFonts w:ascii="Arial" w:cs="Arial" w:eastAsia="Arial" w:hAnsi="Arial"/>
          <w:sz w:val="16"/>
          <w:szCs w:val="16"/>
          <w:color w:val="auto"/>
        </w:rPr>
        <w:t>A Stock Option may, to the extent vested as of the date the Optionee ceases to be an employee of the Company or a Subsidiary, be exercised during the three-month period immediately following the date the Optionee ceases (for any reason other than death, Disability or Retirement) to be an employee of the Company or a Subsidiary (or within such other period as may be specified in the applicable option agreement), provided that, if the Stock Option has been</w:t>
      </w:r>
    </w:p>
    <w:p>
      <w:pPr>
        <w:sectPr>
          <w:pgSz w:w="11900" w:h="16849" w:orient="portrait"/>
          <w:cols w:equalWidth="0" w:num="1">
            <w:col w:w="11420"/>
          </w:cols>
          <w:pgMar w:left="240" w:top="331" w:right="239" w:bottom="0" w:gutter="0" w:footer="0" w:header="0"/>
        </w:sectPr>
      </w:pPr>
    </w:p>
    <w:bookmarkStart w:id="271" w:name="page272"/>
    <w:bookmarkEnd w:id="271"/>
    <w:p>
      <w:pPr>
        <w:spacing w:after="0" w:line="37"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designated as an Incentive Stock Option and the option agreement provides for a longer exercise period, the exercise of such Stock Option after such three-month period shall be treated as the exercise of a Non-Qualified Stock Option;</w:t>
      </w:r>
    </w:p>
    <w:p>
      <w:pPr>
        <w:spacing w:after="0" w:line="158" w:lineRule="exact"/>
        <w:rPr>
          <w:sz w:val="20"/>
          <w:szCs w:val="20"/>
          <w:color w:val="auto"/>
        </w:rPr>
      </w:pPr>
    </w:p>
    <w:p>
      <w:pPr>
        <w:ind w:right="40" w:firstLine="634"/>
        <w:spacing w:after="0" w:line="265" w:lineRule="auto"/>
        <w:tabs>
          <w:tab w:leader="none" w:pos="1266" w:val="left"/>
        </w:tabs>
        <w:numPr>
          <w:ilvl w:val="0"/>
          <w:numId w:val="313"/>
        </w:numPr>
        <w:rPr>
          <w:rFonts w:ascii="Arial" w:cs="Arial" w:eastAsia="Arial" w:hAnsi="Arial"/>
          <w:sz w:val="17"/>
          <w:szCs w:val="17"/>
          <w:color w:val="auto"/>
        </w:rPr>
      </w:pPr>
      <w:r>
        <w:rPr>
          <w:rFonts w:ascii="Arial" w:cs="Arial" w:eastAsia="Arial" w:hAnsi="Arial"/>
          <w:sz w:val="17"/>
          <w:szCs w:val="17"/>
          <w:color w:val="auto"/>
        </w:rPr>
        <w:t>If the Optionee dies while entitled to exercise a Stock Option, such Stock Option may, to the extent vested as of the date of the Optionee’s death, be exercised by the Optionee’s Designated Beneficiary during the three year period immediately following the date of the Optionee’s death (or within such other period as may be specified in the applicable option agreement); provided that, if the Stock Option has been designated as an Incentive Stock Option and the option agreement provides for a longer exercise period, the exercise of such Stock Option after such one-year period shall be treated as the exercise of a Non-Qualified Stock Option;</w:t>
      </w:r>
    </w:p>
    <w:p>
      <w:pPr>
        <w:spacing w:after="0" w:line="179" w:lineRule="exact"/>
        <w:rPr>
          <w:rFonts w:ascii="Arial" w:cs="Arial" w:eastAsia="Arial" w:hAnsi="Arial"/>
          <w:sz w:val="17"/>
          <w:szCs w:val="17"/>
          <w:color w:val="auto"/>
        </w:rPr>
      </w:pPr>
    </w:p>
    <w:p>
      <w:pPr>
        <w:ind w:right="120" w:firstLine="634"/>
        <w:spacing w:after="0" w:line="268" w:lineRule="auto"/>
        <w:tabs>
          <w:tab w:leader="none" w:pos="1269" w:val="left"/>
        </w:tabs>
        <w:numPr>
          <w:ilvl w:val="0"/>
          <w:numId w:val="313"/>
        </w:numPr>
        <w:rPr>
          <w:rFonts w:ascii="Arial" w:cs="Arial" w:eastAsia="Arial" w:hAnsi="Arial"/>
          <w:sz w:val="17"/>
          <w:szCs w:val="17"/>
          <w:color w:val="auto"/>
        </w:rPr>
      </w:pPr>
      <w:r>
        <w:rPr>
          <w:rFonts w:ascii="Arial" w:cs="Arial" w:eastAsia="Arial" w:hAnsi="Arial"/>
          <w:sz w:val="17"/>
          <w:szCs w:val="17"/>
          <w:color w:val="auto"/>
        </w:rPr>
        <w:t>If the Optionee ceases to be an employee of the Company or a Subsidiary by reason of the Optionee’s Disability or Retirement, a Stock Option, to the extent vested as of the date the Optionee ceases to be an employee of the Company or a Subsidiary, may be exercised during the three year period immediately following the date of such cessation of employment (or within such other period as may be specified in the applicable option agreement); provided that, if the Stock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Option has been designated as an Incentive Stock Option and the option agreement provides for a longer exercise period, the exercise of such Stock Option after such one-year period shall be treated as the exercise of a Non-Qualified Stock Option; and</w:t>
      </w:r>
    </w:p>
    <w:p>
      <w:pPr>
        <w:spacing w:after="0" w:line="158" w:lineRule="exact"/>
        <w:rPr>
          <w:sz w:val="20"/>
          <w:szCs w:val="20"/>
          <w:color w:val="auto"/>
        </w:rPr>
      </w:pPr>
    </w:p>
    <w:p>
      <w:pPr>
        <w:ind w:left="640" w:right="100"/>
        <w:spacing w:after="0" w:line="265" w:lineRule="auto"/>
        <w:rPr>
          <w:sz w:val="20"/>
          <w:szCs w:val="20"/>
          <w:color w:val="auto"/>
        </w:rPr>
      </w:pPr>
      <w:r>
        <w:rPr>
          <w:rFonts w:ascii="Arial" w:cs="Arial" w:eastAsia="Arial" w:hAnsi="Arial"/>
          <w:sz w:val="17"/>
          <w:szCs w:val="17"/>
          <w:color w:val="auto"/>
        </w:rPr>
        <w:t xml:space="preserve">Nothing contained in this </w:t>
      </w:r>
      <w:r>
        <w:rPr>
          <w:rFonts w:ascii="Arial" w:cs="Arial" w:eastAsia="Arial" w:hAnsi="Arial"/>
          <w:sz w:val="17"/>
          <w:szCs w:val="17"/>
          <w:u w:val="single" w:color="auto"/>
          <w:color w:val="auto"/>
        </w:rPr>
        <w:t>Subsection 6.4</w:t>
      </w:r>
      <w:r>
        <w:rPr>
          <w:rFonts w:ascii="Arial" w:cs="Arial" w:eastAsia="Arial" w:hAnsi="Arial"/>
          <w:sz w:val="17"/>
          <w:szCs w:val="17"/>
          <w:color w:val="auto"/>
        </w:rPr>
        <w:t xml:space="preserve"> will be deemed to extend the term of a Stock Option or to revive any Stock Option which has previously lapsed or been canceled, terminated or surrendered. Stock Options granted under this Plan to Consultants or non-employee Directors will contain such terms and conditions with respect to the death or disability of a Consultant or non-employee Director or termination of a Consultant’s or non-employee Director’s relationship with the Company as the Committee deems necessary or appropriate. Such terms and conditions will be set forth in the option agreements evidencing the grant of such Stock Options.</w:t>
      </w:r>
    </w:p>
    <w:p>
      <w:pPr>
        <w:spacing w:after="0" w:line="17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5"/>
          <w:szCs w:val="15"/>
          <w:i w:val="1"/>
          <w:iCs w:val="1"/>
          <w:u w:val="single" w:color="auto"/>
          <w:color w:val="auto"/>
        </w:rPr>
        <w:t>Vesting of Stock Options.</w:t>
      </w:r>
    </w:p>
    <w:p>
      <w:pPr>
        <w:spacing w:after="0" w:line="224" w:lineRule="exact"/>
        <w:rPr>
          <w:sz w:val="20"/>
          <w:szCs w:val="20"/>
          <w:color w:val="auto"/>
        </w:rPr>
      </w:pPr>
    </w:p>
    <w:p>
      <w:pPr>
        <w:ind w:right="140" w:firstLine="634"/>
        <w:spacing w:after="0" w:line="290" w:lineRule="auto"/>
        <w:tabs>
          <w:tab w:leader="none" w:pos="1256" w:val="left"/>
        </w:tabs>
        <w:numPr>
          <w:ilvl w:val="0"/>
          <w:numId w:val="314"/>
        </w:numPr>
        <w:rPr>
          <w:rFonts w:ascii="Arial" w:cs="Arial" w:eastAsia="Arial" w:hAnsi="Arial"/>
          <w:sz w:val="16"/>
          <w:szCs w:val="16"/>
          <w:color w:val="auto"/>
        </w:rPr>
      </w:pPr>
      <w:r>
        <w:rPr>
          <w:rFonts w:ascii="Arial" w:cs="Arial" w:eastAsia="Arial" w:hAnsi="Arial"/>
          <w:sz w:val="16"/>
          <w:szCs w:val="16"/>
          <w:color w:val="auto"/>
        </w:rPr>
        <w:t>Each Stock Option granted pursuant to this Plan may only be exercised to the extent that the Optionee is vested in such Stock Option, except as specified below with respect to Early Exercise. Each Stock Option shall vest separately in accordance with the option vesting schedule determined by the Committee, which will be incorporated in the option agreement entered into between the Company and such Optionee. The option vesting schedule may be accelerated if, in the sole discretion of the Committee, the acceleration of the option vesting schedule would be in the best interests the Company.</w:t>
      </w:r>
    </w:p>
    <w:p>
      <w:pPr>
        <w:spacing w:after="0" w:line="159"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Early Exercise”</w:t>
      </w:r>
      <w:r>
        <w:rPr>
          <w:rFonts w:ascii="Arial" w:cs="Arial" w:eastAsia="Arial" w:hAnsi="Arial"/>
          <w:sz w:val="17"/>
          <w:szCs w:val="17"/>
          <w:color w:val="auto"/>
        </w:rPr>
        <w:t xml:space="preserve"> means the exercise of a Stock Option prior to vesting in accordance with the applicable provisions of this Plan and the Award agreement evidencing the Stock Option. “</w:t>
      </w:r>
      <w:r>
        <w:rPr>
          <w:rFonts w:ascii="Arial" w:cs="Arial" w:eastAsia="Arial" w:hAnsi="Arial"/>
          <w:sz w:val="17"/>
          <w:szCs w:val="17"/>
          <w:i w:val="1"/>
          <w:iCs w:val="1"/>
          <w:color w:val="auto"/>
        </w:rPr>
        <w:t>Repurchase Rights</w:t>
      </w:r>
      <w:r>
        <w:rPr>
          <w:rFonts w:ascii="Arial" w:cs="Arial" w:eastAsia="Arial" w:hAnsi="Arial"/>
          <w:sz w:val="17"/>
          <w:szCs w:val="17"/>
          <w:color w:val="auto"/>
        </w:rPr>
        <w:t>” means the right the Company may have pursuant to this Plan or an Award agreement to repurchase unvested shares of Common Stock that the applicable Participant may have received through Early Exercise of a Stock Option or through an Award of Restricted Stock at the same price that such Participant paid (if any).</w:t>
      </w:r>
    </w:p>
    <w:p>
      <w:pPr>
        <w:spacing w:after="0" w:line="176" w:lineRule="exact"/>
        <w:rPr>
          <w:sz w:val="20"/>
          <w:szCs w:val="20"/>
          <w:color w:val="auto"/>
        </w:rPr>
      </w:pPr>
    </w:p>
    <w:p>
      <w:pPr>
        <w:ind w:right="320" w:firstLine="629"/>
        <w:spacing w:after="0" w:line="268" w:lineRule="auto"/>
        <w:rPr>
          <w:sz w:val="20"/>
          <w:szCs w:val="20"/>
          <w:color w:val="auto"/>
        </w:rPr>
      </w:pPr>
      <w:r>
        <w:rPr>
          <w:rFonts w:ascii="Arial" w:cs="Arial" w:eastAsia="Arial" w:hAnsi="Arial"/>
          <w:sz w:val="17"/>
          <w:szCs w:val="17"/>
          <w:color w:val="auto"/>
        </w:rPr>
        <w:t>An Award agreement covering a Non-Qualified Stock Option may (in the Committee’s sole discretion) permit the Early Exercise of all or a portion of such Stock Option prior to the vesting of such Stock Option, but only prior to an Initial Public Offering. Shares purchased through the Early Exercise of such Option will be restricted and will be subject to the same vesting schedule as set forth in the Stock Option, and will also be subject to any repurchase rights if provided in the Award agreement.</w:t>
      </w:r>
    </w:p>
    <w:p>
      <w:pPr>
        <w:spacing w:after="0" w:line="176" w:lineRule="exact"/>
        <w:rPr>
          <w:sz w:val="20"/>
          <w:szCs w:val="20"/>
          <w:color w:val="auto"/>
        </w:rPr>
      </w:pPr>
    </w:p>
    <w:p>
      <w:pPr>
        <w:ind w:right="20" w:firstLine="634"/>
        <w:spacing w:after="0" w:line="265" w:lineRule="auto"/>
        <w:tabs>
          <w:tab w:leader="none" w:pos="1266" w:val="left"/>
        </w:tabs>
        <w:numPr>
          <w:ilvl w:val="0"/>
          <w:numId w:val="315"/>
        </w:numPr>
        <w:rPr>
          <w:rFonts w:ascii="Arial" w:cs="Arial" w:eastAsia="Arial" w:hAnsi="Arial"/>
          <w:sz w:val="17"/>
          <w:szCs w:val="17"/>
          <w:color w:val="auto"/>
        </w:rPr>
      </w:pPr>
      <w:r>
        <w:rPr>
          <w:rFonts w:ascii="Arial" w:cs="Arial" w:eastAsia="Arial" w:hAnsi="Arial"/>
          <w:sz w:val="17"/>
          <w:szCs w:val="17"/>
          <w:color w:val="auto"/>
        </w:rPr>
        <w:t xml:space="preserve">In the event of the dissolution or liquidation of the Company, each Stock Option granted pursuant to this Plan shall terminate as of a date to be fixed by the Committee; provided, however, that not less than thirty (30) days’ written notice of the date so fixed shall be given to each Optionee. During such period all Stock Options which have not previously been terminated, exercised or surrendered will (subject to the provisions of </w:t>
      </w:r>
      <w:r>
        <w:rPr>
          <w:rFonts w:ascii="Arial" w:cs="Arial" w:eastAsia="Arial" w:hAnsi="Arial"/>
          <w:sz w:val="17"/>
          <w:szCs w:val="17"/>
          <w:u w:val="single" w:color="auto"/>
          <w:color w:val="auto"/>
        </w:rPr>
        <w:t>Subsections 6.3 and 6.4</w:t>
      </w:r>
      <w:r>
        <w:rPr>
          <w:rFonts w:ascii="Arial" w:cs="Arial" w:eastAsia="Arial" w:hAnsi="Arial"/>
          <w:sz w:val="17"/>
          <w:szCs w:val="17"/>
          <w:color w:val="auto"/>
        </w:rPr>
        <w:t>) fully vest and become exercisable, notwithstanding the vesting schedule set forth in the option agreement evidencing the grant of such Stock Option. Upon the date fixed by the Committee, any unexercised Stock Options shall terminate and be of no further effect.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34"/>
        <w:spacing w:after="0" w:line="265" w:lineRule="auto"/>
        <w:tabs>
          <w:tab w:leader="none" w:pos="1269" w:val="left"/>
        </w:tabs>
        <w:numPr>
          <w:ilvl w:val="0"/>
          <w:numId w:val="316"/>
        </w:numPr>
        <w:rPr>
          <w:rFonts w:ascii="Arial" w:cs="Arial" w:eastAsia="Arial" w:hAnsi="Arial"/>
          <w:sz w:val="17"/>
          <w:szCs w:val="17"/>
          <w:color w:val="auto"/>
        </w:rPr>
      </w:pPr>
      <w:r>
        <w:rPr>
          <w:rFonts w:ascii="Arial" w:cs="Arial" w:eastAsia="Arial" w:hAnsi="Arial"/>
          <w:sz w:val="17"/>
          <w:szCs w:val="17"/>
          <w:color w:val="auto"/>
        </w:rPr>
        <w:t>Upon a Change in Control, all Stock Options and any associated Stock Appreciation Rights Options will be treated in accordance with the applicable Award agreements. An Award agreement granting an Award pursuant to this Plan may be amended, with the written consent of the parties thereto, to modify the treatment of any Stock Options or Stock Appreciation Rights upon Change in Control as specified in the associated Award agreement. In particular, an Award agreement granting an Award pursuant to this Plan may be amended to eliminate any provision in the associated Award agreement providing for immediate exercisability of Stock Options or Stock Appreciation Rights upon Change in Control.</w:t>
      </w:r>
    </w:p>
    <w:p>
      <w:pPr>
        <w:spacing w:after="0" w:line="17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5"/>
          <w:szCs w:val="15"/>
          <w:i w:val="1"/>
          <w:iCs w:val="1"/>
          <w:u w:val="single" w:color="auto"/>
          <w:color w:val="auto"/>
        </w:rPr>
        <w:t>Manner of Exercise of Stock Options.</w:t>
      </w:r>
    </w:p>
    <w:p>
      <w:pPr>
        <w:spacing w:after="0" w:line="224" w:lineRule="exact"/>
        <w:rPr>
          <w:sz w:val="20"/>
          <w:szCs w:val="20"/>
          <w:color w:val="auto"/>
        </w:rPr>
      </w:pPr>
    </w:p>
    <w:p>
      <w:pPr>
        <w:ind w:right="120" w:firstLine="634"/>
        <w:spacing w:after="0" w:line="268" w:lineRule="auto"/>
        <w:tabs>
          <w:tab w:leader="none" w:pos="1256" w:val="left"/>
        </w:tabs>
        <w:numPr>
          <w:ilvl w:val="0"/>
          <w:numId w:val="317"/>
        </w:numPr>
        <w:rPr>
          <w:rFonts w:ascii="Arial" w:cs="Arial" w:eastAsia="Arial" w:hAnsi="Arial"/>
          <w:sz w:val="17"/>
          <w:szCs w:val="17"/>
          <w:color w:val="auto"/>
        </w:rPr>
      </w:pPr>
      <w:r>
        <w:rPr>
          <w:rFonts w:ascii="Arial" w:cs="Arial" w:eastAsia="Arial" w:hAnsi="Arial"/>
          <w:sz w:val="17"/>
          <w:szCs w:val="17"/>
          <w:color w:val="auto"/>
        </w:rPr>
        <w:t>Except as otherwise provided in this Plan, Stock Options may be exercised as to Shares only in amounts and at intervals of time specified in the written option agreement between the Company and the Optionee. Each exercise of a Stock Option, or any part thereof, shall be evidenced by a written notice delivered by the Optionee to the Company. The purchase price of the Shares as to which a Stock Option shall be exercised shall be paid in full at the time of exercise, and may be paid to the Company either:</w:t>
      </w:r>
    </w:p>
    <w:p>
      <w:pPr>
        <w:spacing w:after="0" w:line="175" w:lineRule="exact"/>
        <w:rPr>
          <w:rFonts w:ascii="Arial" w:cs="Arial" w:eastAsia="Arial" w:hAnsi="Arial"/>
          <w:sz w:val="17"/>
          <w:szCs w:val="17"/>
          <w:color w:val="auto"/>
        </w:rPr>
      </w:pPr>
    </w:p>
    <w:p>
      <w:pPr>
        <w:ind w:left="1920" w:hanging="657"/>
        <w:spacing w:after="0"/>
        <w:tabs>
          <w:tab w:leader="none" w:pos="1920" w:val="left"/>
        </w:tabs>
        <w:numPr>
          <w:ilvl w:val="1"/>
          <w:numId w:val="317"/>
        </w:numPr>
        <w:rPr>
          <w:rFonts w:ascii="Arial" w:cs="Arial" w:eastAsia="Arial" w:hAnsi="Arial"/>
          <w:sz w:val="17"/>
          <w:szCs w:val="17"/>
          <w:color w:val="auto"/>
        </w:rPr>
      </w:pPr>
      <w:r>
        <w:rPr>
          <w:rFonts w:ascii="Arial" w:cs="Arial" w:eastAsia="Arial" w:hAnsi="Arial"/>
          <w:sz w:val="17"/>
          <w:szCs w:val="17"/>
          <w:color w:val="auto"/>
        </w:rPr>
        <w:t>in cash (including check, bank draft or money order); or</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1"/>
          <w:numId w:val="317"/>
        </w:numPr>
        <w:rPr>
          <w:rFonts w:ascii="Arial" w:cs="Arial" w:eastAsia="Arial" w:hAnsi="Arial"/>
          <w:sz w:val="17"/>
          <w:szCs w:val="17"/>
          <w:color w:val="auto"/>
        </w:rPr>
      </w:pPr>
      <w:r>
        <w:rPr>
          <w:rFonts w:ascii="Arial" w:cs="Arial" w:eastAsia="Arial" w:hAnsi="Arial"/>
          <w:sz w:val="17"/>
          <w:szCs w:val="17"/>
          <w:color w:val="auto"/>
        </w:rPr>
        <w:t>by other consideration deemed acceptable by the Committee in its sole discretion.</w:t>
      </w:r>
    </w:p>
    <w:p>
      <w:pPr>
        <w:spacing w:after="0" w:line="224" w:lineRule="exact"/>
        <w:rPr>
          <w:rFonts w:ascii="Arial" w:cs="Arial" w:eastAsia="Arial" w:hAnsi="Arial"/>
          <w:sz w:val="17"/>
          <w:szCs w:val="17"/>
          <w:color w:val="auto"/>
        </w:rPr>
      </w:pPr>
    </w:p>
    <w:p>
      <w:pPr>
        <w:ind w:right="20" w:firstLine="634"/>
        <w:spacing w:after="0" w:line="303" w:lineRule="auto"/>
        <w:tabs>
          <w:tab w:leader="none" w:pos="1266" w:val="left"/>
        </w:tabs>
        <w:numPr>
          <w:ilvl w:val="0"/>
          <w:numId w:val="317"/>
        </w:numPr>
        <w:rPr>
          <w:rFonts w:ascii="Arial" w:cs="Arial" w:eastAsia="Arial" w:hAnsi="Arial"/>
          <w:sz w:val="15"/>
          <w:szCs w:val="15"/>
          <w:color w:val="auto"/>
        </w:rPr>
      </w:pPr>
      <w:r>
        <w:rPr>
          <w:rFonts w:ascii="Arial" w:cs="Arial" w:eastAsia="Arial" w:hAnsi="Arial"/>
          <w:sz w:val="15"/>
          <w:szCs w:val="15"/>
          <w:color w:val="auto"/>
        </w:rPr>
        <w:t>If, as permitted in the option agreement or by the Committee, an Optionee delivers Shares already owned by the Optionee in full or partial payment of the exercise price for any Stock Option or the Optionee elects to have the Company retain that number of Shares out of the Shares being acquired through the exercise of the Stock Option having a Fair Market Value equal to the exercise price of the Stock Option being exercised, the Committee may, in its sole discretion, authorize the grant of a new Stock Option (a “</w:t>
      </w:r>
      <w:r>
        <w:rPr>
          <w:rFonts w:ascii="Arial" w:cs="Arial" w:eastAsia="Arial" w:hAnsi="Arial"/>
          <w:sz w:val="15"/>
          <w:szCs w:val="15"/>
          <w:u w:val="single" w:color="auto"/>
          <w:color w:val="auto"/>
        </w:rPr>
        <w:t>Reload Option</w:t>
      </w:r>
      <w:r>
        <w:rPr>
          <w:rFonts w:ascii="Arial" w:cs="Arial" w:eastAsia="Arial" w:hAnsi="Arial"/>
          <w:sz w:val="15"/>
          <w:szCs w:val="15"/>
          <w:color w:val="auto"/>
        </w:rPr>
        <w:t>”) for that number of Shares equal to the number of already owned Shares surrendered or newly acquired Shares being retained by the Company in payment of the option exercise price of the underlying Stock Option being exercised. The grant of a Reload Option will become effective upon the exercise of the underlying Stock Option. The option exercise price of the Reload Option shall be the Fair Market Value of a Share on the effective date of the grant of the Reload Option. Each Reload Option shall be exercisable no later than the time when the underlying stock</w:t>
      </w:r>
    </w:p>
    <w:p>
      <w:pPr>
        <w:sectPr>
          <w:pgSz w:w="11900" w:h="16876" w:orient="portrait"/>
          <w:cols w:equalWidth="0" w:num="1">
            <w:col w:w="11420"/>
          </w:cols>
          <w:pgMar w:left="240" w:top="127" w:right="239" w:bottom="0" w:gutter="0" w:footer="0" w:header="0"/>
        </w:sectPr>
      </w:pPr>
    </w:p>
    <w:bookmarkStart w:id="272" w:name="page273"/>
    <w:bookmarkEnd w:id="272"/>
    <w:p>
      <w:pPr>
        <w:ind w:right="60"/>
        <w:spacing w:after="0" w:line="289" w:lineRule="auto"/>
        <w:rPr>
          <w:sz w:val="20"/>
          <w:szCs w:val="20"/>
          <w:color w:val="auto"/>
        </w:rPr>
      </w:pPr>
      <w:r>
        <w:rPr>
          <w:rFonts w:ascii="Arial" w:cs="Arial" w:eastAsia="Arial" w:hAnsi="Arial"/>
          <w:sz w:val="17"/>
          <w:szCs w:val="17"/>
          <w:color w:val="auto"/>
        </w:rPr>
        <w:t>option being exercised could be last exercised. The Committee may also specify additional terms, conditions and restrictions for the Reload Option and the Shares to be acquired upon the exercise thereof.</w:t>
      </w:r>
    </w:p>
    <w:p>
      <w:pPr>
        <w:spacing w:after="0" w:line="158" w:lineRule="exact"/>
        <w:rPr>
          <w:sz w:val="20"/>
          <w:szCs w:val="20"/>
          <w:color w:val="auto"/>
        </w:rPr>
      </w:pPr>
    </w:p>
    <w:p>
      <w:pPr>
        <w:ind w:right="120" w:firstLine="634"/>
        <w:spacing w:after="0" w:line="268" w:lineRule="auto"/>
        <w:tabs>
          <w:tab w:leader="none" w:pos="1269" w:val="left"/>
        </w:tabs>
        <w:numPr>
          <w:ilvl w:val="0"/>
          <w:numId w:val="318"/>
        </w:numPr>
        <w:rPr>
          <w:rFonts w:ascii="Arial" w:cs="Arial" w:eastAsia="Arial" w:hAnsi="Arial"/>
          <w:sz w:val="17"/>
          <w:szCs w:val="17"/>
          <w:color w:val="auto"/>
        </w:rPr>
      </w:pPr>
      <w:r>
        <w:rPr>
          <w:rFonts w:ascii="Arial" w:cs="Arial" w:eastAsia="Arial" w:hAnsi="Arial"/>
          <w:sz w:val="17"/>
          <w:szCs w:val="17"/>
          <w:color w:val="auto"/>
        </w:rPr>
        <w:t>The amount, as determined by the Committee, of any federal, state or local tax required to be withheld by the Company due to the exercise of a Stock Option shall, subject to the authorization of the Committee, be satisfied, at the election of the Optionee, either (i) by payment by the Optionee to the Company of the amount of such withholding obligation in cash or other consideration acceptable to the Committee in its sole discretion or (ii) through either the retention by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 xml:space="preserve">the Company of a number of Shares out of the Shares being acquired through the exercise of the Stock Option or the delivery of already owned Shares having a Fair Market Value equal to the amount of the withholding obligation. If an Optionee elects to use the method described in clause (ii) of the preceding sentence in full or partial satisfaction of any tax liability resulting from the exercise of a Stock Option, the Committee may authorize the grant of a Reload Option for that number of Shares as shall equal the number of Shares used to satisfy the tax liabilities of the Optionee arising out of the exercise of such Stock Option. Such Reload Option will be granted at the price and on the terms set forth in </w:t>
      </w:r>
      <w:r>
        <w:rPr>
          <w:rFonts w:ascii="Arial" w:cs="Arial" w:eastAsia="Arial" w:hAnsi="Arial"/>
          <w:sz w:val="16"/>
          <w:szCs w:val="16"/>
          <w:u w:val="single" w:color="auto"/>
          <w:color w:val="auto"/>
        </w:rPr>
        <w:t>Subsection 6.6 (b)</w:t>
      </w:r>
      <w:r>
        <w:rPr>
          <w:rFonts w:ascii="Arial" w:cs="Arial" w:eastAsia="Arial" w:hAnsi="Arial"/>
          <w:sz w:val="16"/>
          <w:szCs w:val="16"/>
          <w:color w:val="auto"/>
        </w:rPr>
        <w:t>. The cash payment or an amount equal to the Fair Market Value of the Shares so withheld, as the case may be, shall be remitted by the Company to the appropriate taxing authorities.</w:t>
      </w:r>
    </w:p>
    <w:p>
      <w:pPr>
        <w:spacing w:after="0" w:line="167" w:lineRule="exact"/>
        <w:rPr>
          <w:sz w:val="20"/>
          <w:szCs w:val="20"/>
          <w:color w:val="auto"/>
        </w:rPr>
      </w:pPr>
    </w:p>
    <w:p>
      <w:pPr>
        <w:ind w:right="120" w:firstLine="634"/>
        <w:spacing w:after="0" w:line="322" w:lineRule="auto"/>
        <w:tabs>
          <w:tab w:leader="none" w:pos="1266"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An Optionee shall not have any of the rights of a shareholder of the Company with respect to the Shares subject to a Stock Option except to the extent that such Stock Option is exercised and one or more certificates representing such Shares shall have been delivered to the Optionee.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7</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APPRECIATION RIGHTS</w:t>
      </w:r>
    </w:p>
    <w:p>
      <w:pPr>
        <w:spacing w:after="0" w:line="212" w:lineRule="exact"/>
        <w:rPr>
          <w:sz w:val="20"/>
          <w:szCs w:val="20"/>
          <w:color w:val="auto"/>
        </w:rPr>
      </w:pPr>
    </w:p>
    <w:p>
      <w:pPr>
        <w:ind w:right="100" w:firstLine="629"/>
        <w:spacing w:after="0" w:line="279"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u w:val="single" w:color="auto"/>
          <w:color w:val="auto"/>
        </w:rPr>
        <w:t>Grants.</w:t>
      </w:r>
      <w:r>
        <w:rPr>
          <w:rFonts w:ascii="Arial" w:cs="Arial" w:eastAsia="Arial" w:hAnsi="Arial"/>
          <w:sz w:val="16"/>
          <w:szCs w:val="16"/>
          <w:color w:val="auto"/>
        </w:rPr>
        <w:t xml:space="preserve"> The Committee may grant to any eligible Consultant, non-employee Director or employee of the Company or a Subsidiary either Non-Tandem Stock Appreciation Rights or Tandem Stock Appreciation Rights. Stock Appreciation Rights shall be subject to such terms and conditions as the Committee shall impose. The grant of the Stock Appreciation Right may provide that the holder will be paid for the value of the Stock Appreciation Right either in cash or in Shares, or a combination thereof, at the sole discretion of the Committee. In the event of the exercise of a Stock Appreciation Right payable in Shares, the holder of the Stock Appreciation Right shall receive that number of whole Shares having an aggregate Fair Market Value on the date of exercise equal to the value obtained by multiplying (i) either (a) in the case of a Tandem Stock Appreciation Right, the difference between the Fair Market Value of a Share on the date of exercise over the per share exercise price of the related Stock Option, or (b) in the case of a Non-Tandem Stock Appreciation Right, the difference between the Fair Market Value of a Share on the date of exercise over the Fair Market Value on the date of the grant by (ii) the number of Shares as to which the Stock Appreciation Right is exercised. However, notwithstanding the foregoing, the Committee, in its sole discretion, may place a ceiling on the amount payable upon exercise of a Stock Appreciation Right, but any such limitation shall be specified at the time that the Stock Appreciation Right is granted.</w:t>
      </w:r>
    </w:p>
    <w:p>
      <w:pPr>
        <w:spacing w:after="0" w:line="168" w:lineRule="exact"/>
        <w:rPr>
          <w:sz w:val="20"/>
          <w:szCs w:val="20"/>
          <w:color w:val="auto"/>
        </w:rPr>
      </w:pPr>
    </w:p>
    <w:p>
      <w:pPr>
        <w:jc w:val="both"/>
        <w:ind w:right="200" w:firstLine="629"/>
        <w:spacing w:after="0" w:line="273"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i w:val="1"/>
          <w:iCs w:val="1"/>
          <w:u w:val="single" w:color="auto"/>
          <w:color w:val="auto"/>
        </w:rPr>
        <w:t>Exercisability.</w:t>
      </w:r>
      <w:r>
        <w:rPr>
          <w:rFonts w:ascii="Arial" w:cs="Arial" w:eastAsia="Arial" w:hAnsi="Arial"/>
          <w:sz w:val="17"/>
          <w:szCs w:val="17"/>
          <w:color w:val="auto"/>
        </w:rPr>
        <w:t xml:space="preserve"> A Tandem Stock Appreciation Right granted in connection with an Incentive Stock Option (i) may be exercised at, and only at, the times and to the extent the related Incentive Stock Option is exercisable, (ii) will expire upon the termination of the related Incentive Stock Option, (iii) may not exceed 100% of the difference between the exercise price of the related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Incentive Stock Option and the Fair Market Value of the Shares subject to the related Incentive Stock Option at the time the Tandem Stock Appreciation Right is exercised and (iv) may be exercised at, and only at, such times as the Fair Market Value of the Shares subject to the related Incentive Stock Option exceeds the exercise price of the related Incentive Stock Option. A Tandem Stock Appreciation Right may be transferred at, and only at, the times and to the extent the related Stock Option is transferable. If a Tandem Stock Appreciation Right is granted, there shall be surrendered and canceled from the related Stock Option at the time of exercise of the Tandem Stock Appreciation Right, in lieu of exercise pursuant to the related Stock Option, that number of Shares of the Stock Option to which the exercised Tandem Stock Appreciation Right relates.</w:t>
      </w:r>
    </w:p>
    <w:p>
      <w:pPr>
        <w:spacing w:after="0" w:line="183" w:lineRule="exact"/>
        <w:rPr>
          <w:sz w:val="20"/>
          <w:szCs w:val="20"/>
          <w:color w:val="auto"/>
        </w:rPr>
      </w:pPr>
    </w:p>
    <w:p>
      <w:pPr>
        <w:jc w:val="both"/>
        <w:ind w:right="20" w:firstLine="629"/>
        <w:spacing w:after="0" w:line="298"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u w:val="single" w:color="auto"/>
          <w:color w:val="auto"/>
        </w:rPr>
        <w:t>Certain Limitations on Non-Tandem Stock Appreciation Rights</w:t>
      </w:r>
      <w:r>
        <w:rPr>
          <w:rFonts w:ascii="Arial" w:cs="Arial" w:eastAsia="Arial" w:hAnsi="Arial"/>
          <w:sz w:val="16"/>
          <w:szCs w:val="16"/>
          <w:i w:val="1"/>
          <w:iCs w:val="1"/>
          <w:color w:val="auto"/>
        </w:rPr>
        <w:t>.</w:t>
      </w:r>
      <w:r>
        <w:rPr>
          <w:rFonts w:ascii="Arial" w:cs="Arial" w:eastAsia="Arial" w:hAnsi="Arial"/>
          <w:sz w:val="16"/>
          <w:szCs w:val="16"/>
          <w:color w:val="auto"/>
        </w:rPr>
        <w:t xml:space="preserve"> A Non-Tandem Stock Appreciation Right will be exercisable as provided by the Committee and will have such other terms and conditions as the Committee may determine. A Non-Tandem Stock Appreciation Right is subject to acceleration of vesting or immediate termination in certain circumstances in the same manner as Stock Options pursuant to </w:t>
      </w:r>
      <w:r>
        <w:rPr>
          <w:rFonts w:ascii="Arial" w:cs="Arial" w:eastAsia="Arial" w:hAnsi="Arial"/>
          <w:sz w:val="16"/>
          <w:szCs w:val="16"/>
          <w:u w:val="single" w:color="auto"/>
          <w:color w:val="auto"/>
        </w:rPr>
        <w:t>Subsections 6.4 and 6.5</w:t>
      </w:r>
      <w:r>
        <w:rPr>
          <w:rFonts w:ascii="Arial" w:cs="Arial" w:eastAsia="Arial" w:hAnsi="Arial"/>
          <w:sz w:val="16"/>
          <w:szCs w:val="16"/>
          <w:color w:val="auto"/>
        </w:rPr>
        <w:t xml:space="preserve"> of this Plan.</w:t>
      </w:r>
    </w:p>
    <w:p>
      <w:pPr>
        <w:spacing w:after="0" w:line="154"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i w:val="1"/>
          <w:iCs w:val="1"/>
          <w:u w:val="single" w:color="auto"/>
          <w:color w:val="auto"/>
        </w:rPr>
        <w:t>Limited Stock Appreciation Rights.</w:t>
      </w:r>
      <w:r>
        <w:rPr>
          <w:rFonts w:ascii="Arial" w:cs="Arial" w:eastAsia="Arial" w:hAnsi="Arial"/>
          <w:sz w:val="17"/>
          <w:szCs w:val="17"/>
          <w:color w:val="auto"/>
        </w:rPr>
        <w:t xml:space="preserve"> The Committee may grant limited Stock Appreciation Rights, either as Tandem Stock Appreciation Rights or Non-Tandem Stock Appreciation Rights, which may become exercisable only upon the occurrence of a Change in Control or such other event as the Committee may designate at the time of grant or thereafter.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8</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STOCK</w:t>
      </w:r>
    </w:p>
    <w:p>
      <w:pPr>
        <w:spacing w:after="0" w:line="212" w:lineRule="exact"/>
        <w:rPr>
          <w:sz w:val="20"/>
          <w:szCs w:val="20"/>
          <w:color w:val="auto"/>
        </w:rPr>
      </w:pPr>
    </w:p>
    <w:p>
      <w:pPr>
        <w:ind w:right="120" w:firstLine="629"/>
        <w:spacing w:after="0" w:line="27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i w:val="1"/>
          <w:iCs w:val="1"/>
          <w:u w:val="single" w:color="auto"/>
          <w:color w:val="auto"/>
        </w:rPr>
        <w:t>Grants.</w:t>
      </w:r>
      <w:r>
        <w:rPr>
          <w:rFonts w:ascii="Arial" w:cs="Arial" w:eastAsia="Arial" w:hAnsi="Arial"/>
          <w:sz w:val="16"/>
          <w:szCs w:val="16"/>
          <w:color w:val="auto"/>
        </w:rPr>
        <w:t xml:space="preserve"> The Committee may grant Awards of Restricted Stock to any eligible Consultant, non-employee Director or employee of the Company or a Subsidiary for such minimum consideration, if any, as may be required by applicable law or such greater consideration as may be determined by the Committee, in its sole discretion. The terms and conditions of the Restricted Stock shall be specified by the grant agreement. The Committee, in its sole discretion, may specify any particular rights which the Participant to whom a grant of Restricted Stock is made shall have in the Restricted Stock during the restriction period and the restrictions applicable to the particular Award, the vesting schedule (which may be based on service, performance or other factors) and rights to acceleration of vesting (including, without limitation, whether non-vested Shares are forfeited or vested upon termination of employment). Further, the Committee may grant performance-based Awards consisting of Restricted Stock by conditioning the grant, or vesting or such other factors, such as the release, expiration or lapse of restrictions upon any such Award (including the acceleration of any such conditions or terms) of such Restricted Stock upon the attainment of specified performance goals or such other factors as the Committee may determine. The Committee shall also determine when the restrictions shall lapse or expire and the conditions, if any, pursuant to which the Restricted Stock will be forfeited or sold back to the Company. Each Award of Restricted Stock may have different restrictions and conditions. Unless otherwise set forth in the grant agreement, Restricted Stock may not be sold, pledged, encumbered or otherwise disposed of by the recipient until the restrictions specified in the Award expire. Awards of Restricted Stock are subject to acceleration of vesting, termination of restrictions and termination in the same manner as Stock Options pursuant to </w:t>
      </w:r>
      <w:r>
        <w:rPr>
          <w:rFonts w:ascii="Arial" w:cs="Arial" w:eastAsia="Arial" w:hAnsi="Arial"/>
          <w:sz w:val="16"/>
          <w:szCs w:val="16"/>
          <w:u w:val="single" w:color="auto"/>
          <w:color w:val="auto"/>
        </w:rPr>
        <w:t>Subsections 6.4 and 6.5</w:t>
      </w:r>
      <w:r>
        <w:rPr>
          <w:rFonts w:ascii="Arial" w:cs="Arial" w:eastAsia="Arial" w:hAnsi="Arial"/>
          <w:sz w:val="16"/>
          <w:szCs w:val="16"/>
          <w:color w:val="auto"/>
        </w:rPr>
        <w:t xml:space="preserve"> of this Plan.</w:t>
      </w:r>
    </w:p>
    <w:p>
      <w:pPr>
        <w:sectPr>
          <w:pgSz w:w="11900" w:h="16838" w:orient="portrait"/>
          <w:cols w:equalWidth="0" w:num="1">
            <w:col w:w="11420"/>
          </w:cols>
          <w:pgMar w:left="240" w:top="127" w:right="239" w:bottom="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273" w:name="page274"/>
    <w:bookmarkEnd w:id="273"/>
    <w:p>
      <w:pPr>
        <w:spacing w:after="0" w:line="33" w:lineRule="exact"/>
        <w:rPr>
          <w:sz w:val="20"/>
          <w:szCs w:val="20"/>
          <w:color w:val="auto"/>
        </w:rPr>
      </w:pPr>
    </w:p>
    <w:p>
      <w:pPr>
        <w:ind w:right="20" w:firstLine="629"/>
        <w:spacing w:after="0" w:line="308"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i w:val="1"/>
          <w:iCs w:val="1"/>
          <w:u w:val="single" w:color="auto"/>
          <w:color w:val="auto"/>
        </w:rPr>
        <w:t>Awards and Certificates.</w:t>
      </w:r>
      <w:r>
        <w:rPr>
          <w:rFonts w:ascii="Arial" w:cs="Arial" w:eastAsia="Arial" w:hAnsi="Arial"/>
          <w:sz w:val="15"/>
          <w:szCs w:val="15"/>
          <w:color w:val="auto"/>
        </w:rPr>
        <w:t xml:space="preserve"> Any Restricted Stock issued hereunder may be evidenced in such manner as the Committee, in its sole discretion, shall deem appropriate including, without limitation, book-entry registration or issuance of a stock certificate or certificates. In the event any stock certificate is issued in respect of Shares of Restricted Stock, such certificate shall bear an appropriate legend with respect to the restrictions applicable to such Award. The Company may retain, at its option, the physical custody of any stock certificate representing any awards of Restricted Stock during the restriction period or require that the certificates evidencing Restricted Stock be placed in escrow or trust, along with a stock power endorsed in blank, until all restrictions are removed or expire.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9</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PERFORMANCE AWARDS</w:t>
      </w:r>
    </w:p>
    <w:p>
      <w:pPr>
        <w:spacing w:after="0" w:line="212" w:lineRule="exact"/>
        <w:rPr>
          <w:sz w:val="20"/>
          <w:szCs w:val="20"/>
          <w:color w:val="auto"/>
        </w:rPr>
      </w:pPr>
    </w:p>
    <w:p>
      <w:pPr>
        <w:ind w:right="60" w:firstLine="629"/>
        <w:spacing w:after="0" w:line="278"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u w:val="single" w:color="auto"/>
          <w:color w:val="auto"/>
        </w:rPr>
        <w:t>Grants</w:t>
      </w:r>
      <w:r>
        <w:rPr>
          <w:rFonts w:ascii="Arial" w:cs="Arial" w:eastAsia="Arial" w:hAnsi="Arial"/>
          <w:sz w:val="16"/>
          <w:szCs w:val="16"/>
          <w:u w:val="single" w:color="auto"/>
          <w:color w:val="auto"/>
        </w:rPr>
        <w:t>.</w:t>
      </w:r>
      <w:r>
        <w:rPr>
          <w:rFonts w:ascii="Arial" w:cs="Arial" w:eastAsia="Arial" w:hAnsi="Arial"/>
          <w:sz w:val="16"/>
          <w:szCs w:val="16"/>
          <w:color w:val="auto"/>
        </w:rPr>
        <w:t xml:space="preserve"> A Performance Award may consist of either or both, as the Committee may determine, of (i) the right to receive Shares or Restricted Stock, or any combination thereof as the Committee may determine or (ii) the right to receive a fixed dollar amount payable in Shares, Restricted Stock, cash or any combination thereof, as the Committee may determine. The Committee may grant Performance Awards to any eligible Consultant, non-employee Director or employee of the Company or a Subsidiary, for such minimum consideration, if any, as may be required by applicable law or such greater consideration as may be determined by the Committee, in its sole discretion. The terms and conditions of Performance Awards shall be specified at the time of the grant and may include provisions establishing the performance period, the performance criteria to be achieved during a performance period, the criteria used to determine vesting (including the acceleration thereof), whether Performance Awards are forfeited or vest upon termination of employment during a performance period and the maximum or minimum settlement values. Each Performance Award shall have its own terms and conditions, which shall be determined in the sole discretion of the Committee. If the Committee determines, in its sole discretion, that the established performance measures or objectives are no longer suitable because of a change in the Company’s business, operations, corporate structure or for other reasons that the Committee deems satisfactory, the Committee may modify the performance measures or objectives and/or the performance period. Performance Awards are subject to acceleration of vesting, termination of restrictions and termination in the same manner as Stock Options pursuant to </w:t>
      </w:r>
      <w:r>
        <w:rPr>
          <w:rFonts w:ascii="Arial" w:cs="Arial" w:eastAsia="Arial" w:hAnsi="Arial"/>
          <w:sz w:val="16"/>
          <w:szCs w:val="16"/>
          <w:u w:val="single" w:color="auto"/>
          <w:color w:val="auto"/>
        </w:rPr>
        <w:t>Subsections 6.4 and 6.5</w:t>
      </w:r>
      <w:r>
        <w:rPr>
          <w:rFonts w:ascii="Arial" w:cs="Arial" w:eastAsia="Arial" w:hAnsi="Arial"/>
          <w:sz w:val="16"/>
          <w:szCs w:val="16"/>
          <w:color w:val="auto"/>
        </w:rPr>
        <w:t xml:space="preserve"> of this Plan.</w:t>
      </w:r>
    </w:p>
    <w:p>
      <w:pPr>
        <w:spacing w:after="0" w:line="169" w:lineRule="exact"/>
        <w:rPr>
          <w:sz w:val="20"/>
          <w:szCs w:val="20"/>
          <w:color w:val="auto"/>
        </w:rPr>
      </w:pPr>
    </w:p>
    <w:p>
      <w:pPr>
        <w:ind w:right="60" w:firstLine="629"/>
        <w:spacing w:after="0" w:line="262"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i w:val="1"/>
          <w:iCs w:val="1"/>
          <w:u w:val="single" w:color="auto"/>
          <w:color w:val="auto"/>
        </w:rPr>
        <w:t>Terms and Conditions.</w:t>
      </w:r>
      <w:r>
        <w:rPr>
          <w:rFonts w:ascii="Arial" w:cs="Arial" w:eastAsia="Arial" w:hAnsi="Arial"/>
          <w:sz w:val="17"/>
          <w:szCs w:val="17"/>
          <w:color w:val="auto"/>
        </w:rPr>
        <w:t xml:space="preserve"> Performance Awards may be valued by reference to the Fair Market Value of a Share or according to any other formula or method deemed appropriate by the Committee, in its sole discretion, including, but not limited to, achievement of specific financial, production, sales, cost or earnings performance objectives that the Committee believes to be relevant or the Company’s performance or the performance of the Shares measured against the performance of the market, the Company’s industry segment or its direct competitors. Performance Awards may also be conditioned upon the applicable Participant remaining in the employ of the Company or one of its Subsidiaries for a specified period. Performance Awards may be paid in cash, Shares (including Restricted Stock) or other consideration, or any combination thereof. Performance Awards may be payable in a single payment or in installments and may be payable at a specified date or dates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upon attaining the performance objective or objectives, all at the sole discretion of the Committee. The extent to which any applicable performance objective has been achieved shall be conclusively determined by the Committee in its sole discretion.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10</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OTHER AWARDS</w:t>
      </w:r>
    </w:p>
    <w:p>
      <w:pPr>
        <w:spacing w:after="0" w:line="212" w:lineRule="exact"/>
        <w:rPr>
          <w:sz w:val="20"/>
          <w:szCs w:val="20"/>
          <w:color w:val="auto"/>
        </w:rPr>
      </w:pPr>
    </w:p>
    <w:p>
      <w:pPr>
        <w:ind w:right="60" w:firstLine="629"/>
        <w:spacing w:after="0" w:line="263"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i w:val="1"/>
          <w:iCs w:val="1"/>
          <w:u w:val="single" w:color="auto"/>
          <w:color w:val="auto"/>
        </w:rPr>
        <w:t>Other Awards.</w:t>
      </w:r>
      <w:r>
        <w:rPr>
          <w:rFonts w:ascii="Arial" w:cs="Arial" w:eastAsia="Arial" w:hAnsi="Arial"/>
          <w:sz w:val="17"/>
          <w:szCs w:val="17"/>
          <w:color w:val="auto"/>
        </w:rPr>
        <w:t xml:space="preserve"> The Committee may grant to any eligible Consultant, non-employee Director or employee of the Company or a Subsidiary other forms of Awards based upon, payable in or otherwise related to, in whole or in part, Shares, if the Committee, in its sole discretion, determines that such other form of Award is consistent with the purposes of this Plan. The terms and conditions of such other form of Award shall be specified in a written agreement which sets forth the terms and conditions of such Award, including, but not limited to, the price, if any, and the vesting schedule, if any, of such Award. Such Awards may be granted for such minimum consideration, if any, as may be required by applicable law or for such other greater consideration as may be determined by the Committee, in its sole discretion.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11</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COMPLIANCE WITH SECURITIES AND OTHER LAWS</w:t>
      </w:r>
    </w:p>
    <w:p>
      <w:pPr>
        <w:spacing w:after="0" w:line="212" w:lineRule="exact"/>
        <w:rPr>
          <w:sz w:val="20"/>
          <w:szCs w:val="20"/>
          <w:color w:val="auto"/>
        </w:rPr>
      </w:pPr>
    </w:p>
    <w:p>
      <w:pPr>
        <w:ind w:firstLine="629"/>
        <w:spacing w:after="0" w:line="277"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i w:val="1"/>
          <w:iCs w:val="1"/>
          <w:u w:val="single" w:color="auto"/>
          <w:color w:val="auto"/>
        </w:rPr>
        <w:t>Compliance.</w:t>
      </w:r>
      <w:r>
        <w:rPr>
          <w:rFonts w:ascii="Arial" w:cs="Arial" w:eastAsia="Arial" w:hAnsi="Arial"/>
          <w:sz w:val="16"/>
          <w:szCs w:val="16"/>
          <w:color w:val="auto"/>
        </w:rPr>
        <w:t xml:space="preserve"> As a condition to the issuance or transfer of any Award or any security issuable in connection with such Award, the Company may require an opinion of counsel, satisfactory to the Company, to the effect that (i) such issuance and/or transfer will not be in violation of the Securities Act or any other applicable securities laws and (ii) such issuance and/or transfer will not be in violation of the rules and regulations of any securities exchange or automated quotation system on which the Shares are listed or admitted to trading. Further, the Company may refrain from issuing, delivering or transferring any Award or any security issuable in connection with such Award until the Committee has determined that such issuance, delivery or transfer will not violate such securities laws or rules and regulations and that either the recipient has tendered to the Company, or the Company or a Subsidiary has withheld, any federal, state or local tax owed as a result of such issuance, delivery or transfer, when the Company has a legal liability to satisfy such tax. The Company shall not be liable for damages due to delay in the issuance, delivery or transfer of any Award or any security issuable in connection with such Award or any agreement, instrument or certificate evidencing such Award or security for any reason whatsoever, including, but not limited to, a delay caused by the listing requirements of any securities exchange or automated quotation system or any registration requirements under the Securities Act, the Exchange Act, or under any other state or federal law, rule or regulation. The Company is under no obligation to take any action or incur any expense to register or qualify the issuance, delivery or transfer of any Award or any security issuable in connection with such Award under applicable securities laws or to perfect any exemption from such registration or qualification or to list any security on any securities exchange or automated quotation system. Furthermore, the Company will have no liability to any person for refusing to issue, deliver or transfer any Award or any security issuable in connection with</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such Award if such refusal is based upon the foregoing provisions of this </w:t>
      </w:r>
      <w:r>
        <w:rPr>
          <w:rFonts w:ascii="Arial" w:cs="Arial" w:eastAsia="Arial" w:hAnsi="Arial"/>
          <w:sz w:val="17"/>
          <w:szCs w:val="17"/>
          <w:u w:val="single" w:color="auto"/>
          <w:color w:val="auto"/>
        </w:rPr>
        <w:t>ARTICLE 11</w:t>
      </w:r>
      <w:r>
        <w:rPr>
          <w:rFonts w:ascii="Arial" w:cs="Arial" w:eastAsia="Arial" w:hAnsi="Arial"/>
          <w:sz w:val="17"/>
          <w:szCs w:val="17"/>
          <w:color w:val="auto"/>
        </w:rPr>
        <w:t>. As a condition to any issuance, delivery or transfer of any Award or any security issuable in connection with such Award, the Company may place legends on any agreement, instrument or certificate evidencing such Award or security, issue stop transfer orders with respect thereto and require such agreements or undertakings as the Company may deem necessary or advisable to assure compliance with applicable laws or regulations, including, if the Company or its counsel deems it appropriate, representations from the recipient of such Award or security to the effect that such recipient is acquiring such Award or security solely for investment and not with a view to distribution and that no distribution of the Award or the security will be made unless registered pursuant to applicable federal and state securities laws, or in the opinion of counsel to the Company, such registration is unnecessary.</w:t>
      </w:r>
    </w:p>
    <w:p>
      <w:pPr>
        <w:sectPr>
          <w:pgSz w:w="11900" w:h="16871" w:orient="portrait"/>
          <w:cols w:equalWidth="0" w:num="1">
            <w:col w:w="11400"/>
          </w:cols>
          <w:pgMar w:left="240" w:top="573" w:right="259" w:bottom="0" w:gutter="0" w:footer="0" w:header="0"/>
        </w:sectPr>
      </w:pPr>
    </w:p>
    <w:bookmarkStart w:id="274" w:name="page275"/>
    <w:bookmarkEnd w:id="274"/>
    <w:p>
      <w:pPr>
        <w:jc w:val="center"/>
        <w:ind w:right="-19"/>
        <w:spacing w:after="0"/>
        <w:rPr>
          <w:sz w:val="20"/>
          <w:szCs w:val="20"/>
          <w:color w:val="auto"/>
        </w:rPr>
      </w:pPr>
      <w:r>
        <w:rPr>
          <w:rFonts w:ascii="Arial" w:cs="Arial" w:eastAsia="Arial" w:hAnsi="Arial"/>
          <w:sz w:val="17"/>
          <w:szCs w:val="17"/>
          <w:b w:val="1"/>
          <w:bCs w:val="1"/>
          <w:color w:val="auto"/>
        </w:rPr>
        <w:t>ARTICLE 12</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ADJUSTMENTS UPON THE OCCURRENCE OF A RECAPITALIZATION OR CORPORATE TRANSACTION</w:t>
      </w:r>
    </w:p>
    <w:p>
      <w:pPr>
        <w:spacing w:after="0" w:line="212"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12.1 In the event of a Recapitalization, the number and class of Shares subject to this Plan and to each outstanding Award, and the exercise price of each Award which is based upon Shares, shall (to the extent deemed appropriate by the Committee) be proportionately adjusted (as determined by the Committee in its sole discretion) to account for any increase or decrease in the number, or change in the class, of issued and outstanding Shares of the Company resulting from such Recapitalization.</w:t>
      </w:r>
    </w:p>
    <w:p>
      <w:pPr>
        <w:spacing w:after="0" w:line="176" w:lineRule="exact"/>
        <w:rPr>
          <w:sz w:val="20"/>
          <w:szCs w:val="20"/>
          <w:color w:val="auto"/>
        </w:rPr>
      </w:pPr>
    </w:p>
    <w:p>
      <w:pPr>
        <w:ind w:right="140" w:firstLine="629"/>
        <w:spacing w:after="0" w:line="283" w:lineRule="auto"/>
        <w:rPr>
          <w:sz w:val="20"/>
          <w:szCs w:val="20"/>
          <w:color w:val="auto"/>
        </w:rPr>
      </w:pPr>
      <w:r>
        <w:rPr>
          <w:rFonts w:ascii="Arial" w:cs="Arial" w:eastAsia="Arial" w:hAnsi="Arial"/>
          <w:sz w:val="16"/>
          <w:szCs w:val="16"/>
          <w:color w:val="auto"/>
        </w:rPr>
        <w:t>12.2 If a Corporate Transaction is consummated and immediately following the consummation of such Corporate Transaction the Persons who were holders of Shares immediately prior to the consummation of such Corporate Transaction do not receive any securities or other property (hereinafter collectively referred to as “</w:t>
      </w:r>
      <w:r>
        <w:rPr>
          <w:rFonts w:ascii="Arial" w:cs="Arial" w:eastAsia="Arial" w:hAnsi="Arial"/>
          <w:sz w:val="16"/>
          <w:szCs w:val="16"/>
          <w:u w:val="single" w:color="auto"/>
          <w:color w:val="auto"/>
        </w:rPr>
        <w:t>Transactional Consideration</w:t>
      </w:r>
      <w:r>
        <w:rPr>
          <w:rFonts w:ascii="Arial" w:cs="Arial" w:eastAsia="Arial" w:hAnsi="Arial"/>
          <w:sz w:val="16"/>
          <w:szCs w:val="16"/>
          <w:color w:val="auto"/>
        </w:rPr>
        <w:t>”) as a result of such Corporate Transaction and substantially all of such Persons continue to hold the Shares held by them immediately prior to the consummation of such Corporate Transaction (in substantially the same proportions relative to each other), the Awards will remain outstanding and will (subject to, and except as provided in, the other provisions of this Plan and the Award agreement) continue in full force and effect in accordance with its terms (without any modification) following the consummation of the Corporate Transaction.</w:t>
      </w:r>
    </w:p>
    <w:p>
      <w:pPr>
        <w:spacing w:after="0" w:line="167" w:lineRule="exact"/>
        <w:rPr>
          <w:sz w:val="20"/>
          <w:szCs w:val="20"/>
          <w:color w:val="auto"/>
        </w:rPr>
      </w:pPr>
    </w:p>
    <w:p>
      <w:pPr>
        <w:ind w:right="160" w:firstLine="629"/>
        <w:spacing w:after="0" w:line="290" w:lineRule="auto"/>
        <w:rPr>
          <w:sz w:val="20"/>
          <w:szCs w:val="20"/>
          <w:color w:val="auto"/>
        </w:rPr>
      </w:pPr>
      <w:r>
        <w:rPr>
          <w:rFonts w:ascii="Arial" w:cs="Arial" w:eastAsia="Arial" w:hAnsi="Arial"/>
          <w:sz w:val="16"/>
          <w:szCs w:val="16"/>
          <w:color w:val="auto"/>
        </w:rPr>
        <w:t>12.3 If a Corporate Transaction is consummated and immediately following the consummation of such Corporate Transaction the Persons who were holders of Shares immediately prior to the consummation of such Corporate Transaction do receive Transactional Consideration as a result of such Corporate Transaction or substantially all of such Persons do not continue to hold the Shares held by them immediately prior to the consummation of such Corporate Transaction (in substantially the same proportions relative to each other), the terms and conditions of the Awards will be modified as follows:</w:t>
      </w:r>
    </w:p>
    <w:p>
      <w:pPr>
        <w:spacing w:after="0" w:line="159" w:lineRule="exact"/>
        <w:rPr>
          <w:sz w:val="20"/>
          <w:szCs w:val="20"/>
          <w:color w:val="auto"/>
        </w:rPr>
      </w:pPr>
    </w:p>
    <w:p>
      <w:pPr>
        <w:ind w:right="620" w:firstLine="634"/>
        <w:spacing w:after="0" w:line="289" w:lineRule="auto"/>
        <w:tabs>
          <w:tab w:leader="none" w:pos="1279" w:val="left"/>
        </w:tabs>
        <w:numPr>
          <w:ilvl w:val="0"/>
          <w:numId w:val="320"/>
        </w:numPr>
        <w:rPr>
          <w:rFonts w:ascii="Arial" w:cs="Arial" w:eastAsia="Arial" w:hAnsi="Arial"/>
          <w:sz w:val="17"/>
          <w:szCs w:val="17"/>
          <w:color w:val="auto"/>
        </w:rPr>
      </w:pPr>
      <w:r>
        <w:rPr>
          <w:rFonts w:ascii="Arial" w:cs="Arial" w:eastAsia="Arial" w:hAnsi="Arial"/>
          <w:sz w:val="17"/>
          <w:szCs w:val="17"/>
          <w:color w:val="auto"/>
        </w:rPr>
        <w:t>If the documentation pursuant to which a Corporate Transaction will be consummated provides for the assumption (by the entity issuing Transactional Consideration to the Persons who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were the holders of Shares immediately prior to the consummation of such Corporate Transaction) of the Awards granted pursuant to this Plan without any modification or amendment (other than Permitted Modifications), such Awards will remain outstanding and will continue in full force and effect in accordance with its terms following the consummation of such Corporate Transaction (subject to such Permitted Modifications).</w:t>
      </w:r>
    </w:p>
    <w:p>
      <w:pPr>
        <w:spacing w:after="0" w:line="172" w:lineRule="exact"/>
        <w:rPr>
          <w:sz w:val="20"/>
          <w:szCs w:val="20"/>
          <w:color w:val="auto"/>
        </w:rPr>
      </w:pPr>
    </w:p>
    <w:p>
      <w:pPr>
        <w:ind w:right="60" w:firstLine="634"/>
        <w:spacing w:after="0" w:line="279" w:lineRule="auto"/>
        <w:tabs>
          <w:tab w:leader="none" w:pos="1323" w:val="left"/>
        </w:tabs>
        <w:numPr>
          <w:ilvl w:val="0"/>
          <w:numId w:val="321"/>
        </w:numPr>
        <w:rPr>
          <w:rFonts w:ascii="Arial" w:cs="Arial" w:eastAsia="Arial" w:hAnsi="Arial"/>
          <w:sz w:val="16"/>
          <w:szCs w:val="16"/>
          <w:color w:val="auto"/>
        </w:rPr>
      </w:pPr>
      <w:r>
        <w:rPr>
          <w:rFonts w:ascii="Arial" w:cs="Arial" w:eastAsia="Arial" w:hAnsi="Arial"/>
          <w:sz w:val="16"/>
          <w:szCs w:val="16"/>
          <w:color w:val="auto"/>
        </w:rPr>
        <w:t>If the documentation pursuant to which a Corporate Transaction will be consummated does not provide for the assumption by the entity issuing Transactional Consideration to the Persons who were the holders of Shares immediately prior to the consummation of such Corporate Transaction of the Awards granted pursuant to this Plan without any modification or amendment (other than Permitted Modifications), all vesting restrictions (performance based or otherwise) applicable to Awards which will not be so assumed will accelerate and the holders of such Awards may (subject to the expiration of the term of such Awards) exercise/receive the benefits of such Awards without regard to such vesting restrictions during the ten (10) day period immediately preceding the consummation of such Corporate Transaction. For purposes of the immediately preceding sentence, all performance based goals will be deemed to have been satisfied in full. The Company will provide each Participant holding Awards which will not be so assumed with reasonable notice of the termination of such vesting restrictions and the impending termination of such Awards. Upon the consummation of such a Corporate Transaction, all unexercised Awards which are not to be so assumed will automatically terminate and cease to be outstanding.</w:t>
      </w:r>
    </w:p>
    <w:p>
      <w:pPr>
        <w:spacing w:after="0" w:line="173"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 xml:space="preserve">Nothing contained in this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will be deemed to extend the term of an Award or to revive any Award which has previously lapsed or been canceled, terminated or surrendered.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13</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 OR TERMINATION OF THIS PLAN</w:t>
      </w:r>
    </w:p>
    <w:p>
      <w:pPr>
        <w:spacing w:after="0" w:line="212" w:lineRule="exact"/>
        <w:rPr>
          <w:sz w:val="20"/>
          <w:szCs w:val="20"/>
          <w:color w:val="auto"/>
        </w:rPr>
      </w:pPr>
    </w:p>
    <w:p>
      <w:pPr>
        <w:ind w:right="100" w:firstLine="629"/>
        <w:spacing w:after="0" w:line="268"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i w:val="1"/>
          <w:iCs w:val="1"/>
          <w:u w:val="single" w:color="auto"/>
          <w:color w:val="auto"/>
        </w:rPr>
        <w:t>Amendment of This Plan.</w:t>
      </w:r>
      <w:r>
        <w:rPr>
          <w:rFonts w:ascii="Arial" w:cs="Arial" w:eastAsia="Arial" w:hAnsi="Arial"/>
          <w:sz w:val="17"/>
          <w:szCs w:val="17"/>
          <w:color w:val="auto"/>
        </w:rPr>
        <w:t xml:space="preserve"> Notwithstanding anything contained in this Plan to the contrary, all provisions of this Plan (including, without limitation, the maximum number of Shares that may be issued with respect to Awards to be granted pursuant to this Plan) may at any time or from time to time be modified or amended by the Board; provided, however, that no Award at any time outstanding pursuant to this Plan may be modified, impaired or canceled adversely to the holder of the Award without the consent of such holder.</w:t>
      </w:r>
    </w:p>
    <w:p>
      <w:pPr>
        <w:spacing w:after="0" w:line="176" w:lineRule="exact"/>
        <w:rPr>
          <w:sz w:val="20"/>
          <w:szCs w:val="20"/>
          <w:color w:val="auto"/>
        </w:rPr>
      </w:pPr>
    </w:p>
    <w:p>
      <w:pPr>
        <w:jc w:val="both"/>
        <w:ind w:right="120" w:firstLine="629"/>
        <w:spacing w:after="0" w:line="298"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i w:val="1"/>
          <w:iCs w:val="1"/>
          <w:u w:val="single" w:color="auto"/>
          <w:color w:val="auto"/>
        </w:rPr>
        <w:t>Termination of This Plan.</w:t>
      </w:r>
      <w:r>
        <w:rPr>
          <w:rFonts w:ascii="Arial" w:cs="Arial" w:eastAsia="Arial" w:hAnsi="Arial"/>
          <w:sz w:val="16"/>
          <w:szCs w:val="16"/>
          <w:color w:val="auto"/>
        </w:rPr>
        <w:t xml:space="preserve"> The Board may suspend or terminate this Plan at any time, and such suspension or termination may be retroactive or prospective. Termination of this Plan shall not impair or affect any Award previously granted hereunder and the rights of the holder of the Award shall remain in effect until the Award has been exercised in its entirety or has expired or otherwise has been terminated by the terms of such Award.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14</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AMENDMENTS AND ADJUSTMENTS TO AWARDS</w:t>
      </w:r>
    </w:p>
    <w:p>
      <w:pPr>
        <w:spacing w:after="0" w:line="212" w:lineRule="exact"/>
        <w:rPr>
          <w:sz w:val="20"/>
          <w:szCs w:val="20"/>
          <w:color w:val="auto"/>
        </w:rPr>
      </w:pPr>
    </w:p>
    <w:p>
      <w:pPr>
        <w:ind w:right="40" w:firstLine="629"/>
        <w:spacing w:after="0" w:line="299" w:lineRule="auto"/>
        <w:rPr>
          <w:sz w:val="20"/>
          <w:szCs w:val="20"/>
          <w:color w:val="auto"/>
        </w:rPr>
      </w:pPr>
      <w:r>
        <w:rPr>
          <w:rFonts w:ascii="Arial" w:cs="Arial" w:eastAsia="Arial" w:hAnsi="Arial"/>
          <w:sz w:val="15"/>
          <w:szCs w:val="15"/>
          <w:color w:val="auto"/>
        </w:rPr>
        <w:t xml:space="preserve">14.1 </w:t>
      </w:r>
      <w:r>
        <w:rPr>
          <w:rFonts w:ascii="Arial" w:cs="Arial" w:eastAsia="Arial" w:hAnsi="Arial"/>
          <w:sz w:val="15"/>
          <w:szCs w:val="15"/>
          <w:i w:val="1"/>
          <w:iCs w:val="1"/>
          <w:u w:val="single" w:color="auto"/>
          <w:color w:val="auto"/>
        </w:rPr>
        <w:t>Amendments and Adjustments.</w:t>
      </w:r>
      <w:r>
        <w:rPr>
          <w:rFonts w:ascii="Arial" w:cs="Arial" w:eastAsia="Arial" w:hAnsi="Arial"/>
          <w:sz w:val="15"/>
          <w:szCs w:val="15"/>
          <w:color w:val="auto"/>
        </w:rPr>
        <w:t xml:space="preserve"> The Committee may amend, modify or terminate any outstanding Award with the Participant’s consent at any time prior to payment or exercise in any manner not inconsistent with the terms of this Plan, including, without limitation, (i) to change the date or dates as of which and/or the terms and conditions pursuant to which (A) a Stock Option becomes exercisable or (B) a Performance Award is deemed earned, (ii) to amend the terms of any outstanding Award to provide an exercise price per share which is higher or lower than the then current exercise price per share of such outstanding Award or (iii) to cancel an Award and grant a new Award in substitution therefor under such different terms and conditions as the Committee determines in its sole discretion to be appropriate including, but not limited to, having an exercise price per share which may be higher or lower than the exercise price per share of the canceled Award. The Committee may also make adjustments in the terms and conditions of, and the criteria included in agreements evidencing Awards in recognition of unusual or nonrecurring events (including, without limitation, the events described in </w:t>
      </w:r>
      <w:r>
        <w:rPr>
          <w:rFonts w:ascii="Arial" w:cs="Arial" w:eastAsia="Arial" w:hAnsi="Arial"/>
          <w:sz w:val="15"/>
          <w:szCs w:val="15"/>
          <w:u w:val="single" w:color="auto"/>
          <w:color w:val="auto"/>
        </w:rPr>
        <w:t>ARTICLE 12</w:t>
      </w:r>
      <w:r>
        <w:rPr>
          <w:rFonts w:ascii="Arial" w:cs="Arial" w:eastAsia="Arial" w:hAnsi="Arial"/>
          <w:sz w:val="15"/>
          <w:szCs w:val="15"/>
          <w:color w:val="auto"/>
        </w:rPr>
        <w:t xml:space="preserve"> hereof) affecting the Company, or the financial statements of the Company or any Affiliate, or of changes in applicable laws, regulations or accounting principles, whenever the Committee determines that such adjustments are appropriate to prevent reduction or enlargement of the benefits or potential benefits intended to be made available pursuant to this Plan.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15</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PROVISIONS</w:t>
      </w:r>
    </w:p>
    <w:p>
      <w:pPr>
        <w:sectPr>
          <w:pgSz w:w="11900" w:h="16838" w:orient="portrait"/>
          <w:cols w:equalWidth="0" w:num="1">
            <w:col w:w="11420"/>
          </w:cols>
          <w:pgMar w:left="240" w:top="331" w:right="239" w:bottom="102" w:gutter="0" w:footer="0" w:header="0"/>
        </w:sectPr>
      </w:pPr>
    </w:p>
    <w:bookmarkStart w:id="275" w:name="page276"/>
    <w:bookmarkEnd w:id="275"/>
    <w:p>
      <w:pPr>
        <w:ind w:right="100" w:firstLine="629"/>
        <w:spacing w:after="0" w:line="298"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i w:val="1"/>
          <w:iCs w:val="1"/>
          <w:u w:val="single" w:color="auto"/>
          <w:color w:val="auto"/>
        </w:rPr>
        <w:t>No Limit on Other Compensation Arrangements.</w:t>
      </w:r>
      <w:r>
        <w:rPr>
          <w:rFonts w:ascii="Arial" w:cs="Arial" w:eastAsia="Arial" w:hAnsi="Arial"/>
          <w:sz w:val="16"/>
          <w:szCs w:val="16"/>
          <w:color w:val="auto"/>
        </w:rPr>
        <w:t xml:space="preserve"> Nothing contained in this Plan shall prevent the Company from adopting or continuing in effect other compensation arrangements, and such arrangements may be either generally applicable or applicable only in specific cases. This Plan shall not affect any other stock option, incentive, or other compensation or benefit plan of the Company or any Subsidiary, except as may be expressly provided therein.</w:t>
      </w:r>
    </w:p>
    <w:p>
      <w:pPr>
        <w:spacing w:after="0" w:line="154"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i w:val="1"/>
          <w:iCs w:val="1"/>
          <w:u w:val="single" w:color="auto"/>
          <w:color w:val="auto"/>
        </w:rPr>
        <w:t>Other Awards.</w:t>
      </w:r>
      <w:r>
        <w:rPr>
          <w:rFonts w:ascii="Arial" w:cs="Arial" w:eastAsia="Arial" w:hAnsi="Arial"/>
          <w:sz w:val="17"/>
          <w:szCs w:val="17"/>
          <w:color w:val="auto"/>
        </w:rPr>
        <w:t xml:space="preserve"> The grant of an Award shall not confer upon the recipient the right to receive any future or other Awards under this Plan or any other plans of the Company or any Subsidiary, whether or not any awards may be granted to similarly situated employees, or the right to receive future Awards upon the same terms or conditions as previously granted.</w:t>
      </w:r>
    </w:p>
    <w:p>
      <w:pPr>
        <w:spacing w:after="0" w:line="172" w:lineRule="exact"/>
        <w:rPr>
          <w:sz w:val="20"/>
          <w:szCs w:val="20"/>
          <w:color w:val="auto"/>
        </w:rPr>
      </w:pPr>
    </w:p>
    <w:p>
      <w:pPr>
        <w:ind w:right="140" w:firstLine="629"/>
        <w:spacing w:after="0" w:line="263" w:lineRule="auto"/>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i w:val="1"/>
          <w:iCs w:val="1"/>
          <w:u w:val="single" w:color="auto"/>
          <w:color w:val="auto"/>
        </w:rPr>
        <w:t>No Right to Employment or Continuation of Relationship.</w:t>
      </w:r>
      <w:r>
        <w:rPr>
          <w:rFonts w:ascii="Arial" w:cs="Arial" w:eastAsia="Arial" w:hAnsi="Arial"/>
          <w:sz w:val="17"/>
          <w:szCs w:val="17"/>
          <w:color w:val="auto"/>
        </w:rPr>
        <w:t xml:space="preserve"> Nothing in this Plan or in any Award, nor the grant of any Award, shall confer upon or be construed as giving any Participant any right to remain in the employ of the Company or a Subsidiary or to continue as a Consultant or non-employee Director. Further, the Company or a Subsidiary may at any time dismiss a Participant from emp1oyment or terminate the relationship of any Consultant or non-employee Director with the Company or any Subsidiary, free from any liability or any claim pursuant to this Plan. No Consultant, non-employee Director or employee of the Company or any Subsidiary shall have any claim to be granted any Award, and there is no obligation for uniformity of treatment of any Consultant, non-employee Director or employee of the Company or any Subsidiary or of any Participants.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firstLine="629"/>
        <w:spacing w:after="0" w:line="289" w:lineRule="auto"/>
        <w:rPr>
          <w:sz w:val="20"/>
          <w:szCs w:val="20"/>
          <w:color w:val="auto"/>
        </w:rPr>
      </w:pPr>
      <w:r>
        <w:rPr>
          <w:rFonts w:ascii="Arial" w:cs="Arial" w:eastAsia="Arial" w:hAnsi="Arial"/>
          <w:sz w:val="17"/>
          <w:szCs w:val="17"/>
          <w:color w:val="auto"/>
        </w:rPr>
        <w:t xml:space="preserve">15.4 </w:t>
      </w:r>
      <w:r>
        <w:rPr>
          <w:rFonts w:ascii="Arial" w:cs="Arial" w:eastAsia="Arial" w:hAnsi="Arial"/>
          <w:sz w:val="17"/>
          <w:szCs w:val="17"/>
          <w:i w:val="1"/>
          <w:iCs w:val="1"/>
          <w:u w:val="single" w:color="auto"/>
          <w:color w:val="auto"/>
        </w:rPr>
        <w:t>Governing Law</w:t>
      </w:r>
      <w:r>
        <w:rPr>
          <w:rFonts w:ascii="Arial" w:cs="Arial" w:eastAsia="Arial" w:hAnsi="Arial"/>
          <w:sz w:val="17"/>
          <w:szCs w:val="17"/>
          <w:i w:val="1"/>
          <w:iCs w:val="1"/>
          <w:color w:val="auto"/>
        </w:rPr>
        <w:t>.</w:t>
      </w:r>
      <w:r>
        <w:rPr>
          <w:rFonts w:ascii="Arial" w:cs="Arial" w:eastAsia="Arial" w:hAnsi="Arial"/>
          <w:sz w:val="17"/>
          <w:szCs w:val="17"/>
          <w:color w:val="auto"/>
        </w:rPr>
        <w:t xml:space="preserve"> The validity, construction and effect of this Plan and any rules and regulations relating to this Plan shall be determined in accordance with the laws of the State of Texas, without giving effect to the conflict of laws principles thereof.</w:t>
      </w:r>
    </w:p>
    <w:p>
      <w:pPr>
        <w:spacing w:after="0" w:line="158"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 xml:space="preserve">15.5 </w:t>
      </w:r>
      <w:r>
        <w:rPr>
          <w:rFonts w:ascii="Arial" w:cs="Arial" w:eastAsia="Arial" w:hAnsi="Arial"/>
          <w:sz w:val="17"/>
          <w:szCs w:val="17"/>
          <w:i w:val="1"/>
          <w:iCs w:val="1"/>
          <w:u w:val="single" w:color="auto"/>
          <w:color w:val="auto"/>
        </w:rPr>
        <w:t>Severability.</w:t>
      </w:r>
      <w:r>
        <w:rPr>
          <w:rFonts w:ascii="Arial" w:cs="Arial" w:eastAsia="Arial" w:hAnsi="Arial"/>
          <w:sz w:val="17"/>
          <w:szCs w:val="17"/>
          <w:color w:val="auto"/>
        </w:rPr>
        <w:t xml:space="preserve"> If any provision of this Plan or any Award is or becomes or is deemed to be invalid, illegal or unenforceable in any jurisdiction or as to any individual or Award, or would disqualify this Plan or any Award under any law deemed applicable by the Committee, such provision shall be construed or deemed amended to conform to applicable law, or if it cannot be construed or deemed amended without, in the sole determination of the Committee, materially altering the intent of this Plan or the Award, such provision shall be stricken as to such jurisdiction, individual or Award and the remainder of this Plan and any such Award shall remain in full force and effect.</w:t>
      </w:r>
    </w:p>
    <w:p>
      <w:pPr>
        <w:spacing w:after="0" w:line="179" w:lineRule="exact"/>
        <w:rPr>
          <w:sz w:val="20"/>
          <w:szCs w:val="20"/>
          <w:color w:val="auto"/>
        </w:rPr>
      </w:pPr>
    </w:p>
    <w:p>
      <w:pPr>
        <w:jc w:val="both"/>
        <w:ind w:right="40" w:firstLine="629"/>
        <w:spacing w:after="0" w:line="273" w:lineRule="auto"/>
        <w:rPr>
          <w:sz w:val="20"/>
          <w:szCs w:val="20"/>
          <w:color w:val="auto"/>
        </w:rPr>
      </w:pPr>
      <w:r>
        <w:rPr>
          <w:rFonts w:ascii="Arial" w:cs="Arial" w:eastAsia="Arial" w:hAnsi="Arial"/>
          <w:sz w:val="17"/>
          <w:szCs w:val="17"/>
          <w:color w:val="auto"/>
        </w:rPr>
        <w:t xml:space="preserve">15.6 </w:t>
      </w:r>
      <w:r>
        <w:rPr>
          <w:rFonts w:ascii="Arial" w:cs="Arial" w:eastAsia="Arial" w:hAnsi="Arial"/>
          <w:sz w:val="17"/>
          <w:szCs w:val="17"/>
          <w:i w:val="1"/>
          <w:iCs w:val="1"/>
          <w:u w:val="single" w:color="auto"/>
          <w:color w:val="auto"/>
        </w:rPr>
        <w:t>No Fractional Shares.</w:t>
      </w:r>
      <w:r>
        <w:rPr>
          <w:rFonts w:ascii="Arial" w:cs="Arial" w:eastAsia="Arial" w:hAnsi="Arial"/>
          <w:sz w:val="17"/>
          <w:szCs w:val="17"/>
          <w:color w:val="auto"/>
        </w:rPr>
        <w:t xml:space="preserve"> No fractional Shares shall be issued or delivered pursuant to this Plan or any Award, and the Committee shall determine, in its sole discretion, whether cash, other securities or other property shall be paid or transferred in lieu of any fractional Shares or whether such fractional Shares or any rights thereto shall be canceled, terminated or otherwise eliminated.</w:t>
      </w:r>
    </w:p>
    <w:p>
      <w:pPr>
        <w:spacing w:after="0" w:line="172" w:lineRule="exact"/>
        <w:rPr>
          <w:sz w:val="20"/>
          <w:szCs w:val="20"/>
          <w:color w:val="auto"/>
        </w:rPr>
      </w:pPr>
    </w:p>
    <w:p>
      <w:pPr>
        <w:ind w:right="320" w:firstLine="629"/>
        <w:spacing w:after="0" w:line="289" w:lineRule="auto"/>
        <w:rPr>
          <w:sz w:val="20"/>
          <w:szCs w:val="20"/>
          <w:color w:val="auto"/>
        </w:rPr>
      </w:pPr>
      <w:r>
        <w:rPr>
          <w:rFonts w:ascii="Arial" w:cs="Arial" w:eastAsia="Arial" w:hAnsi="Arial"/>
          <w:sz w:val="17"/>
          <w:szCs w:val="17"/>
          <w:color w:val="auto"/>
        </w:rPr>
        <w:t xml:space="preserve">15.7 </w:t>
      </w:r>
      <w:r>
        <w:rPr>
          <w:rFonts w:ascii="Arial" w:cs="Arial" w:eastAsia="Arial" w:hAnsi="Arial"/>
          <w:sz w:val="17"/>
          <w:szCs w:val="17"/>
          <w:i w:val="1"/>
          <w:iCs w:val="1"/>
          <w:u w:val="single" w:color="auto"/>
          <w:color w:val="auto"/>
        </w:rPr>
        <w:t>Headings.</w:t>
      </w:r>
      <w:r>
        <w:rPr>
          <w:rFonts w:ascii="Arial" w:cs="Arial" w:eastAsia="Arial" w:hAnsi="Arial"/>
          <w:sz w:val="17"/>
          <w:szCs w:val="17"/>
          <w:color w:val="auto"/>
        </w:rPr>
        <w:t xml:space="preserve"> Headings are given to the ARTICLEs and Subsections of this Plan solely as a convenience to facilitate reference. Such headings shall not be deemed in any way material or relevant to the construction or interpretation of this Plan or any provision thereof.</w:t>
      </w:r>
    </w:p>
    <w:p>
      <w:pPr>
        <w:spacing w:after="0" w:line="158"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 xml:space="preserve">15.8 </w:t>
      </w:r>
      <w:r>
        <w:rPr>
          <w:rFonts w:ascii="Arial" w:cs="Arial" w:eastAsia="Arial" w:hAnsi="Arial"/>
          <w:sz w:val="17"/>
          <w:szCs w:val="17"/>
          <w:i w:val="1"/>
          <w:iCs w:val="1"/>
          <w:u w:val="single" w:color="auto"/>
          <w:color w:val="auto"/>
        </w:rPr>
        <w:t>Gender.</w:t>
      </w:r>
      <w:r>
        <w:rPr>
          <w:rFonts w:ascii="Arial" w:cs="Arial" w:eastAsia="Arial" w:hAnsi="Arial"/>
          <w:sz w:val="17"/>
          <w:szCs w:val="17"/>
          <w:color w:val="auto"/>
        </w:rPr>
        <w:t xml:space="preserve"> If the context requires, words of one gender when used in this Plan shall include the others and words used in the singular shall include the plural, and vice versa.</w:t>
      </w:r>
    </w:p>
    <w:p>
      <w:pPr>
        <w:spacing w:after="0" w:line="158"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 xml:space="preserve">15.9 </w:t>
      </w:r>
      <w:r>
        <w:rPr>
          <w:rFonts w:ascii="Arial" w:cs="Arial" w:eastAsia="Arial" w:hAnsi="Arial"/>
          <w:sz w:val="17"/>
          <w:szCs w:val="17"/>
          <w:i w:val="1"/>
          <w:iCs w:val="1"/>
          <w:u w:val="single" w:color="auto"/>
          <w:color w:val="auto"/>
        </w:rPr>
        <w:t>Transferability of Awards.</w:t>
      </w:r>
      <w:r>
        <w:rPr>
          <w:rFonts w:ascii="Arial" w:cs="Arial" w:eastAsia="Arial" w:hAnsi="Arial"/>
          <w:sz w:val="17"/>
          <w:szCs w:val="17"/>
          <w:color w:val="auto"/>
        </w:rPr>
        <w:t xml:space="preserve"> Awards shall not be transferable otherwise than by will or the laws of descent and distribution without the written consent of the Committee (which may be granted or withheld at the sole discretion of the Committee). Awards may be exercised, during the lifetime of the holder, only by the holder. Any attempted assignment, transfer, pledge, hypothecation or other disposition of an Award contrary to the provisions hereof, or the levy of any execution, attachment or similar process upon an Award shall be null and void and without effect.</w:t>
      </w:r>
    </w:p>
    <w:p>
      <w:pPr>
        <w:spacing w:after="0" w:line="176" w:lineRule="exact"/>
        <w:rPr>
          <w:sz w:val="20"/>
          <w:szCs w:val="20"/>
          <w:color w:val="auto"/>
        </w:rPr>
      </w:pPr>
    </w:p>
    <w:p>
      <w:pPr>
        <w:jc w:val="both"/>
        <w:ind w:right="20" w:firstLine="629"/>
        <w:spacing w:after="0" w:line="265" w:lineRule="auto"/>
        <w:rPr>
          <w:sz w:val="20"/>
          <w:szCs w:val="20"/>
          <w:color w:val="auto"/>
        </w:rPr>
      </w:pPr>
      <w:r>
        <w:rPr>
          <w:rFonts w:ascii="Arial" w:cs="Arial" w:eastAsia="Arial" w:hAnsi="Arial"/>
          <w:sz w:val="17"/>
          <w:szCs w:val="17"/>
          <w:color w:val="auto"/>
        </w:rPr>
        <w:t xml:space="preserve">15.10 </w:t>
      </w:r>
      <w:r>
        <w:rPr>
          <w:rFonts w:ascii="Arial" w:cs="Arial" w:eastAsia="Arial" w:hAnsi="Arial"/>
          <w:sz w:val="17"/>
          <w:szCs w:val="17"/>
          <w:i w:val="1"/>
          <w:iCs w:val="1"/>
          <w:u w:val="single" w:color="auto"/>
          <w:color w:val="auto"/>
        </w:rPr>
        <w:t>Rights of Participants.</w:t>
      </w:r>
      <w:r>
        <w:rPr>
          <w:rFonts w:ascii="Arial" w:cs="Arial" w:eastAsia="Arial" w:hAnsi="Arial"/>
          <w:sz w:val="17"/>
          <w:szCs w:val="17"/>
          <w:color w:val="auto"/>
        </w:rPr>
        <w:t xml:space="preserve"> Except as hereinbefore expressly provided in this Plan, any Person to whom an Award is granted shall have no rights by reason of any subdivision or consolidation of stock of any class or the payment of any stock dividend or any other increase or decrease in the number of shares of stock of any class or by reason of any dissolution, liquidation, reorganization, merger or consolidation or spinoff of assets or stock of another corporation, and any issue by the Company of shares of stock of any class or securities convertible into shares of stock of any class shall not affect, and no adjustment by reason thereof shall be made with respect to, the number or exercise price of Shares subject to an Award.</w:t>
      </w:r>
    </w:p>
    <w:p>
      <w:pPr>
        <w:spacing w:after="0" w:line="179"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 xml:space="preserve">15.11 </w:t>
      </w:r>
      <w:r>
        <w:rPr>
          <w:rFonts w:ascii="Arial" w:cs="Arial" w:eastAsia="Arial" w:hAnsi="Arial"/>
          <w:sz w:val="17"/>
          <w:szCs w:val="17"/>
          <w:i w:val="1"/>
          <w:iCs w:val="1"/>
          <w:u w:val="single" w:color="auto"/>
          <w:color w:val="auto"/>
        </w:rPr>
        <w:t>No Limitation Upon the Rights of the Company.</w:t>
      </w:r>
      <w:r>
        <w:rPr>
          <w:rFonts w:ascii="Arial" w:cs="Arial" w:eastAsia="Arial" w:hAnsi="Arial"/>
          <w:sz w:val="17"/>
          <w:szCs w:val="17"/>
          <w:color w:val="auto"/>
        </w:rPr>
        <w:t xml:space="preserve"> The grant of an Award pursuant to this Plan shall not affect in any way the right or power of the Company to make adjustments, reclassifications, or changes of its capital or business structure; to merge, convert or consolidate; to dissolve or liquidate; or sell or transfer all or any part of its business or assets.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29"/>
        <w:spacing w:after="0" w:line="285" w:lineRule="auto"/>
        <w:rPr>
          <w:sz w:val="20"/>
          <w:szCs w:val="20"/>
          <w:color w:val="auto"/>
        </w:rPr>
      </w:pPr>
      <w:r>
        <w:rPr>
          <w:rFonts w:ascii="Arial" w:cs="Arial" w:eastAsia="Arial" w:hAnsi="Arial"/>
          <w:sz w:val="16"/>
          <w:szCs w:val="16"/>
          <w:color w:val="auto"/>
        </w:rPr>
        <w:t xml:space="preserve">15.12 </w:t>
      </w:r>
      <w:r>
        <w:rPr>
          <w:rFonts w:ascii="Arial" w:cs="Arial" w:eastAsia="Arial" w:hAnsi="Arial"/>
          <w:sz w:val="16"/>
          <w:szCs w:val="16"/>
          <w:i w:val="1"/>
          <w:iCs w:val="1"/>
          <w:u w:val="single" w:color="auto"/>
          <w:color w:val="auto"/>
        </w:rPr>
        <w:t>Date of Grant of an Award.</w:t>
      </w:r>
      <w:r>
        <w:rPr>
          <w:rFonts w:ascii="Arial" w:cs="Arial" w:eastAsia="Arial" w:hAnsi="Arial"/>
          <w:sz w:val="16"/>
          <w:szCs w:val="16"/>
          <w:color w:val="auto"/>
        </w:rPr>
        <w:t xml:space="preserve"> Except as noted in this </w:t>
      </w:r>
      <w:r>
        <w:rPr>
          <w:rFonts w:ascii="Arial" w:cs="Arial" w:eastAsia="Arial" w:hAnsi="Arial"/>
          <w:sz w:val="16"/>
          <w:szCs w:val="16"/>
          <w:u w:val="single" w:color="auto"/>
          <w:color w:val="auto"/>
        </w:rPr>
        <w:t>ARTICLE 15.12</w:t>
      </w:r>
      <w:r>
        <w:rPr>
          <w:rFonts w:ascii="Arial" w:cs="Arial" w:eastAsia="Arial" w:hAnsi="Arial"/>
          <w:sz w:val="16"/>
          <w:szCs w:val="16"/>
          <w:color w:val="auto"/>
        </w:rPr>
        <w:t>, the granting of an Award shall take place only upon the execution and delivery by the Company and the Participant of a written agreement and neither any other action taken by the Committee nor anything contained in this Plan or in any resolution adopted or to be adopted by the Committee, the Board or the shareholders of the Company shall constitute the granting of an Award pursuant to this Plan. Solely for purposes of determining the Fair Market Value of the Shares subject to an Award, such Award will be deemed to have been granted as of the date specified by the Committee notwithstanding any delay which may elapse in executing and delivering the applicable agreement.</w:t>
      </w:r>
    </w:p>
    <w:p>
      <w:pPr>
        <w:spacing w:after="0" w:line="166"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15.13 </w:t>
      </w:r>
      <w:r>
        <w:rPr>
          <w:rFonts w:ascii="Arial" w:cs="Arial" w:eastAsia="Arial" w:hAnsi="Arial"/>
          <w:sz w:val="17"/>
          <w:szCs w:val="17"/>
          <w:i w:val="1"/>
          <w:iCs w:val="1"/>
          <w:u w:val="single" w:color="auto"/>
          <w:color w:val="auto"/>
        </w:rPr>
        <w:t>Tax Withholding.</w:t>
      </w:r>
      <w:r>
        <w:rPr>
          <w:rFonts w:ascii="Arial" w:cs="Arial" w:eastAsia="Arial" w:hAnsi="Arial"/>
          <w:sz w:val="17"/>
          <w:szCs w:val="17"/>
          <w:color w:val="auto"/>
        </w:rPr>
        <w:t xml:space="preserve"> The Company or any Subsidiary shall be entitled to deduct from other compensation payable to an employee any sums required by federal, state, or local tax law to be withheld with respect to the granting or exercise of a Stock Option or other Award under this Plan. In the alternative, the Company or any Subsidiary may require the recipient (or other person exercising the Award) to pay such sums directly to the employer, and neither the Company or any Subsidiary shall have any obligation to issue any Shares or make any payment until such payment has been received.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16</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NAMED EXECUTIVE OFFICERS</w:t>
      </w:r>
    </w:p>
    <w:p>
      <w:pPr>
        <w:spacing w:after="0" w:line="212" w:lineRule="exact"/>
        <w:rPr>
          <w:sz w:val="20"/>
          <w:szCs w:val="20"/>
          <w:color w:val="auto"/>
        </w:rPr>
      </w:pPr>
    </w:p>
    <w:p>
      <w:pPr>
        <w:ind w:right="140" w:firstLine="629"/>
        <w:spacing w:after="0" w:line="283"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i w:val="1"/>
          <w:iCs w:val="1"/>
          <w:u w:val="single" w:color="auto"/>
          <w:color w:val="auto"/>
        </w:rPr>
        <w:t>Applicability of ARTICLE 16.</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ARTICLE 16</w:t>
      </w:r>
      <w:r>
        <w:rPr>
          <w:rFonts w:ascii="Arial" w:cs="Arial" w:eastAsia="Arial" w:hAnsi="Arial"/>
          <w:sz w:val="16"/>
          <w:szCs w:val="16"/>
          <w:color w:val="auto"/>
        </w:rPr>
        <w:t xml:space="preserve"> shall apply only if the Company is a “publicly held corporation” as defined in Section 162(m)(2) of the Code, and then only to those executive officers (i) whose compensation is required to be reported in the Company’s proxy statement pursuant to Item 402(a)(3)(i) and (ii) (or any successor thereto) of Regulation S-K (or any successor thereto) under the general rules and regulations under the Exchange Act and (ii) whose total compensation, including estimated Awards, is determined by the Committee to possibly be subject to the limitations on deductions imposed by Section 162(m) of the Code (“</w:t>
      </w:r>
      <w:r>
        <w:rPr>
          <w:rFonts w:ascii="Arial" w:cs="Arial" w:eastAsia="Arial" w:hAnsi="Arial"/>
          <w:sz w:val="16"/>
          <w:szCs w:val="16"/>
          <w:u w:val="single" w:color="auto"/>
          <w:color w:val="auto"/>
        </w:rPr>
        <w:t>Named Executive Officers</w:t>
      </w:r>
      <w:r>
        <w:rPr>
          <w:rFonts w:ascii="Arial" w:cs="Arial" w:eastAsia="Arial" w:hAnsi="Arial"/>
          <w:sz w:val="16"/>
          <w:szCs w:val="16"/>
          <w:color w:val="auto"/>
        </w:rPr>
        <w:t xml:space="preserve">”). In the event of any inconsistencies between this </w:t>
      </w:r>
      <w:r>
        <w:rPr>
          <w:rFonts w:ascii="Arial" w:cs="Arial" w:eastAsia="Arial" w:hAnsi="Arial"/>
          <w:sz w:val="16"/>
          <w:szCs w:val="16"/>
          <w:u w:val="single" w:color="auto"/>
          <w:color w:val="auto"/>
        </w:rPr>
        <w:t>ARTICLE 16</w:t>
      </w:r>
      <w:r>
        <w:rPr>
          <w:rFonts w:ascii="Arial" w:cs="Arial" w:eastAsia="Arial" w:hAnsi="Arial"/>
          <w:sz w:val="16"/>
          <w:szCs w:val="16"/>
          <w:color w:val="auto"/>
        </w:rPr>
        <w:t xml:space="preserve"> and the other Plan provisions as they pertain to Named Executive Officers, the provisions of this </w:t>
      </w:r>
      <w:r>
        <w:rPr>
          <w:rFonts w:ascii="Arial" w:cs="Arial" w:eastAsia="Arial" w:hAnsi="Arial"/>
          <w:sz w:val="16"/>
          <w:szCs w:val="16"/>
          <w:u w:val="single" w:color="auto"/>
          <w:color w:val="auto"/>
        </w:rPr>
        <w:t>ARTICLE 16</w:t>
      </w:r>
      <w:r>
        <w:rPr>
          <w:rFonts w:ascii="Arial" w:cs="Arial" w:eastAsia="Arial" w:hAnsi="Arial"/>
          <w:sz w:val="16"/>
          <w:szCs w:val="16"/>
          <w:color w:val="auto"/>
        </w:rPr>
        <w:t xml:space="preserve"> shall control.</w:t>
      </w:r>
    </w:p>
    <w:p>
      <w:pPr>
        <w:sectPr>
          <w:pgSz w:w="11900" w:h="16838" w:orient="portrait"/>
          <w:cols w:equalWidth="0" w:num="1">
            <w:col w:w="11400"/>
          </w:cols>
          <w:pgMar w:left="240" w:top="127" w:right="259" w:bottom="0" w:gutter="0" w:footer="0" w:header="0"/>
        </w:sectPr>
      </w:pPr>
    </w:p>
    <w:bookmarkStart w:id="276" w:name="page277"/>
    <w:bookmarkEnd w:id="276"/>
    <w:p>
      <w:pPr>
        <w:ind w:right="80" w:firstLine="629"/>
        <w:spacing w:after="0" w:line="283"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i w:val="1"/>
          <w:iCs w:val="1"/>
          <w:u w:val="single" w:color="auto"/>
          <w:color w:val="auto"/>
        </w:rPr>
        <w:t>Establishment of Performance Goals.</w:t>
      </w:r>
      <w:r>
        <w:rPr>
          <w:rFonts w:ascii="Arial" w:cs="Arial" w:eastAsia="Arial" w:hAnsi="Arial"/>
          <w:sz w:val="16"/>
          <w:szCs w:val="16"/>
          <w:color w:val="auto"/>
        </w:rPr>
        <w:t xml:space="preserve"> Awards for Named Executive Officers, other than Stock Options and Stock Appreciation Rights, shall be based on the attainment of certain performance goals. No later than the earlier of (i) ninety (90) days after the commencement of the applicable fiscal year of the Company or one of its Subsidiaries or such other award period as may be established by the Committee (“</w:t>
      </w:r>
      <w:r>
        <w:rPr>
          <w:rFonts w:ascii="Arial" w:cs="Arial" w:eastAsia="Arial" w:hAnsi="Arial"/>
          <w:sz w:val="16"/>
          <w:szCs w:val="16"/>
          <w:u w:val="single" w:color="auto"/>
          <w:color w:val="auto"/>
        </w:rPr>
        <w:t>Award Period</w:t>
      </w:r>
      <w:r>
        <w:rPr>
          <w:rFonts w:ascii="Arial" w:cs="Arial" w:eastAsia="Arial" w:hAnsi="Arial"/>
          <w:sz w:val="16"/>
          <w:szCs w:val="16"/>
          <w:color w:val="auto"/>
        </w:rPr>
        <w:t>”) and (ii) the completion of twenty-five percent (25%) of such Award Period, the Committee shall establish, in writing, the performance goals applicable to each such Award for Named Executive Officers. At the time the performance goals are established, their outcome must be substantially uncertain. In addition, the performance goal must state, in terms of an objective formula or standard, the method for computing the amount of compensation payable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to the Named Executive Officer if the goal is obtained. Such formula or standard shall be sufficiently objective so that a third party with knowledge of the relevant performance results could calculate the amount to be paid to the subject Named Executive Officer. The material terms of the performance goals for Named Executive Officers and the compensation payable thereunder shall be submitted to the shareholders of the Company for their review and approval if and to the extent required for such compensation to be deductible pursuant to Section 162(m) (or any successor thereto) of the Code, and the Treasury Regulations thereunder. Shareholder approval, if necessary, shall be obtained for such performance goals prior to any Award being paid to such Named Executive Officer. If shareholder approval is required and not received with respect to such performance goals, no amount shall be paid to such Named Executive Officer for such applicable Award Period pursuant to this Plan.</w:t>
      </w:r>
    </w:p>
    <w:p>
      <w:pPr>
        <w:spacing w:after="0" w:line="184" w:lineRule="exact"/>
        <w:rPr>
          <w:sz w:val="20"/>
          <w:szCs w:val="20"/>
          <w:color w:val="auto"/>
        </w:rPr>
      </w:pPr>
    </w:p>
    <w:p>
      <w:pPr>
        <w:ind w:right="140" w:firstLine="629"/>
        <w:spacing w:after="0" w:line="281"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i w:val="1"/>
          <w:iCs w:val="1"/>
          <w:u w:val="single" w:color="auto"/>
          <w:color w:val="auto"/>
        </w:rPr>
        <w:t>Components of Awards.</w:t>
      </w:r>
      <w:r>
        <w:rPr>
          <w:rFonts w:ascii="Arial" w:cs="Arial" w:eastAsia="Arial" w:hAnsi="Arial"/>
          <w:sz w:val="16"/>
          <w:szCs w:val="16"/>
          <w:color w:val="auto"/>
        </w:rPr>
        <w:t xml:space="preserve"> Each Award granted to a Named Executive Officer, other than Stock Options and Stock Appreciation Rights, shall be based on performance goals which are sufficiently objective so that a third party having knowledge of the relevant facts could determine whether the goal was met. Except as provided in </w:t>
      </w:r>
      <w:r>
        <w:rPr>
          <w:rFonts w:ascii="Arial" w:cs="Arial" w:eastAsia="Arial" w:hAnsi="Arial"/>
          <w:sz w:val="16"/>
          <w:szCs w:val="16"/>
          <w:u w:val="single" w:color="auto"/>
          <w:color w:val="auto"/>
        </w:rPr>
        <w:t>Subsection 16.8</w:t>
      </w:r>
      <w:r>
        <w:rPr>
          <w:rFonts w:ascii="Arial" w:cs="Arial" w:eastAsia="Arial" w:hAnsi="Arial"/>
          <w:sz w:val="16"/>
          <w:szCs w:val="16"/>
          <w:color w:val="auto"/>
        </w:rPr>
        <w:t xml:space="preserve"> herein, performance measures which may serve as determinants of Named Executive Officers’ Awards shall be limited to the following measures: earnings per share; return on assets; return on equity; return on capital; net profit after taxes; net profit before taxes; operating profits; stock price; and sales or expenses. Within ninety (90) days following the end of each Award Period, the Committee shall certify in writing that the performance goals, and any other material terms were satisfied. Thereafter, Awards shall be made for each Named Executive Officer as determined by the Committee. The Awards may not vary from the pre-established amount based on the level of achievement.</w:t>
      </w:r>
    </w:p>
    <w:p>
      <w:pPr>
        <w:spacing w:after="0" w:line="170" w:lineRule="exact"/>
        <w:rPr>
          <w:sz w:val="20"/>
          <w:szCs w:val="20"/>
          <w:color w:val="auto"/>
        </w:rPr>
      </w:pPr>
    </w:p>
    <w:p>
      <w:pPr>
        <w:ind w:right="380" w:firstLine="629"/>
        <w:spacing w:after="0" w:line="289" w:lineRule="auto"/>
        <w:rPr>
          <w:sz w:val="20"/>
          <w:szCs w:val="20"/>
          <w:color w:val="auto"/>
        </w:rPr>
      </w:pPr>
      <w:r>
        <w:rPr>
          <w:rFonts w:ascii="Arial" w:cs="Arial" w:eastAsia="Arial" w:hAnsi="Arial"/>
          <w:sz w:val="17"/>
          <w:szCs w:val="17"/>
          <w:color w:val="auto"/>
        </w:rPr>
        <w:t xml:space="preserve">16.4 </w:t>
      </w:r>
      <w:r>
        <w:rPr>
          <w:rFonts w:ascii="Arial" w:cs="Arial" w:eastAsia="Arial" w:hAnsi="Arial"/>
          <w:sz w:val="17"/>
          <w:szCs w:val="17"/>
          <w:i w:val="1"/>
          <w:iCs w:val="1"/>
          <w:u w:val="single" w:color="auto"/>
          <w:color w:val="auto"/>
        </w:rPr>
        <w:t>No Mid-Year Change in Awards</w:t>
      </w:r>
      <w:r>
        <w:rPr>
          <w:rFonts w:ascii="Arial" w:cs="Arial" w:eastAsia="Arial" w:hAnsi="Arial"/>
          <w:sz w:val="17"/>
          <w:szCs w:val="17"/>
          <w:i w:val="1"/>
          <w:iCs w:val="1"/>
          <w:color w:val="auto"/>
        </w:rPr>
        <w:t>.</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Subsections 16.8 and 16.9</w:t>
      </w:r>
      <w:r>
        <w:rPr>
          <w:rFonts w:ascii="Arial" w:cs="Arial" w:eastAsia="Arial" w:hAnsi="Arial"/>
          <w:sz w:val="17"/>
          <w:szCs w:val="17"/>
          <w:color w:val="auto"/>
        </w:rPr>
        <w:t xml:space="preserve"> herein, each Named Executive Officer’s Awards shall be based exclusively on the performance measures established by the Committee pursuant to </w:t>
      </w:r>
      <w:r>
        <w:rPr>
          <w:rFonts w:ascii="Arial" w:cs="Arial" w:eastAsia="Arial" w:hAnsi="Arial"/>
          <w:sz w:val="17"/>
          <w:szCs w:val="17"/>
          <w:u w:val="single" w:color="auto"/>
          <w:color w:val="auto"/>
        </w:rPr>
        <w:t>Subsections 16.2 and 16.3</w:t>
      </w:r>
      <w:r>
        <w:rPr>
          <w:rFonts w:ascii="Arial" w:cs="Arial" w:eastAsia="Arial" w:hAnsi="Arial"/>
          <w:sz w:val="17"/>
          <w:szCs w:val="17"/>
          <w:color w:val="auto"/>
        </w:rPr>
        <w:t>.</w:t>
      </w:r>
    </w:p>
    <w:p>
      <w:pPr>
        <w:spacing w:after="0" w:line="158"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 xml:space="preserve">16.5 </w:t>
      </w:r>
      <w:r>
        <w:rPr>
          <w:rFonts w:ascii="Arial" w:cs="Arial" w:eastAsia="Arial" w:hAnsi="Arial"/>
          <w:sz w:val="17"/>
          <w:szCs w:val="17"/>
          <w:i w:val="1"/>
          <w:iCs w:val="1"/>
          <w:u w:val="single" w:color="auto"/>
          <w:color w:val="auto"/>
        </w:rPr>
        <w:t>No Partial Award Period Participation.</w:t>
      </w:r>
      <w:r>
        <w:rPr>
          <w:rFonts w:ascii="Arial" w:cs="Arial" w:eastAsia="Arial" w:hAnsi="Arial"/>
          <w:sz w:val="17"/>
          <w:szCs w:val="17"/>
          <w:color w:val="auto"/>
        </w:rPr>
        <w:t xml:space="preserve"> A Named Executive Officer who becomes eligible to participate in this Plan after performance goals have been established in an Award Period pursuant to </w:t>
      </w:r>
      <w:r>
        <w:rPr>
          <w:rFonts w:ascii="Arial" w:cs="Arial" w:eastAsia="Arial" w:hAnsi="Arial"/>
          <w:sz w:val="17"/>
          <w:szCs w:val="17"/>
          <w:u w:val="single" w:color="auto"/>
          <w:color w:val="auto"/>
        </w:rPr>
        <w:t>Subsections 16.2 and 16.3</w:t>
      </w:r>
      <w:r>
        <w:rPr>
          <w:rFonts w:ascii="Arial" w:cs="Arial" w:eastAsia="Arial" w:hAnsi="Arial"/>
          <w:sz w:val="17"/>
          <w:szCs w:val="17"/>
          <w:color w:val="auto"/>
        </w:rPr>
        <w:t xml:space="preserve"> may not participate in this Plan prior to the next succeeding Award Period, except with respect to Awards which are Stock Options or Stock Appreciation Rights.</w:t>
      </w:r>
    </w:p>
    <w:p>
      <w:pPr>
        <w:spacing w:after="0" w:line="172"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 xml:space="preserve">16.6 </w:t>
      </w:r>
      <w:r>
        <w:rPr>
          <w:rFonts w:ascii="Arial" w:cs="Arial" w:eastAsia="Arial" w:hAnsi="Arial"/>
          <w:sz w:val="17"/>
          <w:szCs w:val="17"/>
          <w:i w:val="1"/>
          <w:iCs w:val="1"/>
          <w:u w:val="single" w:color="auto"/>
          <w:color w:val="auto"/>
        </w:rPr>
        <w:t>Performance Goals.</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Subsection 16.8</w:t>
      </w:r>
      <w:r>
        <w:rPr>
          <w:rFonts w:ascii="Arial" w:cs="Arial" w:eastAsia="Arial" w:hAnsi="Arial"/>
          <w:sz w:val="17"/>
          <w:szCs w:val="17"/>
          <w:color w:val="auto"/>
        </w:rPr>
        <w:t xml:space="preserve"> herein, performance goals shall not be changed following their establishment, and Named Executive Officers shall not receive any payout, except with respect to Awards which are Stock Options or Stock Appreciation Rights, when the minimum performance goals are not met or exceeded.</w:t>
      </w:r>
    </w:p>
    <w:p>
      <w:pPr>
        <w:spacing w:after="0" w:line="172" w:lineRule="exact"/>
        <w:rPr>
          <w:sz w:val="20"/>
          <w:szCs w:val="20"/>
          <w:color w:val="auto"/>
        </w:rPr>
      </w:pPr>
    </w:p>
    <w:p>
      <w:pPr>
        <w:ind w:right="200" w:firstLine="629"/>
        <w:spacing w:after="0" w:line="273" w:lineRule="auto"/>
        <w:rPr>
          <w:sz w:val="20"/>
          <w:szCs w:val="20"/>
          <w:color w:val="auto"/>
        </w:rPr>
      </w:pPr>
      <w:r>
        <w:rPr>
          <w:rFonts w:ascii="Arial" w:cs="Arial" w:eastAsia="Arial" w:hAnsi="Arial"/>
          <w:sz w:val="17"/>
          <w:szCs w:val="17"/>
          <w:color w:val="auto"/>
        </w:rPr>
        <w:t xml:space="preserve">16.7 </w:t>
      </w:r>
      <w:r>
        <w:rPr>
          <w:rFonts w:ascii="Arial" w:cs="Arial" w:eastAsia="Arial" w:hAnsi="Arial"/>
          <w:sz w:val="17"/>
          <w:szCs w:val="17"/>
          <w:i w:val="1"/>
          <w:iCs w:val="1"/>
          <w:u w:val="single" w:color="auto"/>
          <w:color w:val="auto"/>
        </w:rPr>
        <w:t>Individual Performance and Discretionary Adjustments.</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Subsection 16.8</w:t>
      </w:r>
      <w:r>
        <w:rPr>
          <w:rFonts w:ascii="Arial" w:cs="Arial" w:eastAsia="Arial" w:hAnsi="Arial"/>
          <w:sz w:val="17"/>
          <w:szCs w:val="17"/>
          <w:color w:val="auto"/>
        </w:rPr>
        <w:t xml:space="preserve"> herein, subjective evaluations of individual performance of Named Executive Officers shall not be reflected in their Awards, other than Awards which are Stock Options or Stock Appreciation Rights. The payment of such Awards shall be entirely dependent upon the attainment of the preestablished performance goals.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firstLine="629"/>
        <w:spacing w:after="0" w:line="263" w:lineRule="auto"/>
        <w:rPr>
          <w:sz w:val="20"/>
          <w:szCs w:val="20"/>
          <w:color w:val="auto"/>
        </w:rPr>
      </w:pPr>
      <w:r>
        <w:rPr>
          <w:rFonts w:ascii="Arial" w:cs="Arial" w:eastAsia="Arial" w:hAnsi="Arial"/>
          <w:sz w:val="17"/>
          <w:szCs w:val="17"/>
          <w:color w:val="auto"/>
        </w:rPr>
        <w:t xml:space="preserve">16.8 </w:t>
      </w:r>
      <w:r>
        <w:rPr>
          <w:rFonts w:ascii="Arial" w:cs="Arial" w:eastAsia="Arial" w:hAnsi="Arial"/>
          <w:sz w:val="17"/>
          <w:szCs w:val="17"/>
          <w:i w:val="1"/>
          <w:iCs w:val="1"/>
          <w:u w:val="single" w:color="auto"/>
          <w:color w:val="auto"/>
        </w:rPr>
        <w:t>Amendments.</w:t>
      </w:r>
      <w:r>
        <w:rPr>
          <w:rFonts w:ascii="Arial" w:cs="Arial" w:eastAsia="Arial" w:hAnsi="Arial"/>
          <w:sz w:val="17"/>
          <w:szCs w:val="17"/>
          <w:color w:val="auto"/>
        </w:rPr>
        <w:t xml:space="preserve"> No amendment of this Plan with respect to any Named Executive Officer may be made which would (i) increase the maximum amount that can be paid to any one Participant pursuant to this Plan, (ii) change the specified performance goal for payment of Awards, or (iii) modify the requirements as to eligibility for participation in this Plan, unless the Company’s shareholders have first approved such amendment in a manner which would permit the deduction under Section 162(m) (or any successor thereto) of the Code of such payment in the fiscal year it is paid. The Committee shall amend this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and such other provisions as it deems appropriate, to cause amounts payable to Named Executive Officers to satisfy the requirements of Section 162(m) (or any successor thereto) and the Treasury regulations promulgated thereunder.</w:t>
      </w:r>
    </w:p>
    <w:p>
      <w:pPr>
        <w:spacing w:after="0" w:line="183" w:lineRule="exact"/>
        <w:rPr>
          <w:sz w:val="20"/>
          <w:szCs w:val="20"/>
          <w:color w:val="auto"/>
        </w:rPr>
      </w:pPr>
    </w:p>
    <w:p>
      <w:pPr>
        <w:ind w:right="160" w:firstLine="629"/>
        <w:spacing w:after="0" w:line="262" w:lineRule="auto"/>
        <w:rPr>
          <w:sz w:val="20"/>
          <w:szCs w:val="20"/>
          <w:color w:val="auto"/>
        </w:rPr>
      </w:pPr>
      <w:r>
        <w:rPr>
          <w:rFonts w:ascii="Arial" w:cs="Arial" w:eastAsia="Arial" w:hAnsi="Arial"/>
          <w:sz w:val="17"/>
          <w:szCs w:val="17"/>
          <w:color w:val="auto"/>
        </w:rPr>
        <w:t xml:space="preserve">16.9 </w:t>
      </w:r>
      <w:r>
        <w:rPr>
          <w:rFonts w:ascii="Arial" w:cs="Arial" w:eastAsia="Arial" w:hAnsi="Arial"/>
          <w:sz w:val="17"/>
          <w:szCs w:val="17"/>
          <w:i w:val="1"/>
          <w:iCs w:val="1"/>
          <w:u w:val="single" w:color="auto"/>
          <w:color w:val="auto"/>
        </w:rPr>
        <w:t>Stock Options and Stock Appreciation Rights - Grant Price.</w:t>
      </w:r>
      <w:r>
        <w:rPr>
          <w:rFonts w:ascii="Arial" w:cs="Arial" w:eastAsia="Arial" w:hAnsi="Arial"/>
          <w:sz w:val="17"/>
          <w:szCs w:val="17"/>
          <w:color w:val="auto"/>
        </w:rPr>
        <w:t xml:space="preserve"> Notwithstanding any provision of this Plan (including the provisions of this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to the contrary, the amount of compensation which a Named Executive Officer may receive with respect to Stock Options and Stock Appreciation Rights which are granted hereunder is based solely on an increase in the value of the applicable Shares after the date of grant of such Award. Thus, no Stock Option may be granted hereunder to a Named Executive Officer with an exercise price less than the Fair Market Value of Shares on the date of grant. Furthermore, the maximum number of Shares (or cash equivalent value) with respect to which Stock Options or Stock Appreciation Rights may be granted hereunder to any Named Executive Officer during any calendar year may not exceed 1,000,000 Shares, subject to adjustment as provided in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hereunder.</w:t>
      </w:r>
    </w:p>
    <w:p>
      <w:pPr>
        <w:spacing w:after="0" w:line="184" w:lineRule="exact"/>
        <w:rPr>
          <w:sz w:val="20"/>
          <w:szCs w:val="20"/>
          <w:color w:val="auto"/>
        </w:rPr>
      </w:pPr>
    </w:p>
    <w:p>
      <w:pPr>
        <w:ind w:right="480" w:firstLine="629"/>
        <w:spacing w:after="0" w:line="289" w:lineRule="auto"/>
        <w:rPr>
          <w:sz w:val="20"/>
          <w:szCs w:val="20"/>
          <w:color w:val="auto"/>
        </w:rPr>
      </w:pPr>
      <w:r>
        <w:rPr>
          <w:rFonts w:ascii="Arial" w:cs="Arial" w:eastAsia="Arial" w:hAnsi="Arial"/>
          <w:sz w:val="17"/>
          <w:szCs w:val="17"/>
          <w:color w:val="auto"/>
        </w:rPr>
        <w:t xml:space="preserve">16.10 </w:t>
      </w:r>
      <w:r>
        <w:rPr>
          <w:rFonts w:ascii="Arial" w:cs="Arial" w:eastAsia="Arial" w:hAnsi="Arial"/>
          <w:sz w:val="17"/>
          <w:szCs w:val="17"/>
          <w:i w:val="1"/>
          <w:iCs w:val="1"/>
          <w:u w:val="single" w:color="auto"/>
          <w:color w:val="auto"/>
        </w:rPr>
        <w:t>Maximum Amount of Compensation.</w:t>
      </w:r>
      <w:r>
        <w:rPr>
          <w:rFonts w:ascii="Arial" w:cs="Arial" w:eastAsia="Arial" w:hAnsi="Arial"/>
          <w:sz w:val="17"/>
          <w:szCs w:val="17"/>
          <w:color w:val="auto"/>
        </w:rPr>
        <w:t xml:space="preserve"> The maximum amount of compensation payable as an Award (other than an Award which is a Stock Option or Stock Appreciation Right) to any Named Executive Officer during any calendar year may not exceed $1,000,000.</w:t>
      </w:r>
    </w:p>
    <w:p>
      <w:pPr>
        <w:sectPr>
          <w:pgSz w:w="11900" w:h="16838" w:orient="portrait"/>
          <w:cols w:equalWidth="0" w:num="1">
            <w:col w:w="11420"/>
          </w:cols>
          <w:pgMar w:left="240" w:top="127"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277" w:name="page278"/>
    <w:bookmarkEnd w:id="277"/>
    <w:p>
      <w:pPr>
        <w:jc w:val="right"/>
        <w:spacing w:after="0"/>
        <w:rPr>
          <w:sz w:val="20"/>
          <w:szCs w:val="20"/>
          <w:color w:val="auto"/>
        </w:rPr>
      </w:pPr>
      <w:r>
        <w:rPr>
          <w:rFonts w:ascii="Arial" w:cs="Arial" w:eastAsia="Arial" w:hAnsi="Arial"/>
          <w:sz w:val="17"/>
          <w:szCs w:val="17"/>
          <w:b w:val="1"/>
          <w:bCs w:val="1"/>
          <w:color w:val="auto"/>
        </w:rPr>
        <w:t>Exhibit 10.2.1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1998 INCENTIVE SHARE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OPTION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(INCENTIVE AND NONQUALIFIED STOCK OPTIONS)</w:t>
      </w:r>
    </w:p>
    <w:p>
      <w:pPr>
        <w:spacing w:after="0" w:line="212" w:lineRule="exact"/>
        <w:rPr>
          <w:sz w:val="20"/>
          <w:szCs w:val="20"/>
          <w:color w:val="auto"/>
        </w:rPr>
      </w:pPr>
    </w:p>
    <w:p>
      <w:pPr>
        <w:jc w:val="both"/>
        <w:ind w:right="220" w:firstLine="629"/>
        <w:spacing w:after="0" w:line="326" w:lineRule="auto"/>
        <w:rPr>
          <w:sz w:val="20"/>
          <w:szCs w:val="20"/>
          <w:color w:val="auto"/>
        </w:rPr>
      </w:pPr>
      <w:r>
        <w:rPr>
          <w:rFonts w:ascii="Arial" w:cs="Arial" w:eastAsia="Arial" w:hAnsi="Arial"/>
          <w:sz w:val="15"/>
          <w:szCs w:val="15"/>
          <w:color w:val="auto"/>
        </w:rPr>
        <w:t>Pursuant to this Stock Option Agreement (the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having an effective date of the Grant Date (defined below), Applied Optoelectronics,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has granted you (the “</w:t>
      </w:r>
      <w:r>
        <w:rPr>
          <w:rFonts w:ascii="Arial" w:cs="Arial" w:eastAsia="Arial" w:hAnsi="Arial"/>
          <w:sz w:val="15"/>
          <w:szCs w:val="15"/>
          <w:b w:val="1"/>
          <w:bCs w:val="1"/>
          <w:i w:val="1"/>
          <w:iCs w:val="1"/>
          <w:color w:val="auto"/>
        </w:rPr>
        <w:t>Participant</w:t>
      </w:r>
      <w:r>
        <w:rPr>
          <w:rFonts w:ascii="Arial" w:cs="Arial" w:eastAsia="Arial" w:hAnsi="Arial"/>
          <w:sz w:val="15"/>
          <w:szCs w:val="15"/>
          <w:color w:val="auto"/>
        </w:rPr>
        <w:t>”) a Stock Option (“</w:t>
      </w:r>
      <w:r>
        <w:rPr>
          <w:rFonts w:ascii="Arial" w:cs="Arial" w:eastAsia="Arial" w:hAnsi="Arial"/>
          <w:sz w:val="15"/>
          <w:szCs w:val="15"/>
          <w:b w:val="1"/>
          <w:bCs w:val="1"/>
          <w:i w:val="1"/>
          <w:iCs w:val="1"/>
          <w:color w:val="auto"/>
        </w:rPr>
        <w:t>Option</w:t>
      </w:r>
      <w:r>
        <w:rPr>
          <w:rFonts w:ascii="Arial" w:cs="Arial" w:eastAsia="Arial" w:hAnsi="Arial"/>
          <w:sz w:val="15"/>
          <w:szCs w:val="15"/>
          <w:color w:val="auto"/>
        </w:rPr>
        <w:t>”) under its 1998 Incentive Share Plan, as amended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to purchase the number of shares of the Company’s Common Stock at the exercise price indicated below. Undefined terms in this Agreement are defined in the Plan.</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details of your Option are as follows: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PARTICIPANT: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ADDRESS: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TOTAL OPTION SHARES: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PURCHASE PRICE PER SHARE: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GRANT DATE: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FIRST VESTING DATE: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FIRST VESTING DATE NUMBER OF SHARES: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SUBSEQUENT VESTING DATE NUMBER OF SHARES: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EXPIRATION DATE: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TYPE OF STOCK OPTION:</w:t>
      </w:r>
    </w:p>
    <w:p>
      <w:pPr>
        <w:sectPr>
          <w:pgSz w:w="11900" w:h="16838" w:orient="portrait"/>
          <w:cols w:equalWidth="0" w:num="1">
            <w:col w:w="11420"/>
          </w:cols>
          <w:pgMar w:left="240" w:top="357" w:right="239" w:bottom="0" w:gutter="0" w:footer="0" w:header="0"/>
        </w:sectPr>
      </w:pP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(CHECK ONE)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INCENTIVE STOCK OPTION</w:t>
      </w:r>
    </w:p>
    <w:p>
      <w:pPr>
        <w:spacing w:after="0" w:line="26" w:lineRule="exact"/>
        <w:rPr>
          <w:sz w:val="20"/>
          <w:szCs w:val="20"/>
          <w:color w:val="auto"/>
        </w:rPr>
      </w:pPr>
    </w:p>
    <w:p>
      <w:pPr>
        <w:sectPr>
          <w:pgSz w:w="11900" w:h="16838" w:orient="portrait"/>
          <w:cols w:equalWidth="0" w:num="3">
            <w:col w:w="2240" w:space="720"/>
            <w:col w:w="80" w:space="440"/>
            <w:col w:w="7940"/>
          </w:cols>
          <w:pgMar w:left="240" w:top="357" w:right="239" w:bottom="0" w:gutter="0" w:footer="0" w:header="0"/>
          <w:type w:val="continuous"/>
        </w:sectPr>
      </w:pPr>
    </w:p>
    <w:p>
      <w:pPr>
        <w:ind w:left="3480" w:hanging="530"/>
        <w:spacing w:after="0"/>
        <w:tabs>
          <w:tab w:leader="none" w:pos="348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NONQUALIFIED STOCK OPTION</w:t>
      </w:r>
    </w:p>
    <w:p>
      <w:pPr>
        <w:spacing w:after="0" w:line="212" w:lineRule="exact"/>
        <w:rPr>
          <w:rFonts w:ascii="Arial" w:cs="Arial" w:eastAsia="Arial" w:hAnsi="Arial"/>
          <w:sz w:val="17"/>
          <w:szCs w:val="17"/>
          <w:color w:val="auto"/>
        </w:rPr>
      </w:pPr>
    </w:p>
    <w:p>
      <w:pPr>
        <w:ind w:right="20" w:firstLine="634"/>
        <w:spacing w:after="0" w:line="263" w:lineRule="auto"/>
        <w:tabs>
          <w:tab w:leader="none" w:pos="1258" w:val="left"/>
        </w:tabs>
        <w:numPr>
          <w:ilvl w:val="0"/>
          <w:numId w:val="322"/>
        </w:numPr>
        <w:rPr>
          <w:rFonts w:ascii="Arial" w:cs="Arial" w:eastAsia="Arial" w:hAnsi="Arial"/>
          <w:sz w:val="17"/>
          <w:szCs w:val="17"/>
          <w:color w:val="auto"/>
        </w:rPr>
      </w:pPr>
      <w:r>
        <w:rPr>
          <w:rFonts w:ascii="Arial" w:cs="Arial" w:eastAsia="Arial" w:hAnsi="Arial"/>
          <w:sz w:val="17"/>
          <w:szCs w:val="17"/>
          <w:color w:val="auto"/>
        </w:rPr>
        <w:t>GRANT OF OPTION. The Company hereby grants to you an option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the total number of shares of Common Stock set forth above at the Purchase Price Per Share set forth above (the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subject to all of the terms and conditions of this Agreement and the Plan. If designated as an Incentive Stock Option above, the Option is intended to qualify as an “incentive stock option” within the meaning of Section 422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However, the Company shall have no liability in the event it is determined that such Option fails to qualify as such. If this Option is designated as an Incentive Stock Option and all or any portion of this Option fails to qualify as such, the portion that fails to qualify as an Incentive Stock Option shall be treated as a Nonqualified Stock Option.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hanging="626"/>
        <w:spacing w:after="0"/>
        <w:tabs>
          <w:tab w:leader="none" w:pos="126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EXERCISE PERIOD/VESTING SCHEDULE.</w:t>
      </w:r>
    </w:p>
    <w:p>
      <w:pPr>
        <w:spacing w:after="0" w:line="224" w:lineRule="exact"/>
        <w:rPr>
          <w:rFonts w:ascii="Arial" w:cs="Arial" w:eastAsia="Arial" w:hAnsi="Arial"/>
          <w:sz w:val="17"/>
          <w:szCs w:val="17"/>
          <w:color w:val="auto"/>
        </w:rPr>
      </w:pPr>
    </w:p>
    <w:p>
      <w:pPr>
        <w:ind w:right="100" w:firstLine="1263"/>
        <w:spacing w:after="0" w:line="262" w:lineRule="auto"/>
        <w:tabs>
          <w:tab w:leader="none" w:pos="1885" w:val="left"/>
        </w:tabs>
        <w:numPr>
          <w:ilvl w:val="1"/>
          <w:numId w:val="3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Person</w:t>
      </w:r>
      <w:r>
        <w:rPr>
          <w:rFonts w:ascii="Arial" w:cs="Arial" w:eastAsia="Arial" w:hAnsi="Arial"/>
          <w:sz w:val="17"/>
          <w:szCs w:val="17"/>
          <w:color w:val="auto"/>
        </w:rPr>
        <w:t>” means the Company or a Subsidiary. “</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means that the applicable Participant’s service with a Company Person, whether as an employee, director or consultant, is not interrupted or terminated. Such Participant’s Continuous Service will not be deemed to have terminated merely because of a change in the capacity in which such Participant renders service to a Company Person as an employee, consultant or director or a change in the Company Person for which such Participant renders such service, provided that there is no interruption or termination of such Participant’s Continuous Service. For example, a change in status from an employee of the Company to a consultant of a Subsidiary or a director will not constitute an interruption of Continuous Service. The Committee or the chief executive officer of the Company, in that party’s sole discretion, may determine whether Continuous Service will be considered interrupted in the case of any leave of absence approved by that party, including sick leave, military leave or any other personal leave.</w:t>
      </w:r>
    </w:p>
    <w:p>
      <w:pPr>
        <w:spacing w:after="0" w:line="10" w:lineRule="exact"/>
        <w:rPr>
          <w:rFonts w:ascii="Arial" w:cs="Arial" w:eastAsia="Arial" w:hAnsi="Arial"/>
          <w:sz w:val="17"/>
          <w:szCs w:val="17"/>
          <w:color w:val="auto"/>
        </w:rPr>
      </w:pPr>
    </w:p>
    <w:p>
      <w:pPr>
        <w:ind w:left="1900" w:hanging="637"/>
        <w:spacing w:after="0"/>
        <w:tabs>
          <w:tab w:leader="none" w:pos="1900" w:val="left"/>
        </w:tabs>
        <w:numPr>
          <w:ilvl w:val="1"/>
          <w:numId w:val="323"/>
        </w:numPr>
        <w:rPr>
          <w:rFonts w:ascii="Arial" w:cs="Arial" w:eastAsia="Arial" w:hAnsi="Arial"/>
          <w:sz w:val="16"/>
          <w:szCs w:val="16"/>
          <w:color w:val="auto"/>
        </w:rPr>
      </w:pPr>
      <w:r>
        <w:rPr>
          <w:rFonts w:ascii="Arial" w:cs="Arial" w:eastAsia="Arial" w:hAnsi="Arial"/>
          <w:sz w:val="16"/>
          <w:szCs w:val="16"/>
          <w:color w:val="auto"/>
        </w:rPr>
        <w:t>Provided that you continue to provide Continuous Service to any Company Person throughout the specified period, the Option shall</w:t>
      </w:r>
    </w:p>
    <w:p>
      <w:pPr>
        <w:spacing w:after="0" w:line="196"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vest and become exercisable as to portions of the shares as follows: on the First Vesting Date, with the remainder vesting in equal portions of each at the end of each of periods (each such period, a “</w:t>
      </w:r>
      <w:r>
        <w:rPr>
          <w:rFonts w:ascii="Arial" w:cs="Arial" w:eastAsia="Arial" w:hAnsi="Arial"/>
          <w:sz w:val="17"/>
          <w:szCs w:val="17"/>
          <w:b w:val="1"/>
          <w:bCs w:val="1"/>
          <w:i w:val="1"/>
          <w:iCs w:val="1"/>
          <w:color w:val="auto"/>
        </w:rPr>
        <w:t>Vesting Period</w:t>
      </w:r>
      <w:r>
        <w:rPr>
          <w:rFonts w:ascii="Arial" w:cs="Arial" w:eastAsia="Arial" w:hAnsi="Arial"/>
          <w:sz w:val="17"/>
          <w:szCs w:val="17"/>
          <w:color w:val="auto"/>
        </w:rPr>
        <w:t>”) of the period</w:t>
      </w:r>
    </w:p>
    <w:p>
      <w:pPr>
        <w:spacing w:after="0" w:line="1"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following the First Vesting Date (each such date, a “</w:t>
      </w:r>
      <w:r>
        <w:rPr>
          <w:rFonts w:ascii="Arial" w:cs="Arial" w:eastAsia="Arial" w:hAnsi="Arial"/>
          <w:sz w:val="17"/>
          <w:szCs w:val="17"/>
          <w:b w:val="1"/>
          <w:bCs w:val="1"/>
          <w:i w:val="1"/>
          <w:iCs w:val="1"/>
          <w:color w:val="auto"/>
        </w:rPr>
        <w:t>Vesting Date</w:t>
      </w:r>
      <w:r>
        <w:rPr>
          <w:rFonts w:ascii="Arial" w:cs="Arial" w:eastAsia="Arial" w:hAnsi="Arial"/>
          <w:sz w:val="17"/>
          <w:szCs w:val="17"/>
          <w:color w:val="auto"/>
        </w:rPr>
        <w:t>”). Each Vesting Date shall be on the same day of the month as that of the First Vesting Date, or on the last day of the month in cases where the day of the month of the First Vesting Date is beyond the end of the month of the respective Vesting Date. Subject to the limitations contained herein, your Option will vest as set forth herein, provided that vesting will cease upon the termination of your Continuous Service, and further provided that this vesting schedule is subject to Sections 4 and 7 hereof.</w:t>
      </w:r>
    </w:p>
    <w:p>
      <w:pPr>
        <w:spacing w:after="0" w:line="180" w:lineRule="exact"/>
        <w:rPr>
          <w:sz w:val="20"/>
          <w:szCs w:val="20"/>
          <w:color w:val="auto"/>
        </w:rPr>
      </w:pPr>
    </w:p>
    <w:p>
      <w:pPr>
        <w:ind w:right="80" w:firstLine="634"/>
        <w:spacing w:after="0" w:line="289" w:lineRule="auto"/>
        <w:tabs>
          <w:tab w:leader="none" w:pos="1258" w:val="left"/>
        </w:tabs>
        <w:numPr>
          <w:ilvl w:val="0"/>
          <w:numId w:val="324"/>
        </w:numPr>
        <w:rPr>
          <w:rFonts w:ascii="Arial" w:cs="Arial" w:eastAsia="Arial" w:hAnsi="Arial"/>
          <w:sz w:val="17"/>
          <w:szCs w:val="17"/>
          <w:color w:val="auto"/>
        </w:rPr>
      </w:pPr>
      <w:r>
        <w:rPr>
          <w:rFonts w:ascii="Arial" w:cs="Arial" w:eastAsia="Arial" w:hAnsi="Arial"/>
          <w:sz w:val="17"/>
          <w:szCs w:val="17"/>
          <w:color w:val="auto"/>
        </w:rPr>
        <w:t>NUMBER OF SHARES AND EXERCISE PRICE. The number of shares of Common Stock subject to your Option and the Purchase Price may be adjusted from time to time in accordance with the Plan.</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[CHANGE IN CONTROL.</w:t>
      </w:r>
    </w:p>
    <w:p>
      <w:pPr>
        <w:spacing w:after="0" w:line="224" w:lineRule="exact"/>
        <w:rPr>
          <w:rFonts w:ascii="Arial" w:cs="Arial" w:eastAsia="Arial" w:hAnsi="Arial"/>
          <w:sz w:val="17"/>
          <w:szCs w:val="17"/>
          <w:color w:val="auto"/>
        </w:rPr>
      </w:pPr>
    </w:p>
    <w:p>
      <w:pPr>
        <w:ind w:left="1900" w:right="20" w:hanging="637"/>
        <w:spacing w:after="0" w:line="265" w:lineRule="auto"/>
        <w:tabs>
          <w:tab w:leader="none" w:pos="1897" w:val="left"/>
        </w:tabs>
        <w:numPr>
          <w:ilvl w:val="1"/>
          <w:numId w:val="324"/>
        </w:numPr>
        <w:rPr>
          <w:rFonts w:ascii="Arial" w:cs="Arial" w:eastAsia="Arial" w:hAnsi="Arial"/>
          <w:sz w:val="17"/>
          <w:szCs w:val="17"/>
          <w:color w:val="auto"/>
        </w:rPr>
      </w:pPr>
      <w:r>
        <w:rPr>
          <w:rFonts w:ascii="Arial" w:cs="Arial" w:eastAsia="Arial" w:hAnsi="Arial"/>
          <w:sz w:val="17"/>
          <w:szCs w:val="17"/>
          <w:color w:val="auto"/>
        </w:rPr>
        <w:t>If Participant is an employee (“</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the Option hereby granted shall become immediately and fully exercisable, irrespective of the limitations set forth in Section 2 above, provided that the Employee has been in Continuous Employment since the Grant Date of said Option and as long as this Option has not already expired or been forfeited, upon the occurrence of both: (a) a Change in Control; and (b) termination of the Employee’s Employment on or after the date of a Change in Control either (i) by the Company for any reason other than for Cause, or (ii) by the Employee for Good Reason.</w:t>
      </w:r>
    </w:p>
    <w:p>
      <w:pPr>
        <w:sectPr>
          <w:pgSz w:w="11900" w:h="16838" w:orient="portrait"/>
          <w:cols w:equalWidth="0" w:num="1">
            <w:col w:w="11420"/>
          </w:cols>
          <w:pgMar w:left="240" w:top="357" w:right="239" w:bottom="0" w:gutter="0" w:footer="0" w:header="0"/>
          <w:type w:val="continuous"/>
        </w:sectPr>
      </w:pPr>
    </w:p>
    <w:bookmarkStart w:id="278" w:name="page279"/>
    <w:bookmarkEnd w:id="278"/>
    <w:p>
      <w:pPr>
        <w:spacing w:after="0" w:line="21" w:lineRule="exact"/>
        <w:rPr>
          <w:sz w:val="20"/>
          <w:szCs w:val="20"/>
          <w:color w:val="auto"/>
        </w:rPr>
      </w:pPr>
    </w:p>
    <w:p>
      <w:pPr>
        <w:ind w:left="1900" w:right="380" w:hanging="637"/>
        <w:spacing w:after="0" w:line="268" w:lineRule="auto"/>
        <w:tabs>
          <w:tab w:leader="none" w:pos="1907" w:val="left"/>
        </w:tabs>
        <w:numPr>
          <w:ilvl w:val="0"/>
          <w:numId w:val="3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shall mean cause as defined in any employment agreement between the Employee and the Company or any Subsidiary in effect at the time of the Employee’s termination of Employment or, in the absence of any such employment agreement, any of the following: (i) conviction of the Employee by a court of competent jurisdiction of any felony or a crime involving moral turpitude; (ii) the Employee’s knowing failure or refusal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right="160"/>
        <w:spacing w:after="0" w:line="268" w:lineRule="auto"/>
        <w:rPr>
          <w:sz w:val="20"/>
          <w:szCs w:val="20"/>
          <w:color w:val="auto"/>
        </w:rPr>
      </w:pPr>
      <w:r>
        <w:rPr>
          <w:rFonts w:ascii="Arial" w:cs="Arial" w:eastAsia="Arial" w:hAnsi="Arial"/>
          <w:sz w:val="17"/>
          <w:szCs w:val="17"/>
          <w:color w:val="auto"/>
        </w:rPr>
        <w:t>to follow reasonable instructions of the Board or the Employee’s supervisor or reasonable policies, standards and regulations of the Company or any Subsidiary; (iii) the Employee’s continued failure or refusal to faithfully and diligently perform the usual, customary duties of his Employment with the Company or any Subsidiary; or (iv) the Employee’s conduct is detrimental to the reputation, character, business or standing of the Company or any Subsidiary.</w:t>
      </w:r>
    </w:p>
    <w:p>
      <w:pPr>
        <w:spacing w:after="0" w:line="176" w:lineRule="exact"/>
        <w:rPr>
          <w:sz w:val="20"/>
          <w:szCs w:val="20"/>
          <w:color w:val="auto"/>
        </w:rPr>
      </w:pPr>
    </w:p>
    <w:p>
      <w:pPr>
        <w:ind w:left="1900" w:right="20" w:hanging="637"/>
        <w:spacing w:after="0" w:line="260" w:lineRule="auto"/>
        <w:tabs>
          <w:tab w:leader="none" w:pos="1910" w:val="left"/>
        </w:tabs>
        <w:numPr>
          <w:ilvl w:val="2"/>
          <w:numId w:val="3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shall mean if, without the written consent of the Employee, (i) the Employee is assigned duties (or has his or her duties diminished in a fashion) materially inconsistent with his or her position, duties, responsibilities and status with the Company and its Subsidiaries as of the time of a Change in Control; (ii) the Company or any of its Subsidiaries materially reduces the aggregate compensation or incentive package of the Employee as in effect at the time of a Change in Control; (iii) the Company or any of its Subsidiaries reduces the benefit package for health and welfare benefit plans, pension and 401(k) plans of the Employee, as in effect at the time of the Change in Control, except for changes in the benefit package applicable to all employees of the Company or its Subsidiaries; or (iv) the Company takes any other action which materially and adversely changes the conditions or perquisites of the Employee’s Employment as in effect as of the time of the Change in Control (provided that no material or adverse change shall be deemed to have occurred solely on account of a change in the individual(s) in the office or on the board of directors to whom the Employee reports). The Employee shall give notice of any termination of the Employee’s Employment for Good Reason due to any of the events described above by delivery of written notice thereof to the Company within 120 days after the first occurrence of the event giving rise to such Good Reason.</w:t>
      </w:r>
    </w:p>
    <w:p>
      <w:pPr>
        <w:spacing w:after="0" w:line="185" w:lineRule="exact"/>
        <w:rPr>
          <w:rFonts w:ascii="Arial" w:cs="Arial" w:eastAsia="Arial" w:hAnsi="Arial"/>
          <w:sz w:val="17"/>
          <w:szCs w:val="17"/>
          <w:color w:val="auto"/>
        </w:rPr>
      </w:pPr>
    </w:p>
    <w:p>
      <w:pPr>
        <w:ind w:left="1900" w:right="620" w:hanging="637"/>
        <w:spacing w:after="0" w:line="289" w:lineRule="auto"/>
        <w:tabs>
          <w:tab w:leader="none" w:pos="1907" w:val="left"/>
        </w:tabs>
        <w:numPr>
          <w:ilvl w:val="2"/>
          <w:numId w:val="3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Employment</w:t>
      </w:r>
      <w:r>
        <w:rPr>
          <w:rFonts w:ascii="Arial" w:cs="Arial" w:eastAsia="Arial" w:hAnsi="Arial"/>
          <w:sz w:val="17"/>
          <w:szCs w:val="17"/>
          <w:color w:val="auto"/>
        </w:rPr>
        <w:t>” shall mean employment with a Company Person. “</w:t>
      </w:r>
      <w:r>
        <w:rPr>
          <w:rFonts w:ascii="Arial" w:cs="Arial" w:eastAsia="Arial" w:hAnsi="Arial"/>
          <w:sz w:val="17"/>
          <w:szCs w:val="17"/>
          <w:b w:val="1"/>
          <w:bCs w:val="1"/>
          <w:i w:val="1"/>
          <w:iCs w:val="1"/>
          <w:color w:val="auto"/>
        </w:rPr>
        <w:t>Continuous Employment</w:t>
      </w:r>
      <w:r>
        <w:rPr>
          <w:rFonts w:ascii="Arial" w:cs="Arial" w:eastAsia="Arial" w:hAnsi="Arial"/>
          <w:sz w:val="17"/>
          <w:szCs w:val="17"/>
          <w:color w:val="auto"/>
        </w:rPr>
        <w:t>” means Continuous Service as an employee of a Company Person.]</w:t>
      </w:r>
    </w:p>
    <w:p>
      <w:pPr>
        <w:spacing w:after="0" w:line="158" w:lineRule="exact"/>
        <w:rPr>
          <w:rFonts w:ascii="Arial" w:cs="Arial" w:eastAsia="Arial" w:hAnsi="Arial"/>
          <w:sz w:val="17"/>
          <w:szCs w:val="17"/>
          <w:color w:val="auto"/>
        </w:rPr>
      </w:pPr>
    </w:p>
    <w:p>
      <w:pPr>
        <w:jc w:val="both"/>
        <w:ind w:right="100" w:firstLine="634"/>
        <w:spacing w:after="0" w:line="297" w:lineRule="auto"/>
        <w:tabs>
          <w:tab w:leader="none" w:pos="1258" w:val="left"/>
        </w:tabs>
        <w:numPr>
          <w:ilvl w:val="1"/>
          <w:numId w:val="327"/>
        </w:numPr>
        <w:rPr>
          <w:rFonts w:ascii="Arial" w:cs="Arial" w:eastAsia="Arial" w:hAnsi="Arial"/>
          <w:sz w:val="15"/>
          <w:szCs w:val="15"/>
          <w:color w:val="auto"/>
        </w:rPr>
      </w:pPr>
      <w:r>
        <w:rPr>
          <w:rFonts w:ascii="Arial" w:cs="Arial" w:eastAsia="Arial" w:hAnsi="Arial"/>
          <w:sz w:val="15"/>
          <w:szCs w:val="15"/>
          <w:color w:val="auto"/>
        </w:rPr>
        <w:t>METHOD OF PAYMENT. This Option may be exercised, in whole or in part, by giving written notice of exercise to the Company specifying the number of shares of Common Stock to be purchased. Such notice shall be accompanied by the payment in full of the Option Purchase Price. [Such payment shall be made: (a) in cash; (b) to the extent authorized by the Committee, by surrender of shares of Common Stock previously owned by the holder of the Option;</w:t>
      </w:r>
    </w:p>
    <w:p>
      <w:pPr>
        <w:ind w:right="40" w:firstLine="5"/>
        <w:spacing w:after="0" w:line="317" w:lineRule="auto"/>
        <w:tabs>
          <w:tab w:leader="none" w:pos="238" w:val="left"/>
        </w:tabs>
        <w:numPr>
          <w:ilvl w:val="0"/>
          <w:numId w:val="328"/>
        </w:numPr>
        <w:rPr>
          <w:rFonts w:ascii="Arial" w:cs="Arial" w:eastAsia="Arial" w:hAnsi="Arial"/>
          <w:sz w:val="15"/>
          <w:szCs w:val="15"/>
          <w:color w:val="auto"/>
        </w:rPr>
      </w:pPr>
      <w:r>
        <w:rPr>
          <w:rFonts w:ascii="Arial" w:cs="Arial" w:eastAsia="Arial" w:hAnsi="Arial"/>
          <w:sz w:val="15"/>
          <w:szCs w:val="15"/>
          <w:color w:val="auto"/>
        </w:rPr>
        <w:t>following an Initial Public Offering, through simultaneous sale through a broker of shares acquired on exercise, as permitted under Regulation T of the Federal Reserve Board; (d) through additional methods prescribed by the Committee; or (e) by a combination of any such methods as permitted by the Committee. Your subsequent transfer or disposition of any shares acquired upon exercise of an Option will be subject to any Federal and state laws then applicable.]</w:t>
      </w:r>
    </w:p>
    <w:p>
      <w:pPr>
        <w:spacing w:after="0" w:line="143" w:lineRule="exact"/>
        <w:rPr>
          <w:rFonts w:ascii="Arial" w:cs="Arial" w:eastAsia="Arial" w:hAnsi="Arial"/>
          <w:sz w:val="15"/>
          <w:szCs w:val="15"/>
          <w:color w:val="auto"/>
        </w:rPr>
      </w:pPr>
    </w:p>
    <w:p>
      <w:pPr>
        <w:ind w:left="1260" w:hanging="626"/>
        <w:spacing w:after="0"/>
        <w:tabs>
          <w:tab w:leader="none" w:pos="1260" w:val="left"/>
        </w:tabs>
        <w:numPr>
          <w:ilvl w:val="1"/>
          <w:numId w:val="328"/>
        </w:numPr>
        <w:rPr>
          <w:rFonts w:ascii="Arial" w:cs="Arial" w:eastAsia="Arial" w:hAnsi="Arial"/>
          <w:sz w:val="17"/>
          <w:szCs w:val="17"/>
          <w:color w:val="auto"/>
        </w:rPr>
      </w:pPr>
      <w:r>
        <w:rPr>
          <w:rFonts w:ascii="Arial" w:cs="Arial" w:eastAsia="Arial" w:hAnsi="Arial"/>
          <w:sz w:val="17"/>
          <w:szCs w:val="17"/>
          <w:color w:val="auto"/>
        </w:rPr>
        <w:t>WHOLE SHARES. You may exercise your Option only for whole shares of Common Stock.</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634"/>
        <w:spacing w:after="0" w:line="265" w:lineRule="auto"/>
        <w:tabs>
          <w:tab w:leader="none" w:pos="1258" w:val="left"/>
        </w:tabs>
        <w:numPr>
          <w:ilvl w:val="0"/>
          <w:numId w:val="329"/>
        </w:numPr>
        <w:rPr>
          <w:rFonts w:ascii="Arial" w:cs="Arial" w:eastAsia="Arial" w:hAnsi="Arial"/>
          <w:sz w:val="17"/>
          <w:szCs w:val="17"/>
          <w:color w:val="auto"/>
        </w:rPr>
      </w:pPr>
      <w:r>
        <w:rPr>
          <w:rFonts w:ascii="Arial" w:cs="Arial" w:eastAsia="Arial" w:hAnsi="Arial"/>
          <w:sz w:val="17"/>
          <w:szCs w:val="17"/>
          <w:color w:val="auto"/>
        </w:rPr>
        <w:t>SECURITIES LAW COMPLIANCE. Notwithstanding anything to the contrary contained herein, you may not exercise your Option unless the shares of Common Stock issuable upon such exercise are then registered under the Securities Act or, if such shares of Common Stock are not then so registered, the Committee has determined that such exercise and issuance would be exempt from the registration requirements of the Securities Act. The exercise of your Option must also comply with other applicable laws and regulations governing your Option, and you may not exercise your Option if the Committee determines that such exercise would not be in material compliance with such laws and regulations.</w:t>
      </w:r>
    </w:p>
    <w:p>
      <w:pPr>
        <w:spacing w:after="0" w:line="179" w:lineRule="exact"/>
        <w:rPr>
          <w:rFonts w:ascii="Arial" w:cs="Arial" w:eastAsia="Arial" w:hAnsi="Arial"/>
          <w:sz w:val="17"/>
          <w:szCs w:val="17"/>
          <w:color w:val="auto"/>
        </w:rPr>
      </w:pPr>
    </w:p>
    <w:p>
      <w:pPr>
        <w:ind w:left="1260" w:hanging="626"/>
        <w:spacing w:after="0"/>
        <w:tabs>
          <w:tab w:leader="none" w:pos="126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TERM. The term of your Option commences on the Grant Date and expires upon the EARLIEST of the following:</w:t>
      </w:r>
    </w:p>
    <w:p>
      <w:pPr>
        <w:spacing w:after="0" w:line="224" w:lineRule="exact"/>
        <w:rPr>
          <w:rFonts w:ascii="Arial" w:cs="Arial" w:eastAsia="Arial" w:hAnsi="Arial"/>
          <w:sz w:val="17"/>
          <w:szCs w:val="17"/>
          <w:color w:val="auto"/>
        </w:rPr>
      </w:pPr>
    </w:p>
    <w:p>
      <w:pPr>
        <w:ind w:firstLine="1263"/>
        <w:spacing w:after="0" w:line="268" w:lineRule="auto"/>
        <w:tabs>
          <w:tab w:leader="none" w:pos="1885" w:val="left"/>
        </w:tabs>
        <w:numPr>
          <w:ilvl w:val="1"/>
          <w:numId w:val="329"/>
        </w:numPr>
        <w:rPr>
          <w:rFonts w:ascii="Arial" w:cs="Arial" w:eastAsia="Arial" w:hAnsi="Arial"/>
          <w:sz w:val="17"/>
          <w:szCs w:val="17"/>
          <w:color w:val="auto"/>
        </w:rPr>
      </w:pPr>
      <w:r>
        <w:rPr>
          <w:rFonts w:ascii="Arial" w:cs="Arial" w:eastAsia="Arial" w:hAnsi="Arial"/>
          <w:sz w:val="17"/>
          <w:szCs w:val="17"/>
          <w:color w:val="auto"/>
        </w:rPr>
        <w:t>three months after the termination of your Continuous Service for any reason other than your Disability or death, provided that if during any part of such three month period your Option is not exercisable solely because of the condition set forth in the preceding paragraph relating to “Securities Law Compliance,” your Option will not expire until the earlier of the Expiration Date or until it has been exercisable for an aggregate period of three months after the termination of your Continuous Service;</w:t>
      </w:r>
    </w:p>
    <w:p>
      <w:pPr>
        <w:spacing w:after="0" w:line="175" w:lineRule="exact"/>
        <w:rPr>
          <w:rFonts w:ascii="Arial" w:cs="Arial" w:eastAsia="Arial" w:hAnsi="Arial"/>
          <w:sz w:val="17"/>
          <w:szCs w:val="17"/>
          <w:color w:val="auto"/>
        </w:rPr>
      </w:pPr>
    </w:p>
    <w:p>
      <w:pPr>
        <w:ind w:left="1900" w:hanging="637"/>
        <w:spacing w:after="0"/>
        <w:tabs>
          <w:tab w:leader="none" w:pos="1900" w:val="left"/>
        </w:tabs>
        <w:numPr>
          <w:ilvl w:val="1"/>
          <w:numId w:val="329"/>
        </w:numPr>
        <w:rPr>
          <w:rFonts w:ascii="Arial" w:cs="Arial" w:eastAsia="Arial" w:hAnsi="Arial"/>
          <w:sz w:val="17"/>
          <w:szCs w:val="17"/>
          <w:color w:val="auto"/>
        </w:rPr>
      </w:pPr>
      <w:r>
        <w:rPr>
          <w:rFonts w:ascii="Arial" w:cs="Arial" w:eastAsia="Arial" w:hAnsi="Arial"/>
          <w:sz w:val="17"/>
          <w:szCs w:val="17"/>
          <w:color w:val="auto"/>
        </w:rPr>
        <w:t>twelve months after the termination of your Continuous Service due to your Disability;</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329"/>
        </w:numPr>
        <w:rPr>
          <w:rFonts w:ascii="Arial" w:cs="Arial" w:eastAsia="Arial" w:hAnsi="Arial"/>
          <w:sz w:val="16"/>
          <w:szCs w:val="16"/>
          <w:color w:val="auto"/>
        </w:rPr>
      </w:pPr>
      <w:r>
        <w:rPr>
          <w:rFonts w:ascii="Arial" w:cs="Arial" w:eastAsia="Arial" w:hAnsi="Arial"/>
          <w:sz w:val="16"/>
          <w:szCs w:val="16"/>
          <w:color w:val="auto"/>
        </w:rPr>
        <w:t>twelve months after your death if you die either during your Continuous Service or within three months after your Continuous Service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terminates;</w:t>
      </w:r>
    </w:p>
    <w:p>
      <w:pPr>
        <w:spacing w:after="0" w:line="212" w:lineRule="exact"/>
        <w:rPr>
          <w:rFonts w:ascii="Arial" w:cs="Arial" w:eastAsia="Arial" w:hAnsi="Arial"/>
          <w:sz w:val="16"/>
          <w:szCs w:val="16"/>
          <w:color w:val="auto"/>
        </w:rPr>
      </w:pPr>
    </w:p>
    <w:p>
      <w:pPr>
        <w:ind w:left="1900" w:hanging="637"/>
        <w:spacing w:after="0"/>
        <w:tabs>
          <w:tab w:leader="none" w:pos="1900" w:val="left"/>
        </w:tabs>
        <w:numPr>
          <w:ilvl w:val="1"/>
          <w:numId w:val="329"/>
        </w:numPr>
        <w:rPr>
          <w:rFonts w:ascii="Arial" w:cs="Arial" w:eastAsia="Arial" w:hAnsi="Arial"/>
          <w:sz w:val="17"/>
          <w:szCs w:val="17"/>
          <w:color w:val="auto"/>
        </w:rPr>
      </w:pPr>
      <w:r>
        <w:rPr>
          <w:rFonts w:ascii="Arial" w:cs="Arial" w:eastAsia="Arial" w:hAnsi="Arial"/>
          <w:sz w:val="17"/>
          <w:szCs w:val="17"/>
          <w:color w:val="auto"/>
        </w:rPr>
        <w:t>the Expiration Date set forth in the schedule on the first page of this Agreement; or</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329"/>
        </w:numPr>
        <w:rPr>
          <w:rFonts w:ascii="Arial" w:cs="Arial" w:eastAsia="Arial" w:hAnsi="Arial"/>
          <w:sz w:val="17"/>
          <w:szCs w:val="17"/>
          <w:color w:val="auto"/>
        </w:rPr>
      </w:pPr>
      <w:r>
        <w:rPr>
          <w:rFonts w:ascii="Arial" w:cs="Arial" w:eastAsia="Arial" w:hAnsi="Arial"/>
          <w:sz w:val="17"/>
          <w:szCs w:val="17"/>
          <w:color w:val="auto"/>
        </w:rPr>
        <w:t>upon a forfeiture of the Option pursuant to the Plan or this Agreement.</w:t>
      </w:r>
    </w:p>
    <w:p>
      <w:pPr>
        <w:spacing w:after="0" w:line="224" w:lineRule="exact"/>
        <w:rPr>
          <w:sz w:val="20"/>
          <w:szCs w:val="20"/>
          <w:color w:val="auto"/>
        </w:rPr>
      </w:pPr>
    </w:p>
    <w:p>
      <w:pPr>
        <w:ind w:right="80" w:firstLine="629"/>
        <w:spacing w:after="0" w:line="303" w:lineRule="auto"/>
        <w:rPr>
          <w:sz w:val="20"/>
          <w:szCs w:val="20"/>
          <w:color w:val="auto"/>
        </w:rPr>
      </w:pPr>
      <w:r>
        <w:rPr>
          <w:rFonts w:ascii="Arial" w:cs="Arial" w:eastAsia="Arial" w:hAnsi="Arial"/>
          <w:sz w:val="15"/>
          <w:szCs w:val="15"/>
          <w:color w:val="auto"/>
        </w:rPr>
        <w:t>If your Option is an Incentive Stock Option, note that, to obtain the federal income tax advantages associated with an Incentive Stock Option, the Code requires (1) that at all times beginning on the Grant Date and ending on the day three months before the date of your Option’s exercise, you must be an employee of a Company Person, except in the event of your death or Disability; and (2) you may generally not dispose of shares of the Common Stock issued upon exercise of your Option within two years after the Grant Date of this Option or within one year after such shares of Common Stock are transferred upon exercise of your Option. The Company has provided for extended exercisability of your Option under certain circumstances for your benefit but there is no guarantee that your Option will necessarily be treated as an Incentive Stock Option if you exercise your Option more than three months after the date your employment terminates, except in the case of death or Disability, even if you continue to provide services to a Company Person as a consultant or director after your employment.</w:t>
      </w:r>
    </w:p>
    <w:p>
      <w:pPr>
        <w:spacing w:after="0" w:line="154" w:lineRule="exact"/>
        <w:rPr>
          <w:sz w:val="20"/>
          <w:szCs w:val="20"/>
          <w:color w:val="auto"/>
        </w:rPr>
      </w:pPr>
    </w:p>
    <w:p>
      <w:pPr>
        <w:ind w:left="1260" w:hanging="626"/>
        <w:spacing w:after="0"/>
        <w:tabs>
          <w:tab w:leader="none" w:pos="126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EXERCISE.</w:t>
      </w:r>
    </w:p>
    <w:p>
      <w:pPr>
        <w:spacing w:after="0" w:line="224" w:lineRule="exact"/>
        <w:rPr>
          <w:sz w:val="20"/>
          <w:szCs w:val="20"/>
          <w:color w:val="auto"/>
        </w:rPr>
      </w:pPr>
    </w:p>
    <w:p>
      <w:pPr>
        <w:ind w:left="1880" w:hanging="617"/>
        <w:spacing w:after="0"/>
        <w:tabs>
          <w:tab w:leader="none" w:pos="188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As a condition to the exercise of the Option or any portion thereof, you or any other person entitled to exercise the Option shall enter</w:t>
      </w:r>
    </w:p>
    <w:p>
      <w:pPr>
        <w:spacing w:after="0" w:line="3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into a written joinder to the Shareholder’s Agreement dated on or about , as it may be hereafter amended. You may exercise the vested portion of your Option during its term by delivering a notice of exercise (in a form designated by the Company) together with the Purchase Price to the</w:t>
      </w:r>
    </w:p>
    <w:p>
      <w:pPr>
        <w:sectPr>
          <w:pgSz w:w="11900" w:h="16860" w:orient="portrait"/>
          <w:cols w:equalWidth="0" w:num="1">
            <w:col w:w="11400"/>
          </w:cols>
          <w:pgMar w:left="240" w:top="127" w:right="259" w:bottom="0" w:gutter="0" w:footer="0" w:header="0"/>
        </w:sectPr>
      </w:pPr>
    </w:p>
    <w:bookmarkStart w:id="279" w:name="page280"/>
    <w:bookmarkEnd w:id="279"/>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Secretary of the Company, or to such other person as the Company may designate, during regular business hours, together with such additional documents as the Company may then reasonably require, including a written joinder to the Shareholder’s Agreement as specified above.</w:t>
      </w:r>
    </w:p>
    <w:p>
      <w:pPr>
        <w:spacing w:after="0" w:line="158" w:lineRule="exact"/>
        <w:rPr>
          <w:sz w:val="20"/>
          <w:szCs w:val="20"/>
          <w:color w:val="auto"/>
        </w:rPr>
      </w:pPr>
    </w:p>
    <w:p>
      <w:pPr>
        <w:ind w:firstLine="1263"/>
        <w:spacing w:after="0" w:line="268" w:lineRule="auto"/>
        <w:tabs>
          <w:tab w:leader="none" w:pos="1895" w:val="left"/>
        </w:tabs>
        <w:numPr>
          <w:ilvl w:val="1"/>
          <w:numId w:val="332"/>
        </w:numPr>
        <w:rPr>
          <w:rFonts w:ascii="Arial" w:cs="Arial" w:eastAsia="Arial" w:hAnsi="Arial"/>
          <w:sz w:val="17"/>
          <w:szCs w:val="17"/>
          <w:color w:val="auto"/>
        </w:rPr>
      </w:pPr>
      <w:r>
        <w:rPr>
          <w:rFonts w:ascii="Arial" w:cs="Arial" w:eastAsia="Arial" w:hAnsi="Arial"/>
          <w:sz w:val="17"/>
          <w:szCs w:val="17"/>
          <w:color w:val="auto"/>
        </w:rPr>
        <w:t>By exercising your Option you agree that, as a condition to any exercise of your Option, the Company may require you to enter into an arrangement providing for the payment by you to the Company of any tax withholding obligation of the Company arising because of (1) the exercise of your Option, (2) the lapse of any substantial risk of forfeiture to which the shares of Common Stock are subject at the time of exercise, or (3) the disposition of shares of Common Stock acquired upon such exercise.</w:t>
      </w:r>
    </w:p>
    <w:p>
      <w:pPr>
        <w:spacing w:after="0" w:line="175" w:lineRule="exact"/>
        <w:rPr>
          <w:rFonts w:ascii="Arial" w:cs="Arial" w:eastAsia="Arial" w:hAnsi="Arial"/>
          <w:sz w:val="17"/>
          <w:szCs w:val="17"/>
          <w:color w:val="auto"/>
        </w:rPr>
      </w:pPr>
    </w:p>
    <w:p>
      <w:pPr>
        <w:ind w:right="20" w:firstLine="1263"/>
        <w:spacing w:after="0" w:line="273" w:lineRule="auto"/>
        <w:tabs>
          <w:tab w:leader="none" w:pos="1898" w:val="left"/>
        </w:tabs>
        <w:numPr>
          <w:ilvl w:val="1"/>
          <w:numId w:val="332"/>
        </w:numPr>
        <w:rPr>
          <w:rFonts w:ascii="Arial" w:cs="Arial" w:eastAsia="Arial" w:hAnsi="Arial"/>
          <w:sz w:val="17"/>
          <w:szCs w:val="17"/>
          <w:color w:val="auto"/>
        </w:rPr>
      </w:pPr>
      <w:r>
        <w:rPr>
          <w:rFonts w:ascii="Arial" w:cs="Arial" w:eastAsia="Arial" w:hAnsi="Arial"/>
          <w:sz w:val="17"/>
          <w:szCs w:val="17"/>
          <w:color w:val="auto"/>
        </w:rPr>
        <w:t>If your Option is an Incentive Stock Option, by exercising your Option you agree that you will notify the Company in writing within 15 days after the date of any disposition of any of the shares of the Common Stock issued upon exercise of your Option that occurs within two years after the Grant Date of this Option or within one year after such shares of Common Stock are transferred upon exercise of your Option.</w:t>
      </w:r>
    </w:p>
    <w:p>
      <w:pPr>
        <w:spacing w:after="0" w:line="171" w:lineRule="exact"/>
        <w:rPr>
          <w:rFonts w:ascii="Arial" w:cs="Arial" w:eastAsia="Arial" w:hAnsi="Arial"/>
          <w:sz w:val="17"/>
          <w:szCs w:val="17"/>
          <w:color w:val="auto"/>
        </w:rPr>
      </w:pPr>
    </w:p>
    <w:p>
      <w:pPr>
        <w:jc w:val="both"/>
        <w:ind w:right="140" w:firstLine="634"/>
        <w:spacing w:after="0" w:line="273" w:lineRule="auto"/>
        <w:tabs>
          <w:tab w:leader="none" w:pos="1254" w:val="left"/>
        </w:tabs>
        <w:numPr>
          <w:ilvl w:val="0"/>
          <w:numId w:val="333"/>
        </w:numPr>
        <w:rPr>
          <w:rFonts w:ascii="Arial" w:cs="Arial" w:eastAsia="Arial" w:hAnsi="Arial"/>
          <w:sz w:val="17"/>
          <w:szCs w:val="17"/>
          <w:color w:val="auto"/>
        </w:rPr>
      </w:pPr>
      <w:r>
        <w:rPr>
          <w:rFonts w:ascii="Arial" w:cs="Arial" w:eastAsia="Arial" w:hAnsi="Arial"/>
          <w:sz w:val="17"/>
          <w:szCs w:val="17"/>
          <w:color w:val="auto"/>
        </w:rPr>
        <w:t>TRANSFERABILITY. Your Option is not transferable, except by will or by the laws of descent and distribution. If your Option is an Incentive Stock Option, it is exercisable during your life only by you. If it is a Nonqualified Stock Option, it is exercisable during your life only by you or your guardian or legal representative.</w:t>
      </w:r>
    </w:p>
    <w:p>
      <w:pPr>
        <w:spacing w:after="0" w:line="171" w:lineRule="exact"/>
        <w:rPr>
          <w:rFonts w:ascii="Arial" w:cs="Arial" w:eastAsia="Arial" w:hAnsi="Arial"/>
          <w:sz w:val="17"/>
          <w:szCs w:val="17"/>
          <w:color w:val="auto"/>
        </w:rPr>
      </w:pPr>
    </w:p>
    <w:p>
      <w:pPr>
        <w:ind w:right="40" w:firstLine="634"/>
        <w:spacing w:after="0" w:line="268" w:lineRule="auto"/>
        <w:tabs>
          <w:tab w:leader="none" w:pos="1248" w:val="left"/>
        </w:tabs>
        <w:numPr>
          <w:ilvl w:val="0"/>
          <w:numId w:val="333"/>
        </w:numPr>
        <w:rPr>
          <w:rFonts w:ascii="Arial" w:cs="Arial" w:eastAsia="Arial" w:hAnsi="Arial"/>
          <w:sz w:val="17"/>
          <w:szCs w:val="17"/>
          <w:color w:val="auto"/>
        </w:rPr>
      </w:pPr>
      <w:r>
        <w:rPr>
          <w:rFonts w:ascii="Arial" w:cs="Arial" w:eastAsia="Arial" w:hAnsi="Arial"/>
          <w:sz w:val="17"/>
          <w:szCs w:val="17"/>
          <w:color w:val="auto"/>
        </w:rPr>
        <w:t>OPTION NOT A SERVICE CONTRACT. Your Option is not an employment or service contract, and nothing in your Option shall be deemed to create in any way whatsoever any obligation on your part to continue in the employ or Continuous Service of a Company Person, or of any Company Person to continue your employment. In addition, nothing in your Option shall obligate any Company Person, its shareholders, boards of directors, officers or employees to continue any relationship that you might have as a director or consultant for any Company Person.</w:t>
      </w:r>
    </w:p>
    <w:p>
      <w:pPr>
        <w:spacing w:after="0" w:line="175" w:lineRule="exact"/>
        <w:rPr>
          <w:rFonts w:ascii="Arial" w:cs="Arial" w:eastAsia="Arial" w:hAnsi="Arial"/>
          <w:sz w:val="17"/>
          <w:szCs w:val="17"/>
          <w:color w:val="auto"/>
        </w:rPr>
      </w:pPr>
    </w:p>
    <w:p>
      <w:pPr>
        <w:ind w:left="1260" w:hanging="626"/>
        <w:spacing w:after="0"/>
        <w:tabs>
          <w:tab w:leader="none" w:pos="126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WITHHOLDING OBLIGATIONS.</w:t>
      </w:r>
    </w:p>
    <w:p>
      <w:pPr>
        <w:spacing w:after="0" w:line="224" w:lineRule="exact"/>
        <w:rPr>
          <w:rFonts w:ascii="Arial" w:cs="Arial" w:eastAsia="Arial" w:hAnsi="Arial"/>
          <w:sz w:val="17"/>
          <w:szCs w:val="17"/>
          <w:color w:val="auto"/>
        </w:rPr>
      </w:pPr>
    </w:p>
    <w:p>
      <w:pPr>
        <w:ind w:right="60" w:firstLine="1263"/>
        <w:spacing w:after="0" w:line="265" w:lineRule="auto"/>
        <w:tabs>
          <w:tab w:leader="none" w:pos="1885" w:val="left"/>
        </w:tabs>
        <w:numPr>
          <w:ilvl w:val="1"/>
          <w:numId w:val="333"/>
        </w:numPr>
        <w:rPr>
          <w:rFonts w:ascii="Arial" w:cs="Arial" w:eastAsia="Arial" w:hAnsi="Arial"/>
          <w:sz w:val="17"/>
          <w:szCs w:val="17"/>
          <w:color w:val="auto"/>
        </w:rPr>
      </w:pPr>
      <w:r>
        <w:rPr>
          <w:rFonts w:ascii="Arial" w:cs="Arial" w:eastAsia="Arial" w:hAnsi="Arial"/>
          <w:sz w:val="17"/>
          <w:szCs w:val="17"/>
          <w:color w:val="auto"/>
        </w:rPr>
        <w:t>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of the Company or a Subsidiary, if any (but not in excess of the minimum withholding requirements), which arise in connection with your Option.</w:t>
      </w:r>
    </w:p>
    <w:p>
      <w:pPr>
        <w:spacing w:after="0" w:line="179" w:lineRule="exact"/>
        <w:rPr>
          <w:rFonts w:ascii="Arial" w:cs="Arial" w:eastAsia="Arial" w:hAnsi="Arial"/>
          <w:sz w:val="17"/>
          <w:szCs w:val="17"/>
          <w:color w:val="auto"/>
        </w:rPr>
      </w:pPr>
    </w:p>
    <w:p>
      <w:pPr>
        <w:ind w:right="20" w:firstLine="1263"/>
        <w:spacing w:after="0" w:line="285" w:lineRule="auto"/>
        <w:tabs>
          <w:tab w:leader="none" w:pos="1895" w:val="left"/>
        </w:tabs>
        <w:numPr>
          <w:ilvl w:val="1"/>
          <w:numId w:val="333"/>
        </w:numPr>
        <w:rPr>
          <w:rFonts w:ascii="Arial" w:cs="Arial" w:eastAsia="Arial" w:hAnsi="Arial"/>
          <w:sz w:val="16"/>
          <w:szCs w:val="16"/>
          <w:color w:val="auto"/>
        </w:rPr>
      </w:pPr>
      <w:r>
        <w:rPr>
          <w:rFonts w:ascii="Arial" w:cs="Arial" w:eastAsia="Arial" w:hAnsi="Arial"/>
          <w:sz w:val="16"/>
          <w:szCs w:val="16"/>
          <w:color w:val="auto"/>
        </w:rPr>
        <w:t>Upon your request and subject to approval by the Company, in its sole discretion, and compliance with any applicable conditions or restrictions of law, the Company may withhold from fully vested shares of Common Stock otherwise issuable to you upon the exercise of your Option a number of whole shares of Common Stock having a Fair Market Value, determined by the Committee as of the date of exercise, not in excess of the minimum amount of tax required to be withheld by law. If the date of determination of any tax withholding obligation is deferred to a date later than the date of exercise of your Option, share withholding pursuant to the preceding sentence shall not be permitted unless you make a proper and timely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179" w:lineRule="exact"/>
        <w:rPr>
          <w:sz w:val="20"/>
          <w:szCs w:val="20"/>
          <w:color w:val="auto"/>
        </w:rPr>
      </w:pPr>
    </w:p>
    <w:p>
      <w:pPr>
        <w:ind w:right="220" w:firstLine="1263"/>
        <w:spacing w:after="0" w:line="273" w:lineRule="auto"/>
        <w:tabs>
          <w:tab w:leader="none" w:pos="1898" w:val="left"/>
        </w:tabs>
        <w:numPr>
          <w:ilvl w:val="1"/>
          <w:numId w:val="334"/>
        </w:numPr>
        <w:rPr>
          <w:rFonts w:ascii="Arial" w:cs="Arial" w:eastAsia="Arial" w:hAnsi="Arial"/>
          <w:sz w:val="17"/>
          <w:szCs w:val="17"/>
          <w:color w:val="auto"/>
        </w:rPr>
      </w:pPr>
      <w:r>
        <w:rPr>
          <w:rFonts w:ascii="Arial" w:cs="Arial" w:eastAsia="Arial" w:hAnsi="Arial"/>
          <w:sz w:val="17"/>
          <w:szCs w:val="17"/>
          <w:color w:val="auto"/>
        </w:rPr>
        <w:t>You may not exercise your Option unless the tax withholding obligations of the Company and/or any Affiliate are satisfied. Accordingly, you may not be able to exercise your Option when desired even though your Option is vested, and the Company shall have no obligation to issue a certificate for such shares of Common Stock or release such shares of Common Stock.</w:t>
      </w:r>
    </w:p>
    <w:p>
      <w:pPr>
        <w:spacing w:after="0" w:line="171" w:lineRule="exact"/>
        <w:rPr>
          <w:rFonts w:ascii="Arial" w:cs="Arial" w:eastAsia="Arial" w:hAnsi="Arial"/>
          <w:sz w:val="17"/>
          <w:szCs w:val="17"/>
          <w:color w:val="auto"/>
        </w:rPr>
      </w:pPr>
    </w:p>
    <w:p>
      <w:pPr>
        <w:ind w:left="1260" w:hanging="626"/>
        <w:spacing w:after="0"/>
        <w:tabs>
          <w:tab w:leader="none" w:pos="126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FORFEITURE AND REPURCHASE OF OPTION SHARES</w:t>
      </w:r>
    </w:p>
    <w:p>
      <w:pPr>
        <w:spacing w:after="0" w:line="224" w:lineRule="exact"/>
        <w:rPr>
          <w:rFonts w:ascii="Arial" w:cs="Arial" w:eastAsia="Arial" w:hAnsi="Arial"/>
          <w:sz w:val="17"/>
          <w:szCs w:val="17"/>
          <w:color w:val="auto"/>
        </w:rPr>
      </w:pPr>
    </w:p>
    <w:p>
      <w:pPr>
        <w:ind w:right="20" w:firstLine="1263"/>
        <w:spacing w:after="0" w:line="262" w:lineRule="auto"/>
        <w:tabs>
          <w:tab w:leader="none" w:pos="1885" w:val="left"/>
        </w:tabs>
        <w:numPr>
          <w:ilvl w:val="1"/>
          <w:numId w:val="3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Forfeiture Event</w:t>
      </w:r>
      <w:r>
        <w:rPr>
          <w:rFonts w:ascii="Arial" w:cs="Arial" w:eastAsia="Arial" w:hAnsi="Arial"/>
          <w:sz w:val="17"/>
          <w:szCs w:val="17"/>
          <w:color w:val="auto"/>
        </w:rPr>
        <w:t>” means a serious breach of conduct by a Participant (including, without limitation, any conduct prejudicial to or in conflict with any Company Person) or any activity of a Participant who is an Employee in competition with any of the businesses of any Company Person during a time period of nine (9) months after termination of Participant’s Service, or a termination of employment for Cause. Said activity in competition includes activity during a time period of nine (9) months after termination of Participant’s Service in which the Employee (i) works, performs work for hire, consults, is self employed or otherwise employed, either directly or indirectly, in a business competing with or acting against any Company Person’s interest; or (ii) causes or solicits others to work, performs work for hire, consults, or be self employed or otherwise employed, either directly or indirectly, in a business competing with or acting against any Company Person’s interest. The determination of whether a Forfeiture Event has occurred will be determined by the Committee in good faith and in its sole discretion.</w:t>
      </w:r>
    </w:p>
    <w:p>
      <w:pPr>
        <w:spacing w:after="0" w:line="180" w:lineRule="exact"/>
        <w:rPr>
          <w:rFonts w:ascii="Arial" w:cs="Arial" w:eastAsia="Arial" w:hAnsi="Arial"/>
          <w:sz w:val="17"/>
          <w:szCs w:val="17"/>
          <w:color w:val="auto"/>
        </w:rPr>
      </w:pPr>
    </w:p>
    <w:p>
      <w:pPr>
        <w:ind w:right="60" w:firstLine="1263"/>
        <w:spacing w:after="0" w:line="273" w:lineRule="auto"/>
        <w:tabs>
          <w:tab w:leader="none" w:pos="1895" w:val="left"/>
        </w:tabs>
        <w:numPr>
          <w:ilvl w:val="1"/>
          <w:numId w:val="335"/>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xml:space="preserve">. If a Forfeiture Event occurs, the Committee may cancel any outstanding Award granted to such Participant, in whole or in part, whether or not vested. Such cancellation will be effective as of the date specified by the Committee. This </w:t>
      </w:r>
      <w:r>
        <w:rPr>
          <w:rFonts w:ascii="Arial" w:cs="Arial" w:eastAsia="Arial" w:hAnsi="Arial"/>
          <w:sz w:val="17"/>
          <w:szCs w:val="17"/>
          <w:u w:val="single" w:color="auto"/>
          <w:color w:val="auto"/>
        </w:rPr>
        <w:t>Section 13(b)</w:t>
      </w:r>
      <w:r>
        <w:rPr>
          <w:rFonts w:ascii="Arial" w:cs="Arial" w:eastAsia="Arial" w:hAnsi="Arial"/>
          <w:sz w:val="17"/>
          <w:szCs w:val="17"/>
          <w:color w:val="auto"/>
        </w:rPr>
        <w:t xml:space="preserve"> will have no application following a Change of Control.</w:t>
      </w:r>
    </w:p>
    <w:p>
      <w:pPr>
        <w:spacing w:after="0" w:line="171" w:lineRule="exact"/>
        <w:rPr>
          <w:rFonts w:ascii="Arial" w:cs="Arial" w:eastAsia="Arial" w:hAnsi="Arial"/>
          <w:sz w:val="17"/>
          <w:szCs w:val="17"/>
          <w:color w:val="auto"/>
        </w:rPr>
      </w:pPr>
    </w:p>
    <w:p>
      <w:pPr>
        <w:ind w:right="40" w:firstLine="1263"/>
        <w:spacing w:after="0" w:line="280" w:lineRule="auto"/>
        <w:tabs>
          <w:tab w:leader="none" w:pos="1898" w:val="left"/>
        </w:tabs>
        <w:numPr>
          <w:ilvl w:val="1"/>
          <w:numId w:val="335"/>
        </w:numPr>
        <w:rPr>
          <w:rFonts w:ascii="Arial" w:cs="Arial" w:eastAsia="Arial" w:hAnsi="Arial"/>
          <w:sz w:val="16"/>
          <w:szCs w:val="16"/>
          <w:color w:val="auto"/>
        </w:rPr>
      </w:pPr>
      <w:r>
        <w:rPr>
          <w:rFonts w:ascii="Arial" w:cs="Arial" w:eastAsia="Arial" w:hAnsi="Arial"/>
          <w:sz w:val="16"/>
          <w:szCs w:val="16"/>
          <w:u w:val="single" w:color="auto"/>
          <w:color w:val="auto"/>
        </w:rPr>
        <w:t>Repurchase of Option Shares</w:t>
      </w:r>
      <w:r>
        <w:rPr>
          <w:rFonts w:ascii="Arial" w:cs="Arial" w:eastAsia="Arial" w:hAnsi="Arial"/>
          <w:sz w:val="16"/>
          <w:szCs w:val="16"/>
          <w:color w:val="auto"/>
        </w:rPr>
        <w:t>. If a Forfeiture Event occurs, the Company shall have the absolute right to purchase all or any portion of the Option Shares owned by such Employee (the “</w:t>
      </w:r>
      <w:r>
        <w:rPr>
          <w:rFonts w:ascii="Arial" w:cs="Arial" w:eastAsia="Arial" w:hAnsi="Arial"/>
          <w:sz w:val="16"/>
          <w:szCs w:val="16"/>
          <w:b w:val="1"/>
          <w:bCs w:val="1"/>
          <w:i w:val="1"/>
          <w:iCs w:val="1"/>
          <w:color w:val="auto"/>
        </w:rPr>
        <w:t>Repurchase Shares</w:t>
      </w:r>
      <w:r>
        <w:rPr>
          <w:rFonts w:ascii="Arial" w:cs="Arial" w:eastAsia="Arial" w:hAnsi="Arial"/>
          <w:sz w:val="16"/>
          <w:szCs w:val="16"/>
          <w:color w:val="auto"/>
        </w:rPr>
        <w:t>”), by electing to purchase all or any portion of the Repurchase Shares any time during a time period of nine (9) months after the Forfeiture Event or termination of Participant’s Service, whichever is later, by giving written notice of such exercise to the Employee. The purchase price per share of the Repurchase Shares shall be the Fair Market Value of such shares. If the Company elects to purchase any or all of such Repurchase Shares, it shall be obligated to purchase, and the Employee shall be obligated to sell to the Company, such Repurchase Shares and said sale and purchase shall be closed within 30 days thereafter at the offices of the Company. Such sale shall be effected by the Employee’s (or heirs’ or legal representatives’) delivery to the Company and/or other purchasing shareholders of a certificate or certificates evidencing the Repurchased Shares, duly endorsed for transfer to the Company and/or other purchasing shareholders, against payment to the Employee (or his or her heirs or</w:t>
      </w:r>
    </w:p>
    <w:p>
      <w:pPr>
        <w:sectPr>
          <w:pgSz w:w="11900" w:h="16838" w:orient="portrait"/>
          <w:cols w:equalWidth="0" w:num="1">
            <w:col w:w="11420"/>
          </w:cols>
          <w:pgMar w:left="240" w:top="337" w:right="239" w:bottom="0" w:gutter="0" w:footer="0" w:header="0"/>
        </w:sectPr>
      </w:pPr>
    </w:p>
    <w:bookmarkStart w:id="280" w:name="page281"/>
    <w:bookmarkEnd w:id="280"/>
    <w:p>
      <w:pPr>
        <w:jc w:val="center"/>
        <w:ind w:right="-1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representatives) by the Company and/or other purchasing shareholders of the Purchase Price for each Repurchased Share.</w:t>
      </w:r>
    </w:p>
    <w:p>
      <w:pPr>
        <w:spacing w:after="0" w:line="224" w:lineRule="exact"/>
        <w:rPr>
          <w:sz w:val="20"/>
          <w:szCs w:val="20"/>
          <w:color w:val="auto"/>
        </w:rPr>
      </w:pPr>
    </w:p>
    <w:p>
      <w:pPr>
        <w:jc w:val="both"/>
        <w:ind w:right="40" w:firstLine="634"/>
        <w:spacing w:after="0" w:line="273" w:lineRule="auto"/>
        <w:tabs>
          <w:tab w:leader="none" w:pos="1254" w:val="left"/>
        </w:tabs>
        <w:numPr>
          <w:ilvl w:val="0"/>
          <w:numId w:val="336"/>
        </w:numPr>
        <w:rPr>
          <w:rFonts w:ascii="Arial" w:cs="Arial" w:eastAsia="Arial" w:hAnsi="Arial"/>
          <w:sz w:val="17"/>
          <w:szCs w:val="17"/>
          <w:color w:val="auto"/>
        </w:rPr>
      </w:pPr>
      <w:r>
        <w:rPr>
          <w:rFonts w:ascii="Arial" w:cs="Arial" w:eastAsia="Arial" w:hAnsi="Arial"/>
          <w:sz w:val="17"/>
          <w:szCs w:val="17"/>
          <w:color w:val="auto"/>
        </w:rPr>
        <w:t>NOTICES. Any notices provided for in this Agreement or the Plan shall be given in writing and shall be deemed effectively given upon receipt or, in the case of notices delivered by mail by the Company to you, five days after deposit in the United States mail, postage prepaid, addressed to you at the last address you provided to the Company.</w:t>
      </w:r>
    </w:p>
    <w:p>
      <w:pPr>
        <w:spacing w:after="0" w:line="171" w:lineRule="exact"/>
        <w:rPr>
          <w:rFonts w:ascii="Arial" w:cs="Arial" w:eastAsia="Arial" w:hAnsi="Arial"/>
          <w:sz w:val="17"/>
          <w:szCs w:val="17"/>
          <w:color w:val="auto"/>
        </w:rPr>
      </w:pPr>
    </w:p>
    <w:p>
      <w:pPr>
        <w:jc w:val="both"/>
        <w:ind w:firstLine="634"/>
        <w:spacing w:after="0" w:line="298" w:lineRule="auto"/>
        <w:tabs>
          <w:tab w:leader="none" w:pos="1254" w:val="left"/>
        </w:tabs>
        <w:numPr>
          <w:ilvl w:val="0"/>
          <w:numId w:val="336"/>
        </w:numPr>
        <w:rPr>
          <w:rFonts w:ascii="Arial" w:cs="Arial" w:eastAsia="Arial" w:hAnsi="Arial"/>
          <w:sz w:val="16"/>
          <w:szCs w:val="16"/>
          <w:color w:val="auto"/>
        </w:rPr>
      </w:pPr>
      <w:r>
        <w:rPr>
          <w:rFonts w:ascii="Arial" w:cs="Arial" w:eastAsia="Arial" w:hAnsi="Arial"/>
          <w:sz w:val="16"/>
          <w:szCs w:val="16"/>
          <w:color w:val="auto"/>
        </w:rPr>
        <w:t>GOVERNING PLAN DOCUMENT. Your Option is subject to all the provisions of the Plan, the provisions of which are hereby made a part of your Option, and is further subject to all interpretations, amendments, rules and regulations which may from time to time be promulgated and adopted pursuant to the Plan. If there is any conflict between the provisions of this Agreement and those of the Plan, the provisions of the Plan shall control.</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parties hereto have executed this Agreement as of the Grant Date.</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APPLIED OPTOELECTRONICS, INC.</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-123190</wp:posOffset>
            </wp:positionV>
            <wp:extent cx="31546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9525</wp:posOffset>
            </wp:positionV>
            <wp:extent cx="31546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154680" cy="8255"/>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-123190</wp:posOffset>
            </wp:positionV>
            <wp:extent cx="31546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ACCEPTED AND AGREED TO:</w:t>
      </w:r>
    </w:p>
    <w:p>
      <w:pPr>
        <w:spacing w:after="0" w:line="224"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17145</wp:posOffset>
            </wp:positionV>
            <wp:extent cx="31546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By executing this Agreement, you acknowledge receipt of a copy of the Plan.</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type w:val="continuous"/>
        </w:sectPr>
      </w:pPr>
    </w:p>
    <w:bookmarkStart w:id="281" w:name="page282"/>
    <w:bookmarkEnd w:id="281"/>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7"/>
                <w:szCs w:val="17"/>
                <w:b w:val="1"/>
                <w:bCs w:val="1"/>
                <w:color w:val="auto"/>
              </w:rPr>
              <w:t>Exhibit 10.2.2</w:t>
            </w:r>
          </w:p>
        </w:tc>
      </w:tr>
      <w:tr>
        <w:trPr>
          <w:trHeight w:val="419"/>
        </w:trPr>
        <w:tc>
          <w:tcPr>
            <w:tcW w:w="3560" w:type="dxa"/>
            <w:vAlign w:val="bottom"/>
          </w:tcPr>
          <w:p>
            <w:pPr>
              <w:spacing w:after="0"/>
              <w:rPr>
                <w:sz w:val="24"/>
                <w:szCs w:val="24"/>
                <w:color w:val="auto"/>
              </w:rPr>
            </w:pPr>
          </w:p>
        </w:tc>
        <w:tc>
          <w:tcPr>
            <w:tcW w:w="4100" w:type="dxa"/>
            <w:vAlign w:val="bottom"/>
            <w:gridSpan w:val="3"/>
          </w:tcPr>
          <w:p>
            <w:pPr>
              <w:jc w:val="center"/>
              <w:ind w:left="113"/>
              <w:spacing w:after="0"/>
              <w:rPr>
                <w:sz w:val="20"/>
                <w:szCs w:val="20"/>
                <w:color w:val="auto"/>
              </w:rPr>
            </w:pPr>
            <w:r>
              <w:rPr>
                <w:rFonts w:ascii="Arial" w:cs="Arial" w:eastAsia="Arial" w:hAnsi="Arial"/>
                <w:sz w:val="17"/>
                <w:szCs w:val="17"/>
                <w:b w:val="1"/>
                <w:bCs w:val="1"/>
                <w:color w:val="auto"/>
              </w:rPr>
              <w:t>APPLIED OPTOELECTRONICS, INC.</w:t>
            </w:r>
          </w:p>
        </w:tc>
        <w:tc>
          <w:tcPr>
            <w:tcW w:w="14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81"/>
        </w:trPr>
        <w:tc>
          <w:tcPr>
            <w:tcW w:w="3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40" w:type="dxa"/>
            <w:vAlign w:val="bottom"/>
            <w:gridSpan w:val="2"/>
          </w:tcPr>
          <w:p>
            <w:pPr>
              <w:jc w:val="center"/>
              <w:ind w:right="660"/>
              <w:spacing w:after="0"/>
              <w:rPr>
                <w:sz w:val="20"/>
                <w:szCs w:val="20"/>
                <w:color w:val="auto"/>
              </w:rPr>
            </w:pPr>
            <w:r>
              <w:rPr>
                <w:rFonts w:ascii="Arial" w:cs="Arial" w:eastAsia="Arial" w:hAnsi="Arial"/>
                <w:sz w:val="17"/>
                <w:szCs w:val="17"/>
                <w:b w:val="1"/>
                <w:bCs w:val="1"/>
                <w:color w:val="auto"/>
                <w:w w:val="92"/>
              </w:rPr>
              <w:t>Incentive Stock Option Agreement</w:t>
            </w:r>
          </w:p>
        </w:tc>
        <w:tc>
          <w:tcPr>
            <w:tcW w:w="14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0"/>
        </w:trPr>
        <w:tc>
          <w:tcPr>
            <w:tcW w:w="4420" w:type="dxa"/>
            <w:vAlign w:val="bottom"/>
            <w:gridSpan w:val="2"/>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426"/>
        </w:trPr>
        <w:tc>
          <w:tcPr>
            <w:tcW w:w="7660" w:type="dxa"/>
            <w:vAlign w:val="bottom"/>
            <w:gridSpan w:val="4"/>
          </w:tcPr>
          <w:p>
            <w:pPr>
              <w:ind w:left="640"/>
              <w:spacing w:after="0"/>
              <w:rPr>
                <w:sz w:val="20"/>
                <w:szCs w:val="20"/>
                <w:color w:val="auto"/>
              </w:rPr>
            </w:pPr>
            <w:r>
              <w:rPr>
                <w:rFonts w:ascii="Arial" w:cs="Arial" w:eastAsia="Arial" w:hAnsi="Arial"/>
                <w:sz w:val="17"/>
                <w:szCs w:val="17"/>
                <w:color w:val="auto"/>
              </w:rPr>
              <w:t>Applied Optoelectronics, Inc., a Texas corporation (the “Company”), hereby grants as of the</w:t>
            </w:r>
          </w:p>
        </w:tc>
        <w:tc>
          <w:tcPr>
            <w:tcW w:w="1460" w:type="dxa"/>
            <w:vAlign w:val="bottom"/>
          </w:tcPr>
          <w:p>
            <w:pPr>
              <w:ind w:left="420"/>
              <w:spacing w:after="0"/>
              <w:rPr>
                <w:sz w:val="20"/>
                <w:szCs w:val="20"/>
                <w:color w:val="auto"/>
              </w:rPr>
            </w:pPr>
            <w:r>
              <w:rPr>
                <w:rFonts w:ascii="Arial" w:cs="Arial" w:eastAsia="Arial" w:hAnsi="Arial"/>
                <w:sz w:val="17"/>
                <w:szCs w:val="17"/>
                <w:color w:val="auto"/>
              </w:rPr>
              <w:t>, to</w:t>
            </w:r>
          </w:p>
        </w:tc>
        <w:tc>
          <w:tcPr>
            <w:tcW w:w="2300" w:type="dxa"/>
            <w:vAlign w:val="bottom"/>
          </w:tcPr>
          <w:p>
            <w:pPr>
              <w:jc w:val="right"/>
              <w:ind w:right="33"/>
              <w:spacing w:after="0"/>
              <w:rPr>
                <w:sz w:val="20"/>
                <w:szCs w:val="20"/>
                <w:color w:val="auto"/>
              </w:rPr>
            </w:pPr>
            <w:r>
              <w:rPr>
                <w:rFonts w:ascii="Arial" w:cs="Arial" w:eastAsia="Arial" w:hAnsi="Arial"/>
                <w:sz w:val="17"/>
                <w:szCs w:val="17"/>
                <w:color w:val="auto"/>
              </w:rPr>
              <w:t>(the “Employee”), an option</w:t>
            </w:r>
          </w:p>
        </w:tc>
      </w:tr>
      <w:tr>
        <w:trPr>
          <w:trHeight w:val="210"/>
        </w:trPr>
        <w:tc>
          <w:tcPr>
            <w:tcW w:w="3560" w:type="dxa"/>
            <w:vAlign w:val="bottom"/>
          </w:tcPr>
          <w:p>
            <w:pPr>
              <w:spacing w:after="0"/>
              <w:rPr>
                <w:sz w:val="20"/>
                <w:szCs w:val="20"/>
                <w:color w:val="auto"/>
              </w:rPr>
            </w:pPr>
            <w:r>
              <w:rPr>
                <w:rFonts w:ascii="Arial" w:cs="Arial" w:eastAsia="Arial" w:hAnsi="Arial"/>
                <w:sz w:val="17"/>
                <w:szCs w:val="17"/>
                <w:color w:val="auto"/>
              </w:rPr>
              <w:t>(the “Stock Option”) to purchase a maximum of</w:t>
            </w:r>
          </w:p>
        </w:tc>
        <w:tc>
          <w:tcPr>
            <w:tcW w:w="7860" w:type="dxa"/>
            <w:vAlign w:val="bottom"/>
            <w:gridSpan w:val="5"/>
          </w:tcPr>
          <w:p>
            <w:pPr>
              <w:jc w:val="right"/>
              <w:spacing w:after="0"/>
              <w:rPr>
                <w:sz w:val="20"/>
                <w:szCs w:val="20"/>
                <w:color w:val="auto"/>
              </w:rPr>
            </w:pPr>
            <w:r>
              <w:rPr>
                <w:rFonts w:ascii="Arial" w:cs="Arial" w:eastAsia="Arial" w:hAnsi="Arial"/>
                <w:sz w:val="17"/>
                <w:szCs w:val="17"/>
                <w:color w:val="auto"/>
                <w:w w:val="97"/>
              </w:rPr>
              <w:t>shares (the “Option Shares”) of its Common Stock, with no par value (“Common Stock”), at the price of  per</w:t>
            </w:r>
          </w:p>
        </w:tc>
      </w:tr>
      <w:tr>
        <w:trPr>
          <w:trHeight w:val="222"/>
        </w:trPr>
        <w:tc>
          <w:tcPr>
            <w:tcW w:w="9120" w:type="dxa"/>
            <w:vAlign w:val="bottom"/>
            <w:gridSpan w:val="5"/>
          </w:tcPr>
          <w:p>
            <w:pPr>
              <w:spacing w:after="0"/>
              <w:rPr>
                <w:sz w:val="20"/>
                <w:szCs w:val="20"/>
                <w:color w:val="auto"/>
              </w:rPr>
            </w:pPr>
            <w:r>
              <w:rPr>
                <w:rFonts w:ascii="Arial" w:cs="Arial" w:eastAsia="Arial" w:hAnsi="Arial"/>
                <w:sz w:val="17"/>
                <w:szCs w:val="17"/>
                <w:color w:val="auto"/>
                <w:w w:val="96"/>
              </w:rPr>
              <w:t>share (the “Option Price”), on the terms and conditions contained in this Incentive Stock Option Agreement (the “Agreement”):</w:t>
            </w:r>
          </w:p>
        </w:tc>
        <w:tc>
          <w:tcPr>
            <w:tcW w:w="2300" w:type="dxa"/>
            <w:vAlign w:val="bottom"/>
          </w:tcPr>
          <w:p>
            <w:pPr>
              <w:spacing w:after="0"/>
              <w:rPr>
                <w:sz w:val="19"/>
                <w:szCs w:val="19"/>
                <w:color w:val="auto"/>
              </w:rPr>
            </w:pPr>
          </w:p>
        </w:tc>
      </w:tr>
    </w:tbl>
    <w:p>
      <w:pPr>
        <w:spacing w:after="0" w:line="192" w:lineRule="exact"/>
        <w:rPr>
          <w:sz w:val="20"/>
          <w:szCs w:val="20"/>
          <w:color w:val="auto"/>
        </w:rPr>
      </w:pPr>
    </w:p>
    <w:p>
      <w:pPr>
        <w:ind w:right="20" w:firstLine="634"/>
        <w:spacing w:after="0" w:line="277" w:lineRule="auto"/>
        <w:tabs>
          <w:tab w:leader="none" w:pos="1258" w:val="left"/>
        </w:tabs>
        <w:numPr>
          <w:ilvl w:val="0"/>
          <w:numId w:val="33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1998 Incentive Share Plan</w:t>
      </w:r>
      <w:r>
        <w:rPr>
          <w:rFonts w:ascii="Arial" w:cs="Arial" w:eastAsia="Arial" w:hAnsi="Arial"/>
          <w:sz w:val="17"/>
          <w:szCs w:val="17"/>
          <w:b w:val="1"/>
          <w:bCs w:val="1"/>
          <w:color w:val="auto"/>
        </w:rPr>
        <w:t xml:space="preserve">. </w:t>
      </w:r>
      <w:r>
        <w:rPr>
          <w:rFonts w:ascii="Arial" w:cs="Arial" w:eastAsia="Arial" w:hAnsi="Arial"/>
          <w:sz w:val="17"/>
          <w:szCs w:val="17"/>
          <w:color w:val="auto"/>
        </w:rPr>
        <w:t>This Stock Option is granted pursuant to and is governed by the Company’s 1998 Incentive Share Plan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and, unless otherwise defined herein, capitalized terms used herein shall have the same meaning ascribed to such terms in the Plan. Determinations made in connection with this Stock Option pursuant to the Plan shall be governed by the Plan as it exists on this date.</w:t>
      </w:r>
    </w:p>
    <w:p>
      <w:pPr>
        <w:spacing w:after="0" w:line="162" w:lineRule="exact"/>
        <w:rPr>
          <w:rFonts w:ascii="Arial" w:cs="Arial" w:eastAsia="Arial" w:hAnsi="Arial"/>
          <w:sz w:val="17"/>
          <w:szCs w:val="17"/>
          <w:b w:val="1"/>
          <w:bCs w:val="1"/>
          <w:color w:val="auto"/>
        </w:rPr>
      </w:pPr>
    </w:p>
    <w:p>
      <w:pPr>
        <w:ind w:right="140" w:firstLine="634"/>
        <w:spacing w:after="0" w:line="277" w:lineRule="auto"/>
        <w:tabs>
          <w:tab w:leader="none" w:pos="1258" w:val="left"/>
        </w:tabs>
        <w:numPr>
          <w:ilvl w:val="0"/>
          <w:numId w:val="33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as Incentive Stock Option: Other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This Stock Option is intended to qualify as an incentive stock option under Section 422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Internal Revenue Code of 1986, as amended (the “Code”). </w:t>
      </w:r>
      <w:r>
        <w:rPr>
          <w:rFonts w:ascii="Arial" w:cs="Arial" w:eastAsia="Arial" w:hAnsi="Arial"/>
          <w:sz w:val="17"/>
          <w:szCs w:val="17"/>
          <w:u w:val="single" w:color="auto"/>
          <w:color w:val="auto"/>
        </w:rPr>
        <w:t>This Stock Option is in addition to any other options heretofore or hereafter granted to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Employee by the Company, but a duplicate original of this instrument shall not constitute the grant of another option.</w:t>
      </w:r>
    </w:p>
    <w:p>
      <w:pPr>
        <w:spacing w:after="0" w:line="162" w:lineRule="exact"/>
        <w:rPr>
          <w:rFonts w:ascii="Arial" w:cs="Arial" w:eastAsia="Arial" w:hAnsi="Arial"/>
          <w:sz w:val="17"/>
          <w:szCs w:val="17"/>
          <w:b w:val="1"/>
          <w:bCs w:val="1"/>
          <w:color w:val="auto"/>
        </w:rPr>
      </w:pPr>
    </w:p>
    <w:p>
      <w:pPr>
        <w:ind w:left="1260" w:hanging="626"/>
        <w:spacing w:after="0"/>
        <w:tabs>
          <w:tab w:leader="none" w:pos="1260" w:val="left"/>
        </w:tabs>
        <w:numPr>
          <w:ilvl w:val="0"/>
          <w:numId w:val="3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Vesting of Option if Employment Continues</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purpose of determining the vesting of the Stock Option granted hereunder, the vesting</w:t>
      </w:r>
    </w:p>
    <w:p>
      <w:pPr>
        <w:spacing w:after="0" w:line="4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date will start on , (the “Vesting Date”) and this Stock Option will vest over years. Subject to the earlier expiration of this Stock Option as herein provided and further subject to the continued employment of Employee by the Company, this Stock Option may be exercised, by written notice to the Company, at any time and from time to time after the date of execution hereof, but this Stock Option shall not be exercisable for more than the aggregate number of shares of Common Stock offered by this Stock Option as set forth opposite the following applicable Exercise Dates:</w:t>
      </w:r>
    </w:p>
    <w:p>
      <w:pPr>
        <w:spacing w:after="0" w:line="153"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Date</w:t>
            </w:r>
          </w:p>
        </w:tc>
        <w:tc>
          <w:tcPr>
            <w:tcW w:w="43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67"/>
        </w:trPr>
        <w:tc>
          <w:tcPr>
            <w:tcW w:w="2900" w:type="dxa"/>
            <w:vAlign w:val="bottom"/>
            <w:gridSpan w:val="2"/>
            <w:vMerge w:val="continue"/>
          </w:tcPr>
          <w:p>
            <w:pPr>
              <w:spacing w:after="0"/>
              <w:rPr>
                <w:sz w:val="14"/>
                <w:szCs w:val="14"/>
                <w:color w:val="auto"/>
              </w:rPr>
            </w:pPr>
          </w:p>
        </w:tc>
        <w:tc>
          <w:tcPr>
            <w:tcW w:w="4320" w:type="dxa"/>
            <w:vAlign w:val="bottom"/>
          </w:tcPr>
          <w:p>
            <w:pPr>
              <w:jc w:val="center"/>
              <w:spacing w:after="0"/>
              <w:rPr>
                <w:sz w:val="20"/>
                <w:szCs w:val="20"/>
                <w:color w:val="auto"/>
              </w:rPr>
            </w:pPr>
            <w:r>
              <w:rPr>
                <w:rFonts w:ascii="Arial" w:cs="Arial" w:eastAsia="Arial" w:hAnsi="Arial"/>
                <w:sz w:val="14"/>
                <w:szCs w:val="14"/>
                <w:b w:val="1"/>
                <w:bCs w:val="1"/>
                <w:color w:val="auto"/>
                <w:w w:val="86"/>
              </w:rPr>
              <w:t>Shares Purchasable</w:t>
            </w:r>
          </w:p>
        </w:tc>
        <w:tc>
          <w:tcPr>
            <w:tcW w:w="0" w:type="dxa"/>
            <w:vAlign w:val="bottom"/>
          </w:tcPr>
          <w:p>
            <w:pPr>
              <w:spacing w:after="0"/>
              <w:rPr>
                <w:sz w:val="1"/>
                <w:szCs w:val="1"/>
                <w:color w:val="auto"/>
              </w:rPr>
            </w:pPr>
          </w:p>
        </w:tc>
      </w:tr>
      <w:tr>
        <w:trPr>
          <w:trHeight w:val="137"/>
        </w:trPr>
        <w:tc>
          <w:tcPr>
            <w:tcW w:w="26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3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Notwithstanding the foregoing, (i) upon the occurrence of any Change in Control (as defined in the Plan), all Stock Options granted hereunder shall become immediately exercisable, and (ii) in accordance with and subject to the provisions of the Plan, the Board may, in its discretion, amend the vesting schedule and accelerate the date that any installment of this Stock Option becomes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Subject to the earlier termination of this Stock Option as provided herein, this Stock Option shall be for a period of circumstances, be exercisable after (the “Option Expiration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years and shall not, under any</w:t>
      </w:r>
    </w:p>
    <w:p>
      <w:pPr>
        <w:spacing w:after="0" w:line="450" w:lineRule="exact"/>
        <w:rPr>
          <w:sz w:val="20"/>
          <w:szCs w:val="20"/>
          <w:color w:val="auto"/>
        </w:rPr>
      </w:pPr>
    </w:p>
    <w:p>
      <w:pPr>
        <w:sectPr>
          <w:pgSz w:w="11900" w:h="16838" w:orient="portrait"/>
          <w:cols w:equalWidth="0" w:num="2">
            <w:col w:w="8660" w:space="360"/>
            <w:col w:w="2400"/>
          </w:cols>
          <w:pgMar w:left="240" w:top="357" w:right="239" w:bottom="0" w:gutter="0" w:footer="0" w:header="0"/>
          <w:type w:val="continuous"/>
        </w:sectPr>
      </w:pPr>
    </w:p>
    <w:p>
      <w:pPr>
        <w:ind w:right="200" w:firstLine="634"/>
        <w:spacing w:after="0" w:line="270" w:lineRule="auto"/>
        <w:tabs>
          <w:tab w:leader="none" w:pos="1258" w:val="left"/>
        </w:tabs>
        <w:numPr>
          <w:ilvl w:val="0"/>
          <w:numId w:val="3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 of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If the Employee ceases to be employed by the Company for any reason other than by reason of death or</w:t>
      </w:r>
      <w:r>
        <w:rPr>
          <w:rFonts w:ascii="Arial" w:cs="Arial" w:eastAsia="Arial" w:hAnsi="Arial"/>
          <w:sz w:val="17"/>
          <w:szCs w:val="17"/>
          <w:b w:val="1"/>
          <w:bCs w:val="1"/>
          <w:color w:val="auto"/>
        </w:rPr>
        <w:t xml:space="preserve"> </w:t>
      </w:r>
      <w:r>
        <w:rPr>
          <w:rFonts w:ascii="Arial" w:cs="Arial" w:eastAsia="Arial" w:hAnsi="Arial"/>
          <w:sz w:val="17"/>
          <w:szCs w:val="17"/>
          <w:color w:val="auto"/>
        </w:rPr>
        <w:t>Disability or Retirement, no further vesting shall occur, and this Stock Option shall terminate (and may no longer be exercised) on the earlier of ninety (90) days after the date of such termination or the Option Expiration Date; provided, however, that if the Employee’s employment is terminated as a result of a Change in Control, any remaining Stock Options hereunder shall become exercisable.</w:t>
      </w:r>
    </w:p>
    <w:p>
      <w:pPr>
        <w:spacing w:after="0" w:line="169" w:lineRule="exact"/>
        <w:rPr>
          <w:rFonts w:ascii="Arial" w:cs="Arial" w:eastAsia="Arial" w:hAnsi="Arial"/>
          <w:sz w:val="17"/>
          <w:szCs w:val="17"/>
          <w:b w:val="1"/>
          <w:bCs w:val="1"/>
          <w:color w:val="auto"/>
        </w:rPr>
      </w:pPr>
    </w:p>
    <w:p>
      <w:pPr>
        <w:ind w:left="1260" w:hanging="626"/>
        <w:spacing w:after="0"/>
        <w:tabs>
          <w:tab w:leader="none" w:pos="1260" w:val="left"/>
        </w:tabs>
        <w:numPr>
          <w:ilvl w:val="0"/>
          <w:numId w:val="3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Death, Disability</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b w:val="1"/>
          <w:bCs w:val="1"/>
          <w:color w:val="auto"/>
        </w:rPr>
      </w:pPr>
    </w:p>
    <w:p>
      <w:pPr>
        <w:ind w:right="20" w:firstLine="1263"/>
        <w:spacing w:after="0" w:line="264" w:lineRule="auto"/>
        <w:tabs>
          <w:tab w:leader="none" w:pos="1895" w:val="left"/>
        </w:tabs>
        <w:numPr>
          <w:ilvl w:val="1"/>
          <w:numId w:val="3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Death:</w:t>
      </w:r>
      <w:r>
        <w:rPr>
          <w:rFonts w:ascii="Arial" w:cs="Arial" w:eastAsia="Arial" w:hAnsi="Arial"/>
          <w:sz w:val="17"/>
          <w:szCs w:val="17"/>
          <w:b w:val="1"/>
          <w:bCs w:val="1"/>
          <w:color w:val="auto"/>
        </w:rPr>
        <w:t xml:space="preserve"> </w:t>
      </w:r>
      <w:r>
        <w:rPr>
          <w:rFonts w:ascii="Arial" w:cs="Arial" w:eastAsia="Arial" w:hAnsi="Arial"/>
          <w:sz w:val="17"/>
          <w:szCs w:val="17"/>
          <w:color w:val="auto"/>
        </w:rPr>
        <w:t>If the Employee dies while in the employ of the Company or during any period under Section 4 or Section 5(b) during which</w:t>
      </w:r>
      <w:r>
        <w:rPr>
          <w:rFonts w:ascii="Arial" w:cs="Arial" w:eastAsia="Arial" w:hAnsi="Arial"/>
          <w:sz w:val="17"/>
          <w:szCs w:val="17"/>
          <w:b w:val="1"/>
          <w:bCs w:val="1"/>
          <w:color w:val="auto"/>
        </w:rPr>
        <w:t xml:space="preserve"> </w:t>
      </w:r>
      <w:r>
        <w:rPr>
          <w:rFonts w:ascii="Arial" w:cs="Arial" w:eastAsia="Arial" w:hAnsi="Arial"/>
          <w:sz w:val="17"/>
          <w:szCs w:val="17"/>
          <w:color w:val="auto"/>
        </w:rPr>
        <w:t>the Employee has the right to exercise this Stock Option, this Stock Option may be exercised, to the extent otherwise exercisable on the date of his or her death, by the Employee’s estate, personal representative or beneficiary to whom this Stock Option has been assigned pursuant to Section 10, at any time on or before the earlier of (i) the date which is twelve (12) months after the date of the Employee’s death or (ii) the Option Expiration Date. Except as otherwise provided with respect to a Change in Control, the Employee’s estate, personal representative, or beneficiary to whom this Stock Option has been assigned shall not be entitled to purchase any shares in excess of the number of shares which the Employee was vested and entitled to purchase under Section 3 at the time of the Employee’s death.</w:t>
      </w:r>
    </w:p>
    <w:p>
      <w:pPr>
        <w:spacing w:after="0" w:line="172" w:lineRule="exact"/>
        <w:rPr>
          <w:rFonts w:ascii="Arial" w:cs="Arial" w:eastAsia="Arial" w:hAnsi="Arial"/>
          <w:sz w:val="17"/>
          <w:szCs w:val="17"/>
          <w:b w:val="1"/>
          <w:bCs w:val="1"/>
          <w:color w:val="auto"/>
        </w:rPr>
      </w:pPr>
    </w:p>
    <w:p>
      <w:pPr>
        <w:ind w:right="20" w:firstLine="1263"/>
        <w:spacing w:after="0" w:line="287" w:lineRule="auto"/>
        <w:tabs>
          <w:tab w:leader="none" w:pos="1905" w:val="left"/>
        </w:tabs>
        <w:numPr>
          <w:ilvl w:val="1"/>
          <w:numId w:val="3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Disability or Retirement</w:t>
      </w:r>
      <w:r>
        <w:rPr>
          <w:rFonts w:ascii="Arial" w:cs="Arial" w:eastAsia="Arial" w:hAnsi="Arial"/>
          <w:sz w:val="16"/>
          <w:szCs w:val="16"/>
          <w:b w:val="1"/>
          <w:bCs w:val="1"/>
          <w:color w:val="auto"/>
        </w:rPr>
        <w:t xml:space="preserve">: </w:t>
      </w:r>
      <w:r>
        <w:rPr>
          <w:rFonts w:ascii="Arial" w:cs="Arial" w:eastAsia="Arial" w:hAnsi="Arial"/>
          <w:sz w:val="16"/>
          <w:szCs w:val="16"/>
          <w:color w:val="auto"/>
        </w:rPr>
        <w:t>If the Employee ceases to be employed by the Company by reason of his or her Disability or Retirement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in the Plan), this Stock Option may be exercised, to the extent otherwise exercisable on the date of the termination of his or her employment, at any time on or before the earlier of (i) the date which is twelve (12) months after the date of such termination or (ii) the Option Expiration Date. Except as otherwise provided with respect to a Change in Control, the Employee shall not be entitled to purchase any shares in excess of the number of shares which the Employee is vested and entitled to purchase under Section 3 as of the date the Employee’s employment so terminates.</w:t>
      </w:r>
    </w:p>
    <w:p>
      <w:pPr>
        <w:spacing w:after="0" w:line="158" w:lineRule="exact"/>
        <w:rPr>
          <w:rFonts w:ascii="Arial" w:cs="Arial" w:eastAsia="Arial" w:hAnsi="Arial"/>
          <w:sz w:val="16"/>
          <w:szCs w:val="16"/>
          <w:b w:val="1"/>
          <w:bCs w:val="1"/>
          <w:color w:val="auto"/>
        </w:rPr>
      </w:pPr>
    </w:p>
    <w:p>
      <w:pPr>
        <w:ind w:right="180" w:firstLine="634"/>
        <w:spacing w:after="0" w:line="267" w:lineRule="auto"/>
        <w:tabs>
          <w:tab w:leader="none" w:pos="1258" w:val="left"/>
        </w:tabs>
        <w:numPr>
          <w:ilvl w:val="0"/>
          <w:numId w:val="3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Partial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This Stock Option may be exercised in part at any time and from time to time within the above limits, except that this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 may not be exercised for a fraction of a share unless such exercise is with respect to the final installment of stock subject to this Stock Option and cash in lieu of a fractional share must be paid to permit the Employee to exercise completely such final installment. Any fractional share with respect to which an installment of this Stock Option cannot be exercised because of the limitation contained in the preceding sentence shall remain subject to this Stock Option and shall be available for later purchase by the Employee in accordance with the terms hereof.</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65" w:lineRule="exact"/>
        <w:rPr>
          <w:rFonts w:ascii="Arial" w:cs="Arial" w:eastAsia="Arial" w:hAnsi="Arial"/>
          <w:sz w:val="17"/>
          <w:szCs w:val="17"/>
          <w:b w:val="1"/>
          <w:bCs w:val="1"/>
          <w:color w:val="auto"/>
        </w:rPr>
      </w:pPr>
    </w:p>
    <w:p>
      <w:pPr>
        <w:ind w:right="60" w:firstLine="634"/>
        <w:spacing w:after="0" w:line="297" w:lineRule="auto"/>
        <w:tabs>
          <w:tab w:leader="none" w:pos="1258" w:val="left"/>
        </w:tabs>
        <w:numPr>
          <w:ilvl w:val="0"/>
          <w:numId w:val="3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Payment of Price</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 price may only be paid in cash or by check. The option price of the Option Shares as to which this Stock Option</w:t>
      </w:r>
      <w:r>
        <w:rPr>
          <w:rFonts w:ascii="Arial" w:cs="Arial" w:eastAsia="Arial" w:hAnsi="Arial"/>
          <w:sz w:val="17"/>
          <w:szCs w:val="17"/>
          <w:b w:val="1"/>
          <w:bCs w:val="1"/>
          <w:color w:val="auto"/>
        </w:rPr>
        <w:t xml:space="preserve"> </w:t>
      </w:r>
      <w:r>
        <w:rPr>
          <w:rFonts w:ascii="Arial" w:cs="Arial" w:eastAsia="Arial" w:hAnsi="Arial"/>
          <w:sz w:val="17"/>
          <w:szCs w:val="17"/>
          <w:color w:val="auto"/>
        </w:rPr>
        <w:t>is exercised shall be paid in full at the time of exercise.</w:t>
      </w:r>
    </w:p>
    <w:p>
      <w:pPr>
        <w:spacing w:after="0" w:line="145" w:lineRule="exact"/>
        <w:rPr>
          <w:rFonts w:ascii="Arial" w:cs="Arial" w:eastAsia="Arial" w:hAnsi="Arial"/>
          <w:sz w:val="17"/>
          <w:szCs w:val="17"/>
          <w:b w:val="1"/>
          <w:bCs w:val="1"/>
          <w:color w:val="auto"/>
        </w:rPr>
      </w:pPr>
    </w:p>
    <w:p>
      <w:pPr>
        <w:ind w:firstLine="634"/>
        <w:spacing w:after="0" w:line="311" w:lineRule="auto"/>
        <w:tabs>
          <w:tab w:leader="none" w:pos="1258" w:val="left"/>
        </w:tabs>
        <w:numPr>
          <w:ilvl w:val="0"/>
          <w:numId w:val="33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Restrictions on Resale</w:t>
      </w:r>
      <w:r>
        <w:rPr>
          <w:rFonts w:ascii="Arial" w:cs="Arial" w:eastAsia="Arial" w:hAnsi="Arial"/>
          <w:sz w:val="15"/>
          <w:szCs w:val="15"/>
          <w:b w:val="1"/>
          <w:bCs w:val="1"/>
          <w:color w:val="auto"/>
        </w:rPr>
        <w:t xml:space="preserve">. </w:t>
      </w:r>
      <w:r>
        <w:rPr>
          <w:rFonts w:ascii="Arial" w:cs="Arial" w:eastAsia="Arial" w:hAnsi="Arial"/>
          <w:sz w:val="15"/>
          <w:szCs w:val="15"/>
          <w:color w:val="auto"/>
        </w:rPr>
        <w:t>Option Shares may not be transferred without the Company’s written consent except by will, by the laws of descent and</w:t>
      </w:r>
      <w:r>
        <w:rPr>
          <w:rFonts w:ascii="Arial" w:cs="Arial" w:eastAsia="Arial" w:hAnsi="Arial"/>
          <w:sz w:val="15"/>
          <w:szCs w:val="15"/>
          <w:b w:val="1"/>
          <w:bCs w:val="1"/>
          <w:color w:val="auto"/>
        </w:rPr>
        <w:t xml:space="preserve"> </w:t>
      </w:r>
      <w:r>
        <w:rPr>
          <w:rFonts w:ascii="Arial" w:cs="Arial" w:eastAsia="Arial" w:hAnsi="Arial"/>
          <w:sz w:val="15"/>
          <w:szCs w:val="15"/>
          <w:color w:val="auto"/>
        </w:rPr>
        <w:t>distribution and in accordance with the provisions of Section 17, if applicable. Option Shares will be subject to significant restrictions on transfer and will be deemed to be “restricted securities” for purposes of the Securities Act. Accordingly, the Option Shares must be sold in compliance with the registration requirements of the Applicable Legal Requirements or an exemption therefrom. Consistent with the terms of the Plan, the Company may, as a condition precedent to the exercise of this Stock Option, require an opinion of counsel, satisfactory to the Company, to the effect that the issuance of the Option Shares will not be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-1473835</wp:posOffset>
            </wp:positionV>
            <wp:extent cx="7271385" cy="2921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0" w:gutter="0" w:footer="0" w:header="0"/>
          <w:type w:val="continuous"/>
        </w:sectPr>
      </w:pPr>
    </w:p>
    <w:bookmarkStart w:id="282" w:name="page283"/>
    <w:bookmarkEnd w:id="282"/>
    <w:p>
      <w:pPr>
        <w:ind w:right="100"/>
        <w:spacing w:after="0" w:line="322" w:lineRule="auto"/>
        <w:rPr>
          <w:sz w:val="20"/>
          <w:szCs w:val="20"/>
          <w:color w:val="auto"/>
        </w:rPr>
      </w:pPr>
      <w:r>
        <w:rPr>
          <w:rFonts w:ascii="Arial" w:cs="Arial" w:eastAsia="Arial" w:hAnsi="Arial"/>
          <w:sz w:val="16"/>
          <w:szCs w:val="16"/>
          <w:color w:val="auto"/>
        </w:rPr>
        <w:t>violation of the Applicable Legal Requirements. Further, the Company may place legends on any certificates evidencing the Option Shares and issue stop transfer orders with respect thereto as the Company may deem necessary or advisable to assure compliance with the Applicable Legal Requirements.</w:t>
      </w:r>
    </w:p>
    <w:p>
      <w:pPr>
        <w:spacing w:after="0" w:line="130" w:lineRule="exact"/>
        <w:rPr>
          <w:sz w:val="20"/>
          <w:szCs w:val="20"/>
          <w:color w:val="auto"/>
        </w:rPr>
      </w:pPr>
    </w:p>
    <w:p>
      <w:pPr>
        <w:ind w:right="60" w:firstLine="634"/>
        <w:spacing w:after="0" w:line="281" w:lineRule="auto"/>
        <w:tabs>
          <w:tab w:leader="none" w:pos="1258" w:val="left"/>
        </w:tabs>
        <w:numPr>
          <w:ilvl w:val="0"/>
          <w:numId w:val="3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Method of Exercising Option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Agreement, this Stock Option may be exercised by written notice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at its principal executive office. Such notice shall state the election to exercise this Stock Option and the number of Option Shares for which it is being exercised and shall be signed by the person or persons so exercising this Stock Option. Such notice shall be accompanied by payment of the full purchase price of such shares, in cash or check, and the Company shall deliver a certificate or certificates representing such shares as soon as practicable after the notice shall be received. Such certificate or certificates shall be registered in the name of the person or persons so exercising this Stock Option (or if this Stock Option shall be exercised by the Employee and if the Employee shall so request in the notice exercising this Stock Option, shall be registered in the name of the Employee and another person jointly, with right of survivorship). In the event this option shall be exercised, pursuant to Section 5 hereof, by any person or persons other than the Employee, such notice shall be accompanied by appropriate proof of the right of such person or persons to exercise this Stock Option.</w:t>
      </w:r>
    </w:p>
    <w:p>
      <w:pPr>
        <w:spacing w:after="0" w:line="164" w:lineRule="exact"/>
        <w:rPr>
          <w:rFonts w:ascii="Arial" w:cs="Arial" w:eastAsia="Arial" w:hAnsi="Arial"/>
          <w:sz w:val="16"/>
          <w:szCs w:val="16"/>
          <w:b w:val="1"/>
          <w:bCs w:val="1"/>
          <w:color w:val="auto"/>
        </w:rPr>
      </w:pPr>
    </w:p>
    <w:p>
      <w:pPr>
        <w:ind w:right="260" w:firstLine="634"/>
        <w:spacing w:after="0" w:line="297" w:lineRule="auto"/>
        <w:tabs>
          <w:tab w:leader="none" w:pos="1254" w:val="left"/>
        </w:tabs>
        <w:numPr>
          <w:ilvl w:val="0"/>
          <w:numId w:val="3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Option Not Transferable</w:t>
      </w:r>
      <w:r>
        <w:rPr>
          <w:rFonts w:ascii="Arial" w:cs="Arial" w:eastAsia="Arial" w:hAnsi="Arial"/>
          <w:sz w:val="17"/>
          <w:szCs w:val="17"/>
          <w:b w:val="1"/>
          <w:bCs w:val="1"/>
          <w:color w:val="auto"/>
        </w:rPr>
        <w:t xml:space="preserve">. </w:t>
      </w:r>
      <w:r>
        <w:rPr>
          <w:rFonts w:ascii="Arial" w:cs="Arial" w:eastAsia="Arial" w:hAnsi="Arial"/>
          <w:sz w:val="17"/>
          <w:szCs w:val="17"/>
          <w:color w:val="auto"/>
        </w:rPr>
        <w:t>This Stock Option is not transferable or assignable except by will or by the laws of descent and distribution.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Employee’s lifetime only the Employee can exercise this Stock Option.</w:t>
      </w:r>
    </w:p>
    <w:p>
      <w:pPr>
        <w:spacing w:after="0" w:line="145" w:lineRule="exact"/>
        <w:rPr>
          <w:rFonts w:ascii="Arial" w:cs="Arial" w:eastAsia="Arial" w:hAnsi="Arial"/>
          <w:sz w:val="17"/>
          <w:szCs w:val="17"/>
          <w:b w:val="1"/>
          <w:bCs w:val="1"/>
          <w:color w:val="auto"/>
        </w:rPr>
      </w:pPr>
    </w:p>
    <w:p>
      <w:pPr>
        <w:ind w:left="1240" w:hanging="606"/>
        <w:spacing w:after="0"/>
        <w:tabs>
          <w:tab w:leader="none" w:pos="1240" w:val="left"/>
        </w:tabs>
        <w:numPr>
          <w:ilvl w:val="0"/>
          <w:numId w:val="33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 Obligation To Exercise Stock Option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grant and acceptance of this Stock Option imposes no obligation on the Employee to exercise it.</w:t>
      </w:r>
    </w:p>
    <w:p>
      <w:pPr>
        <w:spacing w:after="0" w:line="247" w:lineRule="exact"/>
        <w:rPr>
          <w:rFonts w:ascii="Arial" w:cs="Arial" w:eastAsia="Arial" w:hAnsi="Arial"/>
          <w:sz w:val="15"/>
          <w:szCs w:val="15"/>
          <w:b w:val="1"/>
          <w:bCs w:val="1"/>
          <w:color w:val="auto"/>
        </w:rPr>
      </w:pPr>
    </w:p>
    <w:p>
      <w:pPr>
        <w:ind w:right="80" w:firstLine="634"/>
        <w:spacing w:after="0" w:line="297" w:lineRule="auto"/>
        <w:tabs>
          <w:tab w:leader="none" w:pos="1254" w:val="left"/>
        </w:tabs>
        <w:numPr>
          <w:ilvl w:val="0"/>
          <w:numId w:val="3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Right to Continued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the Plan, this Agreement, nor the grant of this Stock Option shall confer upon or be construed as</w:t>
      </w:r>
      <w:r>
        <w:rPr>
          <w:rFonts w:ascii="Arial" w:cs="Arial" w:eastAsia="Arial" w:hAnsi="Arial"/>
          <w:sz w:val="17"/>
          <w:szCs w:val="17"/>
          <w:b w:val="1"/>
          <w:bCs w:val="1"/>
          <w:color w:val="auto"/>
        </w:rPr>
        <w:t xml:space="preserve"> </w:t>
      </w:r>
      <w:r>
        <w:rPr>
          <w:rFonts w:ascii="Arial" w:cs="Arial" w:eastAsia="Arial" w:hAnsi="Arial"/>
          <w:sz w:val="17"/>
          <w:szCs w:val="17"/>
          <w:color w:val="auto"/>
        </w:rPr>
        <w:t>giving the Employee any right to remain in the employ of the Company.</w:t>
      </w:r>
    </w:p>
    <w:p>
      <w:pPr>
        <w:spacing w:after="0" w:line="145" w:lineRule="exact"/>
        <w:rPr>
          <w:rFonts w:ascii="Arial" w:cs="Arial" w:eastAsia="Arial" w:hAnsi="Arial"/>
          <w:sz w:val="17"/>
          <w:szCs w:val="17"/>
          <w:b w:val="1"/>
          <w:bCs w:val="1"/>
          <w:color w:val="auto"/>
        </w:rPr>
      </w:pPr>
    </w:p>
    <w:p>
      <w:pPr>
        <w:ind w:left="1260" w:hanging="626"/>
        <w:spacing w:after="0"/>
        <w:tabs>
          <w:tab w:leader="none" w:pos="1260" w:val="left"/>
        </w:tabs>
        <w:numPr>
          <w:ilvl w:val="0"/>
          <w:numId w:val="33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 Rights as Stockholder until Exercise</w:t>
      </w:r>
      <w:r>
        <w:rPr>
          <w:rFonts w:ascii="Arial" w:cs="Arial" w:eastAsia="Arial" w:hAnsi="Arial"/>
          <w:sz w:val="15"/>
          <w:szCs w:val="15"/>
          <w:b w:val="1"/>
          <w:bCs w:val="1"/>
          <w:color w:val="auto"/>
        </w:rPr>
        <w:t xml:space="preserve">. </w:t>
      </w:r>
      <w:r>
        <w:rPr>
          <w:rFonts w:ascii="Arial" w:cs="Arial" w:eastAsia="Arial" w:hAnsi="Arial"/>
          <w:sz w:val="15"/>
          <w:szCs w:val="15"/>
          <w:color w:val="auto"/>
        </w:rPr>
        <w:t>The Employee shall have no rights as a shareholder with respect to the Option Shares until such time</w:t>
      </w:r>
    </w:p>
    <w:p>
      <w:pPr>
        <w:spacing w:after="0" w:line="55"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7"/>
          <w:szCs w:val="17"/>
          <w:color w:val="auto"/>
        </w:rPr>
        <w:t>as: (i) the Employee has exercised this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Stock Option by delivering a notice of exercise and has paid in full the purchase price for the shares so exercised in accordance with Section 9, and (ii) a certificate evidencing the Option Shares has been issued to the Employee. Except as is expressly provided in the Plan with respect to certain changes in the capitalization of the Company, no adjustment shall be made for dividends or similar rights for which the record date is prior to such date of exercise.</w:t>
      </w:r>
    </w:p>
    <w:p>
      <w:pPr>
        <w:spacing w:after="0" w:line="148" w:lineRule="exact"/>
        <w:rPr>
          <w:sz w:val="20"/>
          <w:szCs w:val="20"/>
          <w:color w:val="auto"/>
        </w:rPr>
      </w:pPr>
    </w:p>
    <w:p>
      <w:pPr>
        <w:ind w:right="60" w:firstLine="634"/>
        <w:spacing w:after="0" w:line="277" w:lineRule="auto"/>
        <w:tabs>
          <w:tab w:leader="none" w:pos="1254" w:val="left"/>
        </w:tabs>
        <w:numPr>
          <w:ilvl w:val="0"/>
          <w:numId w:val="3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Capital Changes and Business Successions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contains provisions covering the treatment of Stock Options in a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contingencies such as stock splits and mergers. Provisions in the Plan for adjustment with respect to stock subject to Stock Options and the related provisions with respect to successors to the business of the Company are hereby made applicable hereunder and are incorporated herein by reference.</w:t>
      </w:r>
    </w:p>
    <w:p>
      <w:pPr>
        <w:spacing w:after="0" w:line="162" w:lineRule="exact"/>
        <w:rPr>
          <w:rFonts w:ascii="Arial" w:cs="Arial" w:eastAsia="Arial" w:hAnsi="Arial"/>
          <w:sz w:val="17"/>
          <w:szCs w:val="17"/>
          <w:b w:val="1"/>
          <w:bCs w:val="1"/>
          <w:color w:val="auto"/>
        </w:rPr>
      </w:pPr>
    </w:p>
    <w:p>
      <w:pPr>
        <w:ind w:right="300" w:firstLine="634"/>
        <w:spacing w:after="0" w:line="270" w:lineRule="auto"/>
        <w:tabs>
          <w:tab w:leader="none" w:pos="1254" w:val="left"/>
        </w:tabs>
        <w:numPr>
          <w:ilvl w:val="0"/>
          <w:numId w:val="3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Early Disposition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Section 17, the Employee agrees to notify the Company in writing immediately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transfers any Option Shares, if such transfer occurs on or before the later of (a) the date which is two years after the date of this Agreement or (b) the date which is one year after the date the Employee acquired such Option Shares. The Employee also agrees to provide the Company with any information concerning any such transfer required by the Company for tax purposes.</w:t>
      </w:r>
    </w:p>
    <w:p>
      <w:pPr>
        <w:spacing w:after="0" w:line="169" w:lineRule="exact"/>
        <w:rPr>
          <w:rFonts w:ascii="Arial" w:cs="Arial" w:eastAsia="Arial" w:hAnsi="Arial"/>
          <w:sz w:val="17"/>
          <w:szCs w:val="17"/>
          <w:b w:val="1"/>
          <w:bCs w:val="1"/>
          <w:color w:val="auto"/>
        </w:rPr>
      </w:pPr>
    </w:p>
    <w:p>
      <w:pPr>
        <w:ind w:right="60" w:firstLine="634"/>
        <w:spacing w:after="0" w:line="283" w:lineRule="auto"/>
        <w:tabs>
          <w:tab w:leader="none" w:pos="1254" w:val="left"/>
        </w:tabs>
        <w:numPr>
          <w:ilvl w:val="0"/>
          <w:numId w:val="3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Withholding Taxes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Company in its discretion determines that it is obligated to withhold any tax in connection with the exercise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 or in connection with the transfer of, or the lapse of restrictions on, any Common Stock or other property acquired pursuant to this Stock Option, the Employee hereby agrees that the Company may withhold from the Employee’s wages or other remuneration the appropriate amount of tax. At the discretion of the Company, the amount required to be withheld may be withheld in cash from such wages or other remuneration or in kind from the Common Stock or other property otherwise deliverable to the Employee on exercise of this Stock Option. The Employee further agrees that the Company may require the Employee to make a cash payment to the Company if the Company determines that (i) the wages or other remuneration available for withholding are insufficient to satisfy the withholding obligation of the Company, or (ii) additional amounts should be withheld by the Company to satisfy the withholding obligation of the Company.</w:t>
      </w:r>
    </w:p>
    <w:p>
      <w:pPr>
        <w:spacing w:after="0" w:line="159" w:lineRule="exact"/>
        <w:rPr>
          <w:rFonts w:ascii="Arial" w:cs="Arial" w:eastAsia="Arial" w:hAnsi="Arial"/>
          <w:sz w:val="16"/>
          <w:szCs w:val="16"/>
          <w:b w:val="1"/>
          <w:bCs w:val="1"/>
          <w:color w:val="auto"/>
        </w:rPr>
      </w:pPr>
    </w:p>
    <w:p>
      <w:pPr>
        <w:ind w:left="1260" w:hanging="626"/>
        <w:spacing w:after="0"/>
        <w:tabs>
          <w:tab w:leader="none" w:pos="1260" w:val="left"/>
        </w:tabs>
        <w:numPr>
          <w:ilvl w:val="0"/>
          <w:numId w:val="3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Right of First Refusal</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b w:val="1"/>
          <w:bCs w:val="1"/>
          <w:color w:val="auto"/>
        </w:rPr>
      </w:pPr>
    </w:p>
    <w:p>
      <w:pPr>
        <w:ind w:right="120" w:firstLine="1263"/>
        <w:spacing w:after="0" w:line="296" w:lineRule="auto"/>
        <w:tabs>
          <w:tab w:leader="none" w:pos="1895" w:val="left"/>
        </w:tabs>
        <w:numPr>
          <w:ilvl w:val="1"/>
          <w:numId w:val="34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Primary Right of First Refusal by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If the Employee desires to transfer all or any part of the Option Shares to any person</w:t>
      </w:r>
      <w:r>
        <w:rPr>
          <w:rFonts w:ascii="Arial" w:cs="Arial" w:eastAsia="Arial" w:hAnsi="Arial"/>
          <w:sz w:val="15"/>
          <w:szCs w:val="15"/>
          <w:b w:val="1"/>
          <w:bCs w:val="1"/>
          <w:color w:val="auto"/>
        </w:rPr>
        <w:t xml:space="preserve"> </w:t>
      </w:r>
      <w:r>
        <w:rPr>
          <w:rFonts w:ascii="Arial" w:cs="Arial" w:eastAsia="Arial" w:hAnsi="Arial"/>
          <w:sz w:val="15"/>
          <w:szCs w:val="15"/>
          <w:color w:val="auto"/>
        </w:rPr>
        <w:t>other than the Company or other Shareholders (an “Offeror”), the Employee shall: (i) obtain in writing an irrevocable and unconditional bona fide offer (the “Offer”) for the purchase thereof from the Offeror; and (ii) give written notice (the “Option Notice”) to the Company and other Shareholders setting forth the Employee’s desire to transfer such shares, which Option Notice shall be accompanied by a photocopy of the Offer and shall set forth at least the name and address of the Offeror and the price and terms of the Offer. Upon receipt of the Option Notice, the Company shall have an option to purchase any or all of such Option</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740" w:type="dxa"/>
            <w:vAlign w:val="bottom"/>
          </w:tcPr>
          <w:p>
            <w:pPr>
              <w:spacing w:after="0"/>
              <w:rPr>
                <w:sz w:val="20"/>
                <w:szCs w:val="20"/>
                <w:color w:val="auto"/>
              </w:rPr>
            </w:pPr>
            <w:r>
              <w:rPr>
                <w:rFonts w:ascii="Arial" w:cs="Arial" w:eastAsia="Arial" w:hAnsi="Arial"/>
                <w:sz w:val="17"/>
                <w:szCs w:val="17"/>
                <w:color w:val="auto"/>
                <w:w w:val="95"/>
              </w:rPr>
              <w:t>Shares (the “Offered Shares”) specified in the Option Notice, such option to be exercisable by giving, within</w:t>
            </w:r>
          </w:p>
        </w:tc>
        <w:tc>
          <w:tcPr>
            <w:tcW w:w="3720" w:type="dxa"/>
            <w:vAlign w:val="bottom"/>
          </w:tcPr>
          <w:p>
            <w:pPr>
              <w:ind w:left="120"/>
              <w:spacing w:after="0"/>
              <w:rPr>
                <w:sz w:val="20"/>
                <w:szCs w:val="20"/>
                <w:color w:val="auto"/>
              </w:rPr>
            </w:pPr>
            <w:r>
              <w:rPr>
                <w:rFonts w:ascii="Arial" w:cs="Arial" w:eastAsia="Arial" w:hAnsi="Arial"/>
                <w:sz w:val="17"/>
                <w:szCs w:val="17"/>
                <w:color w:val="auto"/>
              </w:rPr>
              <w:t>days after receipt of the Option Notice, written</w:t>
            </w:r>
          </w:p>
        </w:tc>
      </w:tr>
      <w:tr>
        <w:trPr>
          <w:trHeight w:val="222"/>
        </w:trPr>
        <w:tc>
          <w:tcPr>
            <w:tcW w:w="7740" w:type="dxa"/>
            <w:vAlign w:val="bottom"/>
          </w:tcPr>
          <w:p>
            <w:pPr>
              <w:spacing w:after="0"/>
              <w:rPr>
                <w:sz w:val="20"/>
                <w:szCs w:val="20"/>
                <w:color w:val="auto"/>
              </w:rPr>
            </w:pPr>
            <w:r>
              <w:rPr>
                <w:rFonts w:ascii="Arial" w:cs="Arial" w:eastAsia="Arial" w:hAnsi="Arial"/>
                <w:sz w:val="17"/>
                <w:szCs w:val="17"/>
                <w:color w:val="auto"/>
              </w:rPr>
              <w:t>notice of such exercise to the Employee. If the Company elects to purchase any or all of such Offered</w:t>
            </w:r>
          </w:p>
        </w:tc>
        <w:tc>
          <w:tcPr>
            <w:tcW w:w="3720" w:type="dxa"/>
            <w:vAlign w:val="bottom"/>
          </w:tcPr>
          <w:p>
            <w:pPr>
              <w:spacing w:after="0"/>
              <w:rPr>
                <w:sz w:val="19"/>
                <w:szCs w:val="19"/>
                <w:color w:val="auto"/>
              </w:rPr>
            </w:pPr>
          </w:p>
        </w:tc>
      </w:tr>
      <w:tr>
        <w:trPr>
          <w:trHeight w:val="419"/>
        </w:trPr>
        <w:tc>
          <w:tcPr>
            <w:tcW w:w="7740" w:type="dxa"/>
            <w:vAlign w:val="bottom"/>
          </w:tcPr>
          <w:p>
            <w:pPr>
              <w:jc w:val="right"/>
              <w:ind w:right="1893"/>
              <w:spacing w:after="0"/>
              <w:rPr>
                <w:sz w:val="20"/>
                <w:szCs w:val="20"/>
                <w:color w:val="auto"/>
              </w:rPr>
            </w:pPr>
            <w:r>
              <w:rPr>
                <w:rFonts w:ascii="Arial" w:cs="Arial" w:eastAsia="Arial" w:hAnsi="Arial"/>
                <w:sz w:val="17"/>
                <w:szCs w:val="17"/>
                <w:color w:val="auto"/>
              </w:rPr>
              <w:t>4</w:t>
            </w:r>
          </w:p>
        </w:tc>
        <w:tc>
          <w:tcPr>
            <w:tcW w:w="3720" w:type="dxa"/>
            <w:vAlign w:val="bottom"/>
          </w:tcPr>
          <w:p>
            <w:pPr>
              <w:spacing w:after="0"/>
              <w:rPr>
                <w:sz w:val="24"/>
                <w:szCs w:val="24"/>
                <w:color w:val="auto"/>
              </w:rPr>
            </w:pPr>
          </w:p>
        </w:tc>
      </w:tr>
      <w:tr>
        <w:trPr>
          <w:trHeight w:val="128"/>
        </w:trPr>
        <w:tc>
          <w:tcPr>
            <w:tcW w:w="7740" w:type="dxa"/>
            <w:vAlign w:val="bottom"/>
            <w:tcBorders>
              <w:bottom w:val="single" w:sz="8" w:color="010101"/>
            </w:tcBorders>
          </w:tcPr>
          <w:p>
            <w:pPr>
              <w:spacing w:after="0"/>
              <w:rPr>
                <w:sz w:val="11"/>
                <w:szCs w:val="11"/>
                <w:color w:val="auto"/>
              </w:rPr>
            </w:pPr>
          </w:p>
        </w:tc>
        <w:tc>
          <w:tcPr>
            <w:tcW w:w="37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color w:val="auto"/>
        </w:rPr>
        <w:t>Shares, it shall be obligated to purchase, and the Employee shall be obligated to sell to the Company, such Offered Shares and said sale and purchase shall be closed within days thereafter.</w:t>
      </w:r>
    </w:p>
    <w:p>
      <w:pPr>
        <w:ind w:left="1760" w:hanging="497"/>
        <w:spacing w:after="0" w:line="224" w:lineRule="auto"/>
        <w:tabs>
          <w:tab w:leader="none" w:pos="1760" w:val="left"/>
        </w:tabs>
        <w:numPr>
          <w:ilvl w:val="0"/>
          <w:numId w:val="3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Secondary Right of First Refusal by Other Shareholders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Company provides written notice of its intent not to exercise its right</w:t>
      </w:r>
    </w:p>
    <w:p>
      <w:pPr>
        <w:spacing w:after="0" w:line="197"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of first refusal or otherwise fails to exercise its right of first refusal to purchase all of the Offered Shares before the expiration of the -day period set forth in Section 17(a), the other Shareholders of the Company shall have an option for a period of days following the date of the receipt of the Company’s written notice</w:t>
      </w:r>
    </w:p>
    <w:p>
      <w:pPr>
        <w:spacing w:after="0" w:line="1"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to acquire all or any part of such Offered Shares not otherwise purchased by the Company. If one or more other shareholders gives written notice to the Company and the Offeror that such shareholder exercises his option to purchase such Offered Shares, then such Offered Shares shall be allocated among the other Shareholders as they may agree or, if the other shareholders fail to reach such an agreement, the Offered Shares shall be allocated among the exercising shareholders in the ratio each exercising shareholder’s number of shares of Common Stock bears to the total number of shares of Common Stock owned by all other Shareholders exercising their option pursuant to this Section 17(b). To the extent any other shareholders elect to exercise their right of first refusal under this Section 17(b), such shareholder shall provide written notice of such exercise to the Employee and the Company within such -day period. If any other shareholders elect to purchase any or all of such Offered Shares, such shareholder shall be obligated to purchase, and the Employee shall be obligated to sell to such shareholders, such Offered Shares and said sale and purchase shall be closed within days thereafter.</w:t>
      </w:r>
    </w:p>
    <w:p>
      <w:pPr>
        <w:sectPr>
          <w:pgSz w:w="11900" w:h="16838" w:orient="portrait"/>
          <w:cols w:equalWidth="0" w:num="1">
            <w:col w:w="11460"/>
          </w:cols>
          <w:pgMar w:left="240" w:top="127" w:right="199" w:bottom="35" w:gutter="0" w:footer="0" w:header="0"/>
        </w:sectPr>
      </w:pPr>
    </w:p>
    <w:bookmarkStart w:id="283" w:name="page284"/>
    <w:bookmarkEnd w:id="283"/>
    <w:p>
      <w:pPr>
        <w:spacing w:after="0" w:line="84" w:lineRule="exact"/>
        <w:rPr>
          <w:sz w:val="20"/>
          <w:szCs w:val="20"/>
          <w:color w:val="auto"/>
        </w:rPr>
      </w:pPr>
    </w:p>
    <w:p>
      <w:pPr>
        <w:ind w:left="1900" w:hanging="637"/>
        <w:spacing w:after="0"/>
        <w:tabs>
          <w:tab w:leader="none" w:pos="1900" w:val="left"/>
        </w:tabs>
        <w:numPr>
          <w:ilvl w:val="1"/>
          <w:numId w:val="34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Purchase Price</w:t>
      </w:r>
      <w:r>
        <w:rPr>
          <w:rFonts w:ascii="Arial" w:cs="Arial" w:eastAsia="Arial" w:hAnsi="Arial"/>
          <w:sz w:val="15"/>
          <w:szCs w:val="15"/>
          <w:b w:val="1"/>
          <w:bCs w:val="1"/>
          <w:color w:val="auto"/>
        </w:rPr>
        <w:t xml:space="preserve">: </w:t>
      </w:r>
      <w:r>
        <w:rPr>
          <w:rFonts w:ascii="Arial" w:cs="Arial" w:eastAsia="Arial" w:hAnsi="Arial"/>
          <w:sz w:val="15"/>
          <w:szCs w:val="15"/>
          <w:color w:val="auto"/>
        </w:rPr>
        <w:t>The total purchase price to be paid by the Company or other Shareholders for the Offered Shares shall be the lower of</w:t>
      </w:r>
    </w:p>
    <w:p>
      <w:pPr>
        <w:spacing w:after="0" w:line="55" w:lineRule="exact"/>
        <w:rPr>
          <w:rFonts w:ascii="Arial" w:cs="Arial" w:eastAsia="Arial" w:hAnsi="Arial"/>
          <w:sz w:val="15"/>
          <w:szCs w:val="15"/>
          <w:b w:val="1"/>
          <w:bCs w:val="1"/>
          <w:color w:val="auto"/>
        </w:rPr>
      </w:pPr>
    </w:p>
    <w:p>
      <w:pPr>
        <w:ind w:left="220" w:hanging="215"/>
        <w:spacing w:after="0"/>
        <w:tabs>
          <w:tab w:leader="none" w:pos="22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the purchase price set forth in the Option Notice, or (ii) the purchase price determined pursuant to Section 18 (d).</w:t>
      </w:r>
    </w:p>
    <w:p>
      <w:pPr>
        <w:spacing w:after="0" w:line="206" w:lineRule="exact"/>
        <w:rPr>
          <w:sz w:val="20"/>
          <w:szCs w:val="20"/>
          <w:color w:val="auto"/>
        </w:rPr>
      </w:pPr>
    </w:p>
    <w:p>
      <w:pPr>
        <w:ind w:right="40" w:firstLine="1259"/>
        <w:spacing w:after="0" w:line="281" w:lineRule="auto"/>
        <w:rPr>
          <w:sz w:val="20"/>
          <w:szCs w:val="20"/>
          <w:color w:val="auto"/>
        </w:rPr>
      </w:pPr>
      <w:r>
        <w:rPr>
          <w:rFonts w:ascii="Arial" w:cs="Arial" w:eastAsia="Arial" w:hAnsi="Arial"/>
          <w:sz w:val="16"/>
          <w:szCs w:val="16"/>
          <w:b w:val="1"/>
          <w:bCs w:val="1"/>
          <w:color w:val="auto"/>
        </w:rPr>
        <w:t xml:space="preserve">(d) </w:t>
      </w:r>
      <w:r>
        <w:rPr>
          <w:rFonts w:ascii="Arial" w:cs="Arial" w:eastAsia="Arial" w:hAnsi="Arial"/>
          <w:sz w:val="16"/>
          <w:szCs w:val="16"/>
          <w:b w:val="1"/>
          <w:bCs w:val="1"/>
          <w:u w:val="single" w:color="auto"/>
          <w:color w:val="auto"/>
        </w:rPr>
        <w:t>Sale of Offered Shares to Offeror</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Employee may, for days after the expiration of the option periods as set forth in Sections</w:t>
      </w:r>
      <w:r>
        <w:rPr>
          <w:rFonts w:ascii="Arial" w:cs="Arial" w:eastAsia="Arial" w:hAnsi="Arial"/>
          <w:sz w:val="16"/>
          <w:szCs w:val="16"/>
          <w:b w:val="1"/>
          <w:bCs w:val="1"/>
          <w:color w:val="auto"/>
        </w:rPr>
        <w:t xml:space="preserve"> </w:t>
      </w:r>
      <w:r>
        <w:rPr>
          <w:rFonts w:ascii="Arial" w:cs="Arial" w:eastAsia="Arial" w:hAnsi="Arial"/>
          <w:sz w:val="16"/>
          <w:szCs w:val="16"/>
          <w:color w:val="auto"/>
        </w:rPr>
        <w:t>17(a) and (b) above, sell to the Offeror, pursuant to the terms of the Offer, any or all of such Offered Shares not purchased or agreed to be purchased by the Company or the other Shareholders; provided, however, that the Employee shall not sell such Offered Shares to such Offeror unless such Offeror shall execute an agreement with the Company pursuant to which such Offeror agrees to be subject to the restrictions set forth in this Section 17. In no event shall the Employee sell or transfer any Offered Shares to the Offeree without (i) making all required filings with, and obtaining any required approval from, any applicable governmental or other regulatory authority which the Company shall, in its sole discretion, determine to be necessary or advisable, and (ii) otherwise complying with the Applicable Legal Requirements regarding any transfer or sale of the Offered Shares. If any or all of such Offered Shares are not sold pursuant to an Offer within the time permitted above, the unsold Offered Shares shall remain subject to the terms of this Section 17.</w:t>
      </w:r>
    </w:p>
    <w:p>
      <w:pPr>
        <w:spacing w:after="0" w:line="164" w:lineRule="exact"/>
        <w:rPr>
          <w:sz w:val="20"/>
          <w:szCs w:val="20"/>
          <w:color w:val="auto"/>
        </w:rPr>
      </w:pPr>
    </w:p>
    <w:p>
      <w:pPr>
        <w:ind w:right="100" w:firstLine="1263"/>
        <w:spacing w:after="0" w:line="330" w:lineRule="auto"/>
        <w:tabs>
          <w:tab w:leader="none" w:pos="1898" w:val="left"/>
        </w:tabs>
        <w:numPr>
          <w:ilvl w:val="0"/>
          <w:numId w:val="34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Adjustments for Changes in Capital Structure</w:t>
      </w:r>
      <w:r>
        <w:rPr>
          <w:rFonts w:ascii="Arial" w:cs="Arial" w:eastAsia="Arial" w:hAnsi="Arial"/>
          <w:sz w:val="15"/>
          <w:szCs w:val="15"/>
          <w:b w:val="1"/>
          <w:bCs w:val="1"/>
          <w:color w:val="auto"/>
        </w:rPr>
        <w:t xml:space="preserve">: </w:t>
      </w:r>
      <w:r>
        <w:rPr>
          <w:rFonts w:ascii="Arial" w:cs="Arial" w:eastAsia="Arial" w:hAnsi="Arial"/>
          <w:sz w:val="15"/>
          <w:szCs w:val="15"/>
          <w:color w:val="auto"/>
        </w:rPr>
        <w:t>If there shall be any change in the Common Stock of the Company through merger,</w:t>
      </w:r>
      <w:r>
        <w:rPr>
          <w:rFonts w:ascii="Arial" w:cs="Arial" w:eastAsia="Arial" w:hAnsi="Arial"/>
          <w:sz w:val="15"/>
          <w:szCs w:val="15"/>
          <w:b w:val="1"/>
          <w:bCs w:val="1"/>
          <w:color w:val="auto"/>
        </w:rPr>
        <w:t xml:space="preserve"> </w:t>
      </w:r>
      <w:r>
        <w:rPr>
          <w:rFonts w:ascii="Arial" w:cs="Arial" w:eastAsia="Arial" w:hAnsi="Arial"/>
          <w:sz w:val="15"/>
          <w:szCs w:val="15"/>
          <w:color w:val="auto"/>
        </w:rPr>
        <w:t>consolidation, reorganization, recapitalization, stock dividend, stock split, combination or exchange of shares, or the like, the restrictions contained in Section 8 and this Section 17 shall apply with equal force to additional and/or substitute securities, if any, received by the Employee in exchange for, or by virtue of his or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her ownership of, Option Shares, except as otherwise determined by the Board of Directors of the Company.</w:t>
      </w:r>
    </w:p>
    <w:p>
      <w:pPr>
        <w:spacing w:after="0" w:line="218" w:lineRule="exact"/>
        <w:rPr>
          <w:sz w:val="20"/>
          <w:szCs w:val="20"/>
          <w:color w:val="auto"/>
        </w:rPr>
      </w:pPr>
    </w:p>
    <w:p>
      <w:pPr>
        <w:ind w:right="40" w:firstLine="1263"/>
        <w:spacing w:after="0" w:line="265" w:lineRule="auto"/>
        <w:tabs>
          <w:tab w:leader="none" w:pos="1892" w:val="left"/>
        </w:tabs>
        <w:numPr>
          <w:ilvl w:val="2"/>
          <w:numId w:val="3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Failure to Deliver Option Shares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Employee fails or refuses to deliver on a timely basis duly endorsed certificates representing</w:t>
      </w:r>
      <w:r>
        <w:rPr>
          <w:rFonts w:ascii="Arial" w:cs="Arial" w:eastAsia="Arial" w:hAnsi="Arial"/>
          <w:sz w:val="17"/>
          <w:szCs w:val="17"/>
          <w:b w:val="1"/>
          <w:bCs w:val="1"/>
          <w:color w:val="auto"/>
        </w:rPr>
        <w:t xml:space="preserve"> </w:t>
      </w:r>
      <w:r>
        <w:rPr>
          <w:rFonts w:ascii="Arial" w:cs="Arial" w:eastAsia="Arial" w:hAnsi="Arial"/>
          <w:sz w:val="17"/>
          <w:szCs w:val="17"/>
          <w:color w:val="auto"/>
        </w:rPr>
        <w:t>Offered Shares to be sold to the Company or the other Shareholders pursuant to this Section 17, the Company shall have the right to establish a special account in the name, and for the benefit of, the Employee and deposit the purchase price for such Offered Shares in such special account, giving notice of such deposit to the Employee, whereupon such Offered Shares shall be deemed to have been purchased by the Company and/or the other Shareholders. All such monies shall be held for the benefit of the Employee. The Company may place a legend on any certificates for Option Shares delivered to the Employee reflecting the restrictions on transfer provided in Section 8 hereof and this Section 17.</w:t>
      </w:r>
    </w:p>
    <w:p>
      <w:pPr>
        <w:spacing w:after="0" w:line="173" w:lineRule="exact"/>
        <w:rPr>
          <w:rFonts w:ascii="Arial" w:cs="Arial" w:eastAsia="Arial" w:hAnsi="Arial"/>
          <w:sz w:val="17"/>
          <w:szCs w:val="17"/>
          <w:b w:val="1"/>
          <w:bCs w:val="1"/>
          <w:color w:val="auto"/>
        </w:rPr>
      </w:pPr>
    </w:p>
    <w:p>
      <w:pPr>
        <w:ind w:left="1260" w:hanging="626"/>
        <w:spacing w:after="0"/>
        <w:tabs>
          <w:tab w:leader="none" w:pos="1260" w:val="left"/>
        </w:tabs>
        <w:numPr>
          <w:ilvl w:val="1"/>
          <w:numId w:val="3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Repurchase of Option Shares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right="60" w:firstLine="1263"/>
        <w:spacing w:after="0" w:line="281" w:lineRule="auto"/>
        <w:tabs>
          <w:tab w:leader="none" w:pos="1885" w:val="left"/>
        </w:tabs>
        <w:numPr>
          <w:ilvl w:val="2"/>
          <w:numId w:val="346"/>
        </w:numPr>
        <w:rPr>
          <w:rFonts w:ascii="Arial" w:cs="Arial" w:eastAsia="Arial" w:hAnsi="Arial"/>
          <w:sz w:val="16"/>
          <w:szCs w:val="16"/>
          <w:color w:val="auto"/>
        </w:rPr>
      </w:pPr>
      <w:r>
        <w:rPr>
          <w:rFonts w:ascii="Arial" w:cs="Arial" w:eastAsia="Arial" w:hAnsi="Arial"/>
          <w:sz w:val="16"/>
          <w:szCs w:val="16"/>
          <w:color w:val="auto"/>
        </w:rPr>
        <w:t>If (i) the Employee’s employment with the Company is terminated by either the Employee or the Company and the Employee is found in violation of the signed Employee Agreement or works, performs work for hire, consults, is self employed or otherwise employed, either directly or indirectly or</w:t>
      </w:r>
    </w:p>
    <w:p>
      <w:pPr>
        <w:ind w:left="260" w:hanging="255"/>
        <w:spacing w:after="0"/>
        <w:tabs>
          <w:tab w:leader="none" w:pos="26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causes or solicits others to work, performs work for hire, consults, or be self employed or otherwise employed, either directly or indirectly, in a business</w:t>
      </w:r>
    </w:p>
    <w:p>
      <w:pPr>
        <w:spacing w:after="0" w:line="25"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7"/>
          <w:szCs w:val="17"/>
          <w:color w:val="auto"/>
        </w:rPr>
        <w:t>competing with or acting against the Company’s interest, the Company and other shareholders shall have the absolute right to purchase all of the Option Shares owned by such Employee (the “Repurchase Shares”) in accordance with the option time periods and notice procedures provided for with respect to the purchase of the Offered Shares as set forth in Section 17(a) and (b) above. Only under the conditions set forth in this section shall the provisions set forth in 17(a) and 17(b) be extended to cover a time period of nine (9) months after the termination of Employee’s employment during which time the Company will have the first right to elect to purchase all or any portion of the Repurchase Shares.</w:t>
      </w:r>
    </w:p>
    <w:p>
      <w:pPr>
        <w:spacing w:after="0" w:line="183" w:lineRule="exact"/>
        <w:rPr>
          <w:rFonts w:ascii="Arial" w:cs="Arial" w:eastAsia="Arial" w:hAnsi="Arial"/>
          <w:sz w:val="16"/>
          <w:szCs w:val="16"/>
          <w:color w:val="auto"/>
        </w:rPr>
      </w:pPr>
    </w:p>
    <w:p>
      <w:pPr>
        <w:ind w:right="320" w:firstLine="1263"/>
        <w:spacing w:after="0" w:line="289" w:lineRule="auto"/>
        <w:tabs>
          <w:tab w:leader="none" w:pos="1895" w:val="left"/>
        </w:tabs>
        <w:numPr>
          <w:ilvl w:val="2"/>
          <w:numId w:val="347"/>
        </w:numPr>
        <w:rPr>
          <w:rFonts w:ascii="Arial" w:cs="Arial" w:eastAsia="Arial" w:hAnsi="Arial"/>
          <w:sz w:val="17"/>
          <w:szCs w:val="17"/>
          <w:color w:val="auto"/>
        </w:rPr>
      </w:pPr>
      <w:r>
        <w:rPr>
          <w:rFonts w:ascii="Arial" w:cs="Arial" w:eastAsia="Arial" w:hAnsi="Arial"/>
          <w:sz w:val="17"/>
          <w:szCs w:val="17"/>
          <w:color w:val="auto"/>
        </w:rPr>
        <w:t>The purchase price (the “Purchase Price”) per share of the Repurchased Shares under this Section 18 shall be the Fair Value of such shares as described in Section 18(d) below.</w:t>
      </w:r>
    </w:p>
    <w:p>
      <w:pPr>
        <w:spacing w:after="0" w:line="158" w:lineRule="exact"/>
        <w:rPr>
          <w:rFonts w:ascii="Arial" w:cs="Arial" w:eastAsia="Arial" w:hAnsi="Arial"/>
          <w:sz w:val="17"/>
          <w:szCs w:val="17"/>
          <w:color w:val="auto"/>
        </w:rPr>
      </w:pPr>
    </w:p>
    <w:p>
      <w:pPr>
        <w:ind w:right="120" w:firstLine="1263"/>
        <w:spacing w:after="0" w:line="263" w:lineRule="auto"/>
        <w:tabs>
          <w:tab w:leader="none" w:pos="1898" w:val="left"/>
        </w:tabs>
        <w:numPr>
          <w:ilvl w:val="2"/>
          <w:numId w:val="347"/>
        </w:numPr>
        <w:rPr>
          <w:rFonts w:ascii="Arial" w:cs="Arial" w:eastAsia="Arial" w:hAnsi="Arial"/>
          <w:sz w:val="17"/>
          <w:szCs w:val="17"/>
          <w:color w:val="auto"/>
        </w:rPr>
      </w:pPr>
      <w:r>
        <w:rPr>
          <w:rFonts w:ascii="Arial" w:cs="Arial" w:eastAsia="Arial" w:hAnsi="Arial"/>
          <w:sz w:val="17"/>
          <w:szCs w:val="17"/>
          <w:color w:val="auto"/>
        </w:rPr>
        <w:t>If the Company and/or the other shareholders exercise their option to purchase the Repurchased Shares, the closing of the sale of the Repurchased Shares shall be made at the offices of the Company on or before the 30th day following the expiration of the Company’s and other shareholder’s options as provided in Section 18(a). Such sale shall be effected by the Employee’s (or heirs’ or legal representatives’) delivery to the Company and/or other purchasing shareholders of a certificate or certificates evidencing the Repurchased Shares, duly endorsed for transfer to the Company and/or other purchasing shareholders, against payment to the Employee (or his or her heirs or legal representatives) by the Company and/or other purchasing shareholders of the Purchase Price for each Repurchased Share.</w:t>
      </w:r>
    </w:p>
    <w:p>
      <w:pPr>
        <w:spacing w:after="0" w:line="183" w:lineRule="exact"/>
        <w:rPr>
          <w:rFonts w:ascii="Arial" w:cs="Arial" w:eastAsia="Arial" w:hAnsi="Arial"/>
          <w:sz w:val="17"/>
          <w:szCs w:val="17"/>
          <w:color w:val="auto"/>
        </w:rPr>
      </w:pPr>
    </w:p>
    <w:p>
      <w:pPr>
        <w:ind w:right="40" w:firstLine="1263"/>
        <w:spacing w:after="0" w:line="273" w:lineRule="auto"/>
        <w:tabs>
          <w:tab w:leader="none" w:pos="1895" w:val="left"/>
        </w:tabs>
        <w:numPr>
          <w:ilvl w:val="2"/>
          <w:numId w:val="347"/>
        </w:numPr>
        <w:rPr>
          <w:rFonts w:ascii="Arial" w:cs="Arial" w:eastAsia="Arial" w:hAnsi="Arial"/>
          <w:sz w:val="17"/>
          <w:szCs w:val="17"/>
          <w:color w:val="auto"/>
        </w:rPr>
      </w:pPr>
      <w:r>
        <w:rPr>
          <w:rFonts w:ascii="Arial" w:cs="Arial" w:eastAsia="Arial" w:hAnsi="Arial"/>
          <w:sz w:val="17"/>
          <w:szCs w:val="17"/>
          <w:color w:val="auto"/>
        </w:rPr>
        <w:t>For purposes of this Agreement, “Fair Value” shall mean: (i) if the Company’s Common Stock is not then publicly traded on a national securities exchange or in the Nasdaq over-the-counter inter-dealer quotation system, the value per share as determined in good faith by the Board of Directors, either pursuant to the most recent grant of an incentive stock option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under the Company’s Plan, or as is established in good faith by the Board of Directors, or (ii) if the Company’s Common Stock is then publicly traded, “Fair Value” shall mean the average of the bid and asked price in the over-the-counter market as reported by Nasdaq or, if the Common Stock is then traded on a national securities exchange, or traded in the Nasdaq National Market, the average of the high and low sale prices quoted on such exchange or market system for the 20 consecutive trading days preceding the date of termination of the Employee’s employment with the Company. Nothing in this section is intended to survive Section 17(e) except as provided for in Section 18(a) of this agreement.</w:t>
      </w:r>
    </w:p>
    <w:p>
      <w:pPr>
        <w:spacing w:after="0" w:line="173" w:lineRule="exact"/>
        <w:rPr>
          <w:sz w:val="20"/>
          <w:szCs w:val="20"/>
          <w:color w:val="auto"/>
        </w:rPr>
      </w:pPr>
    </w:p>
    <w:p>
      <w:pPr>
        <w:ind w:right="140" w:firstLine="634"/>
        <w:spacing w:after="0" w:line="265" w:lineRule="auto"/>
        <w:tabs>
          <w:tab w:leader="none" w:pos="1254" w:val="left"/>
        </w:tabs>
        <w:numPr>
          <w:ilvl w:val="0"/>
          <w:numId w:val="3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Lock-up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Employee agrees that in connection with an underwritten public offering of Common Stock, or in the event of a</w:t>
      </w:r>
      <w:r>
        <w:rPr>
          <w:rFonts w:ascii="Arial" w:cs="Arial" w:eastAsia="Arial" w:hAnsi="Arial"/>
          <w:sz w:val="17"/>
          <w:szCs w:val="17"/>
          <w:b w:val="1"/>
          <w:bCs w:val="1"/>
          <w:color w:val="auto"/>
        </w:rPr>
        <w:t xml:space="preserve"> </w:t>
      </w:r>
      <w:r>
        <w:rPr>
          <w:rFonts w:ascii="Arial" w:cs="Arial" w:eastAsia="Arial" w:hAnsi="Arial"/>
          <w:sz w:val="17"/>
          <w:szCs w:val="17"/>
          <w:color w:val="auto"/>
        </w:rPr>
        <w:t>Change in Control as provided in Section 3 and Section 17(e), upon the request of the Company or the principal underwriter managing such public offering, this Option and the Option Shares may not be sold, offered for sale or otherwise disposed of without the prior written consent of the Company or such underwriter, as the case may be, for at least 180 days after the effectiveness of the registration statement filed in connection with such offering, or such longer period of time as the Board of Directors may determine if all of the Company’s directors and officers agree to be similarly bound. The lock-up agreement established pursuant to this paragraph 19 shall have perpetual duration.</w:t>
      </w:r>
    </w:p>
    <w:p>
      <w:pPr>
        <w:spacing w:after="0" w:line="173" w:lineRule="exact"/>
        <w:rPr>
          <w:rFonts w:ascii="Arial" w:cs="Arial" w:eastAsia="Arial" w:hAnsi="Arial"/>
          <w:sz w:val="17"/>
          <w:szCs w:val="17"/>
          <w:b w:val="1"/>
          <w:bCs w:val="1"/>
          <w:color w:val="auto"/>
        </w:rPr>
      </w:pPr>
    </w:p>
    <w:p>
      <w:pPr>
        <w:ind w:left="1260" w:hanging="626"/>
        <w:spacing w:after="0"/>
        <w:tabs>
          <w:tab w:leader="none" w:pos="1260" w:val="left"/>
        </w:tabs>
        <w:numPr>
          <w:ilvl w:val="0"/>
          <w:numId w:val="3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Provision of Documentation to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By signing this Agreement the Employee acknowledges receipt of a copy of this Agreement and a</w:t>
      </w:r>
    </w:p>
    <w:p>
      <w:pPr>
        <w:spacing w:after="0" w:line="43"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7"/>
          <w:szCs w:val="17"/>
          <w:color w:val="auto"/>
        </w:rPr>
        <w:t>copy of the Plan.</w:t>
      </w:r>
    </w:p>
    <w:p>
      <w:pPr>
        <w:spacing w:after="0" w:line="206" w:lineRule="exact"/>
        <w:rPr>
          <w:rFonts w:ascii="Arial" w:cs="Arial" w:eastAsia="Arial" w:hAnsi="Arial"/>
          <w:sz w:val="16"/>
          <w:szCs w:val="16"/>
          <w:b w:val="1"/>
          <w:bCs w:val="1"/>
          <w:color w:val="auto"/>
        </w:rPr>
      </w:pPr>
    </w:p>
    <w:p>
      <w:pPr>
        <w:ind w:left="1260" w:hanging="626"/>
        <w:spacing w:after="0"/>
        <w:tabs>
          <w:tab w:leader="none" w:pos="1260" w:val="left"/>
        </w:tabs>
        <w:numPr>
          <w:ilvl w:val="0"/>
          <w:numId w:val="3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b w:val="1"/>
          <w:bCs w:val="1"/>
          <w:color w:val="auto"/>
        </w:rPr>
      </w:pPr>
    </w:p>
    <w:p>
      <w:pPr>
        <w:ind w:right="20" w:firstLine="1263"/>
        <w:spacing w:after="0" w:line="368" w:lineRule="auto"/>
        <w:tabs>
          <w:tab w:leader="none" w:pos="1895" w:val="left"/>
        </w:tabs>
        <w:numPr>
          <w:ilvl w:val="1"/>
          <w:numId w:val="34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 xml:space="preserve">: </w:t>
      </w:r>
      <w:r>
        <w:rPr>
          <w:rFonts w:ascii="Arial" w:cs="Arial" w:eastAsia="Arial" w:hAnsi="Arial"/>
          <w:sz w:val="15"/>
          <w:szCs w:val="15"/>
          <w:color w:val="auto"/>
        </w:rPr>
        <w:t>All notices hereunder shall be in writing and shall be deemed given when sent by certified or registered mail, postage prepaid,</w:t>
      </w:r>
      <w:r>
        <w:rPr>
          <w:rFonts w:ascii="Arial" w:cs="Arial" w:eastAsia="Arial" w:hAnsi="Arial"/>
          <w:sz w:val="15"/>
          <w:szCs w:val="15"/>
          <w:b w:val="1"/>
          <w:bCs w:val="1"/>
          <w:color w:val="auto"/>
        </w:rPr>
        <w:t xml:space="preserve"> </w:t>
      </w:r>
      <w:r>
        <w:rPr>
          <w:rFonts w:ascii="Arial" w:cs="Arial" w:eastAsia="Arial" w:hAnsi="Arial"/>
          <w:sz w:val="15"/>
          <w:szCs w:val="15"/>
          <w:color w:val="auto"/>
        </w:rPr>
        <w:t>return receipt requested, to the address set forth below. The addresses for such notices may be changed from time to time by written notice given in the manner</w:t>
      </w:r>
    </w:p>
    <w:p>
      <w:pPr>
        <w:sectPr>
          <w:pgSz w:w="11900" w:h="16923" w:orient="portrait"/>
          <w:cols w:equalWidth="0" w:num="1">
            <w:col w:w="11420"/>
          </w:cols>
          <w:pgMar w:left="240" w:top="121" w:right="239" w:bottom="0" w:gutter="0" w:footer="0" w:header="0"/>
        </w:sectPr>
      </w:pPr>
    </w:p>
    <w:bookmarkStart w:id="284" w:name="page285"/>
    <w:bookmarkEnd w:id="284"/>
    <w:p>
      <w:pPr>
        <w:spacing w:after="0"/>
        <w:rPr>
          <w:sz w:val="20"/>
          <w:szCs w:val="20"/>
          <w:color w:val="auto"/>
        </w:rPr>
      </w:pPr>
      <w:r>
        <w:rPr>
          <w:rFonts w:ascii="Arial" w:cs="Arial" w:eastAsia="Arial" w:hAnsi="Arial"/>
          <w:sz w:val="17"/>
          <w:szCs w:val="17"/>
          <w:color w:val="auto"/>
        </w:rPr>
        <w:t>provided for herein.</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1263"/>
        <w:spacing w:after="0" w:line="330" w:lineRule="auto"/>
        <w:tabs>
          <w:tab w:leader="none" w:pos="1905" w:val="left"/>
        </w:tabs>
        <w:numPr>
          <w:ilvl w:val="0"/>
          <w:numId w:val="34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Entire Agreement; Modification</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together with the Plan which is incorporated herein, constitute the entire</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between the parties relative to the subject matter hereof, and supersede all proposals, written or oral, and all other communications between the parties relating to the subject matter of this Agreement. This Agreement may be modified, amended or rescinded only by a written agreement executed by both parties.</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20" w:firstLine="1263"/>
        <w:spacing w:after="0" w:line="297" w:lineRule="auto"/>
        <w:tabs>
          <w:tab w:leader="none" w:pos="1898" w:val="left"/>
        </w:tabs>
        <w:numPr>
          <w:ilvl w:val="0"/>
          <w:numId w:val="3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The invalidity, illegality or unenforceability of any provision of this Agreement shall in no way affect the validity,</w:t>
      </w:r>
      <w:r>
        <w:rPr>
          <w:rFonts w:ascii="Arial" w:cs="Arial" w:eastAsia="Arial" w:hAnsi="Arial"/>
          <w:sz w:val="17"/>
          <w:szCs w:val="17"/>
          <w:b w:val="1"/>
          <w:bCs w:val="1"/>
          <w:color w:val="auto"/>
        </w:rPr>
        <w:t xml:space="preserve"> </w:t>
      </w:r>
      <w:r>
        <w:rPr>
          <w:rFonts w:ascii="Arial" w:cs="Arial" w:eastAsia="Arial" w:hAnsi="Arial"/>
          <w:sz w:val="17"/>
          <w:szCs w:val="17"/>
          <w:color w:val="auto"/>
        </w:rPr>
        <w:t>legality or enforceability of any other provision.</w:t>
      </w:r>
    </w:p>
    <w:p>
      <w:pPr>
        <w:spacing w:after="0" w:line="145" w:lineRule="exact"/>
        <w:rPr>
          <w:rFonts w:ascii="Arial" w:cs="Arial" w:eastAsia="Arial" w:hAnsi="Arial"/>
          <w:sz w:val="17"/>
          <w:szCs w:val="17"/>
          <w:b w:val="1"/>
          <w:bCs w:val="1"/>
          <w:color w:val="auto"/>
        </w:rPr>
      </w:pPr>
    </w:p>
    <w:p>
      <w:pPr>
        <w:ind w:right="300" w:firstLine="1263"/>
        <w:spacing w:after="0" w:line="297" w:lineRule="auto"/>
        <w:tabs>
          <w:tab w:leader="none" w:pos="1905" w:val="left"/>
        </w:tabs>
        <w:numPr>
          <w:ilvl w:val="0"/>
          <w:numId w:val="3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binding upon and inure to the benefit of the parties hereto and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successors and assigns, subject to the limitations set forth in Section 10 hereof.</w:t>
      </w:r>
    </w:p>
    <w:p>
      <w:pPr>
        <w:spacing w:after="0" w:line="145" w:lineRule="exact"/>
        <w:rPr>
          <w:rFonts w:ascii="Arial" w:cs="Arial" w:eastAsia="Arial" w:hAnsi="Arial"/>
          <w:sz w:val="17"/>
          <w:szCs w:val="17"/>
          <w:b w:val="1"/>
          <w:bCs w:val="1"/>
          <w:color w:val="auto"/>
        </w:rPr>
      </w:pPr>
    </w:p>
    <w:p>
      <w:pPr>
        <w:ind w:right="340" w:firstLine="1263"/>
        <w:spacing w:after="0" w:line="297" w:lineRule="auto"/>
        <w:tabs>
          <w:tab w:leader="none" w:pos="1898" w:val="left"/>
        </w:tabs>
        <w:numPr>
          <w:ilvl w:val="0"/>
          <w:numId w:val="3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governed by and interpreted in accordance with the laws of the State of Texas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giving effect to the principles of the conflicts of laws thereof.</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Company and the Employee have caused this instrument to be executed as of the date first above written.</w:t>
      </w:r>
    </w:p>
    <w:p>
      <w:pPr>
        <w:spacing w:after="0" w:line="200" w:lineRule="exact"/>
        <w:rPr>
          <w:sz w:val="20"/>
          <w:szCs w:val="20"/>
          <w:color w:val="auto"/>
        </w:rPr>
      </w:pPr>
    </w:p>
    <w:p>
      <w:pPr>
        <w:spacing w:after="0" w:line="22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APPLIED OPTOELECTRONICS, INC.</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-123190</wp:posOffset>
            </wp:positionV>
            <wp:extent cx="314642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jc w:val="center"/>
        <w:ind w:left="3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EMPLOYEE</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-123190</wp:posOffset>
            </wp:positionV>
            <wp:extent cx="314642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280"/>
          </w:cols>
          <w:pgMar w:left="240" w:top="127" w:right="379" w:bottom="1440" w:gutter="0" w:footer="0" w:header="0"/>
        </w:sectPr>
      </w:pPr>
    </w:p>
    <w:bookmarkStart w:id="285" w:name="page286"/>
    <w:bookmarkEnd w:id="285"/>
    <w:p>
      <w:pPr>
        <w:jc w:val="right"/>
        <w:spacing w:after="0"/>
        <w:rPr>
          <w:sz w:val="20"/>
          <w:szCs w:val="20"/>
          <w:color w:val="auto"/>
        </w:rPr>
      </w:pPr>
      <w:r>
        <w:rPr>
          <w:rFonts w:ascii="Arial" w:cs="Arial" w:eastAsia="Arial" w:hAnsi="Arial"/>
          <w:sz w:val="17"/>
          <w:szCs w:val="17"/>
          <w:b w:val="1"/>
          <w:bCs w:val="1"/>
          <w:color w:val="auto"/>
        </w:rPr>
        <w:t>Exhibit 10.3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2000 INCENTIVE SHARE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220345</wp:posOffset>
            </wp:positionV>
            <wp:extent cx="182308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PURPOSE AND EFFECTIVE DATE</w:t>
      </w:r>
    </w:p>
    <w:p>
      <w:pPr>
        <w:spacing w:after="0" w:line="212"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i w:val="1"/>
          <w:iCs w:val="1"/>
          <w:u w:val="single" w:color="auto"/>
          <w:color w:val="auto"/>
        </w:rPr>
        <w:t>Purpose.</w:t>
      </w:r>
      <w:r>
        <w:rPr>
          <w:rFonts w:ascii="Arial" w:cs="Arial" w:eastAsia="Arial" w:hAnsi="Arial"/>
          <w:sz w:val="17"/>
          <w:szCs w:val="17"/>
          <w:color w:val="auto"/>
        </w:rPr>
        <w:t xml:space="preserve"> The purpose of the 2000 Incentive Share Plan (the “Plan”) is to advance the interests of Applied Optoelectronics, Inc. (the “Company”) and its shareholders by enabling the Company and each of its Subsidiaries (as hereinafter defined) to (A) provide share ownership opportunities to certain of their key employees to participate in the Company’s growth and (B) enhance their ability to attract and retain individuals of superior managerial or technical ability and to motivate employees, consultants, independent contractors, agents, and other persons to exert their best efforts towards future progress and profitability of the Company.</w:t>
      </w:r>
    </w:p>
    <w:p>
      <w:pPr>
        <w:spacing w:after="0" w:line="17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i w:val="1"/>
          <w:iCs w:val="1"/>
          <w:u w:val="single" w:color="auto"/>
          <w:color w:val="auto"/>
        </w:rPr>
        <w:t xml:space="preserve">Effective Date. </w:t>
      </w:r>
      <w:r>
        <w:rPr>
          <w:rFonts w:ascii="Arial" w:cs="Arial" w:eastAsia="Arial" w:hAnsi="Arial"/>
          <w:sz w:val="15"/>
          <w:szCs w:val="15"/>
          <w:color w:val="auto"/>
        </w:rPr>
        <w:t>The effective date of the Plan shall be the date that this Plan is approved by the shareholders of the Company.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used in this Plan, the following terms shall have the meanings set forth below unless the context otherwise requires:</w:t>
      </w:r>
    </w:p>
    <w:p>
      <w:pPr>
        <w:spacing w:after="0" w:line="224"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i w:val="1"/>
          <w:iCs w:val="1"/>
          <w:color w:val="auto"/>
        </w:rPr>
        <w:t>“Award”</w:t>
      </w:r>
      <w:r>
        <w:rPr>
          <w:rFonts w:ascii="Arial" w:cs="Arial" w:eastAsia="Arial" w:hAnsi="Arial"/>
          <w:sz w:val="17"/>
          <w:szCs w:val="17"/>
          <w:color w:val="auto"/>
        </w:rPr>
        <w:t xml:space="preserve"> shall mean the grant of a Stock Option, a Stock Appreciation Right, Restricted Stock, a Performance Award, or any other grant of incentive compensation pursuant to this Plan.</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Award Period</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Subsection 16.2</w:t>
      </w:r>
      <w:r>
        <w:rPr>
          <w:rFonts w:ascii="Arial" w:cs="Arial" w:eastAsia="Arial" w:hAnsi="Arial"/>
          <w:sz w:val="15"/>
          <w:szCs w:val="15"/>
          <w:color w:val="auto"/>
        </w:rPr>
        <w:t xml:space="preserve"> of this Plan.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6"/>
          <w:szCs w:val="16"/>
          <w:i w:val="1"/>
          <w:iCs w:val="1"/>
          <w:color w:val="auto"/>
        </w:rPr>
        <w:t xml:space="preserve">“Board” </w:t>
      </w:r>
      <w:r>
        <w:rPr>
          <w:rFonts w:ascii="Arial" w:cs="Arial" w:eastAsia="Arial" w:hAnsi="Arial"/>
          <w:sz w:val="16"/>
          <w:szCs w:val="16"/>
          <w:color w:val="auto"/>
        </w:rPr>
        <w:t>shall mean the Board of Directors of the Company, as the same may be constituted from time to time.</w:t>
      </w:r>
    </w:p>
    <w:p>
      <w:pPr>
        <w:spacing w:after="0" w:line="224" w:lineRule="exact"/>
        <w:rPr>
          <w:sz w:val="20"/>
          <w:szCs w:val="20"/>
          <w:color w:val="auto"/>
        </w:rPr>
      </w:pPr>
    </w:p>
    <w:p>
      <w:pPr>
        <w:ind w:right="80" w:firstLine="629"/>
        <w:spacing w:after="0" w:line="262"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i w:val="1"/>
          <w:iCs w:val="1"/>
          <w:color w:val="auto"/>
        </w:rPr>
        <w:t>“Change in Control”</w:t>
      </w:r>
      <w:r>
        <w:rPr>
          <w:rFonts w:ascii="Arial" w:cs="Arial" w:eastAsia="Arial" w:hAnsi="Arial"/>
          <w:sz w:val="17"/>
          <w:szCs w:val="17"/>
          <w:color w:val="auto"/>
        </w:rPr>
        <w:t xml:space="preserve"> has the meaning given such term in the applicable Award agreement or, if not defined therein, shall mean, after the effective date of this Plan stated in </w:t>
      </w:r>
      <w:r>
        <w:rPr>
          <w:rFonts w:ascii="Arial" w:cs="Arial" w:eastAsia="Arial" w:hAnsi="Arial"/>
          <w:sz w:val="17"/>
          <w:szCs w:val="17"/>
          <w:u w:val="single" w:color="auto"/>
          <w:color w:val="auto"/>
        </w:rPr>
        <w:t>Subsection 1.2</w:t>
      </w:r>
      <w:r>
        <w:rPr>
          <w:rFonts w:ascii="Arial" w:cs="Arial" w:eastAsia="Arial" w:hAnsi="Arial"/>
          <w:sz w:val="17"/>
          <w:szCs w:val="17"/>
          <w:color w:val="auto"/>
        </w:rPr>
        <w:t>, (i) the occurrence of an event of a nature that would be required to be reported by the Company in response to Item 1 of a Current Report on Form 8-K (or any successor to such form), whether or not the Company is, in fact, required to report on such form, promulgated pursuant to the Exchange Act; provided that, without limitation, such a Change in Control shall be deemed to have occurred if (a) any Person or group (as defined in the Exchange Act), other than (A) the Company, (B) a wholly-owned Subsidiary, (C) any employee benefit plan (including, without limitation, an employee stock ownership plan) adopted by the Company or any wholly-owned Subsidiary or (D) any trustee or other fiduciary holding securities under any employee benefit plan adopted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189230</wp:posOffset>
            </wp:positionV>
            <wp:extent cx="7271385" cy="2921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Company or any Subsidiary, becomes the “beneficial owner” (as defined in Rule 13d-3 (or any successor to such rule) promulgated under the Exchange Act), directly or indirectly, of securities of the Company representing fifty percent (50%) or more of the combined voting power of the Company’s then outstanding securities or (b) during any period of twenty-four (24) months, individuals who at the beginning of such period constitute the Board cease for any reason to constitute at least a majority thereof, unless the election by the Board or the nomination for election by the Company’s shareholders was approved by a vote of at least two-thirds (2/3) of the directors then still in office who either were directors at the beginning of such twenty-four (24) month period or whose election or nomination for election was previously so approved; (ii) a Corporate Transaction is consummated, other than a Corporate Transaction that would result in substantially all of the holders of voting securities of the Company outstanding immediately prior thereto owning (directly or indirectly and in substantially the same proportions relative to each other) not less than fifty percent (50%) of the combined voting power of the voting securities of the issuing/surviving/resulting entity outstanding immediately after such Corporate Transaction; or (iii) an agreement for the sale or other disposition of all or substantially all of the Company’s assets (evaluated on a consolidated basis, without regard to whether the sale or disposition is effected via a sale or disposition of assets of the Company, the sale or disposition of the securities of one or more Subsidiaries or the sale or disposition of the assets of one or more Subsidiaries) is consummated.</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i w:val="1"/>
          <w:iCs w:val="1"/>
          <w:color w:val="auto"/>
        </w:rPr>
        <w:t xml:space="preserve">“Code” </w:t>
      </w:r>
      <w:r>
        <w:rPr>
          <w:rFonts w:ascii="Arial" w:cs="Arial" w:eastAsia="Arial" w:hAnsi="Arial"/>
          <w:sz w:val="15"/>
          <w:szCs w:val="15"/>
          <w:color w:val="auto"/>
        </w:rPr>
        <w:t>shall mean the Internal Revenue Code of 1986, as amended from time to time (or any successor to such legislation).</w:t>
      </w:r>
    </w:p>
    <w:p>
      <w:pPr>
        <w:spacing w:after="0" w:line="224" w:lineRule="exact"/>
        <w:rPr>
          <w:sz w:val="20"/>
          <w:szCs w:val="20"/>
          <w:color w:val="auto"/>
        </w:rPr>
      </w:pPr>
    </w:p>
    <w:p>
      <w:pPr>
        <w:ind w:right="60" w:firstLine="629"/>
        <w:spacing w:after="0" w:line="290"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shall mean the Compensation Committee of the Board, if such a committee shall have been appointed and consist of two (2) or more directors of the Company who are both “Non-Employee Directors” (as that term is defined in Rule 16b-3 (or any successor to such rule) promulgated under the Exchange Act) and “outside directors” within the meaning of Section 162(m) of the Code and such Treasury regulations as may be promulgated thereunder. If a separate Compensation Committee with such membership shall not have been appointed, “Committee” shall mean the Board.</w:t>
      </w:r>
    </w:p>
    <w:p>
      <w:pPr>
        <w:spacing w:after="0" w:line="15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6"/>
          <w:szCs w:val="16"/>
          <w:i w:val="1"/>
          <w:iCs w:val="1"/>
          <w:color w:val="auto"/>
        </w:rPr>
        <w:t xml:space="preserve">“Company” </w:t>
      </w:r>
      <w:r>
        <w:rPr>
          <w:rFonts w:ascii="Arial" w:cs="Arial" w:eastAsia="Arial" w:hAnsi="Arial"/>
          <w:sz w:val="16"/>
          <w:szCs w:val="16"/>
          <w:color w:val="auto"/>
        </w:rPr>
        <w:t>shall mean Applied Optoelectronics, Inc., a Texas corporation.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5"/>
          <w:szCs w:val="15"/>
          <w:i w:val="1"/>
          <w:iCs w:val="1"/>
          <w:color w:val="auto"/>
        </w:rPr>
        <w:t xml:space="preserve">“Consultant” </w:t>
      </w:r>
      <w:r>
        <w:rPr>
          <w:rFonts w:ascii="Arial" w:cs="Arial" w:eastAsia="Arial" w:hAnsi="Arial"/>
          <w:sz w:val="15"/>
          <w:szCs w:val="15"/>
          <w:color w:val="auto"/>
        </w:rPr>
        <w:t>shall mean any Person who or which is engaged by the Company or any Subsidiary to render services as a consultant or advisor.</w:t>
      </w:r>
    </w:p>
    <w:p>
      <w:pPr>
        <w:spacing w:after="0" w:line="224" w:lineRule="exact"/>
        <w:rPr>
          <w:sz w:val="20"/>
          <w:szCs w:val="20"/>
          <w:color w:val="auto"/>
        </w:rPr>
      </w:pPr>
    </w:p>
    <w:p>
      <w:pPr>
        <w:ind w:right="540" w:firstLine="629"/>
        <w:spacing w:after="0" w:line="289"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i w:val="1"/>
          <w:iCs w:val="1"/>
          <w:color w:val="auto"/>
        </w:rPr>
        <w:t>“Corporate Transaction”</w:t>
      </w:r>
      <w:r>
        <w:rPr>
          <w:rFonts w:ascii="Arial" w:cs="Arial" w:eastAsia="Arial" w:hAnsi="Arial"/>
          <w:sz w:val="17"/>
          <w:szCs w:val="17"/>
          <w:color w:val="auto"/>
        </w:rPr>
        <w:t xml:space="preserve"> shall mean any reorganization, merger, consolidation or conversion involving the Company or any exchange of securities involving Shares, other than a Recapitalization.</w:t>
      </w:r>
    </w:p>
    <w:p>
      <w:pPr>
        <w:spacing w:after="0" w:line="158"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i w:val="1"/>
          <w:iCs w:val="1"/>
          <w:color w:val="auto"/>
        </w:rPr>
        <w:t>“Designated Beneficiary”</w:t>
      </w:r>
      <w:r>
        <w:rPr>
          <w:rFonts w:ascii="Arial" w:cs="Arial" w:eastAsia="Arial" w:hAnsi="Arial"/>
          <w:sz w:val="17"/>
          <w:szCs w:val="17"/>
          <w:color w:val="auto"/>
        </w:rPr>
        <w:t xml:space="preserve"> shall mean the beneficiary designated by a Participant, in a manner authorized by the Committee, to exercise the rights of such Participant in the event of such Participant’s death. In the absence of an effective designation by a Participant, the Designated Beneficiary shall be such Participant’s estate.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8" w:right="239" w:bottom="534" w:gutter="0" w:footer="0" w:header="0"/>
        </w:sectPr>
      </w:pPr>
    </w:p>
    <w:bookmarkStart w:id="286" w:name="page287"/>
    <w:bookmarkEnd w:id="286"/>
    <w:p>
      <w:pPr>
        <w:jc w:val="both"/>
        <w:ind w:right="360" w:firstLine="629"/>
        <w:spacing w:after="0" w:line="273"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i w:val="1"/>
          <w:iCs w:val="1"/>
          <w:color w:val="auto"/>
        </w:rPr>
        <w:t>“Disability”</w:t>
      </w:r>
      <w:r>
        <w:rPr>
          <w:rFonts w:ascii="Arial" w:cs="Arial" w:eastAsia="Arial" w:hAnsi="Arial"/>
          <w:sz w:val="17"/>
          <w:szCs w:val="17"/>
          <w:color w:val="auto"/>
        </w:rPr>
        <w:t xml:space="preserve"> shall mean permanent and total inability to engage in any substantial gainful activity, even with reasonable accommodation, by reason of any medically determinable physical or mental impairment which has lasted or can reasonably be expected to last without material interruption for a period of not less than twelve (12) months, as determined in the sole discretion of the Committee.</w:t>
      </w:r>
    </w:p>
    <w:p>
      <w:pPr>
        <w:spacing w:after="0" w:line="17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5"/>
          <w:szCs w:val="15"/>
          <w:i w:val="1"/>
          <w:iCs w:val="1"/>
          <w:color w:val="auto"/>
        </w:rPr>
        <w:t xml:space="preserve">“Exchange Act” </w:t>
      </w:r>
      <w:r>
        <w:rPr>
          <w:rFonts w:ascii="Arial" w:cs="Arial" w:eastAsia="Arial" w:hAnsi="Arial"/>
          <w:sz w:val="15"/>
          <w:szCs w:val="15"/>
          <w:color w:val="auto"/>
        </w:rPr>
        <w:t>shall mean the Securities Exchange Act of 1934, as amended from time to time (or any successor to such legislation).</w:t>
      </w:r>
    </w:p>
    <w:p>
      <w:pPr>
        <w:spacing w:after="0" w:line="224" w:lineRule="exact"/>
        <w:rPr>
          <w:sz w:val="20"/>
          <w:szCs w:val="20"/>
          <w:color w:val="auto"/>
        </w:rPr>
      </w:pPr>
    </w:p>
    <w:p>
      <w:pPr>
        <w:ind w:right="40" w:firstLine="629"/>
        <w:spacing w:after="0" w:line="300" w:lineRule="auto"/>
        <w:rPr>
          <w:sz w:val="20"/>
          <w:szCs w:val="20"/>
          <w:color w:val="auto"/>
        </w:rPr>
      </w:pPr>
      <w:r>
        <w:rPr>
          <w:rFonts w:ascii="Arial" w:cs="Arial" w:eastAsia="Arial" w:hAnsi="Arial"/>
          <w:sz w:val="15"/>
          <w:szCs w:val="15"/>
          <w:color w:val="auto"/>
        </w:rPr>
        <w:t xml:space="preserve">2.13 </w:t>
      </w:r>
      <w:r>
        <w:rPr>
          <w:rFonts w:ascii="Arial" w:cs="Arial" w:eastAsia="Arial" w:hAnsi="Arial"/>
          <w:sz w:val="15"/>
          <w:szCs w:val="15"/>
          <w:i w:val="1"/>
          <w:iCs w:val="1"/>
          <w:color w:val="auto"/>
        </w:rPr>
        <w:t>“Fair Market Value”</w:t>
      </w:r>
      <w:r>
        <w:rPr>
          <w:rFonts w:ascii="Arial" w:cs="Arial" w:eastAsia="Arial" w:hAnsi="Arial"/>
          <w:sz w:val="15"/>
          <w:szCs w:val="15"/>
          <w:color w:val="auto"/>
        </w:rPr>
        <w:t xml:space="preserve"> shall mean with respect to the Shares, as of any date, (i) if the Shares are listed or admitted to trade on a national securities exchange, the closing price of the Shares on the composite tape, as published in the </w:t>
      </w:r>
      <w:r>
        <w:rPr>
          <w:rFonts w:ascii="Arial" w:cs="Arial" w:eastAsia="Arial" w:hAnsi="Arial"/>
          <w:sz w:val="15"/>
          <w:szCs w:val="15"/>
          <w:i w:val="1"/>
          <w:iCs w:val="1"/>
          <w:color w:val="auto"/>
        </w:rPr>
        <w:t>Wall Street Journal</w:t>
      </w:r>
      <w:r>
        <w:rPr>
          <w:rFonts w:ascii="Arial" w:cs="Arial" w:eastAsia="Arial" w:hAnsi="Arial"/>
          <w:sz w:val="15"/>
          <w:szCs w:val="15"/>
          <w:color w:val="auto"/>
        </w:rPr>
        <w:t>, of the principal national securities exchange on which the Shares are so listed or admitted to trade, on such date or, if there is no trading in Shares on such date, then the closing price of the Shares as quoted on such composite tape on the next preceding date on which there was trading in such Shares; (ii) if the Shares are not listed or admitted to trade on a national securities exchange, then the closing price of the Shares as quoted on the National Market System of the NASD; (iii) if the Shares are not listed or admitted to trade on a national securities exchange or the National Market System of the NASD, the mean between the bid and asked price for the Shares on such date, as furnished by the NASD through NASDAQ or a similar organization if NASDAQ is no longer reporting such information; or (iv) if the Shares are not listed or admitted to trade on a national securities exchange or the National Market System of the NASD and if bid and asked prices for the Shares are not so furnished by the NASD or a similar organization, the value established by the Board, determined without regard to any restriction other than a restriction which, by its terms, will never lapse.</w:t>
      </w:r>
    </w:p>
    <w:p>
      <w:pPr>
        <w:spacing w:after="0" w:line="157"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i w:val="1"/>
          <w:iCs w:val="1"/>
          <w:color w:val="auto"/>
        </w:rPr>
        <w:t>“Incentive Stock Option”</w:t>
      </w:r>
      <w:r>
        <w:rPr>
          <w:rFonts w:ascii="Arial" w:cs="Arial" w:eastAsia="Arial" w:hAnsi="Arial"/>
          <w:sz w:val="17"/>
          <w:szCs w:val="17"/>
          <w:color w:val="auto"/>
        </w:rPr>
        <w:t xml:space="preserve"> shall mean any option to purchase Shares awarded pursuant to this Plan which qualifies as an “Incentive Stock Option” pursuant to Section 422 of the Code.</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2.15</w:t>
      </w:r>
      <w:r>
        <w:rPr>
          <w:sz w:val="20"/>
          <w:szCs w:val="20"/>
          <w:color w:val="auto"/>
        </w:rPr>
        <w:tab/>
      </w:r>
      <w:r>
        <w:rPr>
          <w:rFonts w:ascii="Arial" w:cs="Arial" w:eastAsia="Arial" w:hAnsi="Arial"/>
          <w:sz w:val="16"/>
          <w:szCs w:val="16"/>
          <w:i w:val="1"/>
          <w:iCs w:val="1"/>
          <w:color w:val="auto"/>
        </w:rPr>
        <w:t xml:space="preserve">“Named Executive Officer” </w:t>
      </w:r>
      <w:r>
        <w:rPr>
          <w:rFonts w:ascii="Arial" w:cs="Arial" w:eastAsia="Arial" w:hAnsi="Arial"/>
          <w:sz w:val="16"/>
          <w:szCs w:val="16"/>
          <w:color w:val="auto"/>
        </w:rPr>
        <w:t>shall have the meaning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Subsection 16.1</w:t>
      </w:r>
      <w:r>
        <w:rPr>
          <w:rFonts w:ascii="Arial" w:cs="Arial" w:eastAsia="Arial" w:hAnsi="Arial"/>
          <w:sz w:val="16"/>
          <w:szCs w:val="16"/>
          <w:i w:val="1"/>
          <w:iCs w:val="1"/>
          <w:color w:val="auto"/>
        </w:rPr>
        <w:t xml:space="preserve"> </w:t>
      </w:r>
      <w:r>
        <w:rPr>
          <w:rFonts w:ascii="Arial" w:cs="Arial" w:eastAsia="Arial" w:hAnsi="Arial"/>
          <w:sz w:val="16"/>
          <w:szCs w:val="16"/>
          <w:color w:val="auto"/>
        </w:rPr>
        <w:t>of this Plan.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2.16</w:t>
      </w:r>
      <w:r>
        <w:rPr>
          <w:sz w:val="20"/>
          <w:szCs w:val="20"/>
          <w:color w:val="auto"/>
        </w:rPr>
        <w:tab/>
      </w:r>
      <w:r>
        <w:rPr>
          <w:rFonts w:ascii="Arial" w:cs="Arial" w:eastAsia="Arial" w:hAnsi="Arial"/>
          <w:sz w:val="16"/>
          <w:szCs w:val="16"/>
          <w:i w:val="1"/>
          <w:iCs w:val="1"/>
          <w:color w:val="auto"/>
        </w:rPr>
        <w:t xml:space="preserve">“NASD” </w:t>
      </w:r>
      <w:r>
        <w:rPr>
          <w:rFonts w:ascii="Arial" w:cs="Arial" w:eastAsia="Arial" w:hAnsi="Arial"/>
          <w:sz w:val="16"/>
          <w:szCs w:val="16"/>
          <w:color w:val="auto"/>
        </w:rPr>
        <w:t>shall mean the National Association of Securities Dealers, Inc.</w:t>
      </w:r>
    </w:p>
    <w:p>
      <w:pPr>
        <w:spacing w:after="0" w:line="224"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i w:val="1"/>
          <w:iCs w:val="1"/>
          <w:color w:val="auto"/>
        </w:rPr>
        <w:t>“Non-Qualified Stock Option”</w:t>
      </w:r>
      <w:r>
        <w:rPr>
          <w:rFonts w:ascii="Arial" w:cs="Arial" w:eastAsia="Arial" w:hAnsi="Arial"/>
          <w:sz w:val="17"/>
          <w:szCs w:val="17"/>
          <w:color w:val="auto"/>
        </w:rPr>
        <w:t xml:space="preserve"> shall mean any option to purchase Shares awarded pursuant to this Plan that does not qualify as an Incentive Stock Option (including, without limitation, any option to purchase Shares originally designated as or intended to qualify as an Incentive Stock Option) but which does not (for whatever reason) qualify as an Incentive Stock Option.</w:t>
      </w:r>
    </w:p>
    <w:p>
      <w:pPr>
        <w:spacing w:after="0" w:line="172"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i w:val="1"/>
          <w:iCs w:val="1"/>
          <w:color w:val="auto"/>
        </w:rPr>
        <w:t>“Non-Tandem Stock Appreciation Right”</w:t>
      </w:r>
      <w:r>
        <w:rPr>
          <w:rFonts w:ascii="Arial" w:cs="Arial" w:eastAsia="Arial" w:hAnsi="Arial"/>
          <w:sz w:val="17"/>
          <w:szCs w:val="17"/>
          <w:color w:val="auto"/>
        </w:rPr>
        <w:t xml:space="preserve"> shall mean any Stock Appreciation Right granted alone and not in connection with an Award which is a Stock Option.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2.19</w:t>
      </w:r>
      <w:r>
        <w:rPr>
          <w:sz w:val="20"/>
          <w:szCs w:val="20"/>
          <w:color w:val="auto"/>
        </w:rPr>
        <w:tab/>
      </w:r>
      <w:r>
        <w:rPr>
          <w:rFonts w:ascii="Arial" w:cs="Arial" w:eastAsia="Arial" w:hAnsi="Arial"/>
          <w:sz w:val="15"/>
          <w:szCs w:val="15"/>
          <w:i w:val="1"/>
          <w:iCs w:val="1"/>
          <w:color w:val="auto"/>
        </w:rPr>
        <w:t xml:space="preserve">“Optionee” </w:t>
      </w:r>
      <w:r>
        <w:rPr>
          <w:rFonts w:ascii="Arial" w:cs="Arial" w:eastAsia="Arial" w:hAnsi="Arial"/>
          <w:sz w:val="15"/>
          <w:szCs w:val="15"/>
          <w:color w:val="auto"/>
        </w:rPr>
        <w:t>shall mean any Participant who has been granted and holds a Stock Option awarded pursuant to this Plan.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2.20</w:t>
      </w:r>
      <w:r>
        <w:rPr>
          <w:sz w:val="20"/>
          <w:szCs w:val="20"/>
          <w:color w:val="auto"/>
        </w:rPr>
        <w:tab/>
      </w:r>
      <w:r>
        <w:rPr>
          <w:rFonts w:ascii="Arial" w:cs="Arial" w:eastAsia="Arial" w:hAnsi="Arial"/>
          <w:sz w:val="15"/>
          <w:szCs w:val="15"/>
          <w:i w:val="1"/>
          <w:iCs w:val="1"/>
          <w:color w:val="auto"/>
        </w:rPr>
        <w:t xml:space="preserve">“Participant” </w:t>
      </w:r>
      <w:r>
        <w:rPr>
          <w:rFonts w:ascii="Arial" w:cs="Arial" w:eastAsia="Arial" w:hAnsi="Arial"/>
          <w:sz w:val="15"/>
          <w:szCs w:val="15"/>
          <w:color w:val="auto"/>
        </w:rPr>
        <w:t>shall mean any Person who has been granted and holds an Award granted pursuant to this Plan.</w:t>
      </w:r>
    </w:p>
    <w:p>
      <w:pPr>
        <w:spacing w:after="0" w:line="224" w:lineRule="exact"/>
        <w:rPr>
          <w:sz w:val="20"/>
          <w:szCs w:val="20"/>
          <w:color w:val="auto"/>
        </w:rPr>
      </w:pPr>
    </w:p>
    <w:p>
      <w:pPr>
        <w:ind w:right="480" w:firstLine="629"/>
        <w:spacing w:after="0" w:line="322"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i w:val="1"/>
          <w:iCs w:val="1"/>
          <w:color w:val="auto"/>
        </w:rPr>
        <w:t>“Performance Award”</w:t>
      </w:r>
      <w:r>
        <w:rPr>
          <w:rFonts w:ascii="Arial" w:cs="Arial" w:eastAsia="Arial" w:hAnsi="Arial"/>
          <w:sz w:val="16"/>
          <w:szCs w:val="16"/>
          <w:color w:val="auto"/>
        </w:rPr>
        <w:t xml:space="preserve"> shall mean any Award granted pursuant to this Plan of Shares, rights based upon, payable in or otherwise related to Shares (including Restricted Stock) or cash, as the Committee may determine, at the end of a specified performance period established by the Committee.</w:t>
      </w:r>
    </w:p>
    <w:p>
      <w:pPr>
        <w:spacing w:after="0" w:line="136" w:lineRule="exact"/>
        <w:rPr>
          <w:sz w:val="20"/>
          <w:szCs w:val="20"/>
          <w:color w:val="auto"/>
        </w:rPr>
      </w:pPr>
    </w:p>
    <w:p>
      <w:pPr>
        <w:ind w:right="40" w:firstLine="629"/>
        <w:spacing w:after="0" w:line="279" w:lineRule="auto"/>
        <w:rPr>
          <w:sz w:val="20"/>
          <w:szCs w:val="20"/>
          <w:color w:val="auto"/>
        </w:rPr>
      </w:pPr>
      <w:r>
        <w:rPr>
          <w:rFonts w:ascii="Arial" w:cs="Arial" w:eastAsia="Arial" w:hAnsi="Arial"/>
          <w:sz w:val="16"/>
          <w:szCs w:val="16"/>
          <w:color w:val="auto"/>
        </w:rPr>
        <w:t>2.22 “</w:t>
      </w:r>
      <w:r>
        <w:rPr>
          <w:rFonts w:ascii="Arial" w:cs="Arial" w:eastAsia="Arial" w:hAnsi="Arial"/>
          <w:sz w:val="16"/>
          <w:szCs w:val="16"/>
          <w:i w:val="1"/>
          <w:iCs w:val="1"/>
          <w:color w:val="auto"/>
        </w:rPr>
        <w:t>Permitted Modification</w:t>
      </w:r>
      <w:r>
        <w:rPr>
          <w:rFonts w:ascii="Arial" w:cs="Arial" w:eastAsia="Arial" w:hAnsi="Arial"/>
          <w:sz w:val="16"/>
          <w:szCs w:val="16"/>
          <w:color w:val="auto"/>
        </w:rPr>
        <w:t>” shall be deemed to be any modification of an Award which is made in connection with a Corporate Transaction and which provides (i) in connection with a Stock Option, that subsequent to the consummation of the Corporate Transaction (A) the exercise price of such Stock Option will be proportionately adjusted to reflect the exchange ratio applicable to the particular Corporate Transaction and/or (B) the nature and amount of consideration to be received upon exercise of the Stock Option will be the same (on a per share basis) as was received by Persons who were holders of Shares immediately prior to the consummation of the Corporate Transaction, (ii) in connection with a Stock Appreciation Right, that subsequent to the consummation of the Corporate Transaction (A) the base price of such Stock Appreciation Right will be proportionately adjusted to reflect the exchange ratio applicable to the particular Corporate Transaction and/or (B) the benefits to be received by the holder of such Stock Appreciation Right will be measured based upon the nature and amount of consideration received (on a per share basis) by Persons who were holders of Shares immediately prior to the consummation of the Corporate Transaction, or (iii) for a modification expressly provided for in this Plan or in an Award agreement.</w:t>
      </w:r>
    </w:p>
    <w:p>
      <w:pPr>
        <w:spacing w:after="0" w:line="173" w:lineRule="exact"/>
        <w:rPr>
          <w:sz w:val="20"/>
          <w:szCs w:val="20"/>
          <w:color w:val="auto"/>
        </w:rPr>
      </w:pPr>
    </w:p>
    <w:p>
      <w:pPr>
        <w:ind w:right="760" w:firstLine="629"/>
        <w:spacing w:after="0" w:line="289" w:lineRule="auto"/>
        <w:rPr>
          <w:sz w:val="20"/>
          <w:szCs w:val="20"/>
          <w:color w:val="auto"/>
        </w:rPr>
      </w:pPr>
      <w:r>
        <w:rPr>
          <w:rFonts w:ascii="Arial" w:cs="Arial" w:eastAsia="Arial" w:hAnsi="Arial"/>
          <w:sz w:val="17"/>
          <w:szCs w:val="17"/>
          <w:color w:val="auto"/>
        </w:rPr>
        <w:t>2.23 “</w:t>
      </w:r>
      <w:r>
        <w:rPr>
          <w:rFonts w:ascii="Arial" w:cs="Arial" w:eastAsia="Arial" w:hAnsi="Arial"/>
          <w:sz w:val="17"/>
          <w:szCs w:val="17"/>
          <w:i w:val="1"/>
          <w:iCs w:val="1"/>
          <w:color w:val="auto"/>
        </w:rPr>
        <w:t>Person</w:t>
      </w:r>
      <w:r>
        <w:rPr>
          <w:rFonts w:ascii="Arial" w:cs="Arial" w:eastAsia="Arial" w:hAnsi="Arial"/>
          <w:sz w:val="17"/>
          <w:szCs w:val="17"/>
          <w:color w:val="auto"/>
        </w:rPr>
        <w:t>” shall mean an individual, partnership, limited liability company, corporation, joint stock company, trust, estate, joint venture, association or unincorporated organization or any other form of business organization.</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2.24</w:t>
      </w:r>
      <w:r>
        <w:rPr>
          <w:sz w:val="20"/>
          <w:szCs w:val="20"/>
          <w:color w:val="auto"/>
        </w:rPr>
        <w:tab/>
      </w:r>
      <w:r>
        <w:rPr>
          <w:rFonts w:ascii="Arial" w:cs="Arial" w:eastAsia="Arial" w:hAnsi="Arial"/>
          <w:sz w:val="15"/>
          <w:szCs w:val="15"/>
          <w:i w:val="1"/>
          <w:iCs w:val="1"/>
          <w:color w:val="auto"/>
        </w:rPr>
        <w:t xml:space="preserve">“Plan” </w:t>
      </w:r>
      <w:r>
        <w:rPr>
          <w:rFonts w:ascii="Arial" w:cs="Arial" w:eastAsia="Arial" w:hAnsi="Arial"/>
          <w:sz w:val="15"/>
          <w:szCs w:val="15"/>
          <w:color w:val="auto"/>
        </w:rPr>
        <w:t>shall mean this Applied Optoelectronics, Inc. 2000 Incentive Share Plan as set out in this document and as it may be amended from time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to time.</w:t>
      </w:r>
    </w:p>
    <w:p>
      <w:pPr>
        <w:spacing w:after="0" w:line="21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2.25</w:t>
      </w:r>
      <w:r>
        <w:rPr>
          <w:sz w:val="20"/>
          <w:szCs w:val="20"/>
          <w:color w:val="auto"/>
        </w:rPr>
        <w:tab/>
      </w:r>
      <w:r>
        <w:rPr>
          <w:rFonts w:ascii="Arial" w:cs="Arial" w:eastAsia="Arial" w:hAnsi="Arial"/>
          <w:sz w:val="16"/>
          <w:szCs w:val="16"/>
          <w:i w:val="1"/>
          <w:iCs w:val="1"/>
          <w:color w:val="auto"/>
        </w:rPr>
        <w:t xml:space="preserve">“Reload Option” </w:t>
      </w:r>
      <w:r>
        <w:rPr>
          <w:rFonts w:ascii="Arial" w:cs="Arial" w:eastAsia="Arial" w:hAnsi="Arial"/>
          <w:sz w:val="16"/>
          <w:szCs w:val="16"/>
          <w:color w:val="auto"/>
        </w:rPr>
        <w:t>shall mean a Stock Option as defined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Subsection 6.6(b)</w:t>
      </w:r>
      <w:r>
        <w:rPr>
          <w:rFonts w:ascii="Arial" w:cs="Arial" w:eastAsia="Arial" w:hAnsi="Arial"/>
          <w:sz w:val="16"/>
          <w:szCs w:val="16"/>
          <w:i w:val="1"/>
          <w:iCs w:val="1"/>
          <w:color w:val="auto"/>
        </w:rPr>
        <w:t xml:space="preserve"> </w:t>
      </w:r>
      <w:r>
        <w:rPr>
          <w:rFonts w:ascii="Arial" w:cs="Arial" w:eastAsia="Arial" w:hAnsi="Arial"/>
          <w:sz w:val="16"/>
          <w:szCs w:val="16"/>
          <w:color w:val="auto"/>
        </w:rPr>
        <w:t>of this Plan.</w:t>
      </w:r>
    </w:p>
    <w:p>
      <w:pPr>
        <w:spacing w:after="0" w:line="224" w:lineRule="exact"/>
        <w:rPr>
          <w:sz w:val="20"/>
          <w:szCs w:val="20"/>
          <w:color w:val="auto"/>
        </w:rPr>
      </w:pPr>
    </w:p>
    <w:p>
      <w:pPr>
        <w:ind w:right="120" w:firstLine="629"/>
        <w:spacing w:after="0" w:line="273" w:lineRule="auto"/>
        <w:rPr>
          <w:sz w:val="20"/>
          <w:szCs w:val="20"/>
          <w:color w:val="auto"/>
        </w:rPr>
      </w:pPr>
      <w:r>
        <w:rPr>
          <w:rFonts w:ascii="Arial" w:cs="Arial" w:eastAsia="Arial" w:hAnsi="Arial"/>
          <w:sz w:val="17"/>
          <w:szCs w:val="17"/>
          <w:color w:val="auto"/>
        </w:rPr>
        <w:t>2.26 “</w:t>
      </w:r>
      <w:r>
        <w:rPr>
          <w:rFonts w:ascii="Arial" w:cs="Arial" w:eastAsia="Arial" w:hAnsi="Arial"/>
          <w:sz w:val="17"/>
          <w:szCs w:val="17"/>
          <w:i w:val="1"/>
          <w:iCs w:val="1"/>
          <w:color w:val="auto"/>
        </w:rPr>
        <w:t>Recapitalization</w:t>
      </w:r>
      <w:r>
        <w:rPr>
          <w:rFonts w:ascii="Arial" w:cs="Arial" w:eastAsia="Arial" w:hAnsi="Arial"/>
          <w:sz w:val="17"/>
          <w:szCs w:val="17"/>
          <w:color w:val="auto"/>
        </w:rPr>
        <w:t>” shall mean any stock split, stock dividend, reverse stock split, combination or subdivision of Shares or any other similar increase or decrease in the number of Shares issued and outstanding, without the Company receiving consideration therefor in money, services, or property (other than securities issued by the Company).</w:t>
      </w:r>
    </w:p>
    <w:p>
      <w:pPr>
        <w:spacing w:after="0" w:line="172" w:lineRule="exact"/>
        <w:rPr>
          <w:sz w:val="20"/>
          <w:szCs w:val="20"/>
          <w:color w:val="auto"/>
        </w:rPr>
      </w:pPr>
    </w:p>
    <w:p>
      <w:pPr>
        <w:jc w:val="center"/>
        <w:ind w:right="240"/>
        <w:spacing w:after="0"/>
        <w:tabs>
          <w:tab w:leader="none" w:pos="300" w:val="left"/>
        </w:tabs>
        <w:rPr>
          <w:sz w:val="20"/>
          <w:szCs w:val="20"/>
          <w:color w:val="auto"/>
        </w:rPr>
      </w:pPr>
      <w:r>
        <w:rPr>
          <w:rFonts w:ascii="Arial" w:cs="Arial" w:eastAsia="Arial" w:hAnsi="Arial"/>
          <w:sz w:val="17"/>
          <w:szCs w:val="17"/>
          <w:color w:val="auto"/>
        </w:rPr>
        <w:t>2.27</w:t>
      </w:r>
      <w:r>
        <w:rPr>
          <w:sz w:val="20"/>
          <w:szCs w:val="20"/>
          <w:color w:val="auto"/>
        </w:rPr>
        <w:tab/>
      </w:r>
      <w:r>
        <w:rPr>
          <w:rFonts w:ascii="Arial" w:cs="Arial" w:eastAsia="Arial" w:hAnsi="Arial"/>
          <w:sz w:val="15"/>
          <w:szCs w:val="15"/>
          <w:i w:val="1"/>
          <w:iCs w:val="1"/>
          <w:color w:val="auto"/>
        </w:rPr>
        <w:t xml:space="preserve">“Restricted Stock” </w:t>
      </w:r>
      <w:r>
        <w:rPr>
          <w:rFonts w:ascii="Arial" w:cs="Arial" w:eastAsia="Arial" w:hAnsi="Arial"/>
          <w:sz w:val="15"/>
          <w:szCs w:val="15"/>
          <w:color w:val="auto"/>
        </w:rPr>
        <w:t>shall mean any Shares granted pursuant to this Plan that are subject to restrictions or substantial risk of forfeiture.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40" w:firstLine="629"/>
        <w:spacing w:after="0" w:line="289" w:lineRule="auto"/>
        <w:rPr>
          <w:sz w:val="20"/>
          <w:szCs w:val="20"/>
          <w:color w:val="auto"/>
        </w:rPr>
      </w:pPr>
      <w:r>
        <w:rPr>
          <w:rFonts w:ascii="Arial" w:cs="Arial" w:eastAsia="Arial" w:hAnsi="Arial"/>
          <w:sz w:val="17"/>
          <w:szCs w:val="17"/>
          <w:color w:val="auto"/>
        </w:rPr>
        <w:t xml:space="preserve">2.28 </w:t>
      </w:r>
      <w:r>
        <w:rPr>
          <w:rFonts w:ascii="Arial" w:cs="Arial" w:eastAsia="Arial" w:hAnsi="Arial"/>
          <w:sz w:val="17"/>
          <w:szCs w:val="17"/>
          <w:i w:val="1"/>
          <w:iCs w:val="1"/>
          <w:color w:val="auto"/>
        </w:rPr>
        <w:t>“Retirement”</w:t>
      </w:r>
      <w:r>
        <w:rPr>
          <w:rFonts w:ascii="Arial" w:cs="Arial" w:eastAsia="Arial" w:hAnsi="Arial"/>
          <w:sz w:val="17"/>
          <w:szCs w:val="17"/>
          <w:color w:val="auto"/>
        </w:rPr>
        <w:t xml:space="preserve"> shall mean the termination of employment of an employee of the Company or any Subsidiary pursuant to the terms of any retirement plan or policy maintained by the Company or any Subsidiary in which such employee participates.</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2.29</w:t>
      </w:r>
      <w:r>
        <w:rPr>
          <w:sz w:val="20"/>
          <w:szCs w:val="20"/>
          <w:color w:val="auto"/>
        </w:rPr>
        <w:tab/>
      </w:r>
      <w:r>
        <w:rPr>
          <w:rFonts w:ascii="Arial" w:cs="Arial" w:eastAsia="Arial" w:hAnsi="Arial"/>
          <w:sz w:val="15"/>
          <w:szCs w:val="15"/>
          <w:i w:val="1"/>
          <w:iCs w:val="1"/>
          <w:color w:val="auto"/>
        </w:rPr>
        <w:t xml:space="preserve">“Securities Act” </w:t>
      </w:r>
      <w:r>
        <w:rPr>
          <w:rFonts w:ascii="Arial" w:cs="Arial" w:eastAsia="Arial" w:hAnsi="Arial"/>
          <w:sz w:val="15"/>
          <w:szCs w:val="15"/>
          <w:color w:val="auto"/>
        </w:rPr>
        <w:t>shall mean the Securities Act of 1933, as amended from time to time (or any successor to such legislation).</w:t>
      </w:r>
    </w:p>
    <w:p>
      <w:pPr>
        <w:spacing w:after="0" w:line="224"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 xml:space="preserve">2.30 </w:t>
      </w:r>
      <w:r>
        <w:rPr>
          <w:rFonts w:ascii="Arial" w:cs="Arial" w:eastAsia="Arial" w:hAnsi="Arial"/>
          <w:sz w:val="17"/>
          <w:szCs w:val="17"/>
          <w:i w:val="1"/>
          <w:iCs w:val="1"/>
          <w:color w:val="auto"/>
        </w:rPr>
        <w:t>“Shares”</w:t>
      </w:r>
      <w:r>
        <w:rPr>
          <w:rFonts w:ascii="Arial" w:cs="Arial" w:eastAsia="Arial" w:hAnsi="Arial"/>
          <w:sz w:val="17"/>
          <w:szCs w:val="17"/>
          <w:color w:val="auto"/>
        </w:rPr>
        <w:t xml:space="preserve"> shall mean shares of the common stock of the Company and any shares of capital stock or other securities hereafter issued or issuable upon, in respect of or in substitution or exchange for shares of common stock of the Company.</w:t>
      </w:r>
    </w:p>
    <w:p>
      <w:pPr>
        <w:sectPr>
          <w:pgSz w:w="11900" w:h="16838" w:orient="portrait"/>
          <w:cols w:equalWidth="0" w:num="1">
            <w:col w:w="11420"/>
          </w:cols>
          <w:pgMar w:left="240" w:top="128" w:right="239" w:bottom="22" w:gutter="0" w:footer="0" w:header="0"/>
        </w:sectPr>
      </w:pPr>
    </w:p>
    <w:bookmarkStart w:id="287" w:name="page288"/>
    <w:bookmarkEnd w:id="287"/>
    <w:p>
      <w:pPr>
        <w:ind w:firstLine="629"/>
        <w:spacing w:after="0" w:line="265"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i w:val="1"/>
          <w:iCs w:val="1"/>
          <w:color w:val="auto"/>
        </w:rPr>
        <w:t>“Stock Appreciation Right”</w:t>
      </w:r>
      <w:r>
        <w:rPr>
          <w:rFonts w:ascii="Arial" w:cs="Arial" w:eastAsia="Arial" w:hAnsi="Arial"/>
          <w:sz w:val="17"/>
          <w:szCs w:val="17"/>
          <w:color w:val="auto"/>
        </w:rPr>
        <w:t xml:space="preserve"> shall mean the right of the holder thereof to receive property or Shares with a Fair Market Value equal to or cash in an amount equal to the excess of the Fair Market Value of the aggregate number of Shares subject to such Stock Appreciation Right on the date of exercise over the Fair Market Value of the aggregate number of Shares subject to such Stock Appreciation Right on the date of the grant of such Stock Appreciation Right (or such other value as may be specified in the agreement granting such Stock Appreciation Right). A Stock Appreciation Right may be a Tandem Stock Appreciation Right or a Non-Tandem Stock Appreciation Right.</w:t>
      </w:r>
    </w:p>
    <w:p>
      <w:pPr>
        <w:spacing w:after="0" w:line="17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Stock Option</w:t>
      </w:r>
      <w:r>
        <w:rPr>
          <w:rFonts w:ascii="Arial" w:cs="Arial" w:eastAsia="Arial" w:hAnsi="Arial"/>
          <w:sz w:val="16"/>
          <w:szCs w:val="16"/>
          <w:color w:val="auto"/>
        </w:rPr>
        <w:t>” shall mean any Incentive Stock Option or Non-Qualified Stock Option.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2.33</w:t>
      </w:r>
      <w:r>
        <w:rPr>
          <w:sz w:val="20"/>
          <w:szCs w:val="20"/>
          <w:color w:val="auto"/>
        </w:rPr>
        <w:tab/>
      </w:r>
      <w:r>
        <w:rPr>
          <w:rFonts w:ascii="Arial" w:cs="Arial" w:eastAsia="Arial" w:hAnsi="Arial"/>
          <w:sz w:val="16"/>
          <w:szCs w:val="16"/>
          <w:i w:val="1"/>
          <w:iCs w:val="1"/>
          <w:color w:val="auto"/>
        </w:rPr>
        <w:t xml:space="preserve">“Subsidiary” </w:t>
      </w:r>
      <w:r>
        <w:rPr>
          <w:rFonts w:ascii="Arial" w:cs="Arial" w:eastAsia="Arial" w:hAnsi="Arial"/>
          <w:sz w:val="16"/>
          <w:szCs w:val="16"/>
          <w:color w:val="auto"/>
        </w:rPr>
        <w:t>shall mean a subsidiary corporation of the Company, as defined in Section 424(f) of the Code.</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2.34</w:t>
      </w:r>
      <w:r>
        <w:rPr>
          <w:sz w:val="20"/>
          <w:szCs w:val="20"/>
          <w:color w:val="auto"/>
        </w:rPr>
        <w:tab/>
      </w:r>
      <w:r>
        <w:rPr>
          <w:rFonts w:ascii="Arial" w:cs="Arial" w:eastAsia="Arial" w:hAnsi="Arial"/>
          <w:sz w:val="16"/>
          <w:szCs w:val="16"/>
          <w:i w:val="1"/>
          <w:iCs w:val="1"/>
          <w:color w:val="auto"/>
        </w:rPr>
        <w:t xml:space="preserve">“Tandem Stock Appreciation Right” </w:t>
      </w:r>
      <w:r>
        <w:rPr>
          <w:rFonts w:ascii="Arial" w:cs="Arial" w:eastAsia="Arial" w:hAnsi="Arial"/>
          <w:sz w:val="16"/>
          <w:szCs w:val="16"/>
          <w:color w:val="auto"/>
        </w:rPr>
        <w:t>shall mean a Stock Appreciation Right granted in connection with an Award which is a Stock Option.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2.35</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Transactional Consideration</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Subsection 12.2</w:t>
      </w:r>
      <w:r>
        <w:rPr>
          <w:rFonts w:ascii="Arial" w:cs="Arial" w:eastAsia="Arial" w:hAnsi="Arial"/>
          <w:sz w:val="16"/>
          <w:szCs w:val="16"/>
          <w:color w:val="auto"/>
        </w:rPr>
        <w:t xml:space="preserve"> of this Plan.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3</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ADMINISTRATION OF THIS PLAN</w:t>
      </w:r>
    </w:p>
    <w:p>
      <w:pPr>
        <w:spacing w:after="0" w:line="21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i w:val="1"/>
          <w:iCs w:val="1"/>
          <w:u w:val="single" w:color="auto"/>
          <w:color w:val="auto"/>
        </w:rPr>
        <w:t xml:space="preserve">Committee. </w:t>
      </w:r>
      <w:r>
        <w:rPr>
          <w:rFonts w:ascii="Arial" w:cs="Arial" w:eastAsia="Arial" w:hAnsi="Arial"/>
          <w:sz w:val="15"/>
          <w:szCs w:val="15"/>
          <w:color w:val="auto"/>
        </w:rPr>
        <w:t>This Plan shall be administered and interpreted by the Committee.</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6"/>
          <w:szCs w:val="16"/>
          <w:i w:val="1"/>
          <w:iCs w:val="1"/>
          <w:u w:val="single" w:color="auto"/>
          <w:color w:val="auto"/>
        </w:rPr>
        <w:t>Administration</w:t>
      </w:r>
      <w:r>
        <w:rPr>
          <w:rFonts w:ascii="Arial" w:cs="Arial" w:eastAsia="Arial" w:hAnsi="Arial"/>
          <w:sz w:val="16"/>
          <w:szCs w:val="16"/>
          <w:u w:val="single" w:color="auto"/>
          <w:color w:val="auto"/>
        </w:rPr>
        <w:t>.</w:t>
      </w:r>
    </w:p>
    <w:p>
      <w:pPr>
        <w:spacing w:after="0" w:line="224" w:lineRule="exact"/>
        <w:rPr>
          <w:sz w:val="20"/>
          <w:szCs w:val="20"/>
          <w:color w:val="auto"/>
        </w:rPr>
      </w:pPr>
    </w:p>
    <w:p>
      <w:pPr>
        <w:ind w:left="1260" w:hanging="626"/>
        <w:spacing w:after="0"/>
        <w:tabs>
          <w:tab w:leader="none" w:pos="126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Subject to the provisions of this Plan and directions from the Board, the Committee is authorized to:</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1"/>
          <w:numId w:val="351"/>
        </w:numPr>
        <w:rPr>
          <w:rFonts w:ascii="Arial" w:cs="Arial" w:eastAsia="Arial" w:hAnsi="Arial"/>
          <w:sz w:val="17"/>
          <w:szCs w:val="17"/>
          <w:color w:val="auto"/>
        </w:rPr>
      </w:pPr>
      <w:r>
        <w:rPr>
          <w:rFonts w:ascii="Arial" w:cs="Arial" w:eastAsia="Arial" w:hAnsi="Arial"/>
          <w:sz w:val="17"/>
          <w:szCs w:val="17"/>
          <w:color w:val="auto"/>
        </w:rPr>
        <w:t>determine the Persons to whom Awards are to be granted;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260" w:right="160" w:firstLine="3"/>
        <w:spacing w:after="0" w:line="268" w:lineRule="auto"/>
        <w:tabs>
          <w:tab w:leader="none" w:pos="1882" w:val="left"/>
        </w:tabs>
        <w:numPr>
          <w:ilvl w:val="0"/>
          <w:numId w:val="352"/>
        </w:numPr>
        <w:rPr>
          <w:rFonts w:ascii="Arial" w:cs="Arial" w:eastAsia="Arial" w:hAnsi="Arial"/>
          <w:sz w:val="17"/>
          <w:szCs w:val="17"/>
          <w:color w:val="auto"/>
        </w:rPr>
      </w:pPr>
      <w:r>
        <w:rPr>
          <w:rFonts w:ascii="Arial" w:cs="Arial" w:eastAsia="Arial" w:hAnsi="Arial"/>
          <w:sz w:val="17"/>
          <w:szCs w:val="17"/>
          <w:color w:val="auto"/>
        </w:rPr>
        <w:t>determine the types and combinations of Awards to be granted; the number of Shares to be covered by an Award; the exercise price of an Award; the time or times when an Award shall be granted and may be exercised; the terms, performance criteria or other conditions, vesting periods or any restrictions for an Award; any restrictions on Shares acquired pursuant to the exercise of an Award; and any other terms and conditions of an Award;</w:t>
      </w:r>
    </w:p>
    <w:p>
      <w:pPr>
        <w:spacing w:after="0" w:line="175" w:lineRule="exact"/>
        <w:rPr>
          <w:rFonts w:ascii="Arial" w:cs="Arial" w:eastAsia="Arial" w:hAnsi="Arial"/>
          <w:sz w:val="17"/>
          <w:szCs w:val="17"/>
          <w:color w:val="auto"/>
        </w:rPr>
      </w:pPr>
    </w:p>
    <w:p>
      <w:pPr>
        <w:ind w:left="1900" w:hanging="637"/>
        <w:spacing w:after="0"/>
        <w:tabs>
          <w:tab w:leader="none" w:pos="190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conclusively interpret the provisions of this Plan;</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prescribe, amend and rescind rules and regulations relating to this Plan;</w:t>
      </w:r>
    </w:p>
    <w:p>
      <w:pPr>
        <w:spacing w:after="0" w:line="224" w:lineRule="exact"/>
        <w:rPr>
          <w:rFonts w:ascii="Arial" w:cs="Arial" w:eastAsia="Arial" w:hAnsi="Arial"/>
          <w:sz w:val="17"/>
          <w:szCs w:val="17"/>
          <w:color w:val="auto"/>
        </w:rPr>
      </w:pPr>
    </w:p>
    <w:p>
      <w:pPr>
        <w:ind w:left="1900" w:right="820" w:hanging="637"/>
        <w:spacing w:after="0" w:line="289" w:lineRule="auto"/>
        <w:tabs>
          <w:tab w:leader="none" w:pos="1907" w:val="left"/>
        </w:tabs>
        <w:numPr>
          <w:ilvl w:val="0"/>
          <w:numId w:val="352"/>
        </w:numPr>
        <w:rPr>
          <w:rFonts w:ascii="Arial" w:cs="Arial" w:eastAsia="Arial" w:hAnsi="Arial"/>
          <w:sz w:val="17"/>
          <w:szCs w:val="17"/>
          <w:color w:val="auto"/>
        </w:rPr>
      </w:pPr>
      <w:r>
        <w:rPr>
          <w:rFonts w:ascii="Arial" w:cs="Arial" w:eastAsia="Arial" w:hAnsi="Arial"/>
          <w:sz w:val="17"/>
          <w:szCs w:val="17"/>
          <w:color w:val="auto"/>
        </w:rPr>
        <w:t>rely upon employees of the Company for such clerical and record keeping duties as may be necessary in connection with the administration of this Plan;</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accelerate or defer (with the consent of the Participant) the vesting of any rights pursuant to an Award; and</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make all other determinations and take all other actions necessary or advisable for the administration of this Plan.</w:t>
      </w:r>
    </w:p>
    <w:p>
      <w:pPr>
        <w:spacing w:after="0" w:line="224" w:lineRule="exact"/>
        <w:rPr>
          <w:sz w:val="20"/>
          <w:szCs w:val="20"/>
          <w:color w:val="auto"/>
        </w:rPr>
      </w:pPr>
    </w:p>
    <w:p>
      <w:pPr>
        <w:ind w:left="640" w:right="40"/>
        <w:spacing w:after="0" w:line="281" w:lineRule="auto"/>
        <w:rPr>
          <w:sz w:val="20"/>
          <w:szCs w:val="20"/>
          <w:color w:val="auto"/>
        </w:rPr>
      </w:pPr>
      <w:r>
        <w:rPr>
          <w:rFonts w:ascii="Arial" w:cs="Arial" w:eastAsia="Arial" w:hAnsi="Arial"/>
          <w:sz w:val="16"/>
          <w:szCs w:val="16"/>
          <w:color w:val="auto"/>
        </w:rPr>
        <w:t>The President of the Company shall also be authorized, subject to the provisions of this Plan and directions from the Board and the Committee, to determine the types and combinations of Awards to be granted; the number of Shares to be covered by an Award; the exercise price of an Award; the time or times when an Award shall be granted and may be exercised; the terms, performance criteria or other conditions, vesting periods or any restrictions for an Award; any restrictions on Shares acquired pursuant to the exercise of an Award; and any other terms and conditions of an Award; provided, however, that the President of the Company may not (1) grant any Award to himself or herself (2) grant Awards to any one person with respect to more than 100,000 Shares in the aggregate (which number shall be adjusted pro rata in the event of any adjustment to the limitation set forth in ARTICLE 4.1 hereof), or (3) modify any Award made by the Committee or Board.</w:t>
      </w:r>
    </w:p>
    <w:p>
      <w:pPr>
        <w:spacing w:after="0" w:line="170" w:lineRule="exact"/>
        <w:rPr>
          <w:sz w:val="20"/>
          <w:szCs w:val="20"/>
          <w:color w:val="auto"/>
        </w:rPr>
      </w:pPr>
    </w:p>
    <w:p>
      <w:pPr>
        <w:ind w:right="100" w:firstLine="634"/>
        <w:spacing w:after="0" w:line="268" w:lineRule="auto"/>
        <w:tabs>
          <w:tab w:leader="none" w:pos="1266" w:val="left"/>
        </w:tabs>
        <w:numPr>
          <w:ilvl w:val="0"/>
          <w:numId w:val="353"/>
        </w:numPr>
        <w:rPr>
          <w:rFonts w:ascii="Arial" w:cs="Arial" w:eastAsia="Arial" w:hAnsi="Arial"/>
          <w:sz w:val="17"/>
          <w:szCs w:val="17"/>
          <w:color w:val="auto"/>
        </w:rPr>
      </w:pPr>
      <w:r>
        <w:rPr>
          <w:rFonts w:ascii="Arial" w:cs="Arial" w:eastAsia="Arial" w:hAnsi="Arial"/>
          <w:sz w:val="17"/>
          <w:szCs w:val="17"/>
          <w:color w:val="auto"/>
        </w:rPr>
        <w:t>A majority of the Committee members shall constitute a quorum for action by the Committee. All determinations of the Committee in connection with the Plan shall be made by not less than a majority of its members. All questions of interpretation and application of this Plan or pertaining to any question of fact or Award granted hereunder will be decided by the Committee, whose decision will be final, conclusive and binding upon the Company and each other affected party.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4</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SHARES SUBJECT TO PLAN</w:t>
      </w:r>
    </w:p>
    <w:p>
      <w:pPr>
        <w:spacing w:after="0" w:line="212" w:lineRule="exact"/>
        <w:rPr>
          <w:sz w:val="20"/>
          <w:szCs w:val="20"/>
          <w:color w:val="auto"/>
        </w:rPr>
      </w:pPr>
    </w:p>
    <w:p>
      <w:pPr>
        <w:ind w:right="340" w:firstLine="629"/>
        <w:spacing w:after="0" w:line="29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u w:val="single" w:color="auto"/>
          <w:color w:val="auto"/>
        </w:rPr>
        <w:t>Limitations</w:t>
      </w:r>
      <w:r>
        <w:rPr>
          <w:rFonts w:ascii="Arial" w:cs="Arial" w:eastAsia="Arial" w:hAnsi="Arial"/>
          <w:sz w:val="16"/>
          <w:szCs w:val="16"/>
          <w:u w:val="single" w:color="auto"/>
          <w:color w:val="auto"/>
        </w:rPr>
        <w:t>.</w:t>
      </w:r>
      <w:r>
        <w:rPr>
          <w:rFonts w:ascii="Arial" w:cs="Arial" w:eastAsia="Arial" w:hAnsi="Arial"/>
          <w:sz w:val="16"/>
          <w:szCs w:val="16"/>
          <w:color w:val="auto"/>
        </w:rPr>
        <w:t xml:space="preserve"> The maximum number of Shares that may be issued with respect to Awards granted pursuant to this Plan shall not exceed 3,604,100 unless increased or decreased by reason of changes in the capitalization of the Company as hereinafter provided or by amendment of this Plan. The Shares issued pursuant to this Plan may be authorized but unissued Shares, or may be issued Shares which have been reacquired by the Company.</w:t>
      </w:r>
    </w:p>
    <w:p>
      <w:pPr>
        <w:spacing w:after="0" w:line="154" w:lineRule="exact"/>
        <w:rPr>
          <w:sz w:val="20"/>
          <w:szCs w:val="20"/>
          <w:color w:val="auto"/>
        </w:rPr>
      </w:pPr>
    </w:p>
    <w:p>
      <w:pPr>
        <w:ind w:firstLine="629"/>
        <w:spacing w:after="0" w:line="26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i w:val="1"/>
          <w:iCs w:val="1"/>
          <w:u w:val="single" w:color="auto"/>
          <w:color w:val="auto"/>
        </w:rPr>
        <w:t>Changes</w:t>
      </w:r>
      <w:r>
        <w:rPr>
          <w:rFonts w:ascii="Arial" w:cs="Arial" w:eastAsia="Arial" w:hAnsi="Arial"/>
          <w:sz w:val="17"/>
          <w:szCs w:val="17"/>
          <w:u w:val="single" w:color="auto"/>
          <w:color w:val="auto"/>
        </w:rPr>
        <w:t>.</w:t>
      </w:r>
      <w:r>
        <w:rPr>
          <w:rFonts w:ascii="Arial" w:cs="Arial" w:eastAsia="Arial" w:hAnsi="Arial"/>
          <w:sz w:val="17"/>
          <w:szCs w:val="17"/>
          <w:color w:val="auto"/>
        </w:rPr>
        <w:t xml:space="preserve"> To the extent that any Award granted pursuant to this Plan shall be forfeited, shall expire or shall be canceled, in whole or in part, then the number of Shares covered by the Award so forfeited, expired or canceled may again be awarded pursuant to the provisions of this Plan. In the event that Shares are delivered to the Company in full or partial payment of the exercise price for the exercise of a Stock Option, the number of Shares available for future Awards granted pursuant to this Plan shall be reduced only by the net number of Shares issued upon the exercise of the Stock Option. Awards that may be satisfied either by the issuance of Shares or by cash or other consideration shall, until the form of consideration to be paid is finally determined, be counted against the maximum number of Shares that may be issued pursuant to this Plan. If the Award is ultimately satisfied by the payment of consideration other than Shares, such Shares may again be made the subject of an Award granted pursuant to this Plan. Awards will not reduce the number of Shares that may be issued pursuant to this Plan if the settlement of the Award will not require the issuance of Shares, as, for example, a Stock Appreciation Right that can be satisfied only by the payment of cash.</w:t>
      </w:r>
    </w:p>
    <w:p>
      <w:pPr>
        <w:sectPr>
          <w:pgSz w:w="11900" w:h="16838" w:orient="portrait"/>
          <w:cols w:equalWidth="0" w:num="1">
            <w:col w:w="11420"/>
          </w:cols>
          <w:pgMar w:left="240" w:top="127" w:right="239" w:bottom="0" w:gutter="0" w:footer="0" w:header="0"/>
        </w:sectPr>
      </w:pPr>
    </w:p>
    <w:bookmarkStart w:id="288" w:name="page289"/>
    <w:bookmarkEnd w:id="288"/>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5</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ELIGIBILITY</w:t>
      </w:r>
    </w:p>
    <w:p>
      <w:pPr>
        <w:spacing w:after="0" w:line="212"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u w:val="single" w:color="auto"/>
          <w:color w:val="auto"/>
        </w:rPr>
        <w:t>Eligibility.</w:t>
      </w:r>
      <w:r>
        <w:rPr>
          <w:rFonts w:ascii="Arial" w:cs="Arial" w:eastAsia="Arial" w:hAnsi="Arial"/>
          <w:sz w:val="16"/>
          <w:szCs w:val="16"/>
          <w:color w:val="auto"/>
        </w:rPr>
        <w:t xml:space="preserve"> Eligibility for participation in this Plan shall be confined to those individuals who are employed by the Company or a Subsidiary and such Consultants and non-employee Directors as may be designated by the Committee. In making any determination as to Persons to whom Awards shall be granted, the type of Award and/or the number of Shares to be covered by the Award, the Committee shall consider the position and responsibilities of the Person, the importance of the Person to the Company, the duties of the Person, the past, present and potential contributions of the Person to the growth and success of the Company and such other factors as the Committee may deem relevant in connection with accomplishing the purposes of this Plan.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6</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STOCK OPTIONS</w:t>
      </w:r>
    </w:p>
    <w:p>
      <w:pPr>
        <w:spacing w:after="0" w:line="212"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u w:val="single" w:color="auto"/>
          <w:color w:val="auto"/>
        </w:rPr>
        <w:t>Grants</w:t>
      </w:r>
      <w:r>
        <w:rPr>
          <w:rFonts w:ascii="Arial" w:cs="Arial" w:eastAsia="Arial" w:hAnsi="Arial"/>
          <w:sz w:val="17"/>
          <w:szCs w:val="17"/>
          <w:u w:val="single" w:color="auto"/>
          <w:color w:val="auto"/>
        </w:rPr>
        <w:t>.</w:t>
      </w:r>
      <w:r>
        <w:rPr>
          <w:rFonts w:ascii="Arial" w:cs="Arial" w:eastAsia="Arial" w:hAnsi="Arial"/>
          <w:sz w:val="17"/>
          <w:szCs w:val="17"/>
          <w:color w:val="auto"/>
        </w:rPr>
        <w:t xml:space="preserve"> The Committee may grant Stock Options alone or in addition to other Awards granted pursuant to this Plan to any eligible Person. Each Person so selected shall be offered a Stock Option to purchase the number of Shares determined by the Committee. The Committee shall specify whether such Stock Option is an Incentive Stock Option or Non-Qualified Stock Option and any other terms or conditions relating to such Award; provided, however only employees of the Company or a Subsidiary may be granted Incentive Stock Options. To the extent that any Stock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Option designated as an Incentive Stock Option does not qualify as an Incentive Stock Option (whether because of its provisions, the failure of the shareholders of the Company to authorize the issuance of Incentive Stock Options, the time or manner of its exercise or otherwise), such Stock Option or the portion thereof which does not qualify shall be deemed to constitute a Non-Qualified Stock Option. Each Person to be granted a Stock Option shall enter into a written agreement with the Company, in such form as the Committee may prescribe, setting forth the terms and conditions (including, without limitation, the exercise price and vesting schedule) of the Stock Option. At any time and from time to time, the Optionee and the Committee may agree to modify an option agreement in such respects as they may deem appropriate, including, without limitation, the conversion of an Incentive Stock Option into a Non-Qualified Stock Option. The Committee may require that an Optionee meet certain conditions before the Stock Option or a portion thereof may vest or be exercised, as, for example, that the Optionee remain in the employ of the Company or a Subsidiary for a stated period or periods of time.</w:t>
      </w:r>
    </w:p>
    <w:p>
      <w:pPr>
        <w:spacing w:after="0" w:line="17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6"/>
          <w:szCs w:val="16"/>
          <w:i w:val="1"/>
          <w:iCs w:val="1"/>
          <w:u w:val="single" w:color="auto"/>
          <w:color w:val="auto"/>
        </w:rPr>
        <w:t>Incentive Stock Options Limitations.</w:t>
      </w:r>
    </w:p>
    <w:p>
      <w:pPr>
        <w:spacing w:after="0" w:line="224" w:lineRule="exact"/>
        <w:rPr>
          <w:sz w:val="20"/>
          <w:szCs w:val="20"/>
          <w:color w:val="auto"/>
        </w:rPr>
      </w:pPr>
    </w:p>
    <w:p>
      <w:pPr>
        <w:ind w:right="120" w:firstLine="634"/>
        <w:spacing w:after="0" w:line="285" w:lineRule="auto"/>
        <w:tabs>
          <w:tab w:leader="none" w:pos="1256" w:val="left"/>
        </w:tabs>
        <w:numPr>
          <w:ilvl w:val="0"/>
          <w:numId w:val="354"/>
        </w:numPr>
        <w:rPr>
          <w:rFonts w:ascii="Arial" w:cs="Arial" w:eastAsia="Arial" w:hAnsi="Arial"/>
          <w:sz w:val="16"/>
          <w:szCs w:val="16"/>
          <w:color w:val="auto"/>
        </w:rPr>
      </w:pPr>
      <w:r>
        <w:rPr>
          <w:rFonts w:ascii="Arial" w:cs="Arial" w:eastAsia="Arial" w:hAnsi="Arial"/>
          <w:sz w:val="16"/>
          <w:szCs w:val="16"/>
          <w:color w:val="auto"/>
        </w:rPr>
        <w:t xml:space="preserve">In no event shall any individual be granted Incentive Stock Options to the extent that the Shares covered by any Incentive Stock Options (and any incentive stock options granted pursuant to any other plans of the Company or its Subsidiaries) that may be exercised for the first time by such individual in any calendar year have an aggregate Fair Market Value in excess of $100,000. For this purpose, the Fair Market Value of the Shares shall be determined as of the date(s) on which the Incentive Stock Options are granted. It is intended that the limitation on Incentive Stock Options provided in this </w:t>
      </w:r>
      <w:r>
        <w:rPr>
          <w:rFonts w:ascii="Arial" w:cs="Arial" w:eastAsia="Arial" w:hAnsi="Arial"/>
          <w:sz w:val="16"/>
          <w:szCs w:val="16"/>
          <w:u w:val="single" w:color="auto"/>
          <w:color w:val="auto"/>
        </w:rPr>
        <w:t>Subsection 6.2(a)</w:t>
      </w:r>
      <w:r>
        <w:rPr>
          <w:rFonts w:ascii="Arial" w:cs="Arial" w:eastAsia="Arial" w:hAnsi="Arial"/>
          <w:sz w:val="16"/>
          <w:szCs w:val="16"/>
          <w:color w:val="auto"/>
        </w:rPr>
        <w:t xml:space="preserve"> be the maximum limitation on Stock Options which may be considered Incentive Stock Options pursuant to the Code.</w:t>
      </w:r>
    </w:p>
    <w:p>
      <w:pPr>
        <w:spacing w:after="0" w:line="166" w:lineRule="exact"/>
        <w:rPr>
          <w:rFonts w:ascii="Arial" w:cs="Arial" w:eastAsia="Arial" w:hAnsi="Arial"/>
          <w:sz w:val="16"/>
          <w:szCs w:val="16"/>
          <w:color w:val="auto"/>
        </w:rPr>
      </w:pPr>
    </w:p>
    <w:p>
      <w:pPr>
        <w:ind w:right="60" w:firstLine="634"/>
        <w:spacing w:after="0" w:line="289" w:lineRule="auto"/>
        <w:tabs>
          <w:tab w:leader="none" w:pos="1266" w:val="left"/>
        </w:tabs>
        <w:numPr>
          <w:ilvl w:val="0"/>
          <w:numId w:val="354"/>
        </w:numPr>
        <w:rPr>
          <w:rFonts w:ascii="Arial" w:cs="Arial" w:eastAsia="Arial" w:hAnsi="Arial"/>
          <w:sz w:val="17"/>
          <w:szCs w:val="17"/>
          <w:color w:val="auto"/>
        </w:rPr>
      </w:pPr>
      <w:r>
        <w:rPr>
          <w:rFonts w:ascii="Arial" w:cs="Arial" w:eastAsia="Arial" w:hAnsi="Arial"/>
          <w:sz w:val="17"/>
          <w:szCs w:val="17"/>
          <w:color w:val="auto"/>
        </w:rPr>
        <w:t>The option exercise price of an Incentive Stock Option shall not be less than one hundred percent (100%) of the Fair Market Value of the Shares subject to such Incentive Stock Option on the date of the grant of such Incentive Stock Option.</w:t>
      </w:r>
    </w:p>
    <w:p>
      <w:pPr>
        <w:spacing w:after="0" w:line="158" w:lineRule="exact"/>
        <w:rPr>
          <w:rFonts w:ascii="Arial" w:cs="Arial" w:eastAsia="Arial" w:hAnsi="Arial"/>
          <w:sz w:val="17"/>
          <w:szCs w:val="17"/>
          <w:color w:val="auto"/>
        </w:rPr>
      </w:pPr>
    </w:p>
    <w:p>
      <w:pPr>
        <w:ind w:right="180" w:firstLine="634"/>
        <w:spacing w:after="0" w:line="268" w:lineRule="auto"/>
        <w:tabs>
          <w:tab w:leader="none" w:pos="1269" w:val="left"/>
        </w:tabs>
        <w:numPr>
          <w:ilvl w:val="0"/>
          <w:numId w:val="354"/>
        </w:numPr>
        <w:rPr>
          <w:rFonts w:ascii="Arial" w:cs="Arial" w:eastAsia="Arial" w:hAnsi="Arial"/>
          <w:sz w:val="17"/>
          <w:szCs w:val="17"/>
          <w:color w:val="auto"/>
        </w:rPr>
      </w:pPr>
      <w:r>
        <w:rPr>
          <w:rFonts w:ascii="Arial" w:cs="Arial" w:eastAsia="Arial" w:hAnsi="Arial"/>
          <w:sz w:val="17"/>
          <w:szCs w:val="17"/>
          <w:color w:val="auto"/>
        </w:rPr>
        <w:t>Notwithstanding anything herein to the contrary, in no event shall any employee owning more than ten percent (10%) of the total combined voting power of the Company or any Subsidiary be granted an Incentive Stock Option unless the option exercise price of such Incentive Stock Option shall be at least one hundred ten percent (110%) of the Fair Market Value of the Shares subject to such Incentive Stock Option on the date of the grant of such Incentive Stock Option.</w:t>
      </w:r>
    </w:p>
    <w:p>
      <w:pPr>
        <w:spacing w:after="0" w:line="175" w:lineRule="exact"/>
        <w:rPr>
          <w:rFonts w:ascii="Arial" w:cs="Arial" w:eastAsia="Arial" w:hAnsi="Arial"/>
          <w:sz w:val="17"/>
          <w:szCs w:val="17"/>
          <w:color w:val="auto"/>
        </w:rPr>
      </w:pPr>
    </w:p>
    <w:p>
      <w:pPr>
        <w:ind w:right="160" w:firstLine="634"/>
        <w:spacing w:after="0" w:line="289" w:lineRule="auto"/>
        <w:tabs>
          <w:tab w:leader="none" w:pos="1266" w:val="left"/>
        </w:tabs>
        <w:numPr>
          <w:ilvl w:val="0"/>
          <w:numId w:val="354"/>
        </w:numPr>
        <w:rPr>
          <w:rFonts w:ascii="Arial" w:cs="Arial" w:eastAsia="Arial" w:hAnsi="Arial"/>
          <w:sz w:val="17"/>
          <w:szCs w:val="17"/>
          <w:color w:val="auto"/>
        </w:rPr>
      </w:pPr>
      <w:r>
        <w:rPr>
          <w:rFonts w:ascii="Arial" w:cs="Arial" w:eastAsia="Arial" w:hAnsi="Arial"/>
          <w:sz w:val="17"/>
          <w:szCs w:val="17"/>
          <w:color w:val="auto"/>
        </w:rPr>
        <w:t>In no event shall any individual be granted an Incentive Stock Option after the expiration of ten (10) years from the date this Plan is adopted or is approved by the shareholders of the Company (if shareholder approval is required by Section 422 of the Code), whichever is earlier.</w:t>
      </w:r>
    </w:p>
    <w:p>
      <w:pPr>
        <w:spacing w:after="0" w:line="158" w:lineRule="exact"/>
        <w:rPr>
          <w:rFonts w:ascii="Arial" w:cs="Arial" w:eastAsia="Arial" w:hAnsi="Arial"/>
          <w:sz w:val="17"/>
          <w:szCs w:val="17"/>
          <w:color w:val="auto"/>
        </w:rPr>
      </w:pPr>
    </w:p>
    <w:p>
      <w:pPr>
        <w:jc w:val="both"/>
        <w:ind w:right="100" w:firstLine="634"/>
        <w:spacing w:after="0" w:line="268" w:lineRule="auto"/>
        <w:tabs>
          <w:tab w:leader="none" w:pos="1269" w:val="left"/>
        </w:tabs>
        <w:numPr>
          <w:ilvl w:val="0"/>
          <w:numId w:val="354"/>
        </w:numPr>
        <w:rPr>
          <w:rFonts w:ascii="Arial" w:cs="Arial" w:eastAsia="Arial" w:hAnsi="Arial"/>
          <w:sz w:val="17"/>
          <w:szCs w:val="17"/>
          <w:color w:val="auto"/>
        </w:rPr>
      </w:pPr>
      <w:r>
        <w:rPr>
          <w:rFonts w:ascii="Arial" w:cs="Arial" w:eastAsia="Arial" w:hAnsi="Arial"/>
          <w:sz w:val="17"/>
          <w:szCs w:val="17"/>
          <w:color w:val="auto"/>
        </w:rPr>
        <w:t>To the extent shareholder approval of this Plan is required by Section 422 of the Code, no individual shall be granted an Incentive Stock Option unless this Plan is approved by the shareholders of the Company within twelve (12) months before or after the date this Plan is initially adopted. In the event this Plan is amended to increase the number of Shares subject to issuance upon the exercise of Incentive Stock Options or to change the class of employees eligible to receive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Incentive Stock Options, no individual shall be granted an Incentive Stock Option unless such amendment is approved by the shareholders of the Company within twelve (12) months before or after such amendment.</w:t>
      </w:r>
    </w:p>
    <w:p>
      <w:pPr>
        <w:spacing w:after="0" w:line="158" w:lineRule="exact"/>
        <w:rPr>
          <w:sz w:val="20"/>
          <w:szCs w:val="20"/>
          <w:color w:val="auto"/>
        </w:rPr>
      </w:pPr>
    </w:p>
    <w:p>
      <w:pPr>
        <w:ind w:right="120" w:firstLine="634"/>
        <w:spacing w:after="0" w:line="273" w:lineRule="auto"/>
        <w:tabs>
          <w:tab w:leader="none" w:pos="1263" w:val="left"/>
        </w:tabs>
        <w:numPr>
          <w:ilvl w:val="0"/>
          <w:numId w:val="355"/>
        </w:numPr>
        <w:rPr>
          <w:rFonts w:ascii="Arial" w:cs="Arial" w:eastAsia="Arial" w:hAnsi="Arial"/>
          <w:sz w:val="17"/>
          <w:szCs w:val="17"/>
          <w:color w:val="auto"/>
        </w:rPr>
      </w:pPr>
      <w:r>
        <w:rPr>
          <w:rFonts w:ascii="Arial" w:cs="Arial" w:eastAsia="Arial" w:hAnsi="Arial"/>
          <w:sz w:val="17"/>
          <w:szCs w:val="17"/>
          <w:color w:val="auto"/>
        </w:rPr>
        <w:t>No Incentive Stock Option shall be granted to any employee owning more than ten percent (10%) of the total combined voting power of the Company or any Subsidiary unless the term of such Incentive Stock Option is equal to or less than five (5) years measured from the date on which such Incentive Stock Option is granted.</w:t>
      </w:r>
    </w:p>
    <w:p>
      <w:pPr>
        <w:spacing w:after="0" w:line="171" w:lineRule="exact"/>
        <w:rPr>
          <w:rFonts w:ascii="Arial" w:cs="Arial" w:eastAsia="Arial" w:hAnsi="Arial"/>
          <w:sz w:val="17"/>
          <w:szCs w:val="17"/>
          <w:color w:val="auto"/>
        </w:rPr>
      </w:pPr>
    </w:p>
    <w:p>
      <w:pPr>
        <w:ind w:right="20" w:firstLine="634"/>
        <w:spacing w:after="0" w:line="289" w:lineRule="auto"/>
        <w:tabs>
          <w:tab w:leader="none" w:pos="1279" w:val="left"/>
        </w:tabs>
        <w:numPr>
          <w:ilvl w:val="0"/>
          <w:numId w:val="355"/>
        </w:numPr>
        <w:rPr>
          <w:rFonts w:ascii="Arial" w:cs="Arial" w:eastAsia="Arial" w:hAnsi="Arial"/>
          <w:sz w:val="17"/>
          <w:szCs w:val="17"/>
          <w:color w:val="auto"/>
        </w:rPr>
      </w:pPr>
      <w:r>
        <w:rPr>
          <w:rFonts w:ascii="Arial" w:cs="Arial" w:eastAsia="Arial" w:hAnsi="Arial"/>
          <w:sz w:val="17"/>
          <w:szCs w:val="17"/>
          <w:color w:val="auto"/>
        </w:rPr>
        <w:t>No Incentive Stock Option granted pursuant to this Plan shall be transferable other than by will or the laws of decent and distribution and it shall be exercisable only by the Optionee during his or her lifetime.</w:t>
      </w:r>
    </w:p>
    <w:p>
      <w:pPr>
        <w:spacing w:after="0" w:line="158" w:lineRule="exact"/>
        <w:rPr>
          <w:sz w:val="20"/>
          <w:szCs w:val="20"/>
          <w:color w:val="auto"/>
        </w:rPr>
      </w:pPr>
    </w:p>
    <w:p>
      <w:pPr>
        <w:ind w:right="320" w:firstLine="629"/>
        <w:spacing w:after="0" w:line="28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i w:val="1"/>
          <w:iCs w:val="1"/>
          <w:u w:val="single" w:color="auto"/>
          <w:color w:val="auto"/>
        </w:rPr>
        <w:t>Option Term.</w:t>
      </w:r>
      <w:r>
        <w:rPr>
          <w:rFonts w:ascii="Arial" w:cs="Arial" w:eastAsia="Arial" w:hAnsi="Arial"/>
          <w:sz w:val="17"/>
          <w:szCs w:val="17"/>
          <w:color w:val="auto"/>
        </w:rPr>
        <w:t xml:space="preserve"> The term of a Stock Option shall be for such period of time from the date of its grant as may be determined by the Committee; provided, however, that no Incentive Stock Option shall be exercisable after the expiration of ten (10) years from the date of its grant.</w:t>
      </w:r>
    </w:p>
    <w:p>
      <w:pPr>
        <w:spacing w:after="0" w:line="158"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i w:val="1"/>
          <w:iCs w:val="1"/>
          <w:u w:val="single" w:color="auto"/>
          <w:color w:val="auto"/>
        </w:rPr>
        <w:t>Time of Exercise.</w:t>
      </w:r>
      <w:r>
        <w:rPr>
          <w:rFonts w:ascii="Arial" w:cs="Arial" w:eastAsia="Arial" w:hAnsi="Arial"/>
          <w:sz w:val="17"/>
          <w:szCs w:val="17"/>
          <w:color w:val="auto"/>
        </w:rPr>
        <w:t xml:space="preserve"> No Stock Option may be exercised unless it is exercised prior to the expiration of its stated term and, in connection with options granted to employees of the Company or its Subsidiaries, at the time of such exercise, the Optionee is, and has been continuously since the date of grant of such Stock Option, employed by the Company or a Subsidiary, except that:</w:t>
      </w:r>
    </w:p>
    <w:p>
      <w:pPr>
        <w:spacing w:after="0" w:line="172" w:lineRule="exact"/>
        <w:rPr>
          <w:sz w:val="20"/>
          <w:szCs w:val="20"/>
          <w:color w:val="auto"/>
        </w:rPr>
      </w:pPr>
    </w:p>
    <w:p>
      <w:pPr>
        <w:ind w:right="20" w:firstLine="634"/>
        <w:spacing w:after="0" w:line="298" w:lineRule="auto"/>
        <w:tabs>
          <w:tab w:leader="none" w:pos="1256" w:val="left"/>
        </w:tabs>
        <w:numPr>
          <w:ilvl w:val="0"/>
          <w:numId w:val="356"/>
        </w:numPr>
        <w:rPr>
          <w:rFonts w:ascii="Arial" w:cs="Arial" w:eastAsia="Arial" w:hAnsi="Arial"/>
          <w:sz w:val="16"/>
          <w:szCs w:val="16"/>
          <w:color w:val="auto"/>
        </w:rPr>
      </w:pPr>
      <w:r>
        <w:rPr>
          <w:rFonts w:ascii="Arial" w:cs="Arial" w:eastAsia="Arial" w:hAnsi="Arial"/>
          <w:sz w:val="16"/>
          <w:szCs w:val="16"/>
          <w:color w:val="auto"/>
        </w:rPr>
        <w:t>A Stock Option may, to the extent vested as of the date the Optionee ceases to be an employee of the Company or a Subsidiary, be exercised during the three-month period immediately following the date the Optionee ceases (for any reason other than death, Disability or Retirement) to be an employee of the Company or a Subsidiary (or within such other period as may be specified in the applicable option agreement), provided that, if the Stock Option has been</w:t>
      </w:r>
    </w:p>
    <w:p>
      <w:pPr>
        <w:sectPr>
          <w:pgSz w:w="11900" w:h="16876" w:orient="portrait"/>
          <w:cols w:equalWidth="0" w:num="1">
            <w:col w:w="11420"/>
          </w:cols>
          <w:pgMar w:left="240" w:top="121" w:right="239" w:bottom="0" w:gutter="0" w:footer="0" w:header="0"/>
        </w:sectPr>
      </w:pPr>
    </w:p>
    <w:bookmarkStart w:id="289" w:name="page290"/>
    <w:bookmarkEnd w:id="289"/>
    <w:p>
      <w:pPr>
        <w:spacing w:after="0" w:line="37"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designated as an Incentive Stock Option and the option agreement provides for a longer exercise period, the exercise of such Stock Option after such three-month period shall be treated as the exercise of a Non-Qualified Stock Option;</w:t>
      </w:r>
    </w:p>
    <w:p>
      <w:pPr>
        <w:spacing w:after="0" w:line="158" w:lineRule="exact"/>
        <w:rPr>
          <w:sz w:val="20"/>
          <w:szCs w:val="20"/>
          <w:color w:val="auto"/>
        </w:rPr>
      </w:pPr>
    </w:p>
    <w:p>
      <w:pPr>
        <w:ind w:right="40" w:firstLine="634"/>
        <w:spacing w:after="0" w:line="265" w:lineRule="auto"/>
        <w:tabs>
          <w:tab w:leader="none" w:pos="1266" w:val="left"/>
        </w:tabs>
        <w:numPr>
          <w:ilvl w:val="0"/>
          <w:numId w:val="357"/>
        </w:numPr>
        <w:rPr>
          <w:rFonts w:ascii="Arial" w:cs="Arial" w:eastAsia="Arial" w:hAnsi="Arial"/>
          <w:sz w:val="17"/>
          <w:szCs w:val="17"/>
          <w:color w:val="auto"/>
        </w:rPr>
      </w:pPr>
      <w:r>
        <w:rPr>
          <w:rFonts w:ascii="Arial" w:cs="Arial" w:eastAsia="Arial" w:hAnsi="Arial"/>
          <w:sz w:val="17"/>
          <w:szCs w:val="17"/>
          <w:color w:val="auto"/>
        </w:rPr>
        <w:t>If the Optionee dies while entitled to exercise a Stock Option, such Stock Option may, to the extent vested as of the date of the Optionee’s death, be exercised by the Optionee’s Designated Beneficiary during the three year period immediately following the date of the Optionee’s death (or within such other period as may be specified in the applicable option agreement); provided that, if the Stock Option has been designated as an Incentive Stock Option and the option agreement provides for a longer exercise period, the exercise of such Stock Option after such one-year period shall be treated as the exercise of a Non-Qualified Stock Option;</w:t>
      </w:r>
    </w:p>
    <w:p>
      <w:pPr>
        <w:spacing w:after="0" w:line="179" w:lineRule="exact"/>
        <w:rPr>
          <w:rFonts w:ascii="Arial" w:cs="Arial" w:eastAsia="Arial" w:hAnsi="Arial"/>
          <w:sz w:val="17"/>
          <w:szCs w:val="17"/>
          <w:color w:val="auto"/>
        </w:rPr>
      </w:pPr>
    </w:p>
    <w:p>
      <w:pPr>
        <w:ind w:right="120" w:firstLine="634"/>
        <w:spacing w:after="0" w:line="268" w:lineRule="auto"/>
        <w:tabs>
          <w:tab w:leader="none" w:pos="1269" w:val="left"/>
        </w:tabs>
        <w:numPr>
          <w:ilvl w:val="0"/>
          <w:numId w:val="357"/>
        </w:numPr>
        <w:rPr>
          <w:rFonts w:ascii="Arial" w:cs="Arial" w:eastAsia="Arial" w:hAnsi="Arial"/>
          <w:sz w:val="17"/>
          <w:szCs w:val="17"/>
          <w:color w:val="auto"/>
        </w:rPr>
      </w:pPr>
      <w:r>
        <w:rPr>
          <w:rFonts w:ascii="Arial" w:cs="Arial" w:eastAsia="Arial" w:hAnsi="Arial"/>
          <w:sz w:val="17"/>
          <w:szCs w:val="17"/>
          <w:color w:val="auto"/>
        </w:rPr>
        <w:t>If the Optionee ceases to be an employee of the Company or a Subsidiary by reason of the Optionee’s Disability or Retirement, a Stock Option, to the extent vested as of the date the Optionee ceases to be an employee of the Company or a Subsidiary, may be exercised during the three year period immediately following the date of such cessation of employment (or within such other period as may be specified in the applicable option agreement); provided that, if the Stock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Option has been designated as an Incentive Stock Option and the option agreement provides for a longer exercise period, the exercise of such Stock Option after such one-year period shall be treated as the exercise of a Non-Qualified Stock Option; and</w:t>
      </w:r>
    </w:p>
    <w:p>
      <w:pPr>
        <w:spacing w:after="0" w:line="158" w:lineRule="exact"/>
        <w:rPr>
          <w:sz w:val="20"/>
          <w:szCs w:val="20"/>
          <w:color w:val="auto"/>
        </w:rPr>
      </w:pPr>
    </w:p>
    <w:p>
      <w:pPr>
        <w:ind w:left="640" w:right="100"/>
        <w:spacing w:after="0" w:line="265" w:lineRule="auto"/>
        <w:rPr>
          <w:sz w:val="20"/>
          <w:szCs w:val="20"/>
          <w:color w:val="auto"/>
        </w:rPr>
      </w:pPr>
      <w:r>
        <w:rPr>
          <w:rFonts w:ascii="Arial" w:cs="Arial" w:eastAsia="Arial" w:hAnsi="Arial"/>
          <w:sz w:val="17"/>
          <w:szCs w:val="17"/>
          <w:color w:val="auto"/>
        </w:rPr>
        <w:t xml:space="preserve">Nothing contained in this </w:t>
      </w:r>
      <w:r>
        <w:rPr>
          <w:rFonts w:ascii="Arial" w:cs="Arial" w:eastAsia="Arial" w:hAnsi="Arial"/>
          <w:sz w:val="17"/>
          <w:szCs w:val="17"/>
          <w:u w:val="single" w:color="auto"/>
          <w:color w:val="auto"/>
        </w:rPr>
        <w:t>Subsection 6.4</w:t>
      </w:r>
      <w:r>
        <w:rPr>
          <w:rFonts w:ascii="Arial" w:cs="Arial" w:eastAsia="Arial" w:hAnsi="Arial"/>
          <w:sz w:val="17"/>
          <w:szCs w:val="17"/>
          <w:color w:val="auto"/>
        </w:rPr>
        <w:t xml:space="preserve"> will be deemed to extend the term of a Stock Option or to revive any Stock Option which has previously lapsed or been canceled, terminated or surrendered. Stock Options granted under this Plan to Consultants or non-employee Directors will contain such terms and conditions with respect to the death or disability of a Consultant or non-employee Director or termination of a Consultant’s or non-employee Director’s relationship with the Company as the Committee deems necessary or appropriate. Such terms and conditions will be set forth in the option agreements evidencing the grant of such Stock Options.</w:t>
      </w:r>
    </w:p>
    <w:p>
      <w:pPr>
        <w:spacing w:after="0" w:line="17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5"/>
          <w:szCs w:val="15"/>
          <w:i w:val="1"/>
          <w:iCs w:val="1"/>
          <w:u w:val="single" w:color="auto"/>
          <w:color w:val="auto"/>
        </w:rPr>
        <w:t>Vesting of Stock Options.</w:t>
      </w:r>
    </w:p>
    <w:p>
      <w:pPr>
        <w:spacing w:after="0" w:line="224" w:lineRule="exact"/>
        <w:rPr>
          <w:sz w:val="20"/>
          <w:szCs w:val="20"/>
          <w:color w:val="auto"/>
        </w:rPr>
      </w:pPr>
    </w:p>
    <w:p>
      <w:pPr>
        <w:ind w:right="140" w:firstLine="634"/>
        <w:spacing w:after="0" w:line="290" w:lineRule="auto"/>
        <w:tabs>
          <w:tab w:leader="none" w:pos="1256" w:val="left"/>
        </w:tabs>
        <w:numPr>
          <w:ilvl w:val="0"/>
          <w:numId w:val="358"/>
        </w:numPr>
        <w:rPr>
          <w:rFonts w:ascii="Arial" w:cs="Arial" w:eastAsia="Arial" w:hAnsi="Arial"/>
          <w:sz w:val="16"/>
          <w:szCs w:val="16"/>
          <w:color w:val="auto"/>
        </w:rPr>
      </w:pPr>
      <w:r>
        <w:rPr>
          <w:rFonts w:ascii="Arial" w:cs="Arial" w:eastAsia="Arial" w:hAnsi="Arial"/>
          <w:sz w:val="16"/>
          <w:szCs w:val="16"/>
          <w:color w:val="auto"/>
        </w:rPr>
        <w:t>Each Stock Option granted pursuant to this Plan may only be exercised to the extent that the Optionee is vested in such Stock Option, except as specified below with respect to Early Exercise. Each Stock Option shall vest separately in accordance with the option vesting schedule determined by the Committee, which will be incorporated in the option agreement entered into between the Company and such Optionee. The option vesting schedule may be accelerated if, in the sole discretion of the Committee, the acceleration of the option vesting schedule would be in the best interests the Company.</w:t>
      </w:r>
    </w:p>
    <w:p>
      <w:pPr>
        <w:spacing w:after="0" w:line="159"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Early Exercise”</w:t>
      </w:r>
      <w:r>
        <w:rPr>
          <w:rFonts w:ascii="Arial" w:cs="Arial" w:eastAsia="Arial" w:hAnsi="Arial"/>
          <w:sz w:val="17"/>
          <w:szCs w:val="17"/>
          <w:color w:val="auto"/>
        </w:rPr>
        <w:t xml:space="preserve"> means the exercise of a Stock Option prior to vesting in accordance with the applicable provisions of this Plan and the Award agreement evidencing the Stock Option. “</w:t>
      </w:r>
      <w:r>
        <w:rPr>
          <w:rFonts w:ascii="Arial" w:cs="Arial" w:eastAsia="Arial" w:hAnsi="Arial"/>
          <w:sz w:val="17"/>
          <w:szCs w:val="17"/>
          <w:i w:val="1"/>
          <w:iCs w:val="1"/>
          <w:color w:val="auto"/>
        </w:rPr>
        <w:t>Repurchase Rights</w:t>
      </w:r>
      <w:r>
        <w:rPr>
          <w:rFonts w:ascii="Arial" w:cs="Arial" w:eastAsia="Arial" w:hAnsi="Arial"/>
          <w:sz w:val="17"/>
          <w:szCs w:val="17"/>
          <w:color w:val="auto"/>
        </w:rPr>
        <w:t>” means the right the Company may have pursuant to this Plan or an Award agreement to repurchase unvested shares of Common Stock that the applicable Participant may have received through Early Exercise of a Stock Option or through an Award of Restricted Stock at the same price that such Participant paid (if any).</w:t>
      </w:r>
    </w:p>
    <w:p>
      <w:pPr>
        <w:spacing w:after="0" w:line="176" w:lineRule="exact"/>
        <w:rPr>
          <w:sz w:val="20"/>
          <w:szCs w:val="20"/>
          <w:color w:val="auto"/>
        </w:rPr>
      </w:pPr>
    </w:p>
    <w:p>
      <w:pPr>
        <w:ind w:right="320" w:firstLine="629"/>
        <w:spacing w:after="0" w:line="268" w:lineRule="auto"/>
        <w:rPr>
          <w:sz w:val="20"/>
          <w:szCs w:val="20"/>
          <w:color w:val="auto"/>
        </w:rPr>
      </w:pPr>
      <w:r>
        <w:rPr>
          <w:rFonts w:ascii="Arial" w:cs="Arial" w:eastAsia="Arial" w:hAnsi="Arial"/>
          <w:sz w:val="17"/>
          <w:szCs w:val="17"/>
          <w:color w:val="auto"/>
        </w:rPr>
        <w:t>An Award agreement covering a Non-Qualified Stock Option may (in the Committee’s sole discretion) permit the Early Exercise of all or a portion of such Stock Option prior to the vesting of such Stock Option, but only prior to an Initial Public Offering. Shares purchased through the Early Exercise of such Option will be restricted and will be subject to the same vesting schedule as set forth in the Stock Option, and will also be subject to any repurchase rights if provided in the Award agreement</w:t>
      </w:r>
    </w:p>
    <w:p>
      <w:pPr>
        <w:spacing w:after="0" w:line="176" w:lineRule="exact"/>
        <w:rPr>
          <w:sz w:val="20"/>
          <w:szCs w:val="20"/>
          <w:color w:val="auto"/>
        </w:rPr>
      </w:pPr>
    </w:p>
    <w:p>
      <w:pPr>
        <w:ind w:right="20" w:firstLine="634"/>
        <w:spacing w:after="0" w:line="265" w:lineRule="auto"/>
        <w:tabs>
          <w:tab w:leader="none" w:pos="1266" w:val="left"/>
        </w:tabs>
        <w:numPr>
          <w:ilvl w:val="0"/>
          <w:numId w:val="359"/>
        </w:numPr>
        <w:rPr>
          <w:rFonts w:ascii="Arial" w:cs="Arial" w:eastAsia="Arial" w:hAnsi="Arial"/>
          <w:sz w:val="17"/>
          <w:szCs w:val="17"/>
          <w:color w:val="auto"/>
        </w:rPr>
      </w:pPr>
      <w:r>
        <w:rPr>
          <w:rFonts w:ascii="Arial" w:cs="Arial" w:eastAsia="Arial" w:hAnsi="Arial"/>
          <w:sz w:val="17"/>
          <w:szCs w:val="17"/>
          <w:color w:val="auto"/>
        </w:rPr>
        <w:t xml:space="preserve">In the event of the dissolution or liquidation of the Company, each Stock Option granted pursuant to this Plan shall terminate as of a date to be fixed by the Committee; provided, however, that not less than thirty (30) days’ written notice of the date so fixed shall be given to each Optionee. During such period all Stock Options which have not previously been terminated, exercised or surrendered will (subject to the provisions of </w:t>
      </w:r>
      <w:r>
        <w:rPr>
          <w:rFonts w:ascii="Arial" w:cs="Arial" w:eastAsia="Arial" w:hAnsi="Arial"/>
          <w:sz w:val="17"/>
          <w:szCs w:val="17"/>
          <w:u w:val="single" w:color="auto"/>
          <w:color w:val="auto"/>
        </w:rPr>
        <w:t>Subsections 6.3 and 6.4</w:t>
      </w:r>
      <w:r>
        <w:rPr>
          <w:rFonts w:ascii="Arial" w:cs="Arial" w:eastAsia="Arial" w:hAnsi="Arial"/>
          <w:sz w:val="17"/>
          <w:szCs w:val="17"/>
          <w:color w:val="auto"/>
        </w:rPr>
        <w:t>) fully vest and become exercisable, notwithstanding the vesting schedule set forth in the option agreement evidencing the grant of such Stock Option. Upon the date fixed by the Committee, any unexercised Stock Options shall terminate and be of no further effect.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34"/>
        <w:spacing w:after="0" w:line="265" w:lineRule="auto"/>
        <w:tabs>
          <w:tab w:leader="none" w:pos="1269" w:val="left"/>
        </w:tabs>
        <w:numPr>
          <w:ilvl w:val="0"/>
          <w:numId w:val="360"/>
        </w:numPr>
        <w:rPr>
          <w:rFonts w:ascii="Arial" w:cs="Arial" w:eastAsia="Arial" w:hAnsi="Arial"/>
          <w:sz w:val="17"/>
          <w:szCs w:val="17"/>
          <w:color w:val="auto"/>
        </w:rPr>
      </w:pPr>
      <w:r>
        <w:rPr>
          <w:rFonts w:ascii="Arial" w:cs="Arial" w:eastAsia="Arial" w:hAnsi="Arial"/>
          <w:sz w:val="17"/>
          <w:szCs w:val="17"/>
          <w:color w:val="auto"/>
        </w:rPr>
        <w:t>Upon a Change in Control, all Stock Options and any associated Stock Appreciation Rights Options will be treated in accordance with the applicable Award agreements. An Award agreement granting an Award pursuant to this Plan may be amended, with the written consent of the parties thereto, to modify the treatment of any Stock Options or Stock Appreciation Rights upon Change in Control as specified in the associated Award agreement. In particular, an Award agreement granting an Award pursuant to this Plan may be amended to eliminate any provision in the associated Award agreement providing for immediate exercisability of Stock Options or Stock Appreciation Rights upon Change in Control.</w:t>
      </w:r>
    </w:p>
    <w:p>
      <w:pPr>
        <w:spacing w:after="0" w:line="17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5"/>
          <w:szCs w:val="15"/>
          <w:i w:val="1"/>
          <w:iCs w:val="1"/>
          <w:u w:val="single" w:color="auto"/>
          <w:color w:val="auto"/>
        </w:rPr>
        <w:t>Manner of Exercise of Stock Options.</w:t>
      </w:r>
    </w:p>
    <w:p>
      <w:pPr>
        <w:spacing w:after="0" w:line="224" w:lineRule="exact"/>
        <w:rPr>
          <w:sz w:val="20"/>
          <w:szCs w:val="20"/>
          <w:color w:val="auto"/>
        </w:rPr>
      </w:pPr>
    </w:p>
    <w:p>
      <w:pPr>
        <w:ind w:right="120" w:firstLine="634"/>
        <w:spacing w:after="0" w:line="268" w:lineRule="auto"/>
        <w:tabs>
          <w:tab w:leader="none" w:pos="1256" w:val="left"/>
        </w:tabs>
        <w:numPr>
          <w:ilvl w:val="0"/>
          <w:numId w:val="361"/>
        </w:numPr>
        <w:rPr>
          <w:rFonts w:ascii="Arial" w:cs="Arial" w:eastAsia="Arial" w:hAnsi="Arial"/>
          <w:sz w:val="17"/>
          <w:szCs w:val="17"/>
          <w:color w:val="auto"/>
        </w:rPr>
      </w:pPr>
      <w:r>
        <w:rPr>
          <w:rFonts w:ascii="Arial" w:cs="Arial" w:eastAsia="Arial" w:hAnsi="Arial"/>
          <w:sz w:val="17"/>
          <w:szCs w:val="17"/>
          <w:color w:val="auto"/>
        </w:rPr>
        <w:t>Except as otherwise provided in this Plan, Stock Options may be exercised as to Shares only in amounts and at intervals of time specified in the written option agreement between the Company and the Optionee. Each exercise of a Stock Option, or any part thereof, shall be evidenced by a written notice delivered by the Optionee to the Company. The purchase price of the Shares as to which a Stock Option shall be exercised shall be paid in full at the time of exercise, and may be paid to the Company either:</w:t>
      </w:r>
    </w:p>
    <w:p>
      <w:pPr>
        <w:spacing w:after="0" w:line="175" w:lineRule="exact"/>
        <w:rPr>
          <w:rFonts w:ascii="Arial" w:cs="Arial" w:eastAsia="Arial" w:hAnsi="Arial"/>
          <w:sz w:val="17"/>
          <w:szCs w:val="17"/>
          <w:color w:val="auto"/>
        </w:rPr>
      </w:pPr>
    </w:p>
    <w:p>
      <w:pPr>
        <w:ind w:left="1920" w:hanging="657"/>
        <w:spacing w:after="0"/>
        <w:tabs>
          <w:tab w:leader="none" w:pos="1920" w:val="left"/>
        </w:tabs>
        <w:numPr>
          <w:ilvl w:val="1"/>
          <w:numId w:val="361"/>
        </w:numPr>
        <w:rPr>
          <w:rFonts w:ascii="Arial" w:cs="Arial" w:eastAsia="Arial" w:hAnsi="Arial"/>
          <w:sz w:val="17"/>
          <w:szCs w:val="17"/>
          <w:color w:val="auto"/>
        </w:rPr>
      </w:pPr>
      <w:r>
        <w:rPr>
          <w:rFonts w:ascii="Arial" w:cs="Arial" w:eastAsia="Arial" w:hAnsi="Arial"/>
          <w:sz w:val="17"/>
          <w:szCs w:val="17"/>
          <w:color w:val="auto"/>
        </w:rPr>
        <w:t>in cash (including check, bank draft or money order); or</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1"/>
          <w:numId w:val="361"/>
        </w:numPr>
        <w:rPr>
          <w:rFonts w:ascii="Arial" w:cs="Arial" w:eastAsia="Arial" w:hAnsi="Arial"/>
          <w:sz w:val="17"/>
          <w:szCs w:val="17"/>
          <w:color w:val="auto"/>
        </w:rPr>
      </w:pPr>
      <w:r>
        <w:rPr>
          <w:rFonts w:ascii="Arial" w:cs="Arial" w:eastAsia="Arial" w:hAnsi="Arial"/>
          <w:sz w:val="17"/>
          <w:szCs w:val="17"/>
          <w:color w:val="auto"/>
        </w:rPr>
        <w:t>by other consideration deemed acceptable by the Committee in its sole discretion.</w:t>
      </w:r>
    </w:p>
    <w:p>
      <w:pPr>
        <w:spacing w:after="0" w:line="224" w:lineRule="exact"/>
        <w:rPr>
          <w:rFonts w:ascii="Arial" w:cs="Arial" w:eastAsia="Arial" w:hAnsi="Arial"/>
          <w:sz w:val="17"/>
          <w:szCs w:val="17"/>
          <w:color w:val="auto"/>
        </w:rPr>
      </w:pPr>
    </w:p>
    <w:p>
      <w:pPr>
        <w:ind w:right="20" w:firstLine="634"/>
        <w:spacing w:after="0" w:line="303" w:lineRule="auto"/>
        <w:tabs>
          <w:tab w:leader="none" w:pos="1266" w:val="left"/>
        </w:tabs>
        <w:numPr>
          <w:ilvl w:val="0"/>
          <w:numId w:val="361"/>
        </w:numPr>
        <w:rPr>
          <w:rFonts w:ascii="Arial" w:cs="Arial" w:eastAsia="Arial" w:hAnsi="Arial"/>
          <w:sz w:val="15"/>
          <w:szCs w:val="15"/>
          <w:color w:val="auto"/>
        </w:rPr>
      </w:pPr>
      <w:r>
        <w:rPr>
          <w:rFonts w:ascii="Arial" w:cs="Arial" w:eastAsia="Arial" w:hAnsi="Arial"/>
          <w:sz w:val="15"/>
          <w:szCs w:val="15"/>
          <w:color w:val="auto"/>
        </w:rPr>
        <w:t>If, as permitted in the option agreement or by the Committee, an Optionee delivers Shares already owned by the Optionee in full or partial payment of the exercise price for any Stock Option or the Optionee elects to have the Company retain that number of Shares out of the Shares being acquired through the exercise of the Stock Option having a Fair Market Value equal to the exercise price of the Stock Option being exercised, the Committee may, in its sole discretion, authorize the grant of a new Stock Option (a “</w:t>
      </w:r>
      <w:r>
        <w:rPr>
          <w:rFonts w:ascii="Arial" w:cs="Arial" w:eastAsia="Arial" w:hAnsi="Arial"/>
          <w:sz w:val="15"/>
          <w:szCs w:val="15"/>
          <w:u w:val="single" w:color="auto"/>
          <w:color w:val="auto"/>
        </w:rPr>
        <w:t>Reload Option</w:t>
      </w:r>
      <w:r>
        <w:rPr>
          <w:rFonts w:ascii="Arial" w:cs="Arial" w:eastAsia="Arial" w:hAnsi="Arial"/>
          <w:sz w:val="15"/>
          <w:szCs w:val="15"/>
          <w:color w:val="auto"/>
        </w:rPr>
        <w:t>”) for that number of Shares equal to the number of already owned Shares surrendered or newly acquired Shares being retained by the Company in payment of the option exercise price of the underlying Stock Option being exercised. The grant of a Reload Option will become effective upon the exercise of the underlying Stock Option. The option exercise price of the Reload Option shall be the Fair Market Value of a Share on the effective date of the grant of the Reload Option. Each Reload Option shall be exercisable no later than the time when the underlying stock</w:t>
      </w:r>
    </w:p>
    <w:p>
      <w:pPr>
        <w:sectPr>
          <w:pgSz w:w="11900" w:h="16876" w:orient="portrait"/>
          <w:cols w:equalWidth="0" w:num="1">
            <w:col w:w="11420"/>
          </w:cols>
          <w:pgMar w:left="240" w:top="127" w:right="239" w:bottom="0" w:gutter="0" w:footer="0" w:header="0"/>
        </w:sectPr>
      </w:pPr>
    </w:p>
    <w:bookmarkStart w:id="290" w:name="page291"/>
    <w:bookmarkEnd w:id="290"/>
    <w:p>
      <w:pPr>
        <w:ind w:right="60"/>
        <w:spacing w:after="0" w:line="289" w:lineRule="auto"/>
        <w:rPr>
          <w:sz w:val="20"/>
          <w:szCs w:val="20"/>
          <w:color w:val="auto"/>
        </w:rPr>
      </w:pPr>
      <w:r>
        <w:rPr>
          <w:rFonts w:ascii="Arial" w:cs="Arial" w:eastAsia="Arial" w:hAnsi="Arial"/>
          <w:sz w:val="17"/>
          <w:szCs w:val="17"/>
          <w:color w:val="auto"/>
        </w:rPr>
        <w:t>option being exercised could be last exercised. The Committee may also specify additional terms, conditions and restrictions for the Reload Option and the Shares to be acquired upon the exercise thereof.</w:t>
      </w:r>
    </w:p>
    <w:p>
      <w:pPr>
        <w:spacing w:after="0" w:line="158" w:lineRule="exact"/>
        <w:rPr>
          <w:sz w:val="20"/>
          <w:szCs w:val="20"/>
          <w:color w:val="auto"/>
        </w:rPr>
      </w:pPr>
    </w:p>
    <w:p>
      <w:pPr>
        <w:ind w:right="120" w:firstLine="634"/>
        <w:spacing w:after="0" w:line="268" w:lineRule="auto"/>
        <w:tabs>
          <w:tab w:leader="none" w:pos="1269" w:val="left"/>
        </w:tabs>
        <w:numPr>
          <w:ilvl w:val="0"/>
          <w:numId w:val="362"/>
        </w:numPr>
        <w:rPr>
          <w:rFonts w:ascii="Arial" w:cs="Arial" w:eastAsia="Arial" w:hAnsi="Arial"/>
          <w:sz w:val="17"/>
          <w:szCs w:val="17"/>
          <w:color w:val="auto"/>
        </w:rPr>
      </w:pPr>
      <w:r>
        <w:rPr>
          <w:rFonts w:ascii="Arial" w:cs="Arial" w:eastAsia="Arial" w:hAnsi="Arial"/>
          <w:sz w:val="17"/>
          <w:szCs w:val="17"/>
          <w:color w:val="auto"/>
        </w:rPr>
        <w:t>The amount, as determined by the Committee, of any federal, state or local tax required to be withheld by the Company due to the exercise of a Stock Option shall, subject to the authorization of the Committee, be satisfied, at the election of the Optionee, either (i) by payment by the Optionee to the Company of the amount of such withholding obligation in cash or other consideration acceptable to the Committee in its sole discretion or (ii) through either the retention by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 xml:space="preserve">the Company of a number of Shares out of the Shares being acquired through the exercise of the Stock Option or the delivery of already owned Shares having a Fair Market Value equal to the amount of the withholding obligation. If an Optionee elects to use the method described in clause (ii) of the preceding sentence in full or partial satisfaction of any tax liability resulting from the exercise of a Stock Option, the Committee may authorize the grant of a Reload Option for that number of Shares as shall equal the number of Shares used to satisfy the tax liabilities of the Optionee arising out of the exercise of such Stock Option. Such Reload Option will be granted at the price and on the terms set forth in </w:t>
      </w:r>
      <w:r>
        <w:rPr>
          <w:rFonts w:ascii="Arial" w:cs="Arial" w:eastAsia="Arial" w:hAnsi="Arial"/>
          <w:sz w:val="16"/>
          <w:szCs w:val="16"/>
          <w:u w:val="single" w:color="auto"/>
          <w:color w:val="auto"/>
        </w:rPr>
        <w:t>Subsection 6.6 (b)</w:t>
      </w:r>
      <w:r>
        <w:rPr>
          <w:rFonts w:ascii="Arial" w:cs="Arial" w:eastAsia="Arial" w:hAnsi="Arial"/>
          <w:sz w:val="16"/>
          <w:szCs w:val="16"/>
          <w:color w:val="auto"/>
        </w:rPr>
        <w:t>. The cash payment or an amount equal to the Fair Market Value of the Shares so withheld, as the case may be, shall be remitted by the Company to the appropriate taxing authorities.</w:t>
      </w:r>
    </w:p>
    <w:p>
      <w:pPr>
        <w:spacing w:after="0" w:line="167" w:lineRule="exact"/>
        <w:rPr>
          <w:sz w:val="20"/>
          <w:szCs w:val="20"/>
          <w:color w:val="auto"/>
        </w:rPr>
      </w:pPr>
    </w:p>
    <w:p>
      <w:pPr>
        <w:ind w:right="120" w:firstLine="634"/>
        <w:spacing w:after="0" w:line="322" w:lineRule="auto"/>
        <w:tabs>
          <w:tab w:leader="none" w:pos="1266" w:val="left"/>
        </w:tabs>
        <w:numPr>
          <w:ilvl w:val="0"/>
          <w:numId w:val="363"/>
        </w:numPr>
        <w:rPr>
          <w:rFonts w:ascii="Arial" w:cs="Arial" w:eastAsia="Arial" w:hAnsi="Arial"/>
          <w:sz w:val="16"/>
          <w:szCs w:val="16"/>
          <w:color w:val="auto"/>
        </w:rPr>
      </w:pPr>
      <w:r>
        <w:rPr>
          <w:rFonts w:ascii="Arial" w:cs="Arial" w:eastAsia="Arial" w:hAnsi="Arial"/>
          <w:sz w:val="16"/>
          <w:szCs w:val="16"/>
          <w:color w:val="auto"/>
        </w:rPr>
        <w:t>An Optionee shall not have any of the rights of a shareholder of the Company with respect to the Shares subject to a Stock Option except to the extent that such Stock Option is exercised and one or more certificates representing such Shares shall have been delivered to the Optionee.</w:t>
      </w:r>
    </w:p>
    <w:p>
      <w:pPr>
        <w:spacing w:after="0" w:line="136" w:lineRule="exact"/>
        <w:rPr>
          <w:sz w:val="20"/>
          <w:szCs w:val="20"/>
          <w:color w:val="auto"/>
        </w:rPr>
      </w:pPr>
    </w:p>
    <w:p>
      <w:pPr>
        <w:jc w:val="both"/>
        <w:ind w:right="200" w:firstLine="629"/>
        <w:spacing w:after="0" w:line="273"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i w:val="1"/>
          <w:iCs w:val="1"/>
          <w:u w:val="single" w:color="auto"/>
          <w:color w:val="auto"/>
        </w:rPr>
        <w:t>First Refusal Rights</w:t>
      </w:r>
      <w:r>
        <w:rPr>
          <w:rFonts w:ascii="Arial" w:cs="Arial" w:eastAsia="Arial" w:hAnsi="Arial"/>
          <w:sz w:val="17"/>
          <w:szCs w:val="17"/>
          <w:color w:val="auto"/>
        </w:rPr>
        <w:t>. Until such time as the Common Stock is first registered under Section 12 of the Exchange Act, the Company shall have the right of first refusal with respect to any proposed disposition by the Optionee (or any successor in interest) of any Shares issued under the Plan. Such right of first refusal shall be exercisable in accordance with the terms established by the Committee.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7</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STOCK APPRECIATION RIGHTS</w:t>
      </w:r>
    </w:p>
    <w:p>
      <w:pPr>
        <w:spacing w:after="0" w:line="212" w:lineRule="exact"/>
        <w:rPr>
          <w:sz w:val="20"/>
          <w:szCs w:val="20"/>
          <w:color w:val="auto"/>
        </w:rPr>
      </w:pPr>
    </w:p>
    <w:p>
      <w:pPr>
        <w:ind w:right="100" w:firstLine="629"/>
        <w:spacing w:after="0" w:line="279"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u w:val="single" w:color="auto"/>
          <w:color w:val="auto"/>
        </w:rPr>
        <w:t>Grants.</w:t>
      </w:r>
      <w:r>
        <w:rPr>
          <w:rFonts w:ascii="Arial" w:cs="Arial" w:eastAsia="Arial" w:hAnsi="Arial"/>
          <w:sz w:val="16"/>
          <w:szCs w:val="16"/>
          <w:color w:val="auto"/>
        </w:rPr>
        <w:t xml:space="preserve"> The Committee may grant to any eligible Consultant, non-employee Director or employee of the Company or a Subsidiary either Non-Tandem Stock Appreciation Rights or Tandem Stock Appreciation Rights. Stock Appreciation Rights shall be subject to such terms and conditions as the Committee shall impose. The grant of the Stock Appreciation Right may provide that the holder will be paid for the value of the Stock Appreciation Right either in cash or in Shares, or a combination thereof, at the sole discretion of the Committee. In the event of the exercise of a Stock Appreciation Right payable in Shares, the holder of the Stock Appreciation Right shall receive that number of whole Shares having an aggregate Fair Market Value on the date of exercise equal to the value obtained by multiplying (i) either (a) in the case of a Tandem Stock Appreciation Right, the difference between the Fair Market Value of a Share on the date of exercise over the per share exercise price of the related Stock Option, or (b) in the case of a Non-Tandem Stock Appreciation Right, the difference between the Fair Market Value of a Share on the date of exercise over the Fair Market Value on the date of the grant by (ii) the number of Shares as to which the Stock Appreciation Right is exercised. However, notwithstanding the foregoing, the Committee, in its sole discretion, may place a ceiling on the amount payable upon exercise of a Stock Appreciation Right, but any such limitation shall be specified at the time that the Stock Appreciation Right is granted.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80" w:firstLine="629"/>
        <w:spacing w:after="0" w:line="28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u w:val="single" w:color="auto"/>
          <w:color w:val="auto"/>
        </w:rPr>
        <w:t>Exercisability.</w:t>
      </w:r>
      <w:r>
        <w:rPr>
          <w:rFonts w:ascii="Arial" w:cs="Arial" w:eastAsia="Arial" w:hAnsi="Arial"/>
          <w:sz w:val="16"/>
          <w:szCs w:val="16"/>
          <w:color w:val="auto"/>
        </w:rPr>
        <w:t xml:space="preserve"> A Tandem Stock Appreciation Right granted in connection with an Incentive Stock Option (i) may be exercised at, and only at, the times and to the extent the related Incentive Stock Option is exercisable, (ii) will expire upon the termination of the related Incentive Stock Option, (iii) may not exceed 100% of the difference between the exercise price of the related Incentive Stock Option and the Fair Market Value of the Shares subject to the related Incentive Stock Option at the time the Tandem Stock Appreciation Right is exercised and (iv) may be exercised at, and only at, such times as the Fair Market Value of the Shares subject to the related Incentive Stock Option exceeds the exercise price of the related Incentive Stock Option. A Tandem Stock Appreciation Right may be transferred at, and only at, the times and to the extent the related Stock Option is transferable. If a Tandem Stock Appreciation Right is granted, there shall be surrendered and canceled from the related Stock Option at the time of exercise of the Tandem Stock Appreciation Right, in lieu of exercise pursuant to the related Stock Option, that number of Shares of the Stock Option to which the exercised Tandem Stock Appreciation Right relates.</w:t>
      </w:r>
    </w:p>
    <w:p>
      <w:pPr>
        <w:spacing w:after="0" w:line="171" w:lineRule="exact"/>
        <w:rPr>
          <w:sz w:val="20"/>
          <w:szCs w:val="20"/>
          <w:color w:val="auto"/>
        </w:rPr>
      </w:pPr>
    </w:p>
    <w:p>
      <w:pPr>
        <w:jc w:val="both"/>
        <w:ind w:firstLine="629"/>
        <w:spacing w:after="0" w:line="298"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u w:val="single" w:color="auto"/>
          <w:color w:val="auto"/>
        </w:rPr>
        <w:t>Certain Limitations on Non-Tandem Stock Appreciation Rights</w:t>
      </w:r>
      <w:r>
        <w:rPr>
          <w:rFonts w:ascii="Arial" w:cs="Arial" w:eastAsia="Arial" w:hAnsi="Arial"/>
          <w:sz w:val="16"/>
          <w:szCs w:val="16"/>
          <w:i w:val="1"/>
          <w:iCs w:val="1"/>
          <w:color w:val="auto"/>
        </w:rPr>
        <w:t>.</w:t>
      </w:r>
      <w:r>
        <w:rPr>
          <w:rFonts w:ascii="Arial" w:cs="Arial" w:eastAsia="Arial" w:hAnsi="Arial"/>
          <w:sz w:val="16"/>
          <w:szCs w:val="16"/>
          <w:color w:val="auto"/>
        </w:rPr>
        <w:t xml:space="preserve"> A Non-Tandem Stock Appreciation Right will be exercisable as provided by the Committee and will have such other terms and conditions as the Committee may determine. A Non-Tandem Stock Appreciation Right is subject to acceleration of vesting or immediate termination in certain circumstances in the same manner as Stock Options pursuant to </w:t>
      </w:r>
      <w:r>
        <w:rPr>
          <w:rFonts w:ascii="Arial" w:cs="Arial" w:eastAsia="Arial" w:hAnsi="Arial"/>
          <w:sz w:val="16"/>
          <w:szCs w:val="16"/>
          <w:u w:val="single" w:color="auto"/>
          <w:color w:val="auto"/>
        </w:rPr>
        <w:t>Subsections 6.4 and 6.5</w:t>
      </w:r>
      <w:r>
        <w:rPr>
          <w:rFonts w:ascii="Arial" w:cs="Arial" w:eastAsia="Arial" w:hAnsi="Arial"/>
          <w:sz w:val="16"/>
          <w:szCs w:val="16"/>
          <w:color w:val="auto"/>
        </w:rPr>
        <w:t xml:space="preserve"> of this Plan.</w:t>
      </w:r>
    </w:p>
    <w:p>
      <w:pPr>
        <w:spacing w:after="0" w:line="154"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i w:val="1"/>
          <w:iCs w:val="1"/>
          <w:u w:val="single" w:color="auto"/>
          <w:color w:val="auto"/>
        </w:rPr>
        <w:t>Limited Stock Appreciation Rights.</w:t>
      </w:r>
      <w:r>
        <w:rPr>
          <w:rFonts w:ascii="Arial" w:cs="Arial" w:eastAsia="Arial" w:hAnsi="Arial"/>
          <w:sz w:val="17"/>
          <w:szCs w:val="17"/>
          <w:color w:val="auto"/>
        </w:rPr>
        <w:t xml:space="preserve"> The Committee may grant limited Stock Appreciation Rights, either as Tandem Stock Appreciation Rights or Non-Tandem Stock Appreciation Rights, which may become exercisable only upon the occurrence of a Change in Control or such other event as the Committee may designate at the time of grant or thereafter.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8</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RESTRICTED STOCK</w:t>
      </w:r>
    </w:p>
    <w:p>
      <w:pPr>
        <w:spacing w:after="0" w:line="212" w:lineRule="exact"/>
        <w:rPr>
          <w:sz w:val="20"/>
          <w:szCs w:val="20"/>
          <w:color w:val="auto"/>
        </w:rPr>
      </w:pPr>
    </w:p>
    <w:p>
      <w:pPr>
        <w:ind w:right="80" w:firstLine="629"/>
        <w:spacing w:after="0" w:line="27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i w:val="1"/>
          <w:iCs w:val="1"/>
          <w:u w:val="single" w:color="auto"/>
          <w:color w:val="auto"/>
        </w:rPr>
        <w:t>Grants.</w:t>
      </w:r>
      <w:r>
        <w:rPr>
          <w:rFonts w:ascii="Arial" w:cs="Arial" w:eastAsia="Arial" w:hAnsi="Arial"/>
          <w:sz w:val="16"/>
          <w:szCs w:val="16"/>
          <w:color w:val="auto"/>
        </w:rPr>
        <w:t xml:space="preserve"> The Committee may grant Awards of Restricted Stock to any eligible Consultant, non-employee Director or employee of the Company or a Subsidiary for such minimum consideration, if any, as may be required by applicable law or such greater consideration as may be determined by the Committee, in its sole discretion. The terms and conditions of the Restricted Stock shall be specified by the grant agreement. The Committee, in its sole discretion, may specify any particular rights which the Participant to whom a grant of Restricted Stock is made shall have in the Restricted Stock during the restriction period and the restrictions applicable to the particular Award, the vesting schedule (which may be based on service, performance or other factors) and rights to acceleration of vesting (including, without limitation, whether non-vested Shares are forfeited or vested upon termination of employment). Further, the Committee may grant performance-based Awards consisting of Restricted Stock by conditioning the grant, or vesting or such other factors, such as the release, expiration or lapse of restrictions upon any such Award (including the acceleration of any such conditions or terms) of such Restricted Stock upon the attainment of specified performance goals or such other factors as the Committee may determine. The Committee shall also determine when the restrictions shall lapse or expire and the conditions, if any, pursuant to which the Restricted Stock will be forfeited or sold back to the Company. Each Award of Restricted Stock may have different restrictions and conditions. Unless otherwise set forth</w:t>
      </w:r>
    </w:p>
    <w:p>
      <w:pPr>
        <w:sectPr>
          <w:pgSz w:w="11900" w:h="16838" w:orient="portrait"/>
          <w:cols w:equalWidth="0" w:num="1">
            <w:col w:w="11420"/>
          </w:cols>
          <w:pgMar w:left="240" w:top="127" w:right="239" w:bottom="126"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26" w:gutter="0" w:footer="0" w:header="0"/>
          <w:type w:val="continuous"/>
        </w:sectPr>
      </w:pPr>
    </w:p>
    <w:bookmarkStart w:id="291" w:name="page292"/>
    <w:bookmarkEnd w:id="291"/>
    <w:p>
      <w:pPr>
        <w:spacing w:after="0" w:line="3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in the grant agreement, Restricted Stock may not be sold, pledged, encumbered or otherwise disposed of by the recipient until the restrictions specified in the Award expire. Awards of Restricted Stock are subject to acceleration of vesting, termination of restrictions and termination in the same manner as Stock Options pursuant to </w:t>
      </w:r>
      <w:r>
        <w:rPr>
          <w:rFonts w:ascii="Arial" w:cs="Arial" w:eastAsia="Arial" w:hAnsi="Arial"/>
          <w:sz w:val="17"/>
          <w:szCs w:val="17"/>
          <w:u w:val="single" w:color="auto"/>
          <w:color w:val="auto"/>
        </w:rPr>
        <w:t>Subsections 6.4 and 6.5</w:t>
      </w:r>
      <w:r>
        <w:rPr>
          <w:rFonts w:ascii="Arial" w:cs="Arial" w:eastAsia="Arial" w:hAnsi="Arial"/>
          <w:sz w:val="17"/>
          <w:szCs w:val="17"/>
          <w:color w:val="auto"/>
        </w:rPr>
        <w:t xml:space="preserve"> of this Plan.</w:t>
      </w:r>
    </w:p>
    <w:p>
      <w:pPr>
        <w:spacing w:after="0" w:line="172" w:lineRule="exact"/>
        <w:rPr>
          <w:sz w:val="20"/>
          <w:szCs w:val="20"/>
          <w:color w:val="auto"/>
        </w:rPr>
      </w:pPr>
    </w:p>
    <w:p>
      <w:pPr>
        <w:ind w:firstLine="629"/>
        <w:spacing w:after="0" w:line="285"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i w:val="1"/>
          <w:iCs w:val="1"/>
          <w:u w:val="single" w:color="auto"/>
          <w:color w:val="auto"/>
        </w:rPr>
        <w:t>Awards and Certificates.</w:t>
      </w:r>
      <w:r>
        <w:rPr>
          <w:rFonts w:ascii="Arial" w:cs="Arial" w:eastAsia="Arial" w:hAnsi="Arial"/>
          <w:sz w:val="16"/>
          <w:szCs w:val="16"/>
          <w:color w:val="auto"/>
        </w:rPr>
        <w:t xml:space="preserve"> Any Restricted Stock issued hereunder may be evidenced in such manner as the Committee, in its sole discretion, shall deem appropriate including, without limitation, book-entry registration or issuance of a stock certificate or certificates. In the event any stock certificate is issued in respect of Shares of Restricted Stock, such certificate shall bear an appropriate legend with respect to the restrictions applicable to such Award. The Company may retain, at its option, the physical custody of any stock certificate representing any awards of Restricted Stock during the restriction period or require that the certificates evidencing Restricted Stock be placed in escrow or trust, along with a stock power endorsed in blank, until all restrictions are removed or expire.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9</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PERFORMANCE AWARDS</w:t>
      </w:r>
    </w:p>
    <w:p>
      <w:pPr>
        <w:spacing w:after="0" w:line="212" w:lineRule="exact"/>
        <w:rPr>
          <w:sz w:val="20"/>
          <w:szCs w:val="20"/>
          <w:color w:val="auto"/>
        </w:rPr>
      </w:pPr>
    </w:p>
    <w:p>
      <w:pPr>
        <w:ind w:right="60" w:firstLine="629"/>
        <w:spacing w:after="0" w:line="278"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u w:val="single" w:color="auto"/>
          <w:color w:val="auto"/>
        </w:rPr>
        <w:t>Grants</w:t>
      </w:r>
      <w:r>
        <w:rPr>
          <w:rFonts w:ascii="Arial" w:cs="Arial" w:eastAsia="Arial" w:hAnsi="Arial"/>
          <w:sz w:val="16"/>
          <w:szCs w:val="16"/>
          <w:u w:val="single" w:color="auto"/>
          <w:color w:val="auto"/>
        </w:rPr>
        <w:t>.</w:t>
      </w:r>
      <w:r>
        <w:rPr>
          <w:rFonts w:ascii="Arial" w:cs="Arial" w:eastAsia="Arial" w:hAnsi="Arial"/>
          <w:sz w:val="16"/>
          <w:szCs w:val="16"/>
          <w:color w:val="auto"/>
        </w:rPr>
        <w:t xml:space="preserve"> A Performance Award may consist of either or both, as the Committee may determine, of (i) the right to receive Shares or Restricted Stock, or any combination thereof as the Committee may determine or (ii) the right to receive a fixed dollar amount payable in Shares, Restricted Stock, cash or any combination thereof, as the Committee may determine. The Committee may grant Performance Awards to any eligible Consultant, non-employee Director or employee of the Company or a Subsidiary, for such minimum consideration, if any, as may be required by applicable law or such greater consideration as may be determined by the Committee, in its sole discretion. The terms and conditions of Performance Awards shall be specified at the time of the grant and may include provisions establishing the performance period, the performance criteria to be achieved during a performance period, the criteria used to determine vesting (including the acceleration thereof), whether Performance Awards are forfeited or vest upon termination of employment during a performance period and the maximum or minimum settlement values. Each Performance Award shall have its own terms and conditions, which shall be determined in the sole discretion of the Committee. If the Committee determines, in its sole discretion, that the established performance measures or objectives are no longer suitable because of a change in the Company’s business, operations, corporate structure or for other reasons that the Committee deems satisfactory, the Committee may modify the performance measures or objectives and/or the performance period. Performance Awards are subject to acceleration of vesting, termination of restrictions and termination in the same manner as Stock Options pursuant to </w:t>
      </w:r>
      <w:r>
        <w:rPr>
          <w:rFonts w:ascii="Arial" w:cs="Arial" w:eastAsia="Arial" w:hAnsi="Arial"/>
          <w:sz w:val="16"/>
          <w:szCs w:val="16"/>
          <w:u w:val="single" w:color="auto"/>
          <w:color w:val="auto"/>
        </w:rPr>
        <w:t>Subsections 6.4 and 6.5</w:t>
      </w:r>
      <w:r>
        <w:rPr>
          <w:rFonts w:ascii="Arial" w:cs="Arial" w:eastAsia="Arial" w:hAnsi="Arial"/>
          <w:sz w:val="16"/>
          <w:szCs w:val="16"/>
          <w:color w:val="auto"/>
        </w:rPr>
        <w:t xml:space="preserve"> of this Plan.</w:t>
      </w:r>
    </w:p>
    <w:p>
      <w:pPr>
        <w:spacing w:after="0" w:line="169" w:lineRule="exact"/>
        <w:rPr>
          <w:sz w:val="20"/>
          <w:szCs w:val="20"/>
          <w:color w:val="auto"/>
        </w:rPr>
      </w:pPr>
    </w:p>
    <w:p>
      <w:pPr>
        <w:ind w:right="80" w:firstLine="629"/>
        <w:spacing w:after="0" w:line="290"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u w:val="single" w:color="auto"/>
          <w:color w:val="auto"/>
        </w:rPr>
        <w:t>Terms and Conditions.</w:t>
      </w:r>
      <w:r>
        <w:rPr>
          <w:rFonts w:ascii="Arial" w:cs="Arial" w:eastAsia="Arial" w:hAnsi="Arial"/>
          <w:sz w:val="16"/>
          <w:szCs w:val="16"/>
          <w:color w:val="auto"/>
        </w:rPr>
        <w:t xml:space="preserve"> Performance Awards may be valued by reference to the Fair Market Value of a Share or according to any other formula or method deemed appropriate by the Committee, in its sole discretion, including, but not limited to, achievement of specific financial, production, sales, cost or earnings performance objectives that the Committee believes to be relevant or the Company’s performance or the performance of the Shares measured against the performance of the market, the Company’s industry segment or its direct competitors. Performance Awards may also</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be conditioned upon the applicable Participant remaining in the employ of the Company or one of its Subsidiaries for a specified period. Performance Awards may be paid in cash, Shares (including Restricted Stock) or other consideration, or any combination thereof. Performance Awards may be payable in a single payment or in installments and may be payable at a specified date or dates or upon attaining the performance objective or objectives, all at the sole discretion of the Committee. The extent to which any applicable performance objective has been achieved shall be conclusively determined by the Committee in its sole discretion.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10</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OTHER AWARDS</w:t>
      </w:r>
    </w:p>
    <w:p>
      <w:pPr>
        <w:spacing w:after="0" w:line="212" w:lineRule="exact"/>
        <w:rPr>
          <w:sz w:val="20"/>
          <w:szCs w:val="20"/>
          <w:color w:val="auto"/>
        </w:rPr>
      </w:pPr>
    </w:p>
    <w:p>
      <w:pPr>
        <w:ind w:right="60" w:firstLine="629"/>
        <w:spacing w:after="0" w:line="263"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i w:val="1"/>
          <w:iCs w:val="1"/>
          <w:u w:val="single" w:color="auto"/>
          <w:color w:val="auto"/>
        </w:rPr>
        <w:t>Other Awards.</w:t>
      </w:r>
      <w:r>
        <w:rPr>
          <w:rFonts w:ascii="Arial" w:cs="Arial" w:eastAsia="Arial" w:hAnsi="Arial"/>
          <w:sz w:val="17"/>
          <w:szCs w:val="17"/>
          <w:color w:val="auto"/>
        </w:rPr>
        <w:t xml:space="preserve"> The Committee may grant to any eligible Consultant, non-employee Director or employee of the Company or a Subsidiary other forms of Awards based upon, payable in or otherwise related to, in whole or in part, Shares, if the Committee, in its sole discretion, determines that such other form of Award is consistent with the purposes of this Plan. The terms and conditions of such other form of Award shall be specified in a written agreement which sets forth the terms and conditions of such Award, including, but not limited to, the price, if any, and the vesting schedule, if any, of such Award. Such Awards may be granted for such minimum consideration, if any, as may be required by applicable law or for such other greater consideration as may be determined by the Committee, in its sole discretion.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11</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COMPLIANCE WITH SECURITIES AND OTHER LAWS</w:t>
      </w:r>
    </w:p>
    <w:p>
      <w:pPr>
        <w:spacing w:after="0" w:line="212" w:lineRule="exact"/>
        <w:rPr>
          <w:sz w:val="20"/>
          <w:szCs w:val="20"/>
          <w:color w:val="auto"/>
        </w:rPr>
      </w:pPr>
    </w:p>
    <w:p>
      <w:pPr>
        <w:ind w:firstLine="629"/>
        <w:spacing w:after="0" w:line="298"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i w:val="1"/>
          <w:iCs w:val="1"/>
          <w:u w:val="single" w:color="auto"/>
          <w:color w:val="auto"/>
        </w:rPr>
        <w:t>Compliance.</w:t>
      </w:r>
      <w:r>
        <w:rPr>
          <w:rFonts w:ascii="Arial" w:cs="Arial" w:eastAsia="Arial" w:hAnsi="Arial"/>
          <w:sz w:val="15"/>
          <w:szCs w:val="15"/>
          <w:color w:val="auto"/>
        </w:rPr>
        <w:t xml:space="preserve"> As a condition to the issuance or transfer of any Award or any security issuable in connection with such Award, the Company may require an opinion of counsel, satisfactory to the Company, to the effect that (i) such issuance and/or transfer will not be in violation of the Securities Act or any other applicable securities laws and (ii) such issuance and/or transfer will not be in violation of the rules and regulations of any securities exchange or automated quotation system on which the Shares are listed or admitted to trading. Further, the Company may refrain from issuing, delivering or transferring any Award or any security issuable in connection with such Award until the Committee has determined that such issuance, delivery or transfer will not violate such securities laws or rules and regulations and that either the recipient has tendered to the Company, or the Company or a Subsidiary has withheld, any federal, state or local tax owed as a result of such issuance, delivery or transfer, when the Company has a legal liability to satisfy such tax. The Company shall not be liable for damages due to delay in the issuance, delivery or transfer of any Award or any security issuable in connection with such Award or any agreement, instrument or certificate evidencing such Award or security for any reason whatsoever, including, but not limited to, a delay caused by the listing requirements of any securities exchange or automated quotation system or any registration requirements under the Securities Act, the Exchange Act, or under any other state or federal law, rule or regulation. The Company is under no obligation to take any action or incur any expense to register or qualify the issuance, delivery or transfer of any Award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 xml:space="preserve">or any security issuable in connection with such Award under applicable securities laws or to perfect any exemption from such registration or qualification or to list any security on any securities exchange or automated quotation system. Furthermore, the Company will have no liability to any person for refusing to issue, deliver or transfer any Award or any security issuable in connection with such Award if such refusal is based upon the foregoing provisions of this </w:t>
      </w:r>
      <w:r>
        <w:rPr>
          <w:rFonts w:ascii="Arial" w:cs="Arial" w:eastAsia="Arial" w:hAnsi="Arial"/>
          <w:sz w:val="15"/>
          <w:szCs w:val="15"/>
          <w:u w:val="single" w:color="auto"/>
          <w:color w:val="auto"/>
        </w:rPr>
        <w:t>ARTICLE 11</w:t>
      </w:r>
      <w:r>
        <w:rPr>
          <w:rFonts w:ascii="Arial" w:cs="Arial" w:eastAsia="Arial" w:hAnsi="Arial"/>
          <w:sz w:val="15"/>
          <w:szCs w:val="15"/>
          <w:color w:val="auto"/>
        </w:rPr>
        <w:t>. As a condition to any issuance, delivery or transfer of any Award or any security issuable in connection with such Award, the Company may place legends on any agreement, instrument or certificate evidencing such Award or security, issue stop transfer orders with respect thereto and require such agreements or undertakings as the Company may deem necessary or advisable to assure compliance with applicable laws or regulations, including, if the Company or its counsel deems it appropriate, representations from the recipient of such Award or security to the effect that such recipient is acquiring such Award or security solely for investment</w:t>
      </w:r>
    </w:p>
    <w:p>
      <w:pPr>
        <w:sectPr>
          <w:pgSz w:w="11900" w:h="16876" w:orient="portrait"/>
          <w:cols w:equalWidth="0" w:num="1">
            <w:col w:w="11400"/>
          </w:cols>
          <w:pgMar w:left="240" w:top="337" w:right="259" w:bottom="0" w:gutter="0" w:footer="0" w:header="0"/>
        </w:sectPr>
      </w:pPr>
    </w:p>
    <w:bookmarkStart w:id="292" w:name="page293"/>
    <w:bookmarkEnd w:id="292"/>
    <w:p>
      <w:pPr>
        <w:ind w:right="420"/>
        <w:spacing w:after="0" w:line="289" w:lineRule="auto"/>
        <w:rPr>
          <w:sz w:val="20"/>
          <w:szCs w:val="20"/>
          <w:color w:val="auto"/>
        </w:rPr>
      </w:pPr>
      <w:r>
        <w:rPr>
          <w:rFonts w:ascii="Arial" w:cs="Arial" w:eastAsia="Arial" w:hAnsi="Arial"/>
          <w:sz w:val="17"/>
          <w:szCs w:val="17"/>
          <w:color w:val="auto"/>
        </w:rPr>
        <w:t>and not with a view to distribution and that no distribution of the Award or the security will be made unless registered pursuant to applicable federal and state securities laws, or in the opinion of counsel to the Company, such registration is unnecessary.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12</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ADJUSTMENTS UPON THE OCCURRENCE OF A RECAPITALIZATION OR CORPORATE TRANSACTION</w:t>
      </w:r>
    </w:p>
    <w:p>
      <w:pPr>
        <w:spacing w:after="0" w:line="212"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12.1 In the event of a Recapitalization, the number and class of Shares subject to this Plan and to each outstanding Award, and the exercise price of each Award which is based upon Shares, shall (to the extent deemed appropriate by the Committee) be proportionately adjusted (as determined by the Committee in its sole discretion) to account for any increase or decrease in the number, or change in the class, of issued and outstanding Shares of the Company resulting from such Recapitalization.</w:t>
      </w:r>
    </w:p>
    <w:p>
      <w:pPr>
        <w:spacing w:after="0" w:line="176" w:lineRule="exact"/>
        <w:rPr>
          <w:sz w:val="20"/>
          <w:szCs w:val="20"/>
          <w:color w:val="auto"/>
        </w:rPr>
      </w:pPr>
    </w:p>
    <w:p>
      <w:pPr>
        <w:ind w:right="120" w:firstLine="629"/>
        <w:spacing w:after="0" w:line="283" w:lineRule="auto"/>
        <w:rPr>
          <w:sz w:val="20"/>
          <w:szCs w:val="20"/>
          <w:color w:val="auto"/>
        </w:rPr>
      </w:pPr>
      <w:r>
        <w:rPr>
          <w:rFonts w:ascii="Arial" w:cs="Arial" w:eastAsia="Arial" w:hAnsi="Arial"/>
          <w:sz w:val="16"/>
          <w:szCs w:val="16"/>
          <w:color w:val="auto"/>
        </w:rPr>
        <w:t>12.2 If a Corporate Transaction is consummated and immediately following the consummation of such Corporate Transaction the Persons who were holders of Shares immediately prior to the consummation of such Corporate Transaction do not receive any securities or other property (hereinafter collectively referred to as “</w:t>
      </w:r>
      <w:r>
        <w:rPr>
          <w:rFonts w:ascii="Arial" w:cs="Arial" w:eastAsia="Arial" w:hAnsi="Arial"/>
          <w:sz w:val="16"/>
          <w:szCs w:val="16"/>
          <w:u w:val="single" w:color="auto"/>
          <w:color w:val="auto"/>
        </w:rPr>
        <w:t>Transactional Consideration</w:t>
      </w:r>
      <w:r>
        <w:rPr>
          <w:rFonts w:ascii="Arial" w:cs="Arial" w:eastAsia="Arial" w:hAnsi="Arial"/>
          <w:sz w:val="16"/>
          <w:szCs w:val="16"/>
          <w:color w:val="auto"/>
        </w:rPr>
        <w:t>”) as a result of such Corporate Transaction and substantially all of such Persons continue to hold the Shares held by them immediately prior to the consummation of such Corporate Transaction (in substantially the same proportions relative to each other), the Awards will remain outstanding and will (subject to, and except as provided in, the other provisions of this Plan and the Award agreement) continue in full force and effect in accordance with its terms (without any modification) following the consummation of the Corporate Transaction.</w:t>
      </w:r>
    </w:p>
    <w:p>
      <w:pPr>
        <w:spacing w:after="0" w:line="167" w:lineRule="exact"/>
        <w:rPr>
          <w:sz w:val="20"/>
          <w:szCs w:val="20"/>
          <w:color w:val="auto"/>
        </w:rPr>
      </w:pPr>
    </w:p>
    <w:p>
      <w:pPr>
        <w:ind w:right="120" w:firstLine="629"/>
        <w:spacing w:after="0" w:line="268" w:lineRule="auto"/>
        <w:rPr>
          <w:sz w:val="20"/>
          <w:szCs w:val="20"/>
          <w:color w:val="auto"/>
        </w:rPr>
      </w:pPr>
      <w:r>
        <w:rPr>
          <w:rFonts w:ascii="Arial" w:cs="Arial" w:eastAsia="Arial" w:hAnsi="Arial"/>
          <w:sz w:val="17"/>
          <w:szCs w:val="17"/>
          <w:color w:val="auto"/>
        </w:rPr>
        <w:t>12.3 If a Corporate Transaction is consummated and immediately following the consummation of such Corporate Transaction the Persons who were holders of Shares immediately prior to the consummation of such Corporate Transaction do receive Transactional Consideration as a result of such Corporate Transaction or substantially all of such Persons do not continue to hold the Shares held by them immediately prior to the consummation of such Corporate Transaction (in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substantially the same proportions relative to each other), the terms and conditions of the Awards will be modified as follows:</w:t>
      </w:r>
    </w:p>
    <w:p>
      <w:pPr>
        <w:spacing w:after="0" w:line="224" w:lineRule="exact"/>
        <w:rPr>
          <w:sz w:val="20"/>
          <w:szCs w:val="20"/>
          <w:color w:val="auto"/>
        </w:rPr>
      </w:pPr>
    </w:p>
    <w:p>
      <w:pPr>
        <w:ind w:firstLine="634"/>
        <w:spacing w:after="0" w:line="290" w:lineRule="auto"/>
        <w:tabs>
          <w:tab w:leader="none" w:pos="1318" w:val="left"/>
        </w:tabs>
        <w:numPr>
          <w:ilvl w:val="0"/>
          <w:numId w:val="364"/>
        </w:numPr>
        <w:rPr>
          <w:rFonts w:ascii="Arial" w:cs="Arial" w:eastAsia="Arial" w:hAnsi="Arial"/>
          <w:sz w:val="16"/>
          <w:szCs w:val="16"/>
          <w:color w:val="auto"/>
        </w:rPr>
      </w:pPr>
      <w:r>
        <w:rPr>
          <w:rFonts w:ascii="Arial" w:cs="Arial" w:eastAsia="Arial" w:hAnsi="Arial"/>
          <w:sz w:val="16"/>
          <w:szCs w:val="16"/>
          <w:color w:val="auto"/>
        </w:rPr>
        <w:t>If the documentation pursuant to which a Corporate Transaction will be consummated provides for the assumption (by the entity issuing Transactional Consideration to the Persons who were the holders of Shares immediately prior to the consummation of such Corporate Transaction) of the Awards granted pursuant to this Plan without any modification or amendment (other than Permitted Modifications), such Awards will remain outstanding and will continue in full force and effect in accordance with its terms following the consummation of such Corporate Transaction (subject to such Permitted Modifications).</w:t>
      </w:r>
    </w:p>
    <w:p>
      <w:pPr>
        <w:spacing w:after="0" w:line="159" w:lineRule="exact"/>
        <w:rPr>
          <w:rFonts w:ascii="Arial" w:cs="Arial" w:eastAsia="Arial" w:hAnsi="Arial"/>
          <w:sz w:val="16"/>
          <w:szCs w:val="16"/>
          <w:color w:val="auto"/>
        </w:rPr>
      </w:pPr>
    </w:p>
    <w:p>
      <w:pPr>
        <w:ind w:right="60" w:firstLine="634"/>
        <w:spacing w:after="0" w:line="279" w:lineRule="auto"/>
        <w:tabs>
          <w:tab w:leader="none" w:pos="1323" w:val="left"/>
        </w:tabs>
        <w:numPr>
          <w:ilvl w:val="0"/>
          <w:numId w:val="364"/>
        </w:numPr>
        <w:rPr>
          <w:rFonts w:ascii="Arial" w:cs="Arial" w:eastAsia="Arial" w:hAnsi="Arial"/>
          <w:sz w:val="16"/>
          <w:szCs w:val="16"/>
          <w:color w:val="auto"/>
        </w:rPr>
      </w:pPr>
      <w:r>
        <w:rPr>
          <w:rFonts w:ascii="Arial" w:cs="Arial" w:eastAsia="Arial" w:hAnsi="Arial"/>
          <w:sz w:val="16"/>
          <w:szCs w:val="16"/>
          <w:color w:val="auto"/>
        </w:rPr>
        <w:t>If the documentation pursuant to which a Corporate Transaction will be consummated does not provide for the assumption by the entity issuing Transactional Consideration to the Persons who were the holders of Shares immediately prior to the consummation of such Corporate Transaction of the Awards granted pursuant to this Plan without any modification or amendment (other than Permitted Modifications), all vesting restrictions (performance based or otherwise) applicable to Awards which will not be so assumed will accelerate and the holders of such Awards may (subject to the expiration of the term of such Awards) exercise/receive the benefits of such Awards without regard to such vesting restrictions during the ten (10) day period immediately preceding the consummation of such Corporate Transaction. For purposes of the immediately preceding sentence, all performance based goals will be deemed to have been satisfied in full. The Company will provide each Participant holding Awards which will not be so assumed with reasonable notice of the termination of such vesting restrictions and the impending termination of such Awards. Upon the consummation of such a Corporate Transaction, all unexercised Awards which are not to be so assumed will automatically terminate and cease to be outstanding.</w:t>
      </w:r>
    </w:p>
    <w:p>
      <w:pPr>
        <w:spacing w:after="0" w:line="173"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 xml:space="preserve">Nothing contained in this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will be deemed to extend the term of an Award or to revive any Award which has previously lapsed or been canceled, terminated or surrendered.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13</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 OR TERMINATION OF THIS PLAN</w:t>
      </w:r>
    </w:p>
    <w:p>
      <w:pPr>
        <w:spacing w:after="0" w:line="212" w:lineRule="exact"/>
        <w:rPr>
          <w:sz w:val="20"/>
          <w:szCs w:val="20"/>
          <w:color w:val="auto"/>
        </w:rPr>
      </w:pPr>
    </w:p>
    <w:p>
      <w:pPr>
        <w:ind w:right="100" w:firstLine="629"/>
        <w:spacing w:after="0" w:line="268"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i w:val="1"/>
          <w:iCs w:val="1"/>
          <w:u w:val="single" w:color="auto"/>
          <w:color w:val="auto"/>
        </w:rPr>
        <w:t>Amendment of This Plan.</w:t>
      </w:r>
      <w:r>
        <w:rPr>
          <w:rFonts w:ascii="Arial" w:cs="Arial" w:eastAsia="Arial" w:hAnsi="Arial"/>
          <w:sz w:val="17"/>
          <w:szCs w:val="17"/>
          <w:color w:val="auto"/>
        </w:rPr>
        <w:t xml:space="preserve"> Notwithstanding anything contained in this Plan to the contrary, all provisions of this Plan (including, without limitation, the maximum number of Shares that may be issued with respect to Awards to be granted pursuant to this Plan) may at any time or from time to time be modified or amended by the Board; provided, however, that no Award at any time outstanding pursuant to this Plan may be modified, impaired or canceled adversely to the holder of the Award without the consent of such holder.</w:t>
      </w:r>
    </w:p>
    <w:p>
      <w:pPr>
        <w:spacing w:after="0" w:line="176" w:lineRule="exact"/>
        <w:rPr>
          <w:sz w:val="20"/>
          <w:szCs w:val="20"/>
          <w:color w:val="auto"/>
        </w:rPr>
      </w:pPr>
    </w:p>
    <w:p>
      <w:pPr>
        <w:jc w:val="both"/>
        <w:ind w:right="120" w:firstLine="629"/>
        <w:spacing w:after="0" w:line="298"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i w:val="1"/>
          <w:iCs w:val="1"/>
          <w:u w:val="single" w:color="auto"/>
          <w:color w:val="auto"/>
        </w:rPr>
        <w:t>Termination of This Plan.</w:t>
      </w:r>
      <w:r>
        <w:rPr>
          <w:rFonts w:ascii="Arial" w:cs="Arial" w:eastAsia="Arial" w:hAnsi="Arial"/>
          <w:sz w:val="16"/>
          <w:szCs w:val="16"/>
          <w:color w:val="auto"/>
        </w:rPr>
        <w:t xml:space="preserve"> The Board may suspend or terminate this Plan at any time, and such suspension or termination may be retroactive or prospective. Termination of this Plan shall not impair or affect any Award previously granted hereunder and the rights of the holder of the Award shall remain in effect until the Award has been exercised in its entirety or has expired or otherwise has been terminated by the terms of such Award.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14</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AMENDMENTS AND ADJUSTMENTS TO AWARDS</w:t>
      </w:r>
    </w:p>
    <w:p>
      <w:pPr>
        <w:spacing w:after="0" w:line="212" w:lineRule="exact"/>
        <w:rPr>
          <w:sz w:val="20"/>
          <w:szCs w:val="20"/>
          <w:color w:val="auto"/>
        </w:rPr>
      </w:pPr>
    </w:p>
    <w:p>
      <w:pPr>
        <w:ind w:right="40" w:firstLine="629"/>
        <w:spacing w:after="0" w:line="299" w:lineRule="auto"/>
        <w:rPr>
          <w:sz w:val="20"/>
          <w:szCs w:val="20"/>
          <w:color w:val="auto"/>
        </w:rPr>
      </w:pPr>
      <w:r>
        <w:rPr>
          <w:rFonts w:ascii="Arial" w:cs="Arial" w:eastAsia="Arial" w:hAnsi="Arial"/>
          <w:sz w:val="15"/>
          <w:szCs w:val="15"/>
          <w:color w:val="auto"/>
        </w:rPr>
        <w:t xml:space="preserve">14.1 </w:t>
      </w:r>
      <w:r>
        <w:rPr>
          <w:rFonts w:ascii="Arial" w:cs="Arial" w:eastAsia="Arial" w:hAnsi="Arial"/>
          <w:sz w:val="15"/>
          <w:szCs w:val="15"/>
          <w:i w:val="1"/>
          <w:iCs w:val="1"/>
          <w:u w:val="single" w:color="auto"/>
          <w:color w:val="auto"/>
        </w:rPr>
        <w:t>Amendments and Adjustments.</w:t>
      </w:r>
      <w:r>
        <w:rPr>
          <w:rFonts w:ascii="Arial" w:cs="Arial" w:eastAsia="Arial" w:hAnsi="Arial"/>
          <w:sz w:val="15"/>
          <w:szCs w:val="15"/>
          <w:color w:val="auto"/>
        </w:rPr>
        <w:t xml:space="preserve"> The Committee may amend, modify or terminate any outstanding Award with the Participant’s consent at any time prior to payment or exercise in any manner not inconsistent with the terms of this Plan, including, without limitation, (i) to change the date or dates as of which and/or the terms and conditions pursuant to which (A) a Stock Option becomes exercisable or (B) a Performance Award is deemed earned, (ii) to amend the terms of any outstanding Award to provide an exercise price per share which is higher or lower than the then current exercise price per share of such outstanding Award or (iii) to cancel an Award and grant a new Award in substitution therefor under such different terms and conditions as the Committee determines in its sole discretion to be appropriate including, but not limited to, having an exercise price per share which may be higher or lower than the exercise price per share of the canceled Award. The Committee may also make adjustments in the terms and conditions of, and the criteria included in agreements evidencing Awards in recognition of unusual or nonrecurring events (including, without limitation, the events described in </w:t>
      </w:r>
      <w:r>
        <w:rPr>
          <w:rFonts w:ascii="Arial" w:cs="Arial" w:eastAsia="Arial" w:hAnsi="Arial"/>
          <w:sz w:val="15"/>
          <w:szCs w:val="15"/>
          <w:u w:val="single" w:color="auto"/>
          <w:color w:val="auto"/>
        </w:rPr>
        <w:t>ARTICLE 12</w:t>
      </w:r>
      <w:r>
        <w:rPr>
          <w:rFonts w:ascii="Arial" w:cs="Arial" w:eastAsia="Arial" w:hAnsi="Arial"/>
          <w:sz w:val="15"/>
          <w:szCs w:val="15"/>
          <w:color w:val="auto"/>
        </w:rPr>
        <w:t xml:space="preserve"> hereof) affecting the Company, or the financial statements of the Company or any Affiliate, or of changes in applicable laws, regulations or accounting principles, whenever the Committee determines that such adjustments are appropriate to prevent reduction or enlargement of the benefits or potential benefits intended to be made available pursuant to this Plan.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15</w:t>
      </w:r>
    </w:p>
    <w:p>
      <w:pPr>
        <w:sectPr>
          <w:pgSz w:w="11900" w:h="16838" w:orient="portrait"/>
          <w:cols w:equalWidth="0" w:num="1">
            <w:col w:w="11420"/>
          </w:cols>
          <w:pgMar w:left="240" w:top="127" w:right="239" w:bottom="0" w:gutter="0" w:footer="0" w:header="0"/>
        </w:sectPr>
      </w:pPr>
    </w:p>
    <w:bookmarkStart w:id="293" w:name="page294"/>
    <w:bookmarkEnd w:id="293"/>
    <w:p>
      <w:pPr>
        <w:jc w:val="center"/>
        <w:ind w:right="-19"/>
        <w:spacing w:after="0"/>
        <w:rPr>
          <w:sz w:val="20"/>
          <w:szCs w:val="20"/>
          <w:color w:val="auto"/>
        </w:rPr>
      </w:pPr>
      <w:r>
        <w:rPr>
          <w:rFonts w:ascii="Arial" w:cs="Arial" w:eastAsia="Arial" w:hAnsi="Arial"/>
          <w:sz w:val="17"/>
          <w:szCs w:val="17"/>
          <w:b w:val="1"/>
          <w:bCs w:val="1"/>
          <w:color w:val="auto"/>
        </w:rPr>
        <w:t>GENERAL PROVISIONS</w:t>
      </w:r>
    </w:p>
    <w:p>
      <w:pPr>
        <w:spacing w:after="0" w:line="230" w:lineRule="exact"/>
        <w:rPr>
          <w:sz w:val="20"/>
          <w:szCs w:val="20"/>
          <w:color w:val="auto"/>
        </w:rPr>
      </w:pPr>
    </w:p>
    <w:p>
      <w:pPr>
        <w:ind w:right="100" w:firstLine="629"/>
        <w:spacing w:after="0" w:line="298"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i w:val="1"/>
          <w:iCs w:val="1"/>
          <w:u w:val="single" w:color="auto"/>
          <w:color w:val="auto"/>
        </w:rPr>
        <w:t>No Limit on Other Compensation Arrangements.</w:t>
      </w:r>
      <w:r>
        <w:rPr>
          <w:rFonts w:ascii="Arial" w:cs="Arial" w:eastAsia="Arial" w:hAnsi="Arial"/>
          <w:sz w:val="16"/>
          <w:szCs w:val="16"/>
          <w:color w:val="auto"/>
        </w:rPr>
        <w:t xml:space="preserve"> Nothing contained in this Plan shall prevent the Company from adopting or continuing in effect other compensation arrangements, and such arrangements may be either generally applicable or applicable only in specific cases. This Plan shall not affect any other stock option, incentive, or other compensation or benefit plan of the Company or any Subsidiary, except as may be expressly provided therein.</w:t>
      </w:r>
    </w:p>
    <w:p>
      <w:pPr>
        <w:spacing w:after="0" w:line="154"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i w:val="1"/>
          <w:iCs w:val="1"/>
          <w:u w:val="single" w:color="auto"/>
          <w:color w:val="auto"/>
        </w:rPr>
        <w:t>Other Awards.</w:t>
      </w:r>
      <w:r>
        <w:rPr>
          <w:rFonts w:ascii="Arial" w:cs="Arial" w:eastAsia="Arial" w:hAnsi="Arial"/>
          <w:sz w:val="17"/>
          <w:szCs w:val="17"/>
          <w:color w:val="auto"/>
        </w:rPr>
        <w:t xml:space="preserve"> The grant of an Award shall not confer upon the recipient the right to receive any future or other Awards under this Plan or any other plans of the Company or any Subsidiary, whether or not any awards may be granted to similarly situated employees, or the right to receive future Awards upon the same terms or conditions as previously granted.</w:t>
      </w:r>
    </w:p>
    <w:p>
      <w:pPr>
        <w:spacing w:after="0" w:line="172" w:lineRule="exact"/>
        <w:rPr>
          <w:sz w:val="20"/>
          <w:szCs w:val="20"/>
          <w:color w:val="auto"/>
        </w:rPr>
      </w:pPr>
    </w:p>
    <w:p>
      <w:pPr>
        <w:ind w:right="140" w:firstLine="629"/>
        <w:spacing w:after="0" w:line="268" w:lineRule="auto"/>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i w:val="1"/>
          <w:iCs w:val="1"/>
          <w:u w:val="single" w:color="auto"/>
          <w:color w:val="auto"/>
        </w:rPr>
        <w:t>No Right to Employment or Continuation of Relationship.</w:t>
      </w:r>
      <w:r>
        <w:rPr>
          <w:rFonts w:ascii="Arial" w:cs="Arial" w:eastAsia="Arial" w:hAnsi="Arial"/>
          <w:sz w:val="17"/>
          <w:szCs w:val="17"/>
          <w:color w:val="auto"/>
        </w:rPr>
        <w:t xml:space="preserve"> Nothing in this Plan or in any Award, nor the grant of any Award, shall confer upon or be construed as giving any Participant any right to remain in the employ of the Company or a Subsidiary or to continue as a Consultant or non-employee Director. Further, the Company or a Subsidiary may at any time dismiss a Participant from emp1oyment or terminate the relationship of any Consultant or non-employee Director with the Company or any Subsidiary, free from any liability or any claim pursuant to this Plan. No</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Consultant, non-employee Director or employee of the Company or any Subsidiary shall have any claim to be granted any Award, and there is no obligation for uniformity of treatment of any Consultant, non-employee Director or employee of the Company or any Subsidiary or of any Participants.</w:t>
      </w:r>
    </w:p>
    <w:p>
      <w:pPr>
        <w:spacing w:after="0" w:line="158" w:lineRule="exact"/>
        <w:rPr>
          <w:sz w:val="20"/>
          <w:szCs w:val="20"/>
          <w:color w:val="auto"/>
        </w:rPr>
      </w:pPr>
    </w:p>
    <w:p>
      <w:pPr>
        <w:ind w:right="440" w:firstLine="629"/>
        <w:spacing w:after="0" w:line="289" w:lineRule="auto"/>
        <w:rPr>
          <w:sz w:val="20"/>
          <w:szCs w:val="20"/>
          <w:color w:val="auto"/>
        </w:rPr>
      </w:pPr>
      <w:r>
        <w:rPr>
          <w:rFonts w:ascii="Arial" w:cs="Arial" w:eastAsia="Arial" w:hAnsi="Arial"/>
          <w:sz w:val="17"/>
          <w:szCs w:val="17"/>
          <w:color w:val="auto"/>
        </w:rPr>
        <w:t xml:space="preserve">15.4 </w:t>
      </w:r>
      <w:r>
        <w:rPr>
          <w:rFonts w:ascii="Arial" w:cs="Arial" w:eastAsia="Arial" w:hAnsi="Arial"/>
          <w:sz w:val="17"/>
          <w:szCs w:val="17"/>
          <w:i w:val="1"/>
          <w:iCs w:val="1"/>
          <w:u w:val="single" w:color="auto"/>
          <w:color w:val="auto"/>
        </w:rPr>
        <w:t>Governing Law</w:t>
      </w:r>
      <w:r>
        <w:rPr>
          <w:rFonts w:ascii="Arial" w:cs="Arial" w:eastAsia="Arial" w:hAnsi="Arial"/>
          <w:sz w:val="17"/>
          <w:szCs w:val="17"/>
          <w:i w:val="1"/>
          <w:iCs w:val="1"/>
          <w:color w:val="auto"/>
        </w:rPr>
        <w:t>.</w:t>
      </w:r>
      <w:r>
        <w:rPr>
          <w:rFonts w:ascii="Arial" w:cs="Arial" w:eastAsia="Arial" w:hAnsi="Arial"/>
          <w:sz w:val="17"/>
          <w:szCs w:val="17"/>
          <w:color w:val="auto"/>
        </w:rPr>
        <w:t xml:space="preserve"> The validity, construction and effect of this Plan and any rules and regulations relating to this Plan shall be determined in accordance with the laws of the State of Texas, without giving effect to the conflict of laws principles thereof.</w:t>
      </w:r>
    </w:p>
    <w:p>
      <w:pPr>
        <w:spacing w:after="0" w:line="158"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 xml:space="preserve">15.5 </w:t>
      </w:r>
      <w:r>
        <w:rPr>
          <w:rFonts w:ascii="Arial" w:cs="Arial" w:eastAsia="Arial" w:hAnsi="Arial"/>
          <w:sz w:val="17"/>
          <w:szCs w:val="17"/>
          <w:i w:val="1"/>
          <w:iCs w:val="1"/>
          <w:u w:val="single" w:color="auto"/>
          <w:color w:val="auto"/>
        </w:rPr>
        <w:t>Severability.</w:t>
      </w:r>
      <w:r>
        <w:rPr>
          <w:rFonts w:ascii="Arial" w:cs="Arial" w:eastAsia="Arial" w:hAnsi="Arial"/>
          <w:sz w:val="17"/>
          <w:szCs w:val="17"/>
          <w:color w:val="auto"/>
        </w:rPr>
        <w:t xml:space="preserve"> If any provision of this Plan or any Award is or becomes or is deemed to be invalid, illegal or unenforceable in any jurisdiction or as to any individual or Award, or would disqualify this Plan or any Award under any law deemed applicable by the Committee, such provision shall be construed or deemed amended to conform to applicable law, or if it cannot be construed or deemed amended without, in the sole determination of the Committee, materially altering the intent of this Plan or the Award, such provision shall be stricken as to such jurisdiction, individual or Award and the remainder of this Plan and any such Award shall remain in full force and effect.</w:t>
      </w:r>
    </w:p>
    <w:p>
      <w:pPr>
        <w:spacing w:after="0" w:line="179" w:lineRule="exact"/>
        <w:rPr>
          <w:sz w:val="20"/>
          <w:szCs w:val="20"/>
          <w:color w:val="auto"/>
        </w:rPr>
      </w:pPr>
    </w:p>
    <w:p>
      <w:pPr>
        <w:jc w:val="both"/>
        <w:ind w:right="40" w:firstLine="629"/>
        <w:spacing w:after="0" w:line="273" w:lineRule="auto"/>
        <w:rPr>
          <w:sz w:val="20"/>
          <w:szCs w:val="20"/>
          <w:color w:val="auto"/>
        </w:rPr>
      </w:pPr>
      <w:r>
        <w:rPr>
          <w:rFonts w:ascii="Arial" w:cs="Arial" w:eastAsia="Arial" w:hAnsi="Arial"/>
          <w:sz w:val="17"/>
          <w:szCs w:val="17"/>
          <w:color w:val="auto"/>
        </w:rPr>
        <w:t xml:space="preserve">15.6 </w:t>
      </w:r>
      <w:r>
        <w:rPr>
          <w:rFonts w:ascii="Arial" w:cs="Arial" w:eastAsia="Arial" w:hAnsi="Arial"/>
          <w:sz w:val="17"/>
          <w:szCs w:val="17"/>
          <w:i w:val="1"/>
          <w:iCs w:val="1"/>
          <w:u w:val="single" w:color="auto"/>
          <w:color w:val="auto"/>
        </w:rPr>
        <w:t>No Fractional Shares.</w:t>
      </w:r>
      <w:r>
        <w:rPr>
          <w:rFonts w:ascii="Arial" w:cs="Arial" w:eastAsia="Arial" w:hAnsi="Arial"/>
          <w:sz w:val="17"/>
          <w:szCs w:val="17"/>
          <w:color w:val="auto"/>
        </w:rPr>
        <w:t xml:space="preserve"> No fractional Shares shall be issued or delivered pursuant to this Plan or any Award, and the Committee shall determine, in its sole discretion, whether cash, other securities or other property shall be paid or transferred in lieu of any fractional Shares or whether such fractional Shares or any rights thereto shall be canceled, terminated or otherwise eliminated.</w:t>
      </w:r>
    </w:p>
    <w:p>
      <w:pPr>
        <w:spacing w:after="0" w:line="172" w:lineRule="exact"/>
        <w:rPr>
          <w:sz w:val="20"/>
          <w:szCs w:val="20"/>
          <w:color w:val="auto"/>
        </w:rPr>
      </w:pPr>
    </w:p>
    <w:p>
      <w:pPr>
        <w:ind w:right="320" w:firstLine="629"/>
        <w:spacing w:after="0" w:line="289" w:lineRule="auto"/>
        <w:rPr>
          <w:sz w:val="20"/>
          <w:szCs w:val="20"/>
          <w:color w:val="auto"/>
        </w:rPr>
      </w:pPr>
      <w:r>
        <w:rPr>
          <w:rFonts w:ascii="Arial" w:cs="Arial" w:eastAsia="Arial" w:hAnsi="Arial"/>
          <w:sz w:val="17"/>
          <w:szCs w:val="17"/>
          <w:color w:val="auto"/>
        </w:rPr>
        <w:t xml:space="preserve">15.7 </w:t>
      </w:r>
      <w:r>
        <w:rPr>
          <w:rFonts w:ascii="Arial" w:cs="Arial" w:eastAsia="Arial" w:hAnsi="Arial"/>
          <w:sz w:val="17"/>
          <w:szCs w:val="17"/>
          <w:i w:val="1"/>
          <w:iCs w:val="1"/>
          <w:u w:val="single" w:color="auto"/>
          <w:color w:val="auto"/>
        </w:rPr>
        <w:t>Headings.</w:t>
      </w:r>
      <w:r>
        <w:rPr>
          <w:rFonts w:ascii="Arial" w:cs="Arial" w:eastAsia="Arial" w:hAnsi="Arial"/>
          <w:sz w:val="17"/>
          <w:szCs w:val="17"/>
          <w:color w:val="auto"/>
        </w:rPr>
        <w:t xml:space="preserve"> Headings are given to the ARTICLEs and Subsections of this Plan solely as a convenience to facilitate reference. Such headings shall not be deemed in any way material or relevant to the construction or interpretation of this Plan or any provision thereof.</w:t>
      </w:r>
    </w:p>
    <w:p>
      <w:pPr>
        <w:spacing w:after="0" w:line="158"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 xml:space="preserve">15.8 </w:t>
      </w:r>
      <w:r>
        <w:rPr>
          <w:rFonts w:ascii="Arial" w:cs="Arial" w:eastAsia="Arial" w:hAnsi="Arial"/>
          <w:sz w:val="17"/>
          <w:szCs w:val="17"/>
          <w:i w:val="1"/>
          <w:iCs w:val="1"/>
          <w:u w:val="single" w:color="auto"/>
          <w:color w:val="auto"/>
        </w:rPr>
        <w:t>Gender.</w:t>
      </w:r>
      <w:r>
        <w:rPr>
          <w:rFonts w:ascii="Arial" w:cs="Arial" w:eastAsia="Arial" w:hAnsi="Arial"/>
          <w:sz w:val="17"/>
          <w:szCs w:val="17"/>
          <w:color w:val="auto"/>
        </w:rPr>
        <w:t xml:space="preserve"> If the context requires, words of one gender when used in this Plan shall include the others and words used in the singular shall include the plural, and vice versa.</w:t>
      </w:r>
    </w:p>
    <w:p>
      <w:pPr>
        <w:spacing w:after="0" w:line="158"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 xml:space="preserve">15.9 </w:t>
      </w:r>
      <w:r>
        <w:rPr>
          <w:rFonts w:ascii="Arial" w:cs="Arial" w:eastAsia="Arial" w:hAnsi="Arial"/>
          <w:sz w:val="17"/>
          <w:szCs w:val="17"/>
          <w:i w:val="1"/>
          <w:iCs w:val="1"/>
          <w:u w:val="single" w:color="auto"/>
          <w:color w:val="auto"/>
        </w:rPr>
        <w:t>Transferability of Awards.</w:t>
      </w:r>
      <w:r>
        <w:rPr>
          <w:rFonts w:ascii="Arial" w:cs="Arial" w:eastAsia="Arial" w:hAnsi="Arial"/>
          <w:sz w:val="17"/>
          <w:szCs w:val="17"/>
          <w:color w:val="auto"/>
        </w:rPr>
        <w:t xml:space="preserve"> Awards shall not be transferable otherwise than by will or the laws of descent and distribution without the written consent of the Committee (which may be granted or withheld at the sole discretion of the Committee). Awards may be exercised, during the lifetime of the holder, only by the holder. Any attempted assignment, transfer, pledge, hypothecation or other disposition of an Award contrary to the provisions hereof, or the levy of any execution, attachment or similar process upon an Award shall be null and void and without effect.</w:t>
      </w:r>
    </w:p>
    <w:p>
      <w:pPr>
        <w:spacing w:after="0" w:line="176" w:lineRule="exact"/>
        <w:rPr>
          <w:sz w:val="20"/>
          <w:szCs w:val="20"/>
          <w:color w:val="auto"/>
        </w:rPr>
      </w:pPr>
    </w:p>
    <w:p>
      <w:pPr>
        <w:jc w:val="both"/>
        <w:ind w:right="20" w:firstLine="629"/>
        <w:spacing w:after="0" w:line="265" w:lineRule="auto"/>
        <w:rPr>
          <w:sz w:val="20"/>
          <w:szCs w:val="20"/>
          <w:color w:val="auto"/>
        </w:rPr>
      </w:pPr>
      <w:r>
        <w:rPr>
          <w:rFonts w:ascii="Arial" w:cs="Arial" w:eastAsia="Arial" w:hAnsi="Arial"/>
          <w:sz w:val="17"/>
          <w:szCs w:val="17"/>
          <w:color w:val="auto"/>
        </w:rPr>
        <w:t xml:space="preserve">15.10 </w:t>
      </w:r>
      <w:r>
        <w:rPr>
          <w:rFonts w:ascii="Arial" w:cs="Arial" w:eastAsia="Arial" w:hAnsi="Arial"/>
          <w:sz w:val="17"/>
          <w:szCs w:val="17"/>
          <w:i w:val="1"/>
          <w:iCs w:val="1"/>
          <w:u w:val="single" w:color="auto"/>
          <w:color w:val="auto"/>
        </w:rPr>
        <w:t>Rights of Participants.</w:t>
      </w:r>
      <w:r>
        <w:rPr>
          <w:rFonts w:ascii="Arial" w:cs="Arial" w:eastAsia="Arial" w:hAnsi="Arial"/>
          <w:sz w:val="17"/>
          <w:szCs w:val="17"/>
          <w:color w:val="auto"/>
        </w:rPr>
        <w:t xml:space="preserve"> Except as hereinbefore expressly provided in this Plan, any Person to whom an Award is granted shall have no rights by reason of any subdivision or consolidation of stock of any class or the payment of any stock dividend or any other increase or decrease in the number of shares of stock of any class or by reason of any dissolution, liquidation, reorganization, merger or consolidation or spinoff of assets or stock of another corporation, and any issue by the Company of shares of stock of any class or securities convertible into shares of stock of any class shall not affect, and no adjustment by reason thereof shall be made with respect to, the number or exercise price of Shares subject to an Award.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 xml:space="preserve">15.11 </w:t>
      </w:r>
      <w:r>
        <w:rPr>
          <w:rFonts w:ascii="Arial" w:cs="Arial" w:eastAsia="Arial" w:hAnsi="Arial"/>
          <w:sz w:val="17"/>
          <w:szCs w:val="17"/>
          <w:i w:val="1"/>
          <w:iCs w:val="1"/>
          <w:u w:val="single" w:color="auto"/>
          <w:color w:val="auto"/>
        </w:rPr>
        <w:t>No Limitation Upon the Rights of the Company.</w:t>
      </w:r>
      <w:r>
        <w:rPr>
          <w:rFonts w:ascii="Arial" w:cs="Arial" w:eastAsia="Arial" w:hAnsi="Arial"/>
          <w:sz w:val="17"/>
          <w:szCs w:val="17"/>
          <w:color w:val="auto"/>
        </w:rPr>
        <w:t xml:space="preserve"> The grant of an Award pursuant to this Plan shall not affect in any way the right or power of the Company to make adjustments, reclassifications, or changes of its capital or business structure; to merge, convert or consolidate; to dissolve or liquidate; or sell or transfer all or any part of its business or assets.</w:t>
      </w:r>
    </w:p>
    <w:p>
      <w:pPr>
        <w:spacing w:after="0" w:line="172" w:lineRule="exact"/>
        <w:rPr>
          <w:sz w:val="20"/>
          <w:szCs w:val="20"/>
          <w:color w:val="auto"/>
        </w:rPr>
      </w:pPr>
    </w:p>
    <w:p>
      <w:pPr>
        <w:ind w:right="20" w:firstLine="629"/>
        <w:spacing w:after="0" w:line="285" w:lineRule="auto"/>
        <w:rPr>
          <w:sz w:val="20"/>
          <w:szCs w:val="20"/>
          <w:color w:val="auto"/>
        </w:rPr>
      </w:pPr>
      <w:r>
        <w:rPr>
          <w:rFonts w:ascii="Arial" w:cs="Arial" w:eastAsia="Arial" w:hAnsi="Arial"/>
          <w:sz w:val="16"/>
          <w:szCs w:val="16"/>
          <w:color w:val="auto"/>
        </w:rPr>
        <w:t xml:space="preserve">15.12 </w:t>
      </w:r>
      <w:r>
        <w:rPr>
          <w:rFonts w:ascii="Arial" w:cs="Arial" w:eastAsia="Arial" w:hAnsi="Arial"/>
          <w:sz w:val="16"/>
          <w:szCs w:val="16"/>
          <w:i w:val="1"/>
          <w:iCs w:val="1"/>
          <w:u w:val="single" w:color="auto"/>
          <w:color w:val="auto"/>
        </w:rPr>
        <w:t>Date of Grant of an Award.</w:t>
      </w:r>
      <w:r>
        <w:rPr>
          <w:rFonts w:ascii="Arial" w:cs="Arial" w:eastAsia="Arial" w:hAnsi="Arial"/>
          <w:sz w:val="16"/>
          <w:szCs w:val="16"/>
          <w:color w:val="auto"/>
        </w:rPr>
        <w:t xml:space="preserve"> Except as noted in this </w:t>
      </w:r>
      <w:r>
        <w:rPr>
          <w:rFonts w:ascii="Arial" w:cs="Arial" w:eastAsia="Arial" w:hAnsi="Arial"/>
          <w:sz w:val="16"/>
          <w:szCs w:val="16"/>
          <w:u w:val="single" w:color="auto"/>
          <w:color w:val="auto"/>
        </w:rPr>
        <w:t>ARTICLE 15.12</w:t>
      </w:r>
      <w:r>
        <w:rPr>
          <w:rFonts w:ascii="Arial" w:cs="Arial" w:eastAsia="Arial" w:hAnsi="Arial"/>
          <w:sz w:val="16"/>
          <w:szCs w:val="16"/>
          <w:color w:val="auto"/>
        </w:rPr>
        <w:t>, the granting of an Award shall take place only upon the execution and delivery by the Company and the Participant of a written agreement and neither any other action taken by the Committee nor anything contained in this Plan or in any resolution adopted or to be adopted by the Committee, the Board or the shareholders of the Company shall constitute the granting of an Award pursuant to this Plan. Solely for purposes of determining the Fair Market Value of the Shares subject to an Award, such Award will be deemed to have been granted as of the date specified by the Committee notwithstanding any delay which may elapse in executing and delivering the applicable agreement.</w:t>
      </w:r>
    </w:p>
    <w:p>
      <w:pPr>
        <w:spacing w:after="0" w:line="166"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15.13 </w:t>
      </w:r>
      <w:r>
        <w:rPr>
          <w:rFonts w:ascii="Arial" w:cs="Arial" w:eastAsia="Arial" w:hAnsi="Arial"/>
          <w:sz w:val="17"/>
          <w:szCs w:val="17"/>
          <w:i w:val="1"/>
          <w:iCs w:val="1"/>
          <w:u w:val="single" w:color="auto"/>
          <w:color w:val="auto"/>
        </w:rPr>
        <w:t>Tax Withholding.</w:t>
      </w:r>
      <w:r>
        <w:rPr>
          <w:rFonts w:ascii="Arial" w:cs="Arial" w:eastAsia="Arial" w:hAnsi="Arial"/>
          <w:sz w:val="17"/>
          <w:szCs w:val="17"/>
          <w:color w:val="auto"/>
        </w:rPr>
        <w:t xml:space="preserve"> The Company or any Subsidiary shall be entitled to deduct from other compensation payable to an employee any sums required by federal, state, or local tax law to be withheld with respect to the granting or exercise of a Stock Option or other Award under this Plan. In the alternative, the Company or any Subsidiary may require the recipient (or other person exercising the Award) to pay such sums directly to the employer, and neither the Company or any Subsidiary shall have any obligation to issue any Shares or make any payment until such payment has been received.</w:t>
      </w:r>
    </w:p>
    <w:p>
      <w:pPr>
        <w:spacing w:after="0" w:line="176"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 xml:space="preserve">15.14 </w:t>
      </w:r>
      <w:r>
        <w:rPr>
          <w:rFonts w:ascii="Arial" w:cs="Arial" w:eastAsia="Arial" w:hAnsi="Arial"/>
          <w:sz w:val="17"/>
          <w:szCs w:val="17"/>
          <w:i w:val="1"/>
          <w:iCs w:val="1"/>
          <w:u w:val="single" w:color="auto"/>
          <w:color w:val="auto"/>
        </w:rPr>
        <w:t>Other Laws.</w:t>
      </w:r>
      <w:r>
        <w:rPr>
          <w:rFonts w:ascii="Arial" w:cs="Arial" w:eastAsia="Arial" w:hAnsi="Arial"/>
          <w:sz w:val="17"/>
          <w:szCs w:val="17"/>
          <w:color w:val="auto"/>
        </w:rPr>
        <w:t xml:space="preserve"> The Company shall not be obligated to issue any Shares pursuant to any Award granted under the Plan at any time when the offering of the Shares covered by such Award is not either (I) registered under the Securities Act of 1933 and such other state and federal laws, rules or regulations as the Company or the Committee deems applicable or (ii) exempt from the registration requirements of such laws, rules or regulations available for the issuance and sale of such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16</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NAMED EXECUTIVE OFFICERS</w:t>
      </w:r>
    </w:p>
    <w:p>
      <w:pPr>
        <w:sectPr>
          <w:pgSz w:w="11900" w:h="16838" w:orient="portrait"/>
          <w:cols w:equalWidth="0" w:num="1">
            <w:col w:w="11400"/>
          </w:cols>
          <w:pgMar w:left="240" w:top="121" w:right="259" w:bottom="0" w:gutter="0" w:footer="0" w:header="0"/>
        </w:sectPr>
      </w:pPr>
    </w:p>
    <w:bookmarkStart w:id="294" w:name="page295"/>
    <w:bookmarkEnd w:id="294"/>
    <w:p>
      <w:pPr>
        <w:ind w:right="120" w:firstLine="629"/>
        <w:spacing w:after="0" w:line="283"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i w:val="1"/>
          <w:iCs w:val="1"/>
          <w:u w:val="single" w:color="auto"/>
          <w:color w:val="auto"/>
        </w:rPr>
        <w:t>Applicability of ARTICLE 16.</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ARTICLE 16</w:t>
      </w:r>
      <w:r>
        <w:rPr>
          <w:rFonts w:ascii="Arial" w:cs="Arial" w:eastAsia="Arial" w:hAnsi="Arial"/>
          <w:sz w:val="16"/>
          <w:szCs w:val="16"/>
          <w:color w:val="auto"/>
        </w:rPr>
        <w:t xml:space="preserve"> shall apply only if the Company is a “publicly held corporation” as defined in Section 162(m)(2) of the Code, and then only to those executive officers (i) whose compensation is required to be reported in the Company’s proxy statement pursuant to Item 402(a)(3)(i) and (ii) (or any successor thereto) of Regulation S-K (or any successor thereto) under the general rules and regulations under the Exchange Act and (ii) whose total compensation, including estimated Awards, is determined by the Committee to possibly be subject to the limitations on deductions imposed by Section 162(m) of the Code (“</w:t>
      </w:r>
      <w:r>
        <w:rPr>
          <w:rFonts w:ascii="Arial" w:cs="Arial" w:eastAsia="Arial" w:hAnsi="Arial"/>
          <w:sz w:val="16"/>
          <w:szCs w:val="16"/>
          <w:u w:val="single" w:color="auto"/>
          <w:color w:val="auto"/>
        </w:rPr>
        <w:t>Named Executive Officers</w:t>
      </w:r>
      <w:r>
        <w:rPr>
          <w:rFonts w:ascii="Arial" w:cs="Arial" w:eastAsia="Arial" w:hAnsi="Arial"/>
          <w:sz w:val="16"/>
          <w:szCs w:val="16"/>
          <w:color w:val="auto"/>
        </w:rPr>
        <w:t xml:space="preserve">”). In the event of any inconsistencies between this </w:t>
      </w:r>
      <w:r>
        <w:rPr>
          <w:rFonts w:ascii="Arial" w:cs="Arial" w:eastAsia="Arial" w:hAnsi="Arial"/>
          <w:sz w:val="16"/>
          <w:szCs w:val="16"/>
          <w:u w:val="single" w:color="auto"/>
          <w:color w:val="auto"/>
        </w:rPr>
        <w:t>ARTICLE 16</w:t>
      </w:r>
      <w:r>
        <w:rPr>
          <w:rFonts w:ascii="Arial" w:cs="Arial" w:eastAsia="Arial" w:hAnsi="Arial"/>
          <w:sz w:val="16"/>
          <w:szCs w:val="16"/>
          <w:color w:val="auto"/>
        </w:rPr>
        <w:t xml:space="preserve"> and the other Plan provisions as they pertain to Named Executive Officers, the provisions of this </w:t>
      </w:r>
      <w:r>
        <w:rPr>
          <w:rFonts w:ascii="Arial" w:cs="Arial" w:eastAsia="Arial" w:hAnsi="Arial"/>
          <w:sz w:val="16"/>
          <w:szCs w:val="16"/>
          <w:u w:val="single" w:color="auto"/>
          <w:color w:val="auto"/>
        </w:rPr>
        <w:t>ARTICLE 16</w:t>
      </w:r>
      <w:r>
        <w:rPr>
          <w:rFonts w:ascii="Arial" w:cs="Arial" w:eastAsia="Arial" w:hAnsi="Arial"/>
          <w:sz w:val="16"/>
          <w:szCs w:val="16"/>
          <w:color w:val="auto"/>
        </w:rPr>
        <w:t xml:space="preserve"> shall control.</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29"/>
        <w:spacing w:after="0" w:line="278"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i w:val="1"/>
          <w:iCs w:val="1"/>
          <w:u w:val="single" w:color="auto"/>
          <w:color w:val="auto"/>
        </w:rPr>
        <w:t>Establishment of Performance Goals.</w:t>
      </w:r>
      <w:r>
        <w:rPr>
          <w:rFonts w:ascii="Arial" w:cs="Arial" w:eastAsia="Arial" w:hAnsi="Arial"/>
          <w:sz w:val="16"/>
          <w:szCs w:val="16"/>
          <w:color w:val="auto"/>
        </w:rPr>
        <w:t xml:space="preserve"> Awards for Named Executive Officers, other than Stock Options and Stock Appreciation Rights, shall be based on the attainment of certain performance goals. No later than the earlier of (i) ninety (90) days after the commencement of the applicable fiscal year of the Company or one of its Subsidiaries or such other award period as may be established by the Committee (“</w:t>
      </w:r>
      <w:r>
        <w:rPr>
          <w:rFonts w:ascii="Arial" w:cs="Arial" w:eastAsia="Arial" w:hAnsi="Arial"/>
          <w:sz w:val="16"/>
          <w:szCs w:val="16"/>
          <w:u w:val="single" w:color="auto"/>
          <w:color w:val="auto"/>
        </w:rPr>
        <w:t>Award Period</w:t>
      </w:r>
      <w:r>
        <w:rPr>
          <w:rFonts w:ascii="Arial" w:cs="Arial" w:eastAsia="Arial" w:hAnsi="Arial"/>
          <w:sz w:val="16"/>
          <w:szCs w:val="16"/>
          <w:color w:val="auto"/>
        </w:rPr>
        <w:t>”) and (ii) the completion of twenty-five percent (25%) of such Award Period, the Committee shall establish, in writing, the performance goals applicable to each such Award for Named Executive Officers. At the time the performance goals are established, their outcome must be substantially uncertain. In addition, the performance goal must state, in terms of an objective formula or standard, the method for computing the amount of compensation payable to the Named Executive Officer if the goal is obtained. Such formula or standard shall be sufficiently objective so that a third party with knowledge of the relevant performance results could calculate the amount to be paid to the subject Named Executive Officer. The material terms of the performance goals for Named Executive Officers and the compensation payable thereunder shall be submitted to the shareholders of the Company for their review and approval if and to the extent required for such compensation to be deductible pursuant to Section 162(m) (or any successor thereto) of the Code, and the Treasury Regulations thereunder. Shareholder approval, if necessary, shall be obtained for such performance goals prior to any Award being paid to such Named Executive Officer. If shareholder approval is required and not received with respect to such performance goals, no amount shall be paid to such Named Executive Officer for such applicable Award Period pursuant to this Plan.</w:t>
      </w:r>
    </w:p>
    <w:p>
      <w:pPr>
        <w:spacing w:after="0" w:line="169" w:lineRule="exact"/>
        <w:rPr>
          <w:sz w:val="20"/>
          <w:szCs w:val="20"/>
          <w:color w:val="auto"/>
        </w:rPr>
      </w:pPr>
    </w:p>
    <w:p>
      <w:pPr>
        <w:ind w:right="100" w:firstLine="629"/>
        <w:spacing w:after="0" w:line="281"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i w:val="1"/>
          <w:iCs w:val="1"/>
          <w:u w:val="single" w:color="auto"/>
          <w:color w:val="auto"/>
        </w:rPr>
        <w:t>Components of Awards.</w:t>
      </w:r>
      <w:r>
        <w:rPr>
          <w:rFonts w:ascii="Arial" w:cs="Arial" w:eastAsia="Arial" w:hAnsi="Arial"/>
          <w:sz w:val="16"/>
          <w:szCs w:val="16"/>
          <w:color w:val="auto"/>
        </w:rPr>
        <w:t xml:space="preserve"> Each Award granted to a Named Executive Officer, other than Stock Options and Stock Appreciation Rights, shall be based on performance goals which are sufficiently objective so that a third party having knowledge of the relevant facts could determine whether the goal was met. Except as provided in </w:t>
      </w:r>
      <w:r>
        <w:rPr>
          <w:rFonts w:ascii="Arial" w:cs="Arial" w:eastAsia="Arial" w:hAnsi="Arial"/>
          <w:sz w:val="16"/>
          <w:szCs w:val="16"/>
          <w:u w:val="single" w:color="auto"/>
          <w:color w:val="auto"/>
        </w:rPr>
        <w:t>Subsection 16.8</w:t>
      </w:r>
      <w:r>
        <w:rPr>
          <w:rFonts w:ascii="Arial" w:cs="Arial" w:eastAsia="Arial" w:hAnsi="Arial"/>
          <w:sz w:val="16"/>
          <w:szCs w:val="16"/>
          <w:color w:val="auto"/>
        </w:rPr>
        <w:t xml:space="preserve"> herein, performance measures which may serve as determinants of Named Executive Officers’ Awards shall be limited to the following measures: earnings per share; return on assets; return on equity; return on capital; net profit after taxes; net profit before taxes; operating profits; stock price; and sales or expenses. Within ninety (90) days following the end of each Award Period, the Committee shall certify in writing that the performance goals, and any other material terms were satisfied. Thereafter, Awards shall be made for each Named Executive Officer as determined by the Committee. The Awards may not vary from the pre-established amount based on the level of achievement.</w:t>
      </w:r>
    </w:p>
    <w:p>
      <w:pPr>
        <w:spacing w:after="0" w:line="170" w:lineRule="exact"/>
        <w:rPr>
          <w:sz w:val="20"/>
          <w:szCs w:val="20"/>
          <w:color w:val="auto"/>
        </w:rPr>
      </w:pPr>
    </w:p>
    <w:p>
      <w:pPr>
        <w:ind w:right="340" w:firstLine="629"/>
        <w:spacing w:after="0" w:line="289" w:lineRule="auto"/>
        <w:rPr>
          <w:sz w:val="20"/>
          <w:szCs w:val="20"/>
          <w:color w:val="auto"/>
        </w:rPr>
      </w:pPr>
      <w:r>
        <w:rPr>
          <w:rFonts w:ascii="Arial" w:cs="Arial" w:eastAsia="Arial" w:hAnsi="Arial"/>
          <w:sz w:val="17"/>
          <w:szCs w:val="17"/>
          <w:color w:val="auto"/>
        </w:rPr>
        <w:t xml:space="preserve">16.4 </w:t>
      </w:r>
      <w:r>
        <w:rPr>
          <w:rFonts w:ascii="Arial" w:cs="Arial" w:eastAsia="Arial" w:hAnsi="Arial"/>
          <w:sz w:val="17"/>
          <w:szCs w:val="17"/>
          <w:i w:val="1"/>
          <w:iCs w:val="1"/>
          <w:u w:val="single" w:color="auto"/>
          <w:color w:val="auto"/>
        </w:rPr>
        <w:t>No Mid-Year Change in Awards</w:t>
      </w:r>
      <w:r>
        <w:rPr>
          <w:rFonts w:ascii="Arial" w:cs="Arial" w:eastAsia="Arial" w:hAnsi="Arial"/>
          <w:sz w:val="17"/>
          <w:szCs w:val="17"/>
          <w:i w:val="1"/>
          <w:iCs w:val="1"/>
          <w:color w:val="auto"/>
        </w:rPr>
        <w:t>.</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Subsections 16.8 and 16.9</w:t>
      </w:r>
      <w:r>
        <w:rPr>
          <w:rFonts w:ascii="Arial" w:cs="Arial" w:eastAsia="Arial" w:hAnsi="Arial"/>
          <w:sz w:val="17"/>
          <w:szCs w:val="17"/>
          <w:color w:val="auto"/>
        </w:rPr>
        <w:t xml:space="preserve"> herein, each Named Executive Officer’s Awards shall be based exclusively on the performance measures established by the Committee pursuant to </w:t>
      </w:r>
      <w:r>
        <w:rPr>
          <w:rFonts w:ascii="Arial" w:cs="Arial" w:eastAsia="Arial" w:hAnsi="Arial"/>
          <w:sz w:val="17"/>
          <w:szCs w:val="17"/>
          <w:u w:val="single" w:color="auto"/>
          <w:color w:val="auto"/>
        </w:rPr>
        <w:t>Subsections 16.2 and 16.3</w:t>
      </w:r>
      <w:r>
        <w:rPr>
          <w:rFonts w:ascii="Arial" w:cs="Arial" w:eastAsia="Arial" w:hAnsi="Arial"/>
          <w:sz w:val="17"/>
          <w:szCs w:val="17"/>
          <w:color w:val="auto"/>
        </w:rPr>
        <w:t>.</w:t>
      </w:r>
    </w:p>
    <w:p>
      <w:pPr>
        <w:spacing w:after="0" w:line="158"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 xml:space="preserve">16.5 </w:t>
      </w:r>
      <w:r>
        <w:rPr>
          <w:rFonts w:ascii="Arial" w:cs="Arial" w:eastAsia="Arial" w:hAnsi="Arial"/>
          <w:sz w:val="17"/>
          <w:szCs w:val="17"/>
          <w:i w:val="1"/>
          <w:iCs w:val="1"/>
          <w:u w:val="single" w:color="auto"/>
          <w:color w:val="auto"/>
        </w:rPr>
        <w:t>No Partial Award Period Participation.</w:t>
      </w:r>
      <w:r>
        <w:rPr>
          <w:rFonts w:ascii="Arial" w:cs="Arial" w:eastAsia="Arial" w:hAnsi="Arial"/>
          <w:sz w:val="17"/>
          <w:szCs w:val="17"/>
          <w:color w:val="auto"/>
        </w:rPr>
        <w:t xml:space="preserve"> A Named Executive Officer who becomes eligible to participate in this Plan after performance goals have been established in an Award Period pursuant to </w:t>
      </w:r>
      <w:r>
        <w:rPr>
          <w:rFonts w:ascii="Arial" w:cs="Arial" w:eastAsia="Arial" w:hAnsi="Arial"/>
          <w:sz w:val="17"/>
          <w:szCs w:val="17"/>
          <w:u w:val="single" w:color="auto"/>
          <w:color w:val="auto"/>
        </w:rPr>
        <w:t>Subsections 16.2 and 16.3</w:t>
      </w:r>
      <w:r>
        <w:rPr>
          <w:rFonts w:ascii="Arial" w:cs="Arial" w:eastAsia="Arial" w:hAnsi="Arial"/>
          <w:sz w:val="17"/>
          <w:szCs w:val="17"/>
          <w:color w:val="auto"/>
        </w:rPr>
        <w:t xml:space="preserve"> may not participate in this Plan prior to the next succeeding Award Period, except with respect to Awards which are Stock Options or Stock Appreciation Rights.</w:t>
      </w:r>
    </w:p>
    <w:p>
      <w:pPr>
        <w:spacing w:after="0" w:line="172"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 xml:space="preserve">16.6 </w:t>
      </w:r>
      <w:r>
        <w:rPr>
          <w:rFonts w:ascii="Arial" w:cs="Arial" w:eastAsia="Arial" w:hAnsi="Arial"/>
          <w:sz w:val="17"/>
          <w:szCs w:val="17"/>
          <w:i w:val="1"/>
          <w:iCs w:val="1"/>
          <w:u w:val="single" w:color="auto"/>
          <w:color w:val="auto"/>
        </w:rPr>
        <w:t>Performance Goals.</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Subsection 16.8</w:t>
      </w:r>
      <w:r>
        <w:rPr>
          <w:rFonts w:ascii="Arial" w:cs="Arial" w:eastAsia="Arial" w:hAnsi="Arial"/>
          <w:sz w:val="17"/>
          <w:szCs w:val="17"/>
          <w:color w:val="auto"/>
        </w:rPr>
        <w:t xml:space="preserve"> herein, performance goals shall not be changed following their establishment, and Named Executive Officers shall not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receive any payout, except with respect to Awards which are Stock Options or Stock Appreciation Rights, when the minimum performance goals are not met or exceeded.</w:t>
      </w:r>
    </w:p>
    <w:p>
      <w:pPr>
        <w:spacing w:after="0" w:line="158" w:lineRule="exact"/>
        <w:rPr>
          <w:sz w:val="20"/>
          <w:szCs w:val="20"/>
          <w:color w:val="auto"/>
        </w:rPr>
      </w:pPr>
    </w:p>
    <w:p>
      <w:pPr>
        <w:ind w:right="160" w:firstLine="629"/>
        <w:spacing w:after="0" w:line="273" w:lineRule="auto"/>
        <w:rPr>
          <w:sz w:val="20"/>
          <w:szCs w:val="20"/>
          <w:color w:val="auto"/>
        </w:rPr>
      </w:pPr>
      <w:r>
        <w:rPr>
          <w:rFonts w:ascii="Arial" w:cs="Arial" w:eastAsia="Arial" w:hAnsi="Arial"/>
          <w:sz w:val="17"/>
          <w:szCs w:val="17"/>
          <w:color w:val="auto"/>
        </w:rPr>
        <w:t xml:space="preserve">16.7 </w:t>
      </w:r>
      <w:r>
        <w:rPr>
          <w:rFonts w:ascii="Arial" w:cs="Arial" w:eastAsia="Arial" w:hAnsi="Arial"/>
          <w:sz w:val="17"/>
          <w:szCs w:val="17"/>
          <w:i w:val="1"/>
          <w:iCs w:val="1"/>
          <w:u w:val="single" w:color="auto"/>
          <w:color w:val="auto"/>
        </w:rPr>
        <w:t>Individual Performance and Discretionary Adjustments.</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Subsection 16.8</w:t>
      </w:r>
      <w:r>
        <w:rPr>
          <w:rFonts w:ascii="Arial" w:cs="Arial" w:eastAsia="Arial" w:hAnsi="Arial"/>
          <w:sz w:val="17"/>
          <w:szCs w:val="17"/>
          <w:color w:val="auto"/>
        </w:rPr>
        <w:t xml:space="preserve"> herein, subjective evaluations of individual performance of Named Executive Officers shall not be reflected in their Awards, other than Awards which are Stock Options or Stock Appreciation Rights. The payment of such Awards shall be entirely dependent upon the attainment of the preestablished performance goals.</w:t>
      </w:r>
    </w:p>
    <w:p>
      <w:pPr>
        <w:spacing w:after="0" w:line="172" w:lineRule="exact"/>
        <w:rPr>
          <w:sz w:val="20"/>
          <w:szCs w:val="20"/>
          <w:color w:val="auto"/>
        </w:rPr>
      </w:pPr>
    </w:p>
    <w:p>
      <w:pPr>
        <w:ind w:right="200" w:firstLine="629"/>
        <w:spacing w:after="0" w:line="263" w:lineRule="auto"/>
        <w:rPr>
          <w:sz w:val="20"/>
          <w:szCs w:val="20"/>
          <w:color w:val="auto"/>
        </w:rPr>
      </w:pPr>
      <w:r>
        <w:rPr>
          <w:rFonts w:ascii="Arial" w:cs="Arial" w:eastAsia="Arial" w:hAnsi="Arial"/>
          <w:sz w:val="17"/>
          <w:szCs w:val="17"/>
          <w:color w:val="auto"/>
        </w:rPr>
        <w:t xml:space="preserve">16.8 </w:t>
      </w:r>
      <w:r>
        <w:rPr>
          <w:rFonts w:ascii="Arial" w:cs="Arial" w:eastAsia="Arial" w:hAnsi="Arial"/>
          <w:sz w:val="17"/>
          <w:szCs w:val="17"/>
          <w:i w:val="1"/>
          <w:iCs w:val="1"/>
          <w:u w:val="single" w:color="auto"/>
          <w:color w:val="auto"/>
        </w:rPr>
        <w:t>Amendments.</w:t>
      </w:r>
      <w:r>
        <w:rPr>
          <w:rFonts w:ascii="Arial" w:cs="Arial" w:eastAsia="Arial" w:hAnsi="Arial"/>
          <w:sz w:val="17"/>
          <w:szCs w:val="17"/>
          <w:color w:val="auto"/>
        </w:rPr>
        <w:t xml:space="preserve"> No amendment of this Plan with respect to any Named Executive Officer may be made which would (i) increase the maximum amount that can be paid to any one Participant pursuant to this Plan, (ii) change the specified performance goal for payment of Awards, or (iii) modify the requirements as to eligibility for participation in this Plan, unless the Company’s shareholders have first approved such amendment in a manner which would permit the deduction under Section 162(m) (or any successor thereto) of the Code of such payment in the fiscal year it is paid. The Committee shall amend this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and such other provisions as it deems appropriate, to cause amounts payable to Named Executive Officers to satisfy the requirements of Section 162(m) (or any successor thereto) and the Treasury regulations promulgated thereunder.</w:t>
      </w:r>
    </w:p>
    <w:p>
      <w:pPr>
        <w:spacing w:after="0" w:line="183" w:lineRule="exact"/>
        <w:rPr>
          <w:sz w:val="20"/>
          <w:szCs w:val="20"/>
          <w:color w:val="auto"/>
        </w:rPr>
      </w:pPr>
    </w:p>
    <w:p>
      <w:pPr>
        <w:ind w:right="120" w:firstLine="629"/>
        <w:spacing w:after="0" w:line="262" w:lineRule="auto"/>
        <w:rPr>
          <w:sz w:val="20"/>
          <w:szCs w:val="20"/>
          <w:color w:val="auto"/>
        </w:rPr>
      </w:pPr>
      <w:r>
        <w:rPr>
          <w:rFonts w:ascii="Arial" w:cs="Arial" w:eastAsia="Arial" w:hAnsi="Arial"/>
          <w:sz w:val="17"/>
          <w:szCs w:val="17"/>
          <w:color w:val="auto"/>
        </w:rPr>
        <w:t xml:space="preserve">16.9 </w:t>
      </w:r>
      <w:r>
        <w:rPr>
          <w:rFonts w:ascii="Arial" w:cs="Arial" w:eastAsia="Arial" w:hAnsi="Arial"/>
          <w:sz w:val="17"/>
          <w:szCs w:val="17"/>
          <w:i w:val="1"/>
          <w:iCs w:val="1"/>
          <w:u w:val="single" w:color="auto"/>
          <w:color w:val="auto"/>
        </w:rPr>
        <w:t>Stock Options and Stock Appreciation Rights - Grant Price.</w:t>
      </w:r>
      <w:r>
        <w:rPr>
          <w:rFonts w:ascii="Arial" w:cs="Arial" w:eastAsia="Arial" w:hAnsi="Arial"/>
          <w:sz w:val="17"/>
          <w:szCs w:val="17"/>
          <w:color w:val="auto"/>
        </w:rPr>
        <w:t xml:space="preserve"> Notwithstanding any provision of this Plan (including the provisions of this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to the contrary, the amount of compensation which a Named Executive Officer may receive with respect to Stock Options and Stock Appreciation Rights which are granted hereunder is based solely on an increase in the value of the applicable Shares after the date of grant of such Award. Thus, no Stock Option may be granted hereunder to a Named Executive Officer with an exercise price less than the Fair Market Value of Shares on the date of grant. Furthermore, the maximum number of Shares (or cash equivalent value) with respect to which Stock Options or Stock Appreciation Rights may be granted hereunder to any Named Executive Officer during any calendar year may not exceed 1,000,000 Shares, subject to adjustment as provided in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hereunder.</w:t>
      </w:r>
    </w:p>
    <w:p>
      <w:pPr>
        <w:spacing w:after="0" w:line="184" w:lineRule="exact"/>
        <w:rPr>
          <w:sz w:val="20"/>
          <w:szCs w:val="20"/>
          <w:color w:val="auto"/>
        </w:rPr>
      </w:pPr>
    </w:p>
    <w:p>
      <w:pPr>
        <w:ind w:right="440" w:firstLine="629"/>
        <w:spacing w:after="0" w:line="289" w:lineRule="auto"/>
        <w:rPr>
          <w:sz w:val="20"/>
          <w:szCs w:val="20"/>
          <w:color w:val="auto"/>
        </w:rPr>
      </w:pPr>
      <w:r>
        <w:rPr>
          <w:rFonts w:ascii="Arial" w:cs="Arial" w:eastAsia="Arial" w:hAnsi="Arial"/>
          <w:sz w:val="17"/>
          <w:szCs w:val="17"/>
          <w:color w:val="auto"/>
        </w:rPr>
        <w:t xml:space="preserve">16.10 </w:t>
      </w:r>
      <w:r>
        <w:rPr>
          <w:rFonts w:ascii="Arial" w:cs="Arial" w:eastAsia="Arial" w:hAnsi="Arial"/>
          <w:sz w:val="17"/>
          <w:szCs w:val="17"/>
          <w:i w:val="1"/>
          <w:iCs w:val="1"/>
          <w:u w:val="single" w:color="auto"/>
          <w:color w:val="auto"/>
        </w:rPr>
        <w:t>Maximum Amount of Compensation.</w:t>
      </w:r>
      <w:r>
        <w:rPr>
          <w:rFonts w:ascii="Arial" w:cs="Arial" w:eastAsia="Arial" w:hAnsi="Arial"/>
          <w:sz w:val="17"/>
          <w:szCs w:val="17"/>
          <w:color w:val="auto"/>
        </w:rPr>
        <w:t xml:space="preserve"> The maximum amount of compensation payable as an Award (other than an Award which is a Stock Option or Stock Appreciation Right) to any Named Executive Officer during any calendar year may not exceed $1,000,000.</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80"/>
          </w:cols>
          <w:pgMar w:left="240" w:top="337" w:right="279" w:bottom="718" w:gutter="0" w:footer="0" w:header="0"/>
        </w:sectPr>
      </w:pPr>
    </w:p>
    <w:bookmarkStart w:id="295" w:name="page296"/>
    <w:bookmarkEnd w:id="295"/>
    <w:p>
      <w:pPr>
        <w:jc w:val="right"/>
        <w:spacing w:after="0"/>
        <w:rPr>
          <w:sz w:val="20"/>
          <w:szCs w:val="20"/>
          <w:color w:val="auto"/>
        </w:rPr>
      </w:pPr>
      <w:r>
        <w:rPr>
          <w:rFonts w:ascii="Arial" w:cs="Arial" w:eastAsia="Arial" w:hAnsi="Arial"/>
          <w:sz w:val="17"/>
          <w:szCs w:val="17"/>
          <w:b w:val="1"/>
          <w:bCs w:val="1"/>
          <w:color w:val="auto"/>
        </w:rPr>
        <w:t>Exhibit 10.3.1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2000 INCENTIVE SHARE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OPTION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(INCENTIVE AND NONQUALIFIED STOCK OPTIONS)</w:t>
      </w:r>
    </w:p>
    <w:p>
      <w:pPr>
        <w:spacing w:after="0" w:line="212" w:lineRule="exact"/>
        <w:rPr>
          <w:sz w:val="20"/>
          <w:szCs w:val="20"/>
          <w:color w:val="auto"/>
        </w:rPr>
      </w:pPr>
    </w:p>
    <w:p>
      <w:pPr>
        <w:jc w:val="both"/>
        <w:ind w:right="220" w:firstLine="629"/>
        <w:spacing w:after="0" w:line="326" w:lineRule="auto"/>
        <w:rPr>
          <w:sz w:val="20"/>
          <w:szCs w:val="20"/>
          <w:color w:val="auto"/>
        </w:rPr>
      </w:pPr>
      <w:r>
        <w:rPr>
          <w:rFonts w:ascii="Arial" w:cs="Arial" w:eastAsia="Arial" w:hAnsi="Arial"/>
          <w:sz w:val="15"/>
          <w:szCs w:val="15"/>
          <w:color w:val="auto"/>
        </w:rPr>
        <w:t>Pursuant to this Stock Option Agreement (the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having an effective date of the Grant Date (defined below), Applied Optoelectronics,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has granted you (the “</w:t>
      </w:r>
      <w:r>
        <w:rPr>
          <w:rFonts w:ascii="Arial" w:cs="Arial" w:eastAsia="Arial" w:hAnsi="Arial"/>
          <w:sz w:val="15"/>
          <w:szCs w:val="15"/>
          <w:b w:val="1"/>
          <w:bCs w:val="1"/>
          <w:i w:val="1"/>
          <w:iCs w:val="1"/>
          <w:color w:val="auto"/>
        </w:rPr>
        <w:t>Participant</w:t>
      </w:r>
      <w:r>
        <w:rPr>
          <w:rFonts w:ascii="Arial" w:cs="Arial" w:eastAsia="Arial" w:hAnsi="Arial"/>
          <w:sz w:val="15"/>
          <w:szCs w:val="15"/>
          <w:color w:val="auto"/>
        </w:rPr>
        <w:t>”) a Stock Option (“</w:t>
      </w:r>
      <w:r>
        <w:rPr>
          <w:rFonts w:ascii="Arial" w:cs="Arial" w:eastAsia="Arial" w:hAnsi="Arial"/>
          <w:sz w:val="15"/>
          <w:szCs w:val="15"/>
          <w:b w:val="1"/>
          <w:bCs w:val="1"/>
          <w:i w:val="1"/>
          <w:iCs w:val="1"/>
          <w:color w:val="auto"/>
        </w:rPr>
        <w:t>Option</w:t>
      </w:r>
      <w:r>
        <w:rPr>
          <w:rFonts w:ascii="Arial" w:cs="Arial" w:eastAsia="Arial" w:hAnsi="Arial"/>
          <w:sz w:val="15"/>
          <w:szCs w:val="15"/>
          <w:color w:val="auto"/>
        </w:rPr>
        <w:t>”) under its 2000 Incentive Share Plan, as amended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to purchase the number of shares of the Company’s Common Stock at the exercise price indicated below. Undefined terms in this Agreement are defined in the Plan.</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details of your Option are as follows: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PARTICIPANT: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ADDRESS: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TOTAL OPTION SHARES: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PURCHASE PRICE PER SHARE: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GRANT DATE: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FIRST VESTING DATE: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EXPIRATION DATE: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TYPE OF STOCK OPTION:</w:t>
      </w:r>
    </w:p>
    <w:p>
      <w:pPr>
        <w:sectPr>
          <w:pgSz w:w="11900" w:h="16838" w:orient="portrait"/>
          <w:cols w:equalWidth="0" w:num="1">
            <w:col w:w="11420"/>
          </w:cols>
          <w:pgMar w:left="240" w:top="358" w:right="239" w:bottom="0" w:gutter="0" w:footer="0" w:header="0"/>
        </w:sectPr>
      </w:pP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(CHECK ONE)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INCENTIVE STOCK OPTION</w:t>
      </w:r>
    </w:p>
    <w:p>
      <w:pPr>
        <w:spacing w:after="0" w:line="25" w:lineRule="exact"/>
        <w:rPr>
          <w:sz w:val="20"/>
          <w:szCs w:val="20"/>
          <w:color w:val="auto"/>
        </w:rPr>
      </w:pPr>
    </w:p>
    <w:p>
      <w:pPr>
        <w:sectPr>
          <w:pgSz w:w="11900" w:h="16838" w:orient="portrait"/>
          <w:cols w:equalWidth="0" w:num="3">
            <w:col w:w="1960" w:space="720"/>
            <w:col w:w="100" w:space="420"/>
            <w:col w:w="8220"/>
          </w:cols>
          <w:pgMar w:left="240" w:top="358" w:right="239" w:bottom="0" w:gutter="0" w:footer="0" w:header="0"/>
          <w:type w:val="continuous"/>
        </w:sectPr>
      </w:pPr>
    </w:p>
    <w:p>
      <w:pPr>
        <w:ind w:left="3200" w:hanging="512"/>
        <w:spacing w:after="0"/>
        <w:tabs>
          <w:tab w:leader="none" w:pos="3200" w:val="left"/>
        </w:tabs>
        <w:numPr>
          <w:ilvl w:val="2"/>
          <w:numId w:val="365"/>
        </w:numPr>
        <w:rPr>
          <w:rFonts w:ascii="Arial" w:cs="Arial" w:eastAsia="Arial" w:hAnsi="Arial"/>
          <w:sz w:val="17"/>
          <w:szCs w:val="17"/>
          <w:color w:val="auto"/>
        </w:rPr>
      </w:pPr>
      <w:r>
        <w:rPr>
          <w:rFonts w:ascii="Arial" w:cs="Arial" w:eastAsia="Arial" w:hAnsi="Arial"/>
          <w:sz w:val="17"/>
          <w:szCs w:val="17"/>
          <w:color w:val="auto"/>
        </w:rPr>
        <w:t>NONQUALIFIED STOCK OPTION</w:t>
      </w:r>
    </w:p>
    <w:p>
      <w:pPr>
        <w:spacing w:after="0" w:line="212" w:lineRule="exact"/>
        <w:rPr>
          <w:rFonts w:ascii="Arial" w:cs="Arial" w:eastAsia="Arial" w:hAnsi="Arial"/>
          <w:sz w:val="17"/>
          <w:szCs w:val="17"/>
          <w:color w:val="auto"/>
        </w:rPr>
      </w:pPr>
    </w:p>
    <w:p>
      <w:pPr>
        <w:ind w:right="20" w:firstLine="634"/>
        <w:spacing w:after="0" w:line="263" w:lineRule="auto"/>
        <w:tabs>
          <w:tab w:leader="none" w:pos="1258" w:val="left"/>
        </w:tabs>
        <w:numPr>
          <w:ilvl w:val="0"/>
          <w:numId w:val="365"/>
        </w:numPr>
        <w:rPr>
          <w:rFonts w:ascii="Arial" w:cs="Arial" w:eastAsia="Arial" w:hAnsi="Arial"/>
          <w:sz w:val="17"/>
          <w:szCs w:val="17"/>
          <w:color w:val="auto"/>
        </w:rPr>
      </w:pPr>
      <w:r>
        <w:rPr>
          <w:rFonts w:ascii="Arial" w:cs="Arial" w:eastAsia="Arial" w:hAnsi="Arial"/>
          <w:sz w:val="17"/>
          <w:szCs w:val="17"/>
          <w:color w:val="auto"/>
        </w:rPr>
        <w:t>GRANT OF OPTION. The Company hereby grants to you an option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the total number of shares of Common Stock set forth above at the Purchase Price Per Share set forth above (the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subject to all of the terms and conditions of this Agreement and the Plan. If designated as an Incentive Stock Option above, the Option is intended to qualify as an “incentive stock option” within the meaning of Section 422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However, the Company shall have no liability in the event it is determined that such Option fails to qualify as such. If this Option is designated as an Incentive Stock Option and all or any portion of this Option fails to qualify as such, the portion that fails to qualify as an Incentive Stock Option shall be treated as a Nonqualified Stock Option.</w:t>
      </w:r>
    </w:p>
    <w:p>
      <w:pPr>
        <w:spacing w:after="0" w:line="183" w:lineRule="exact"/>
        <w:rPr>
          <w:rFonts w:ascii="Arial" w:cs="Arial" w:eastAsia="Arial" w:hAnsi="Arial"/>
          <w:sz w:val="17"/>
          <w:szCs w:val="17"/>
          <w:color w:val="auto"/>
        </w:rPr>
      </w:pPr>
    </w:p>
    <w:p>
      <w:pPr>
        <w:ind w:left="1260" w:hanging="626"/>
        <w:spacing w:after="0"/>
        <w:tabs>
          <w:tab w:leader="none" w:pos="126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EXERCISE PERIOD/VESTING SCHEDULE.</w:t>
      </w:r>
    </w:p>
    <w:p>
      <w:pPr>
        <w:spacing w:after="0" w:line="224" w:lineRule="exact"/>
        <w:rPr>
          <w:rFonts w:ascii="Arial" w:cs="Arial" w:eastAsia="Arial" w:hAnsi="Arial"/>
          <w:sz w:val="17"/>
          <w:szCs w:val="17"/>
          <w:color w:val="auto"/>
        </w:rPr>
      </w:pPr>
    </w:p>
    <w:p>
      <w:pPr>
        <w:ind w:right="140" w:firstLine="1263"/>
        <w:spacing w:after="0" w:line="289" w:lineRule="auto"/>
        <w:tabs>
          <w:tab w:leader="none" w:pos="1885" w:val="left"/>
        </w:tabs>
        <w:numPr>
          <w:ilvl w:val="1"/>
          <w:numId w:val="3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Person</w:t>
      </w:r>
      <w:r>
        <w:rPr>
          <w:rFonts w:ascii="Arial" w:cs="Arial" w:eastAsia="Arial" w:hAnsi="Arial"/>
          <w:sz w:val="17"/>
          <w:szCs w:val="17"/>
          <w:color w:val="auto"/>
        </w:rPr>
        <w:t>” means the Company or a Subsidiary. “</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means that the applicable Participant’s service with a Company Person, whether as 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employee, director or consultant, is not interrupted or terminated. Such Participant’s Continuous Service will not be deemed to have terminated merely because of a change in the capacity in which such Participant renders service to a Company Person as an employee, consultant or director or a change in the Company Person for which such Participant renders such service, provided that there is no interruption or termination of such Participant’s Continuous Service. For example, a change in status from an employee of the Company to a consultant of a Subsidiary or a director will not constitute an interruption of Continuous Service. The Committee or the chief executive officer of the Company, in that party’s sole discretion, may determine whether Continuous Service will be considered interrupted in the case of any leave of absence approved by that party, including sick leave, military leave or any other personal leave.</w:t>
      </w:r>
    </w:p>
    <w:p>
      <w:pPr>
        <w:ind w:left="1900" w:hanging="637"/>
        <w:spacing w:after="0" w:line="235" w:lineRule="auto"/>
        <w:tabs>
          <w:tab w:leader="none" w:pos="190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Provided that you continue to provide Continuous Service to any Company Person throughout the specified period, the Option shall</w:t>
      </w:r>
    </w:p>
    <w:p>
      <w:pPr>
        <w:spacing w:after="0" w:line="196"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vest and become exercisable as to portions of the shares as follows: on the First Vesting Date, with the remainder vesting in equal portions of shares each at the end of each of periods (each such period, a “</w:t>
      </w:r>
      <w:r>
        <w:rPr>
          <w:rFonts w:ascii="Arial" w:cs="Arial" w:eastAsia="Arial" w:hAnsi="Arial"/>
          <w:sz w:val="17"/>
          <w:szCs w:val="17"/>
          <w:b w:val="1"/>
          <w:bCs w:val="1"/>
          <w:i w:val="1"/>
          <w:iCs w:val="1"/>
          <w:color w:val="auto"/>
        </w:rPr>
        <w:t>Vesting Period</w:t>
      </w:r>
      <w:r>
        <w:rPr>
          <w:rFonts w:ascii="Arial" w:cs="Arial" w:eastAsia="Arial" w:hAnsi="Arial"/>
          <w:sz w:val="17"/>
          <w:szCs w:val="17"/>
          <w:color w:val="auto"/>
        </w:rPr>
        <w:t>”) of the period following the First Vesting Date (each such date, a “</w:t>
      </w:r>
      <w:r>
        <w:rPr>
          <w:rFonts w:ascii="Arial" w:cs="Arial" w:eastAsia="Arial" w:hAnsi="Arial"/>
          <w:sz w:val="17"/>
          <w:szCs w:val="17"/>
          <w:b w:val="1"/>
          <w:bCs w:val="1"/>
          <w:i w:val="1"/>
          <w:iCs w:val="1"/>
          <w:color w:val="auto"/>
        </w:rPr>
        <w:t>Vesting</w:t>
      </w:r>
    </w:p>
    <w:p>
      <w:pPr>
        <w:spacing w:after="0" w:line="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i w:val="1"/>
          <w:iCs w:val="1"/>
          <w:color w:val="auto"/>
        </w:rPr>
        <w:t>Date</w:t>
      </w:r>
      <w:r>
        <w:rPr>
          <w:rFonts w:ascii="Arial" w:cs="Arial" w:eastAsia="Arial" w:hAnsi="Arial"/>
          <w:sz w:val="16"/>
          <w:szCs w:val="16"/>
          <w:color w:val="auto"/>
        </w:rPr>
        <w:t>”). Each Vesting Date shall be on the same day of the month as that of the First Vesting Date, or on the last day of the month in the case where said month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shorter than the day of the month of the First Vesting Date. Subject to the limitations contained herein, your Option will vest as set forth herein, provided that vesting will cease upon the termination of your Continuous Service, and further provided that this vesting schedule is subject to Sections 4 and 7 hereof.</w:t>
      </w:r>
    </w:p>
    <w:p>
      <w:pPr>
        <w:spacing w:after="0" w:line="160" w:lineRule="exact"/>
        <w:rPr>
          <w:sz w:val="20"/>
          <w:szCs w:val="20"/>
          <w:color w:val="auto"/>
        </w:rPr>
      </w:pPr>
    </w:p>
    <w:p>
      <w:pPr>
        <w:ind w:right="80" w:firstLine="634"/>
        <w:spacing w:after="0" w:line="289" w:lineRule="auto"/>
        <w:tabs>
          <w:tab w:leader="none" w:pos="1258" w:val="left"/>
        </w:tabs>
        <w:numPr>
          <w:ilvl w:val="0"/>
          <w:numId w:val="367"/>
        </w:numPr>
        <w:rPr>
          <w:rFonts w:ascii="Arial" w:cs="Arial" w:eastAsia="Arial" w:hAnsi="Arial"/>
          <w:sz w:val="17"/>
          <w:szCs w:val="17"/>
          <w:color w:val="auto"/>
        </w:rPr>
      </w:pPr>
      <w:r>
        <w:rPr>
          <w:rFonts w:ascii="Arial" w:cs="Arial" w:eastAsia="Arial" w:hAnsi="Arial"/>
          <w:sz w:val="17"/>
          <w:szCs w:val="17"/>
          <w:color w:val="auto"/>
        </w:rPr>
        <w:t>NUMBER OF SHARES AND EXERCISE PRICE. The number of shares of Common Stock subject to your Option and the Purchase Price may be adjusted from time to time in accordance with the Plan.</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[CHANGE IN CONTROL.</w:t>
      </w:r>
    </w:p>
    <w:p>
      <w:pPr>
        <w:spacing w:after="0" w:line="224" w:lineRule="exact"/>
        <w:rPr>
          <w:rFonts w:ascii="Arial" w:cs="Arial" w:eastAsia="Arial" w:hAnsi="Arial"/>
          <w:sz w:val="17"/>
          <w:szCs w:val="17"/>
          <w:color w:val="auto"/>
        </w:rPr>
      </w:pPr>
    </w:p>
    <w:p>
      <w:pPr>
        <w:ind w:left="1900" w:right="20" w:hanging="637"/>
        <w:spacing w:after="0" w:line="265" w:lineRule="auto"/>
        <w:tabs>
          <w:tab w:leader="none" w:pos="1897" w:val="left"/>
        </w:tabs>
        <w:numPr>
          <w:ilvl w:val="1"/>
          <w:numId w:val="367"/>
        </w:numPr>
        <w:rPr>
          <w:rFonts w:ascii="Arial" w:cs="Arial" w:eastAsia="Arial" w:hAnsi="Arial"/>
          <w:sz w:val="17"/>
          <w:szCs w:val="17"/>
          <w:color w:val="auto"/>
        </w:rPr>
      </w:pPr>
      <w:r>
        <w:rPr>
          <w:rFonts w:ascii="Arial" w:cs="Arial" w:eastAsia="Arial" w:hAnsi="Arial"/>
          <w:sz w:val="17"/>
          <w:szCs w:val="17"/>
          <w:color w:val="auto"/>
        </w:rPr>
        <w:t>If Participant is an employee (“</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the Option hereby granted shall become immediately and fully exercisable, irrespective of the limitations set forth in Section 2 above, provided that the Employee has been in Continuous Employment since the Grant Date of said Option and as long as this Option has not already expired or been forfeited, upon the occurrence of both: (a) a Change in Control; and (b) termination of the Employee’s Employment on or after the date of a Change in Control either (i) by the Company for any reason other than for Cause, or (ii) by the Employee for Good Reason.</w:t>
      </w:r>
    </w:p>
    <w:p>
      <w:pPr>
        <w:spacing w:after="0" w:line="179" w:lineRule="exact"/>
        <w:rPr>
          <w:rFonts w:ascii="Arial" w:cs="Arial" w:eastAsia="Arial" w:hAnsi="Arial"/>
          <w:sz w:val="17"/>
          <w:szCs w:val="17"/>
          <w:color w:val="auto"/>
        </w:rPr>
      </w:pPr>
    </w:p>
    <w:p>
      <w:pPr>
        <w:ind w:left="1900" w:right="400" w:hanging="637"/>
        <w:spacing w:after="0" w:line="326" w:lineRule="auto"/>
        <w:tabs>
          <w:tab w:leader="none" w:pos="1907" w:val="left"/>
        </w:tabs>
        <w:numPr>
          <w:ilvl w:val="1"/>
          <w:numId w:val="36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Cause</w:t>
      </w:r>
      <w:r>
        <w:rPr>
          <w:rFonts w:ascii="Arial" w:cs="Arial" w:eastAsia="Arial" w:hAnsi="Arial"/>
          <w:sz w:val="15"/>
          <w:szCs w:val="15"/>
          <w:color w:val="auto"/>
        </w:rPr>
        <w:t>” shall mean cause as defined in any employment agreement between the Employee and the Company or any Subsidiary in effect at the time of the Employee’s termination of Employment or, in the absence of any such employment agreement, any of the following: (i) conviction of the Employee by a court of competent jurisdiction of any felony or a crime involving moral turpitude;</w:t>
      </w:r>
    </w:p>
    <w:p>
      <w:pPr>
        <w:sectPr>
          <w:pgSz w:w="11900" w:h="16838" w:orient="portrait"/>
          <w:cols w:equalWidth="0" w:num="1">
            <w:col w:w="11420"/>
          </w:cols>
          <w:pgMar w:left="240" w:top="358" w:right="239" w:bottom="0" w:gutter="0" w:footer="0" w:header="0"/>
          <w:type w:val="continuous"/>
        </w:sectPr>
      </w:pPr>
    </w:p>
    <w:bookmarkStart w:id="296" w:name="page297"/>
    <w:bookmarkEnd w:id="296"/>
    <w:p>
      <w:pPr>
        <w:ind w:left="1900" w:hanging="7"/>
        <w:spacing w:after="0" w:line="289" w:lineRule="auto"/>
        <w:tabs>
          <w:tab w:leader="none" w:pos="2157" w:val="left"/>
        </w:tabs>
        <w:numPr>
          <w:ilvl w:val="0"/>
          <w:numId w:val="368"/>
        </w:numPr>
        <w:rPr>
          <w:rFonts w:ascii="Arial" w:cs="Arial" w:eastAsia="Arial" w:hAnsi="Arial"/>
          <w:sz w:val="17"/>
          <w:szCs w:val="17"/>
          <w:color w:val="auto"/>
        </w:rPr>
      </w:pPr>
      <w:r>
        <w:rPr>
          <w:rFonts w:ascii="Arial" w:cs="Arial" w:eastAsia="Arial" w:hAnsi="Arial"/>
          <w:sz w:val="17"/>
          <w:szCs w:val="17"/>
          <w:color w:val="auto"/>
        </w:rPr>
        <w:t>the Employee’s knowing failure or refusal to follow reasonable instructions of the Board or the Employee’s supervisor or reasonable policies, standards and regulations of the Company or any Subsidiary; (iii) the Employee’s continued failure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refusal to faithfully and diligently perform the usual, customary duties of his Employment with the Company or any Subsidiary; or</w:t>
      </w:r>
    </w:p>
    <w:p>
      <w:pPr>
        <w:spacing w:after="0" w:line="38"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(iv) the Employee’s conduct is detrimental to the reputation, character, business or standing of the Company or any Subsidiary.</w:t>
      </w:r>
    </w:p>
    <w:p>
      <w:pPr>
        <w:spacing w:after="0" w:line="223" w:lineRule="exact"/>
        <w:rPr>
          <w:sz w:val="20"/>
          <w:szCs w:val="20"/>
          <w:color w:val="auto"/>
        </w:rPr>
      </w:pPr>
    </w:p>
    <w:p>
      <w:pPr>
        <w:ind w:left="1900" w:right="20" w:hanging="637"/>
        <w:spacing w:after="0" w:line="260" w:lineRule="auto"/>
        <w:tabs>
          <w:tab w:leader="none" w:pos="1910" w:val="left"/>
        </w:tabs>
        <w:numPr>
          <w:ilvl w:val="2"/>
          <w:numId w:val="3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shall mean if, without the written consent of the Employee, (i) the Employee is assigned duties (or has his or her duties diminished in a fashion) materially inconsistent with his or her position, duties, responsibilities and status with the Company and its Subsidiaries as of the time of a Change in Control; (ii) the Company or any of its Subsidiaries materially reduces the aggregate compensation or incentive package of the Employee as in effect at the time of a Change in Control; (iii) the Company or any of its Subsidiaries reduces the benefit package for health and welfare benefit plans, pension and 401(k) plans of the Employee, as in effect at the time of the Change in Control, except for changes in the benefit package applicable to all employees of the Company or its Subsidiaries; or (iv) the Company takes any other action which materially and adversely changes the conditions or perquisites of the Employee’s Employment as in effect as of the time of the Change in Control (provided that no material or adverse change shall be deemed to have occurred solely on account of a change in the individual(s) in the office or on the board of directors to whom the Employee reports). The Employee shall give notice of any termination of the Employee’s Employment for Good Reason due to any of the events described above by delivery of written notice thereof to the Company within 120 days after the first occurrence of the event giving rise to such Good Reason.</w:t>
      </w:r>
    </w:p>
    <w:p>
      <w:pPr>
        <w:spacing w:after="0" w:line="185" w:lineRule="exact"/>
        <w:rPr>
          <w:rFonts w:ascii="Arial" w:cs="Arial" w:eastAsia="Arial" w:hAnsi="Arial"/>
          <w:sz w:val="17"/>
          <w:szCs w:val="17"/>
          <w:color w:val="auto"/>
        </w:rPr>
      </w:pPr>
    </w:p>
    <w:p>
      <w:pPr>
        <w:ind w:left="1900" w:right="620" w:hanging="637"/>
        <w:spacing w:after="0" w:line="289" w:lineRule="auto"/>
        <w:tabs>
          <w:tab w:leader="none" w:pos="1907" w:val="left"/>
        </w:tabs>
        <w:numPr>
          <w:ilvl w:val="2"/>
          <w:numId w:val="3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Employment</w:t>
      </w:r>
      <w:r>
        <w:rPr>
          <w:rFonts w:ascii="Arial" w:cs="Arial" w:eastAsia="Arial" w:hAnsi="Arial"/>
          <w:sz w:val="17"/>
          <w:szCs w:val="17"/>
          <w:color w:val="auto"/>
        </w:rPr>
        <w:t>” shall mean employment with a Company Person. “</w:t>
      </w:r>
      <w:r>
        <w:rPr>
          <w:rFonts w:ascii="Arial" w:cs="Arial" w:eastAsia="Arial" w:hAnsi="Arial"/>
          <w:sz w:val="17"/>
          <w:szCs w:val="17"/>
          <w:b w:val="1"/>
          <w:bCs w:val="1"/>
          <w:i w:val="1"/>
          <w:iCs w:val="1"/>
          <w:color w:val="auto"/>
        </w:rPr>
        <w:t>Continuous Employment</w:t>
      </w:r>
      <w:r>
        <w:rPr>
          <w:rFonts w:ascii="Arial" w:cs="Arial" w:eastAsia="Arial" w:hAnsi="Arial"/>
          <w:sz w:val="17"/>
          <w:szCs w:val="17"/>
          <w:color w:val="auto"/>
        </w:rPr>
        <w:t>” means Continuous Service as an employee of a Company Person.]</w:t>
      </w:r>
    </w:p>
    <w:p>
      <w:pPr>
        <w:spacing w:after="0" w:line="158" w:lineRule="exact"/>
        <w:rPr>
          <w:rFonts w:ascii="Arial" w:cs="Arial" w:eastAsia="Arial" w:hAnsi="Arial"/>
          <w:sz w:val="17"/>
          <w:szCs w:val="17"/>
          <w:color w:val="auto"/>
        </w:rPr>
      </w:pPr>
    </w:p>
    <w:p>
      <w:pPr>
        <w:jc w:val="both"/>
        <w:ind w:right="100" w:firstLine="634"/>
        <w:spacing w:after="0" w:line="297" w:lineRule="auto"/>
        <w:tabs>
          <w:tab w:leader="none" w:pos="1258" w:val="left"/>
        </w:tabs>
        <w:numPr>
          <w:ilvl w:val="1"/>
          <w:numId w:val="370"/>
        </w:numPr>
        <w:rPr>
          <w:rFonts w:ascii="Arial" w:cs="Arial" w:eastAsia="Arial" w:hAnsi="Arial"/>
          <w:sz w:val="15"/>
          <w:szCs w:val="15"/>
          <w:color w:val="auto"/>
        </w:rPr>
      </w:pPr>
      <w:r>
        <w:rPr>
          <w:rFonts w:ascii="Arial" w:cs="Arial" w:eastAsia="Arial" w:hAnsi="Arial"/>
          <w:sz w:val="15"/>
          <w:szCs w:val="15"/>
          <w:color w:val="auto"/>
        </w:rPr>
        <w:t>METHOD OF PAYMENT. This Option may be exercised, in whole or in part, by giving written notice of exercise to the Company specifying the number of shares of Common Stock to be purchased. Such notice shall be accompanied by the payment in full of the Option Purchase Price. [Such payment shall be made: (a) in cash; (b) to the extent authorized by the Committee, by surrender of shares of Common Stock previously owned by the holder of the Option;</w:t>
      </w:r>
    </w:p>
    <w:p>
      <w:pPr>
        <w:ind w:right="40" w:firstLine="5"/>
        <w:spacing w:after="0" w:line="317" w:lineRule="auto"/>
        <w:tabs>
          <w:tab w:leader="none" w:pos="238" w:val="left"/>
        </w:tabs>
        <w:numPr>
          <w:ilvl w:val="0"/>
          <w:numId w:val="371"/>
        </w:numPr>
        <w:rPr>
          <w:rFonts w:ascii="Arial" w:cs="Arial" w:eastAsia="Arial" w:hAnsi="Arial"/>
          <w:sz w:val="15"/>
          <w:szCs w:val="15"/>
          <w:color w:val="auto"/>
        </w:rPr>
      </w:pPr>
      <w:r>
        <w:rPr>
          <w:rFonts w:ascii="Arial" w:cs="Arial" w:eastAsia="Arial" w:hAnsi="Arial"/>
          <w:sz w:val="15"/>
          <w:szCs w:val="15"/>
          <w:color w:val="auto"/>
        </w:rPr>
        <w:t>following an Initial Public Offering, through simultaneous sale through a broker of shares acquired on exercise, as permitted under Regulation T of the Federal Reserve Board; (d) through additional methods prescribed by the Committee; or (e) by a combination of any such methods as permitted by the Committee. Your subsequent transfer or disposition of any shares acquired upon exercise of an Option will be subject to any Federal and state laws then applicable.]</w:t>
      </w:r>
    </w:p>
    <w:p>
      <w:pPr>
        <w:spacing w:after="0" w:line="143" w:lineRule="exact"/>
        <w:rPr>
          <w:rFonts w:ascii="Arial" w:cs="Arial" w:eastAsia="Arial" w:hAnsi="Arial"/>
          <w:sz w:val="15"/>
          <w:szCs w:val="15"/>
          <w:color w:val="auto"/>
        </w:rPr>
      </w:pPr>
    </w:p>
    <w:p>
      <w:pPr>
        <w:ind w:left="1260" w:hanging="626"/>
        <w:spacing w:after="0"/>
        <w:tabs>
          <w:tab w:leader="none" w:pos="1260" w:val="left"/>
        </w:tabs>
        <w:numPr>
          <w:ilvl w:val="1"/>
          <w:numId w:val="371"/>
        </w:numPr>
        <w:rPr>
          <w:rFonts w:ascii="Arial" w:cs="Arial" w:eastAsia="Arial" w:hAnsi="Arial"/>
          <w:sz w:val="17"/>
          <w:szCs w:val="17"/>
          <w:color w:val="auto"/>
        </w:rPr>
      </w:pPr>
      <w:r>
        <w:rPr>
          <w:rFonts w:ascii="Arial" w:cs="Arial" w:eastAsia="Arial" w:hAnsi="Arial"/>
          <w:sz w:val="17"/>
          <w:szCs w:val="17"/>
          <w:color w:val="auto"/>
        </w:rPr>
        <w:t>WHOLE SHARES. You may exercise your Option only for whole shares of Common Stock.</w:t>
      </w:r>
    </w:p>
    <w:p>
      <w:pPr>
        <w:spacing w:after="0" w:line="224" w:lineRule="exact"/>
        <w:rPr>
          <w:rFonts w:ascii="Arial" w:cs="Arial" w:eastAsia="Arial" w:hAnsi="Arial"/>
          <w:sz w:val="17"/>
          <w:szCs w:val="17"/>
          <w:color w:val="auto"/>
        </w:rPr>
      </w:pPr>
    </w:p>
    <w:p>
      <w:pPr>
        <w:ind w:right="160" w:firstLine="634"/>
        <w:spacing w:after="0" w:line="289" w:lineRule="auto"/>
        <w:tabs>
          <w:tab w:leader="none" w:pos="1258" w:val="left"/>
        </w:tabs>
        <w:numPr>
          <w:ilvl w:val="1"/>
          <w:numId w:val="371"/>
        </w:numPr>
        <w:rPr>
          <w:rFonts w:ascii="Arial" w:cs="Arial" w:eastAsia="Arial" w:hAnsi="Arial"/>
          <w:sz w:val="17"/>
          <w:szCs w:val="17"/>
          <w:color w:val="auto"/>
        </w:rPr>
      </w:pPr>
      <w:r>
        <w:rPr>
          <w:rFonts w:ascii="Arial" w:cs="Arial" w:eastAsia="Arial" w:hAnsi="Arial"/>
          <w:sz w:val="17"/>
          <w:szCs w:val="17"/>
          <w:color w:val="auto"/>
        </w:rPr>
        <w:t>SECURITIES LAW COMPLIANCE. Notwithstanding anything to the contrary contained herein, you may not exercise your Option unless the shares of Common Stock issuable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upon such exercise are then registered under the Securities Act or, if such shares of Common Stock are not then so registered, the Committee has determined that such exercise and issuance would be exempt from the registration requirements of the Securities Act. The exercise of your Option must also comply with other applicable laws and regulations governing your Option, and you may not exercise your Option if the Committee determines that such exercise would not be in material compliance with such laws and regulations.</w:t>
      </w:r>
    </w:p>
    <w:p>
      <w:pPr>
        <w:spacing w:after="0" w:line="176" w:lineRule="exact"/>
        <w:rPr>
          <w:sz w:val="20"/>
          <w:szCs w:val="20"/>
          <w:color w:val="auto"/>
        </w:rPr>
      </w:pPr>
    </w:p>
    <w:p>
      <w:pPr>
        <w:ind w:left="1260" w:hanging="626"/>
        <w:spacing w:after="0"/>
        <w:tabs>
          <w:tab w:leader="none" w:pos="126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TERM. The term of your Option commences on the Grant Date and expires upon the EARLIEST of the following:</w:t>
      </w:r>
    </w:p>
    <w:p>
      <w:pPr>
        <w:spacing w:after="0" w:line="224" w:lineRule="exact"/>
        <w:rPr>
          <w:rFonts w:ascii="Arial" w:cs="Arial" w:eastAsia="Arial" w:hAnsi="Arial"/>
          <w:sz w:val="17"/>
          <w:szCs w:val="17"/>
          <w:color w:val="auto"/>
        </w:rPr>
      </w:pPr>
    </w:p>
    <w:p>
      <w:pPr>
        <w:ind w:firstLine="1263"/>
        <w:spacing w:after="0" w:line="268" w:lineRule="auto"/>
        <w:tabs>
          <w:tab w:leader="none" w:pos="1885" w:val="left"/>
        </w:tabs>
        <w:numPr>
          <w:ilvl w:val="1"/>
          <w:numId w:val="372"/>
        </w:numPr>
        <w:rPr>
          <w:rFonts w:ascii="Arial" w:cs="Arial" w:eastAsia="Arial" w:hAnsi="Arial"/>
          <w:sz w:val="17"/>
          <w:szCs w:val="17"/>
          <w:color w:val="auto"/>
        </w:rPr>
      </w:pPr>
      <w:r>
        <w:rPr>
          <w:rFonts w:ascii="Arial" w:cs="Arial" w:eastAsia="Arial" w:hAnsi="Arial"/>
          <w:sz w:val="17"/>
          <w:szCs w:val="17"/>
          <w:color w:val="auto"/>
        </w:rPr>
        <w:t>three months after the termination of your Continuous Service for any reason other than your Disability or death, provided that if during any part of such three month period your Option is not exercisable solely because of the condition set forth in the preceding paragraph relating to “Securities Law Compliance,” your Option will not expire until the earlier of the Expiration Date or until it has been exercisable for an aggregate period of three months after the termination of your Continuous Service;</w:t>
      </w:r>
    </w:p>
    <w:p>
      <w:pPr>
        <w:spacing w:after="0" w:line="175" w:lineRule="exact"/>
        <w:rPr>
          <w:rFonts w:ascii="Arial" w:cs="Arial" w:eastAsia="Arial" w:hAnsi="Arial"/>
          <w:sz w:val="17"/>
          <w:szCs w:val="17"/>
          <w:color w:val="auto"/>
        </w:rPr>
      </w:pPr>
    </w:p>
    <w:p>
      <w:pPr>
        <w:ind w:left="1900" w:hanging="637"/>
        <w:spacing w:after="0"/>
        <w:tabs>
          <w:tab w:leader="none" w:pos="1900" w:val="left"/>
        </w:tabs>
        <w:numPr>
          <w:ilvl w:val="1"/>
          <w:numId w:val="372"/>
        </w:numPr>
        <w:rPr>
          <w:rFonts w:ascii="Arial" w:cs="Arial" w:eastAsia="Arial" w:hAnsi="Arial"/>
          <w:sz w:val="17"/>
          <w:szCs w:val="17"/>
          <w:color w:val="auto"/>
        </w:rPr>
      </w:pPr>
      <w:r>
        <w:rPr>
          <w:rFonts w:ascii="Arial" w:cs="Arial" w:eastAsia="Arial" w:hAnsi="Arial"/>
          <w:sz w:val="17"/>
          <w:szCs w:val="17"/>
          <w:color w:val="auto"/>
        </w:rPr>
        <w:t>twelve months after the termination of your Continuous Service due to your Disability;</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372"/>
        </w:numPr>
        <w:rPr>
          <w:rFonts w:ascii="Arial" w:cs="Arial" w:eastAsia="Arial" w:hAnsi="Arial"/>
          <w:sz w:val="16"/>
          <w:szCs w:val="16"/>
          <w:color w:val="auto"/>
        </w:rPr>
      </w:pPr>
      <w:r>
        <w:rPr>
          <w:rFonts w:ascii="Arial" w:cs="Arial" w:eastAsia="Arial" w:hAnsi="Arial"/>
          <w:sz w:val="16"/>
          <w:szCs w:val="16"/>
          <w:color w:val="auto"/>
        </w:rPr>
        <w:t>twelve months after your death if you die either during your Continuous Service or within three months after your Continuous Service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terminates;</w:t>
      </w:r>
    </w:p>
    <w:p>
      <w:pPr>
        <w:spacing w:after="0" w:line="212" w:lineRule="exact"/>
        <w:rPr>
          <w:rFonts w:ascii="Arial" w:cs="Arial" w:eastAsia="Arial" w:hAnsi="Arial"/>
          <w:sz w:val="16"/>
          <w:szCs w:val="16"/>
          <w:color w:val="auto"/>
        </w:rPr>
      </w:pPr>
    </w:p>
    <w:p>
      <w:pPr>
        <w:ind w:left="1900" w:hanging="637"/>
        <w:spacing w:after="0"/>
        <w:tabs>
          <w:tab w:leader="none" w:pos="1900" w:val="left"/>
        </w:tabs>
        <w:numPr>
          <w:ilvl w:val="1"/>
          <w:numId w:val="372"/>
        </w:numPr>
        <w:rPr>
          <w:rFonts w:ascii="Arial" w:cs="Arial" w:eastAsia="Arial" w:hAnsi="Arial"/>
          <w:sz w:val="17"/>
          <w:szCs w:val="17"/>
          <w:color w:val="auto"/>
        </w:rPr>
      </w:pPr>
      <w:r>
        <w:rPr>
          <w:rFonts w:ascii="Arial" w:cs="Arial" w:eastAsia="Arial" w:hAnsi="Arial"/>
          <w:sz w:val="17"/>
          <w:szCs w:val="17"/>
          <w:color w:val="auto"/>
        </w:rPr>
        <w:t>the Expiration Date set forth in the schedule on the first page of this Agreement; or</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372"/>
        </w:numPr>
        <w:rPr>
          <w:rFonts w:ascii="Arial" w:cs="Arial" w:eastAsia="Arial" w:hAnsi="Arial"/>
          <w:sz w:val="17"/>
          <w:szCs w:val="17"/>
          <w:color w:val="auto"/>
        </w:rPr>
      </w:pPr>
      <w:r>
        <w:rPr>
          <w:rFonts w:ascii="Arial" w:cs="Arial" w:eastAsia="Arial" w:hAnsi="Arial"/>
          <w:sz w:val="17"/>
          <w:szCs w:val="17"/>
          <w:color w:val="auto"/>
        </w:rPr>
        <w:t>upon a forfeiture of the Option pursuant to the Plan or this Agreement.</w:t>
      </w:r>
    </w:p>
    <w:p>
      <w:pPr>
        <w:spacing w:after="0" w:line="224" w:lineRule="exact"/>
        <w:rPr>
          <w:sz w:val="20"/>
          <w:szCs w:val="20"/>
          <w:color w:val="auto"/>
        </w:rPr>
      </w:pPr>
    </w:p>
    <w:p>
      <w:pPr>
        <w:ind w:right="80" w:firstLine="629"/>
        <w:spacing w:after="0" w:line="303" w:lineRule="auto"/>
        <w:rPr>
          <w:sz w:val="20"/>
          <w:szCs w:val="20"/>
          <w:color w:val="auto"/>
        </w:rPr>
      </w:pPr>
      <w:r>
        <w:rPr>
          <w:rFonts w:ascii="Arial" w:cs="Arial" w:eastAsia="Arial" w:hAnsi="Arial"/>
          <w:sz w:val="15"/>
          <w:szCs w:val="15"/>
          <w:color w:val="auto"/>
        </w:rPr>
        <w:t>If your Option is an Incentive Stock Option, note that, to obtain the federal income tax advantages associated with an Incentive Stock Option, the Code requires (1) that at all times beginning on the Grant Date and ending on the day three months before the date of your Option’s exercise, you must be an employee of a Company Person, except in the event of your death or Disability; and (2) you may generally not dispose of shares of the Common Stock issued upon exercise of your Option within two years after the Grant Date of this Option or within one year after such shares of Common Stock are transferred upon exercise of your Option. The Company has provided for extended exercisability of your Option under certain circumstances for your benefit but there is no guarantee that your Option will necessarily be treated as an Incentive Stock Option if you exercise your Option more than three months after the date your employment terminates, except in the case of death or Disability, even if you continue to provide services to a Company Person as a consultant or director after your employment.</w:t>
      </w:r>
    </w:p>
    <w:p>
      <w:pPr>
        <w:spacing w:after="0" w:line="154" w:lineRule="exact"/>
        <w:rPr>
          <w:sz w:val="20"/>
          <w:szCs w:val="20"/>
          <w:color w:val="auto"/>
        </w:rPr>
      </w:pPr>
    </w:p>
    <w:p>
      <w:pPr>
        <w:ind w:left="1260" w:hanging="626"/>
        <w:spacing w:after="0"/>
        <w:tabs>
          <w:tab w:leader="none" w:pos="126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EXERCISE.</w:t>
      </w:r>
    </w:p>
    <w:p>
      <w:pPr>
        <w:spacing w:after="0" w:line="224" w:lineRule="exact"/>
        <w:rPr>
          <w:sz w:val="20"/>
          <w:szCs w:val="20"/>
          <w:color w:val="auto"/>
        </w:rPr>
      </w:pPr>
    </w:p>
    <w:p>
      <w:pPr>
        <w:ind w:left="1880" w:hanging="617"/>
        <w:spacing w:after="0"/>
        <w:tabs>
          <w:tab w:leader="none" w:pos="1880" w:val="left"/>
        </w:tabs>
        <w:numPr>
          <w:ilvl w:val="0"/>
          <w:numId w:val="374"/>
        </w:numPr>
        <w:rPr>
          <w:rFonts w:ascii="Arial" w:cs="Arial" w:eastAsia="Arial" w:hAnsi="Arial"/>
          <w:sz w:val="16"/>
          <w:szCs w:val="16"/>
          <w:color w:val="auto"/>
        </w:rPr>
      </w:pPr>
      <w:r>
        <w:rPr>
          <w:rFonts w:ascii="Arial" w:cs="Arial" w:eastAsia="Arial" w:hAnsi="Arial"/>
          <w:sz w:val="16"/>
          <w:szCs w:val="16"/>
          <w:color w:val="auto"/>
        </w:rPr>
        <w:t>As a condition to the exercise of the Option or any portion thereof, you or any other person entitled to exercise the Option shall enter</w:t>
      </w:r>
    </w:p>
    <w:p>
      <w:pPr>
        <w:spacing w:after="0" w:line="3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into a written joinder to the Shareholder’s Agreement dated on or about , as it may be hereafter amended. You may exercise the vested portion of your Option during its term by delivering a notice of exercise (in a form designated by the Company) together with the Purchase Price to the Secretary of the Company, or to such other person as the Company may designate, during</w:t>
      </w:r>
    </w:p>
    <w:p>
      <w:pPr>
        <w:sectPr>
          <w:pgSz w:w="11900" w:h="16838" w:orient="portrait"/>
          <w:cols w:equalWidth="0" w:num="1">
            <w:col w:w="11400"/>
          </w:cols>
          <w:pgMar w:left="240" w:top="128" w:right="259" w:bottom="0" w:gutter="0" w:footer="0" w:header="0"/>
        </w:sectPr>
      </w:pPr>
    </w:p>
    <w:bookmarkStart w:id="297" w:name="page298"/>
    <w:bookmarkEnd w:id="297"/>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color w:val="auto"/>
        </w:rPr>
        <w:t>regular business hours, together with such additional documents as the Company may then reasonably require, including a written joinder to the Shareholder’s Agreement as specified above.</w:t>
      </w:r>
    </w:p>
    <w:p>
      <w:pPr>
        <w:spacing w:after="0" w:line="158" w:lineRule="exact"/>
        <w:rPr>
          <w:sz w:val="20"/>
          <w:szCs w:val="20"/>
          <w:color w:val="auto"/>
        </w:rPr>
      </w:pPr>
    </w:p>
    <w:p>
      <w:pPr>
        <w:ind w:firstLine="1263"/>
        <w:spacing w:after="0" w:line="268" w:lineRule="auto"/>
        <w:tabs>
          <w:tab w:leader="none" w:pos="1895" w:val="left"/>
        </w:tabs>
        <w:numPr>
          <w:ilvl w:val="1"/>
          <w:numId w:val="375"/>
        </w:numPr>
        <w:rPr>
          <w:rFonts w:ascii="Arial" w:cs="Arial" w:eastAsia="Arial" w:hAnsi="Arial"/>
          <w:sz w:val="17"/>
          <w:szCs w:val="17"/>
          <w:color w:val="auto"/>
        </w:rPr>
      </w:pPr>
      <w:r>
        <w:rPr>
          <w:rFonts w:ascii="Arial" w:cs="Arial" w:eastAsia="Arial" w:hAnsi="Arial"/>
          <w:sz w:val="17"/>
          <w:szCs w:val="17"/>
          <w:color w:val="auto"/>
        </w:rPr>
        <w:t>By exercising your Option you agree that, as a condition to any exercise of your Option, the Company may require you to enter into an arrangement providing for the payment by you to the Company of any tax withholding obligation of the Company arising because of (1) the exercise of your Option, (2) the lapse of any substantial risk of forfeiture to which the shares of Common Stock are subject at the time of exercise, or (3) the disposition of shares of Common Stock acquired upon such exercise.</w:t>
      </w:r>
    </w:p>
    <w:p>
      <w:pPr>
        <w:spacing w:after="0" w:line="175" w:lineRule="exact"/>
        <w:rPr>
          <w:rFonts w:ascii="Arial" w:cs="Arial" w:eastAsia="Arial" w:hAnsi="Arial"/>
          <w:sz w:val="17"/>
          <w:szCs w:val="17"/>
          <w:color w:val="auto"/>
        </w:rPr>
      </w:pPr>
    </w:p>
    <w:p>
      <w:pPr>
        <w:ind w:right="20" w:firstLine="1263"/>
        <w:spacing w:after="0" w:line="273" w:lineRule="auto"/>
        <w:tabs>
          <w:tab w:leader="none" w:pos="1898" w:val="left"/>
        </w:tabs>
        <w:numPr>
          <w:ilvl w:val="1"/>
          <w:numId w:val="375"/>
        </w:numPr>
        <w:rPr>
          <w:rFonts w:ascii="Arial" w:cs="Arial" w:eastAsia="Arial" w:hAnsi="Arial"/>
          <w:sz w:val="17"/>
          <w:szCs w:val="17"/>
          <w:color w:val="auto"/>
        </w:rPr>
      </w:pPr>
      <w:r>
        <w:rPr>
          <w:rFonts w:ascii="Arial" w:cs="Arial" w:eastAsia="Arial" w:hAnsi="Arial"/>
          <w:sz w:val="17"/>
          <w:szCs w:val="17"/>
          <w:color w:val="auto"/>
        </w:rPr>
        <w:t>If your Option is an Incentive Stock Option, by exercising your Option you agree that you will notify the Company in writing within 15 days after the date of any disposition of any of the shares of the Common Stock issued upon exercise of your Option that occurs within two years after the Grant Date of this Option or within one year after such shares of Common Stock are transferred upon exercise of your Option.</w:t>
      </w:r>
    </w:p>
    <w:p>
      <w:pPr>
        <w:spacing w:after="0" w:line="171" w:lineRule="exact"/>
        <w:rPr>
          <w:rFonts w:ascii="Arial" w:cs="Arial" w:eastAsia="Arial" w:hAnsi="Arial"/>
          <w:sz w:val="17"/>
          <w:szCs w:val="17"/>
          <w:color w:val="auto"/>
        </w:rPr>
      </w:pPr>
    </w:p>
    <w:p>
      <w:pPr>
        <w:jc w:val="both"/>
        <w:ind w:right="140" w:firstLine="634"/>
        <w:spacing w:after="0" w:line="273" w:lineRule="auto"/>
        <w:tabs>
          <w:tab w:leader="none" w:pos="1254" w:val="left"/>
        </w:tabs>
        <w:numPr>
          <w:ilvl w:val="0"/>
          <w:numId w:val="376"/>
        </w:numPr>
        <w:rPr>
          <w:rFonts w:ascii="Arial" w:cs="Arial" w:eastAsia="Arial" w:hAnsi="Arial"/>
          <w:sz w:val="17"/>
          <w:szCs w:val="17"/>
          <w:color w:val="auto"/>
        </w:rPr>
      </w:pPr>
      <w:r>
        <w:rPr>
          <w:rFonts w:ascii="Arial" w:cs="Arial" w:eastAsia="Arial" w:hAnsi="Arial"/>
          <w:sz w:val="17"/>
          <w:szCs w:val="17"/>
          <w:color w:val="auto"/>
        </w:rPr>
        <w:t>TRANSFERABILITY. Your Option is not transferable, except by will or by the laws of descent and distribution. If your Option is an Incentive Stock Option, it is exercisable during your life only by you. If it is a Nonqualified Stock Option, it is exercisable during your life only by you or your guardian or legal representative.</w:t>
      </w:r>
    </w:p>
    <w:p>
      <w:pPr>
        <w:spacing w:after="0" w:line="171" w:lineRule="exact"/>
        <w:rPr>
          <w:rFonts w:ascii="Arial" w:cs="Arial" w:eastAsia="Arial" w:hAnsi="Arial"/>
          <w:sz w:val="17"/>
          <w:szCs w:val="17"/>
          <w:color w:val="auto"/>
        </w:rPr>
      </w:pPr>
    </w:p>
    <w:p>
      <w:pPr>
        <w:ind w:right="40" w:firstLine="634"/>
        <w:spacing w:after="0" w:line="268" w:lineRule="auto"/>
        <w:tabs>
          <w:tab w:leader="none" w:pos="1248" w:val="left"/>
        </w:tabs>
        <w:numPr>
          <w:ilvl w:val="0"/>
          <w:numId w:val="376"/>
        </w:numPr>
        <w:rPr>
          <w:rFonts w:ascii="Arial" w:cs="Arial" w:eastAsia="Arial" w:hAnsi="Arial"/>
          <w:sz w:val="17"/>
          <w:szCs w:val="17"/>
          <w:color w:val="auto"/>
        </w:rPr>
      </w:pPr>
      <w:r>
        <w:rPr>
          <w:rFonts w:ascii="Arial" w:cs="Arial" w:eastAsia="Arial" w:hAnsi="Arial"/>
          <w:sz w:val="17"/>
          <w:szCs w:val="17"/>
          <w:color w:val="auto"/>
        </w:rPr>
        <w:t>OPTION NOT A SERVICE CONTRACT. Your Option is not an employment or service contract, and nothing in your Option shall be deemed to create in any way whatsoever any obligation on your part to continue in the employ or Continuous Service of a Company Person, or of any Company Person to continue your employment. In addition, nothing in your Option shall obligate any Company Person, its shareholders, boards of directors, officers or employees to continue any relationship that you might have as a director or consultant for any Company Person.</w:t>
      </w:r>
    </w:p>
    <w:p>
      <w:pPr>
        <w:spacing w:after="0" w:line="175" w:lineRule="exact"/>
        <w:rPr>
          <w:rFonts w:ascii="Arial" w:cs="Arial" w:eastAsia="Arial" w:hAnsi="Arial"/>
          <w:sz w:val="17"/>
          <w:szCs w:val="17"/>
          <w:color w:val="auto"/>
        </w:rPr>
      </w:pPr>
    </w:p>
    <w:p>
      <w:pPr>
        <w:ind w:left="1260" w:hanging="626"/>
        <w:spacing w:after="0"/>
        <w:tabs>
          <w:tab w:leader="none" w:pos="1260" w:val="left"/>
        </w:tabs>
        <w:numPr>
          <w:ilvl w:val="0"/>
          <w:numId w:val="376"/>
        </w:numPr>
        <w:rPr>
          <w:rFonts w:ascii="Arial" w:cs="Arial" w:eastAsia="Arial" w:hAnsi="Arial"/>
          <w:sz w:val="17"/>
          <w:szCs w:val="17"/>
          <w:color w:val="auto"/>
        </w:rPr>
      </w:pPr>
      <w:r>
        <w:rPr>
          <w:rFonts w:ascii="Arial" w:cs="Arial" w:eastAsia="Arial" w:hAnsi="Arial"/>
          <w:sz w:val="17"/>
          <w:szCs w:val="17"/>
          <w:color w:val="auto"/>
        </w:rPr>
        <w:t>WITHHOLDING OBLIGATIONS.</w:t>
      </w:r>
    </w:p>
    <w:p>
      <w:pPr>
        <w:spacing w:after="0" w:line="224" w:lineRule="exact"/>
        <w:rPr>
          <w:rFonts w:ascii="Arial" w:cs="Arial" w:eastAsia="Arial" w:hAnsi="Arial"/>
          <w:sz w:val="17"/>
          <w:szCs w:val="17"/>
          <w:color w:val="auto"/>
        </w:rPr>
      </w:pPr>
    </w:p>
    <w:p>
      <w:pPr>
        <w:ind w:right="60" w:firstLine="1263"/>
        <w:spacing w:after="0" w:line="265" w:lineRule="auto"/>
        <w:tabs>
          <w:tab w:leader="none" w:pos="1885" w:val="left"/>
        </w:tabs>
        <w:numPr>
          <w:ilvl w:val="1"/>
          <w:numId w:val="376"/>
        </w:numPr>
        <w:rPr>
          <w:rFonts w:ascii="Arial" w:cs="Arial" w:eastAsia="Arial" w:hAnsi="Arial"/>
          <w:sz w:val="17"/>
          <w:szCs w:val="17"/>
          <w:color w:val="auto"/>
        </w:rPr>
      </w:pPr>
      <w:r>
        <w:rPr>
          <w:rFonts w:ascii="Arial" w:cs="Arial" w:eastAsia="Arial" w:hAnsi="Arial"/>
          <w:sz w:val="17"/>
          <w:szCs w:val="17"/>
          <w:color w:val="auto"/>
        </w:rPr>
        <w:t>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of the Company or a Subsidiary, if any (but not in excess of the minimum withholding requirements), which arise in connection with your Option.</w:t>
      </w:r>
    </w:p>
    <w:p>
      <w:pPr>
        <w:spacing w:after="0" w:line="179" w:lineRule="exact"/>
        <w:rPr>
          <w:rFonts w:ascii="Arial" w:cs="Arial" w:eastAsia="Arial" w:hAnsi="Arial"/>
          <w:sz w:val="17"/>
          <w:szCs w:val="17"/>
          <w:color w:val="auto"/>
        </w:rPr>
      </w:pPr>
    </w:p>
    <w:p>
      <w:pPr>
        <w:ind w:right="20" w:firstLine="1263"/>
        <w:spacing w:after="0" w:line="285" w:lineRule="auto"/>
        <w:tabs>
          <w:tab w:leader="none" w:pos="1895" w:val="left"/>
        </w:tabs>
        <w:numPr>
          <w:ilvl w:val="1"/>
          <w:numId w:val="376"/>
        </w:numPr>
        <w:rPr>
          <w:rFonts w:ascii="Arial" w:cs="Arial" w:eastAsia="Arial" w:hAnsi="Arial"/>
          <w:sz w:val="16"/>
          <w:szCs w:val="16"/>
          <w:color w:val="auto"/>
        </w:rPr>
      </w:pPr>
      <w:r>
        <w:rPr>
          <w:rFonts w:ascii="Arial" w:cs="Arial" w:eastAsia="Arial" w:hAnsi="Arial"/>
          <w:sz w:val="16"/>
          <w:szCs w:val="16"/>
          <w:color w:val="auto"/>
        </w:rPr>
        <w:t>Upon your request and subject to approval by the Company, in its sole discretion, and compliance with any applicable conditions or restrictions of law, the Company may withhold from fully vested shares of Common Stock otherwise issuable to you upon the exercise of your Option a number of whole shares of Common Stock having a Fair Market Value, determined by the Committee as of the date of exercise, not in excess of the minimum amount of tax required to be withheld by law. If the date of determination of any tax withholding obligation is deferred to a date later than the date of exercise of your Option, share withholding pursuant to the preceding sentence shall not be permitted unless you make a proper and timely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179" w:lineRule="exact"/>
        <w:rPr>
          <w:sz w:val="20"/>
          <w:szCs w:val="20"/>
          <w:color w:val="auto"/>
        </w:rPr>
      </w:pPr>
    </w:p>
    <w:p>
      <w:pPr>
        <w:ind w:right="220" w:firstLine="1263"/>
        <w:spacing w:after="0" w:line="273" w:lineRule="auto"/>
        <w:tabs>
          <w:tab w:leader="none" w:pos="1898" w:val="left"/>
        </w:tabs>
        <w:numPr>
          <w:ilvl w:val="1"/>
          <w:numId w:val="377"/>
        </w:numPr>
        <w:rPr>
          <w:rFonts w:ascii="Arial" w:cs="Arial" w:eastAsia="Arial" w:hAnsi="Arial"/>
          <w:sz w:val="17"/>
          <w:szCs w:val="17"/>
          <w:color w:val="auto"/>
        </w:rPr>
      </w:pPr>
      <w:r>
        <w:rPr>
          <w:rFonts w:ascii="Arial" w:cs="Arial" w:eastAsia="Arial" w:hAnsi="Arial"/>
          <w:sz w:val="17"/>
          <w:szCs w:val="17"/>
          <w:color w:val="auto"/>
        </w:rPr>
        <w:t>You may not exercise your Option unless the tax withholding obligations of the Company and/or any Affiliate are satisfied. Accordingly, you may not be able to exercise your Option when desired even though your Option is vested, and the Company shall have no obligation to issue a certificate for such shares of Common Stock or release such shares of Common Stock.</w:t>
      </w:r>
    </w:p>
    <w:p>
      <w:pPr>
        <w:spacing w:after="0" w:line="171" w:lineRule="exact"/>
        <w:rPr>
          <w:rFonts w:ascii="Arial" w:cs="Arial" w:eastAsia="Arial" w:hAnsi="Arial"/>
          <w:sz w:val="17"/>
          <w:szCs w:val="17"/>
          <w:color w:val="auto"/>
        </w:rPr>
      </w:pPr>
    </w:p>
    <w:p>
      <w:pPr>
        <w:ind w:left="1260" w:hanging="626"/>
        <w:spacing w:after="0"/>
        <w:tabs>
          <w:tab w:leader="none" w:pos="126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FORFEITURE AND REPURCHASE OF OPTION SHARES</w:t>
      </w:r>
    </w:p>
    <w:p>
      <w:pPr>
        <w:spacing w:after="0" w:line="224" w:lineRule="exact"/>
        <w:rPr>
          <w:rFonts w:ascii="Arial" w:cs="Arial" w:eastAsia="Arial" w:hAnsi="Arial"/>
          <w:sz w:val="17"/>
          <w:szCs w:val="17"/>
          <w:color w:val="auto"/>
        </w:rPr>
      </w:pPr>
    </w:p>
    <w:p>
      <w:pPr>
        <w:ind w:right="20" w:firstLine="1263"/>
        <w:spacing w:after="0" w:line="262" w:lineRule="auto"/>
        <w:tabs>
          <w:tab w:leader="none" w:pos="1885" w:val="left"/>
        </w:tabs>
        <w:numPr>
          <w:ilvl w:val="1"/>
          <w:numId w:val="3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Forfeiture Event</w:t>
      </w:r>
      <w:r>
        <w:rPr>
          <w:rFonts w:ascii="Arial" w:cs="Arial" w:eastAsia="Arial" w:hAnsi="Arial"/>
          <w:sz w:val="17"/>
          <w:szCs w:val="17"/>
          <w:color w:val="auto"/>
        </w:rPr>
        <w:t>” means a serious breach of conduct by a Participant (including, without limitation, any conduct prejudicial to or in conflict with any Company Person) or any activity of a Participant who is an Employee in competition with any of the businesses of any Company Person during a time period of nine (9) months after termination of Participant’s Service, or a termination of employment for Cause. Said activity in competition includes activity during a time period of nine (9) months after termination of Participant’s Service in which the Employee (i) works, performs work for hire, consults, is self employed or otherwise employed, either directly or indirectly, in a business competing with or acting against any Company Person’s interest; or (ii) causes or solicits others to work, performs work for hire, consults, or be self employed or otherwise employed, either directly or indirectly, in a business competing with or acting against any Company Person’s interest. The determination of whether a Forfeiture Event has occurred will be determined by the Committee in good faith and in its sole discretion.</w:t>
      </w:r>
    </w:p>
    <w:p>
      <w:pPr>
        <w:spacing w:after="0" w:line="180" w:lineRule="exact"/>
        <w:rPr>
          <w:rFonts w:ascii="Arial" w:cs="Arial" w:eastAsia="Arial" w:hAnsi="Arial"/>
          <w:sz w:val="17"/>
          <w:szCs w:val="17"/>
          <w:color w:val="auto"/>
        </w:rPr>
      </w:pPr>
    </w:p>
    <w:p>
      <w:pPr>
        <w:ind w:right="60" w:firstLine="1263"/>
        <w:spacing w:after="0" w:line="273" w:lineRule="auto"/>
        <w:tabs>
          <w:tab w:leader="none" w:pos="1895" w:val="left"/>
        </w:tabs>
        <w:numPr>
          <w:ilvl w:val="1"/>
          <w:numId w:val="378"/>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xml:space="preserve">. If a Forfeiture Event occurs, the Committee may cancel any outstanding Award granted to such Participant, in whole or in part, whether or not vested. Such cancellation will be effective as of the date specified by the Committee. This </w:t>
      </w:r>
      <w:r>
        <w:rPr>
          <w:rFonts w:ascii="Arial" w:cs="Arial" w:eastAsia="Arial" w:hAnsi="Arial"/>
          <w:sz w:val="17"/>
          <w:szCs w:val="17"/>
          <w:u w:val="single" w:color="auto"/>
          <w:color w:val="auto"/>
        </w:rPr>
        <w:t>Section 13(b)</w:t>
      </w:r>
      <w:r>
        <w:rPr>
          <w:rFonts w:ascii="Arial" w:cs="Arial" w:eastAsia="Arial" w:hAnsi="Arial"/>
          <w:sz w:val="17"/>
          <w:szCs w:val="17"/>
          <w:color w:val="auto"/>
        </w:rPr>
        <w:t xml:space="preserve"> will have no application following a Change of Control.</w:t>
      </w:r>
    </w:p>
    <w:p>
      <w:pPr>
        <w:spacing w:after="0" w:line="171" w:lineRule="exact"/>
        <w:rPr>
          <w:rFonts w:ascii="Arial" w:cs="Arial" w:eastAsia="Arial" w:hAnsi="Arial"/>
          <w:sz w:val="17"/>
          <w:szCs w:val="17"/>
          <w:color w:val="auto"/>
        </w:rPr>
      </w:pPr>
    </w:p>
    <w:p>
      <w:pPr>
        <w:ind w:right="40" w:firstLine="1263"/>
        <w:spacing w:after="0" w:line="262" w:lineRule="auto"/>
        <w:tabs>
          <w:tab w:leader="none" w:pos="1898" w:val="left"/>
        </w:tabs>
        <w:numPr>
          <w:ilvl w:val="1"/>
          <w:numId w:val="378"/>
        </w:numPr>
        <w:rPr>
          <w:rFonts w:ascii="Arial" w:cs="Arial" w:eastAsia="Arial" w:hAnsi="Arial"/>
          <w:sz w:val="17"/>
          <w:szCs w:val="17"/>
          <w:color w:val="auto"/>
        </w:rPr>
      </w:pPr>
      <w:r>
        <w:rPr>
          <w:rFonts w:ascii="Arial" w:cs="Arial" w:eastAsia="Arial" w:hAnsi="Arial"/>
          <w:sz w:val="17"/>
          <w:szCs w:val="17"/>
          <w:u w:val="single" w:color="auto"/>
          <w:color w:val="auto"/>
        </w:rPr>
        <w:t>Repurchase of Option Shares</w:t>
      </w:r>
      <w:r>
        <w:rPr>
          <w:rFonts w:ascii="Arial" w:cs="Arial" w:eastAsia="Arial" w:hAnsi="Arial"/>
          <w:sz w:val="17"/>
          <w:szCs w:val="17"/>
          <w:color w:val="auto"/>
        </w:rPr>
        <w:t>. If a Forfeiture Event occurs, the Company shall have the absolute right to purchase all or any portion of the Option Shares owned by such Employee (the “</w:t>
      </w:r>
      <w:r>
        <w:rPr>
          <w:rFonts w:ascii="Arial" w:cs="Arial" w:eastAsia="Arial" w:hAnsi="Arial"/>
          <w:sz w:val="17"/>
          <w:szCs w:val="17"/>
          <w:b w:val="1"/>
          <w:bCs w:val="1"/>
          <w:i w:val="1"/>
          <w:iCs w:val="1"/>
          <w:color w:val="auto"/>
        </w:rPr>
        <w:t>Repurchase Shares</w:t>
      </w:r>
      <w:r>
        <w:rPr>
          <w:rFonts w:ascii="Arial" w:cs="Arial" w:eastAsia="Arial" w:hAnsi="Arial"/>
          <w:sz w:val="17"/>
          <w:szCs w:val="17"/>
          <w:color w:val="auto"/>
        </w:rPr>
        <w:t>”), by electing to purchase all or any portion of the Repurchase Shares any time during a time period of nine (9) months after the Forfeiture Event or termination of Participant’s Service, whichever is later, by giving written notice of such exercise to the Employee. The purchase price per share of the Repurchase Shares shall be the Fair Market Value of such shares. If the Company elects to purchase any or all of such Repurchase Shares, it shall be obligated to purchase, and the Employee shall be obligated to sell to the Company, such Repurchase Shares and said sale and purchase shall be closed within 30 days thereafter at the offices of the Company. Such sale shall be effected by the Employee’s (or heirs’ or legal representatives’) delivery to the Company and/or other purchasing shareholders of a certificate or certificates evidencing the Repurchased Shares, duly endorsed for transfer to the Company</w:t>
      </w:r>
    </w:p>
    <w:p>
      <w:pPr>
        <w:sectPr>
          <w:pgSz w:w="11900" w:h="16838" w:orient="portrait"/>
          <w:cols w:equalWidth="0" w:num="1">
            <w:col w:w="11420"/>
          </w:cols>
          <w:pgMar w:left="240" w:top="128" w:right="239" w:bottom="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28" w:right="239" w:bottom="0" w:gutter="0" w:footer="0" w:header="0"/>
          <w:type w:val="continuous"/>
        </w:sectPr>
      </w:pPr>
    </w:p>
    <w:bookmarkStart w:id="298" w:name="page299"/>
    <w:bookmarkEnd w:id="298"/>
    <w:p>
      <w:pPr>
        <w:ind w:right="36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71385" cy="27305"/>
                    </a:xfrm>
                    <a:prstGeom prst="rect">
                      <a:avLst/>
                    </a:prstGeom>
                    <a:noFill/>
                  </pic:spPr>
                </pic:pic>
              </a:graphicData>
            </a:graphic>
          </wp:anchor>
        </w:drawing>
        <w:t>and/or other purchasing shareholders, against payment to the Employee (or his or her heirs or legal representatives) by the Company and/or other purchasing shareholders of the Purchase Price for each Repurchased Share.</w:t>
      </w:r>
    </w:p>
    <w:p>
      <w:pPr>
        <w:spacing w:after="0" w:line="158" w:lineRule="exact"/>
        <w:rPr>
          <w:sz w:val="20"/>
          <w:szCs w:val="20"/>
          <w:color w:val="auto"/>
        </w:rPr>
      </w:pPr>
    </w:p>
    <w:p>
      <w:pPr>
        <w:jc w:val="both"/>
        <w:ind w:right="40" w:firstLine="634"/>
        <w:spacing w:after="0" w:line="273" w:lineRule="auto"/>
        <w:tabs>
          <w:tab w:leader="none" w:pos="1254" w:val="left"/>
        </w:tabs>
        <w:numPr>
          <w:ilvl w:val="0"/>
          <w:numId w:val="379"/>
        </w:numPr>
        <w:rPr>
          <w:rFonts w:ascii="Arial" w:cs="Arial" w:eastAsia="Arial" w:hAnsi="Arial"/>
          <w:sz w:val="17"/>
          <w:szCs w:val="17"/>
          <w:color w:val="auto"/>
        </w:rPr>
      </w:pPr>
      <w:r>
        <w:rPr>
          <w:rFonts w:ascii="Arial" w:cs="Arial" w:eastAsia="Arial" w:hAnsi="Arial"/>
          <w:sz w:val="17"/>
          <w:szCs w:val="17"/>
          <w:color w:val="auto"/>
        </w:rPr>
        <w:t>NOTICES. Any notices provided for in this Agreement or the Plan shall be given in writing and shall be deemed effectively given upon receipt or, in the case of notices delivered by mail by the Company to you, five days after deposit in the United States mail, postage prepaid, addressed to you at the last address you provided to the Company.</w:t>
      </w:r>
    </w:p>
    <w:p>
      <w:pPr>
        <w:spacing w:after="0" w:line="171" w:lineRule="exact"/>
        <w:rPr>
          <w:rFonts w:ascii="Arial" w:cs="Arial" w:eastAsia="Arial" w:hAnsi="Arial"/>
          <w:sz w:val="17"/>
          <w:szCs w:val="17"/>
          <w:color w:val="auto"/>
        </w:rPr>
      </w:pPr>
    </w:p>
    <w:p>
      <w:pPr>
        <w:jc w:val="both"/>
        <w:ind w:firstLine="634"/>
        <w:spacing w:after="0" w:line="298" w:lineRule="auto"/>
        <w:tabs>
          <w:tab w:leader="none" w:pos="1254" w:val="left"/>
        </w:tabs>
        <w:numPr>
          <w:ilvl w:val="0"/>
          <w:numId w:val="379"/>
        </w:numPr>
        <w:rPr>
          <w:rFonts w:ascii="Arial" w:cs="Arial" w:eastAsia="Arial" w:hAnsi="Arial"/>
          <w:sz w:val="16"/>
          <w:szCs w:val="16"/>
          <w:color w:val="auto"/>
        </w:rPr>
      </w:pPr>
      <w:r>
        <w:rPr>
          <w:rFonts w:ascii="Arial" w:cs="Arial" w:eastAsia="Arial" w:hAnsi="Arial"/>
          <w:sz w:val="16"/>
          <w:szCs w:val="16"/>
          <w:color w:val="auto"/>
        </w:rPr>
        <w:t>GOVERNING PLAN DOCUMENT. Your Option is subject to all the provisions of the Plan, the provisions of which are hereby made a part of your Option, and is further subject to all interpretations, amendments, rules and regulations which may from time to time be promulgated and adopted pursuant to the Plan. If there is any conflict between the provisions of this Agreement and those of the Plan, the provisions of the Plan shall control.</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parties hereto have executed this Agreement as of the Grant Date.</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APPLIED OPTOELECTRONICS, INC.</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4081780</wp:posOffset>
            </wp:positionH>
            <wp:positionV relativeFrom="paragraph">
              <wp:posOffset>-123190</wp:posOffset>
            </wp:positionV>
            <wp:extent cx="317182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4081780</wp:posOffset>
            </wp:positionH>
            <wp:positionV relativeFrom="paragraph">
              <wp:posOffset>9525</wp:posOffset>
            </wp:positionV>
            <wp:extent cx="317182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171825" cy="8255"/>
                    </a:xfrm>
                    <a:prstGeom prst="rect">
                      <a:avLst/>
                    </a:prstGeom>
                    <a:noFill/>
                  </pic:spPr>
                </pic:pic>
              </a:graphicData>
            </a:graphic>
          </wp:anchor>
        </w:drawing>
        <w:drawing>
          <wp:anchor simplePos="0" relativeHeight="251657728" behindDoc="1" locked="0" layoutInCell="0" allowOverlap="1">
            <wp:simplePos x="0" y="0"/>
            <wp:positionH relativeFrom="column">
              <wp:posOffset>4081780</wp:posOffset>
            </wp:positionH>
            <wp:positionV relativeFrom="paragraph">
              <wp:posOffset>-123190</wp:posOffset>
            </wp:positionV>
            <wp:extent cx="317182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ACCEPTED AND AGREED TO:</w:t>
      </w:r>
    </w:p>
    <w:p>
      <w:pPr>
        <w:spacing w:after="0" w:line="224"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4081780</wp:posOffset>
            </wp:positionH>
            <wp:positionV relativeFrom="paragraph">
              <wp:posOffset>17145</wp:posOffset>
            </wp:positionV>
            <wp:extent cx="317182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By executing this Agreement, you acknowledge receipt of a copy of the Plan.</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20"/>
          </w:cols>
          <w:pgMar w:left="240" w:top="717" w:right="339" w:bottom="1440" w:gutter="0" w:footer="0" w:header="0"/>
        </w:sectPr>
      </w:pPr>
    </w:p>
    <w:bookmarkStart w:id="299" w:name="page300"/>
    <w:bookmarkEnd w:id="299"/>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0" w:type="dxa"/>
            <w:vAlign w:val="bottom"/>
          </w:tcPr>
          <w:p>
            <w:pPr>
              <w:ind w:left="1560"/>
              <w:spacing w:after="0"/>
              <w:rPr>
                <w:sz w:val="20"/>
                <w:szCs w:val="20"/>
                <w:color w:val="auto"/>
              </w:rPr>
            </w:pPr>
            <w:r>
              <w:rPr>
                <w:rFonts w:ascii="Arial" w:cs="Arial" w:eastAsia="Arial" w:hAnsi="Arial"/>
                <w:sz w:val="17"/>
                <w:szCs w:val="17"/>
                <w:b w:val="1"/>
                <w:bCs w:val="1"/>
                <w:color w:val="auto"/>
                <w:w w:val="93"/>
              </w:rPr>
              <w:t>Exhibit 10.3.2</w:t>
            </w:r>
          </w:p>
        </w:tc>
      </w:tr>
      <w:tr>
        <w:trPr>
          <w:trHeight w:val="419"/>
        </w:trPr>
        <w:tc>
          <w:tcPr>
            <w:tcW w:w="3560" w:type="dxa"/>
            <w:vAlign w:val="bottom"/>
          </w:tcPr>
          <w:p>
            <w:pPr>
              <w:spacing w:after="0"/>
              <w:rPr>
                <w:sz w:val="24"/>
                <w:szCs w:val="24"/>
                <w:color w:val="auto"/>
              </w:rPr>
            </w:pPr>
          </w:p>
        </w:tc>
        <w:tc>
          <w:tcPr>
            <w:tcW w:w="4100" w:type="dxa"/>
            <w:vAlign w:val="bottom"/>
            <w:gridSpan w:val="3"/>
          </w:tcPr>
          <w:p>
            <w:pPr>
              <w:jc w:val="center"/>
              <w:ind w:left="113"/>
              <w:spacing w:after="0"/>
              <w:rPr>
                <w:sz w:val="20"/>
                <w:szCs w:val="20"/>
                <w:color w:val="auto"/>
              </w:rPr>
            </w:pPr>
            <w:r>
              <w:rPr>
                <w:rFonts w:ascii="Arial" w:cs="Arial" w:eastAsia="Arial" w:hAnsi="Arial"/>
                <w:sz w:val="17"/>
                <w:szCs w:val="17"/>
                <w:b w:val="1"/>
                <w:bCs w:val="1"/>
                <w:color w:val="auto"/>
              </w:rPr>
              <w:t>APPLIED OPTOELECTRONICS, INC.</w:t>
            </w:r>
          </w:p>
        </w:tc>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381"/>
        </w:trPr>
        <w:tc>
          <w:tcPr>
            <w:tcW w:w="3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40" w:type="dxa"/>
            <w:vAlign w:val="bottom"/>
            <w:gridSpan w:val="2"/>
          </w:tcPr>
          <w:p>
            <w:pPr>
              <w:jc w:val="center"/>
              <w:ind w:right="660"/>
              <w:spacing w:after="0"/>
              <w:rPr>
                <w:sz w:val="20"/>
                <w:szCs w:val="20"/>
                <w:color w:val="auto"/>
              </w:rPr>
            </w:pPr>
            <w:r>
              <w:rPr>
                <w:rFonts w:ascii="Arial" w:cs="Arial" w:eastAsia="Arial" w:hAnsi="Arial"/>
                <w:sz w:val="17"/>
                <w:szCs w:val="17"/>
                <w:b w:val="1"/>
                <w:bCs w:val="1"/>
                <w:color w:val="auto"/>
                <w:w w:val="92"/>
              </w:rPr>
              <w:t>Incentive Stock Option Agreement</w:t>
            </w:r>
          </w:p>
        </w:tc>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0"/>
        </w:trPr>
        <w:tc>
          <w:tcPr>
            <w:tcW w:w="4420" w:type="dxa"/>
            <w:vAlign w:val="bottom"/>
            <w:gridSpan w:val="2"/>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26"/>
        </w:trPr>
        <w:tc>
          <w:tcPr>
            <w:tcW w:w="7660" w:type="dxa"/>
            <w:vAlign w:val="bottom"/>
            <w:gridSpan w:val="4"/>
          </w:tcPr>
          <w:p>
            <w:pPr>
              <w:ind w:left="640"/>
              <w:spacing w:after="0"/>
              <w:rPr>
                <w:sz w:val="20"/>
                <w:szCs w:val="20"/>
                <w:color w:val="auto"/>
              </w:rPr>
            </w:pPr>
            <w:r>
              <w:rPr>
                <w:rFonts w:ascii="Arial" w:cs="Arial" w:eastAsia="Arial" w:hAnsi="Arial"/>
                <w:sz w:val="17"/>
                <w:szCs w:val="17"/>
                <w:color w:val="auto"/>
              </w:rPr>
              <w:t>Applied Optoelectronics, Inc., a Texas corporation (the “Company”), hereby grants as of the</w:t>
            </w:r>
          </w:p>
        </w:tc>
        <w:tc>
          <w:tcPr>
            <w:tcW w:w="1160" w:type="dxa"/>
            <w:vAlign w:val="bottom"/>
          </w:tcPr>
          <w:p>
            <w:pPr>
              <w:ind w:left="420"/>
              <w:spacing w:after="0"/>
              <w:rPr>
                <w:sz w:val="20"/>
                <w:szCs w:val="20"/>
                <w:color w:val="auto"/>
              </w:rPr>
            </w:pPr>
            <w:r>
              <w:rPr>
                <w:rFonts w:ascii="Arial" w:cs="Arial" w:eastAsia="Arial" w:hAnsi="Arial"/>
                <w:sz w:val="17"/>
                <w:szCs w:val="17"/>
                <w:color w:val="auto"/>
              </w:rPr>
              <w:t>, to</w:t>
            </w:r>
          </w:p>
        </w:tc>
        <w:tc>
          <w:tcPr>
            <w:tcW w:w="2600" w:type="dxa"/>
            <w:vAlign w:val="bottom"/>
          </w:tcPr>
          <w:p>
            <w:pPr>
              <w:ind w:left="500"/>
              <w:spacing w:after="0"/>
              <w:rPr>
                <w:sz w:val="20"/>
                <w:szCs w:val="20"/>
                <w:color w:val="auto"/>
              </w:rPr>
            </w:pPr>
            <w:r>
              <w:rPr>
                <w:rFonts w:ascii="Arial" w:cs="Arial" w:eastAsia="Arial" w:hAnsi="Arial"/>
                <w:sz w:val="17"/>
                <w:szCs w:val="17"/>
                <w:color w:val="auto"/>
              </w:rPr>
              <w:t>(the “Employee”), an option</w:t>
            </w:r>
          </w:p>
        </w:tc>
      </w:tr>
      <w:tr>
        <w:trPr>
          <w:trHeight w:val="222"/>
        </w:trPr>
        <w:tc>
          <w:tcPr>
            <w:tcW w:w="3560" w:type="dxa"/>
            <w:vAlign w:val="bottom"/>
          </w:tcPr>
          <w:p>
            <w:pPr>
              <w:spacing w:after="0"/>
              <w:rPr>
                <w:sz w:val="20"/>
                <w:szCs w:val="20"/>
                <w:color w:val="auto"/>
              </w:rPr>
            </w:pPr>
            <w:r>
              <w:rPr>
                <w:rFonts w:ascii="Arial" w:cs="Arial" w:eastAsia="Arial" w:hAnsi="Arial"/>
                <w:sz w:val="17"/>
                <w:szCs w:val="17"/>
                <w:color w:val="auto"/>
              </w:rPr>
              <w:t>(the “Stock Option”) to purchase a maximum of</w:t>
            </w:r>
          </w:p>
        </w:tc>
        <w:tc>
          <w:tcPr>
            <w:tcW w:w="7860" w:type="dxa"/>
            <w:vAlign w:val="bottom"/>
            <w:gridSpan w:val="5"/>
          </w:tcPr>
          <w:p>
            <w:pPr>
              <w:ind w:left="200"/>
              <w:spacing w:after="0"/>
              <w:rPr>
                <w:sz w:val="20"/>
                <w:szCs w:val="20"/>
                <w:color w:val="auto"/>
              </w:rPr>
            </w:pPr>
            <w:r>
              <w:rPr>
                <w:rFonts w:ascii="Arial" w:cs="Arial" w:eastAsia="Arial" w:hAnsi="Arial"/>
                <w:sz w:val="17"/>
                <w:szCs w:val="17"/>
                <w:color w:val="auto"/>
              </w:rPr>
              <w:t>shares (the “Option Shares”) of its Common Stock, with no par value (“Common Stock”), at the price</w:t>
            </w:r>
          </w:p>
        </w:tc>
      </w:tr>
    </w:tbl>
    <w:p>
      <w:pPr>
        <w:spacing w:after="0"/>
        <w:tabs>
          <w:tab w:leader="none" w:pos="340" w:val="left"/>
        </w:tabs>
        <w:rPr>
          <w:sz w:val="20"/>
          <w:szCs w:val="20"/>
          <w:color w:val="auto"/>
        </w:rPr>
      </w:pPr>
      <w:r>
        <w:rPr>
          <w:rFonts w:ascii="Arial" w:cs="Arial" w:eastAsia="Arial" w:hAnsi="Arial"/>
          <w:sz w:val="17"/>
          <w:szCs w:val="17"/>
          <w:color w:val="auto"/>
        </w:rPr>
        <w:t>of</w:t>
        <w:tab/>
        <w:t>per share (the “Option Price”), on the terms and conditions contained in this Incentive Stock Option Agreement (the “Agreement”):</w:t>
      </w:r>
    </w:p>
    <w:p>
      <w:pPr>
        <w:spacing w:after="0" w:line="206" w:lineRule="exact"/>
        <w:rPr>
          <w:sz w:val="20"/>
          <w:szCs w:val="20"/>
          <w:color w:val="auto"/>
        </w:rPr>
      </w:pPr>
    </w:p>
    <w:p>
      <w:pPr>
        <w:ind w:right="20" w:firstLine="634"/>
        <w:spacing w:after="0" w:line="277" w:lineRule="auto"/>
        <w:tabs>
          <w:tab w:leader="none" w:pos="1258" w:val="left"/>
        </w:tabs>
        <w:numPr>
          <w:ilvl w:val="0"/>
          <w:numId w:val="38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2000 Incentive Share Plan</w:t>
      </w:r>
      <w:r>
        <w:rPr>
          <w:rFonts w:ascii="Arial" w:cs="Arial" w:eastAsia="Arial" w:hAnsi="Arial"/>
          <w:sz w:val="17"/>
          <w:szCs w:val="17"/>
          <w:b w:val="1"/>
          <w:bCs w:val="1"/>
          <w:color w:val="auto"/>
        </w:rPr>
        <w:t xml:space="preserve">. </w:t>
      </w:r>
      <w:r>
        <w:rPr>
          <w:rFonts w:ascii="Arial" w:cs="Arial" w:eastAsia="Arial" w:hAnsi="Arial"/>
          <w:sz w:val="17"/>
          <w:szCs w:val="17"/>
          <w:color w:val="auto"/>
        </w:rPr>
        <w:t>This Stock Option is granted pursuant to and is governed by the Company’s 2000 Incentive Share Plan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and, unless otherwise defined herein, capitalized terms used herein shall have the same meaning ascribed to such terms in the Plan. Determinations made in connection with this Stock Option pursuant to the Plan shall be governed by the Plan as it exists on this date.</w:t>
      </w:r>
    </w:p>
    <w:p>
      <w:pPr>
        <w:spacing w:after="0" w:line="162" w:lineRule="exact"/>
        <w:rPr>
          <w:rFonts w:ascii="Arial" w:cs="Arial" w:eastAsia="Arial" w:hAnsi="Arial"/>
          <w:sz w:val="17"/>
          <w:szCs w:val="17"/>
          <w:b w:val="1"/>
          <w:bCs w:val="1"/>
          <w:color w:val="auto"/>
        </w:rPr>
      </w:pPr>
    </w:p>
    <w:p>
      <w:pPr>
        <w:ind w:right="140" w:firstLine="634"/>
        <w:spacing w:after="0" w:line="277" w:lineRule="auto"/>
        <w:tabs>
          <w:tab w:leader="none" w:pos="1258" w:val="left"/>
        </w:tabs>
        <w:numPr>
          <w:ilvl w:val="0"/>
          <w:numId w:val="38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as Incentive Stock Option: Other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This Stock Option is intended to qualify as an incentive stock option under Section 422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Internal Revenue Code of 1986, as amended (the “Code”). </w:t>
      </w:r>
      <w:r>
        <w:rPr>
          <w:rFonts w:ascii="Arial" w:cs="Arial" w:eastAsia="Arial" w:hAnsi="Arial"/>
          <w:sz w:val="17"/>
          <w:szCs w:val="17"/>
          <w:u w:val="single" w:color="auto"/>
          <w:color w:val="auto"/>
        </w:rPr>
        <w:t>This Stock Option is in addition to any other options heretofore or hereafter granted to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Employee by the Company, but a duplicate original of this instrument shall not constitute the grant of another option.</w:t>
      </w:r>
    </w:p>
    <w:p>
      <w:pPr>
        <w:spacing w:after="0" w:line="162" w:lineRule="exact"/>
        <w:rPr>
          <w:rFonts w:ascii="Arial" w:cs="Arial" w:eastAsia="Arial" w:hAnsi="Arial"/>
          <w:sz w:val="17"/>
          <w:szCs w:val="17"/>
          <w:b w:val="1"/>
          <w:bCs w:val="1"/>
          <w:color w:val="auto"/>
        </w:rPr>
      </w:pPr>
    </w:p>
    <w:p>
      <w:pPr>
        <w:ind w:left="1260" w:hanging="626"/>
        <w:spacing w:after="0"/>
        <w:tabs>
          <w:tab w:leader="none" w:pos="1260" w:val="left"/>
        </w:tabs>
        <w:numPr>
          <w:ilvl w:val="0"/>
          <w:numId w:val="38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Vesting of Option if Employment Continues</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purpose of determining the vesting of the Stock Option granted hereunder, the vesting</w:t>
      </w:r>
    </w:p>
    <w:p>
      <w:pPr>
        <w:spacing w:after="0" w:line="4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date will start on , (the “Vesting Date”) and this Stock Option will vest over years. Subject to the earlier expiration of this Stock Option as herein provided and further subject to the continued employment of Employee by the Company, this Stock Option may be exercised, by written notice to the Company, at any time and from time to time after the date of execution hereof, but this Stock Option shall not be exercisable for more than the aggregate number of shares of Common Stock offered by this Stock Option as set forth opposite the following applicable Exercise Dates:</w:t>
      </w:r>
    </w:p>
    <w:p>
      <w:pPr>
        <w:spacing w:after="0" w:line="153"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Date</w:t>
            </w:r>
          </w:p>
        </w:tc>
        <w:tc>
          <w:tcPr>
            <w:tcW w:w="32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67"/>
        </w:trPr>
        <w:tc>
          <w:tcPr>
            <w:tcW w:w="2360" w:type="dxa"/>
            <w:vAlign w:val="bottom"/>
            <w:gridSpan w:val="2"/>
            <w:vMerge w:val="continue"/>
          </w:tcPr>
          <w:p>
            <w:pPr>
              <w:spacing w:after="0"/>
              <w:rPr>
                <w:sz w:val="14"/>
                <w:szCs w:val="14"/>
                <w:color w:val="auto"/>
              </w:rPr>
            </w:pPr>
          </w:p>
        </w:tc>
        <w:tc>
          <w:tcPr>
            <w:tcW w:w="3260" w:type="dxa"/>
            <w:vAlign w:val="bottom"/>
          </w:tcPr>
          <w:p>
            <w:pPr>
              <w:jc w:val="center"/>
              <w:spacing w:after="0"/>
              <w:rPr>
                <w:sz w:val="20"/>
                <w:szCs w:val="20"/>
                <w:color w:val="auto"/>
              </w:rPr>
            </w:pPr>
            <w:r>
              <w:rPr>
                <w:rFonts w:ascii="Arial" w:cs="Arial" w:eastAsia="Arial" w:hAnsi="Arial"/>
                <w:sz w:val="14"/>
                <w:szCs w:val="14"/>
                <w:b w:val="1"/>
                <w:bCs w:val="1"/>
                <w:color w:val="auto"/>
                <w:w w:val="88"/>
              </w:rPr>
              <w:t>Shares Purchasable</w:t>
            </w:r>
          </w:p>
        </w:tc>
        <w:tc>
          <w:tcPr>
            <w:tcW w:w="0" w:type="dxa"/>
            <w:vAlign w:val="bottom"/>
          </w:tcPr>
          <w:p>
            <w:pPr>
              <w:spacing w:after="0"/>
              <w:rPr>
                <w:sz w:val="1"/>
                <w:szCs w:val="1"/>
                <w:color w:val="auto"/>
              </w:rPr>
            </w:pPr>
          </w:p>
        </w:tc>
      </w:tr>
      <w:tr>
        <w:trPr>
          <w:trHeight w:val="137"/>
        </w:trPr>
        <w:tc>
          <w:tcPr>
            <w:tcW w:w="21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32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Notwithstanding the foregoing, (i) upon the occurrence of any Change in Control (as defined in the Plan), all Stock Options granted hereunder shall become immediately exercisable, and (ii) in accordance with and subject to the provisions of the Plan, the Board may, in its discretion, amend the vesting schedule and accelerate the date that any installment of this Stock Option becomes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Subject to the earlier termination of this Stock Option as provided herein, this Stock Option shall be for a period of circumstances, be exercisable after (the “Option Expiration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years and shall not, under any</w:t>
      </w:r>
    </w:p>
    <w:p>
      <w:pPr>
        <w:spacing w:after="0" w:line="450" w:lineRule="exact"/>
        <w:rPr>
          <w:sz w:val="20"/>
          <w:szCs w:val="20"/>
          <w:color w:val="auto"/>
        </w:rPr>
      </w:pPr>
    </w:p>
    <w:p>
      <w:pPr>
        <w:sectPr>
          <w:pgSz w:w="11900" w:h="16838" w:orient="portrait"/>
          <w:cols w:equalWidth="0" w:num="2">
            <w:col w:w="8660" w:space="400"/>
            <w:col w:w="2360"/>
          </w:cols>
          <w:pgMar w:left="240" w:top="357" w:right="239" w:bottom="0" w:gutter="0" w:footer="0" w:header="0"/>
          <w:type w:val="continuous"/>
        </w:sectPr>
      </w:pPr>
    </w:p>
    <w:p>
      <w:pPr>
        <w:ind w:right="200" w:firstLine="634"/>
        <w:spacing w:after="0" w:line="270" w:lineRule="auto"/>
        <w:tabs>
          <w:tab w:leader="none" w:pos="1258" w:val="left"/>
        </w:tabs>
        <w:numPr>
          <w:ilvl w:val="0"/>
          <w:numId w:val="3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 of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If the Employee ceases to be employed by the Company for any reason other than by reason of death or</w:t>
      </w:r>
      <w:r>
        <w:rPr>
          <w:rFonts w:ascii="Arial" w:cs="Arial" w:eastAsia="Arial" w:hAnsi="Arial"/>
          <w:sz w:val="17"/>
          <w:szCs w:val="17"/>
          <w:b w:val="1"/>
          <w:bCs w:val="1"/>
          <w:color w:val="auto"/>
        </w:rPr>
        <w:t xml:space="preserve"> </w:t>
      </w:r>
      <w:r>
        <w:rPr>
          <w:rFonts w:ascii="Arial" w:cs="Arial" w:eastAsia="Arial" w:hAnsi="Arial"/>
          <w:sz w:val="17"/>
          <w:szCs w:val="17"/>
          <w:color w:val="auto"/>
        </w:rPr>
        <w:t>Disability or Retirement, no further vesting shall occur, and this Stock Option shall terminate (and may no longer be exercised) on the earlier of ninety (90) days after the date of such termination or the Option Expiration Date; provided, however, that if the Employee’s employment is terminated as a result of a Change in Control, any remaining Stock Options hereunder shall become exercisable.</w:t>
      </w:r>
    </w:p>
    <w:p>
      <w:pPr>
        <w:spacing w:after="0" w:line="169" w:lineRule="exact"/>
        <w:rPr>
          <w:rFonts w:ascii="Arial" w:cs="Arial" w:eastAsia="Arial" w:hAnsi="Arial"/>
          <w:sz w:val="17"/>
          <w:szCs w:val="17"/>
          <w:b w:val="1"/>
          <w:bCs w:val="1"/>
          <w:color w:val="auto"/>
        </w:rPr>
      </w:pPr>
    </w:p>
    <w:p>
      <w:pPr>
        <w:ind w:left="1260" w:hanging="626"/>
        <w:spacing w:after="0"/>
        <w:tabs>
          <w:tab w:leader="none" w:pos="1260" w:val="left"/>
        </w:tabs>
        <w:numPr>
          <w:ilvl w:val="0"/>
          <w:numId w:val="3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Death, Disability</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b w:val="1"/>
          <w:bCs w:val="1"/>
          <w:color w:val="auto"/>
        </w:rPr>
      </w:pPr>
    </w:p>
    <w:p>
      <w:pPr>
        <w:ind w:right="20" w:firstLine="1263"/>
        <w:spacing w:after="0" w:line="264" w:lineRule="auto"/>
        <w:tabs>
          <w:tab w:leader="none" w:pos="1895" w:val="left"/>
        </w:tabs>
        <w:numPr>
          <w:ilvl w:val="1"/>
          <w:numId w:val="3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Death:</w:t>
      </w:r>
      <w:r>
        <w:rPr>
          <w:rFonts w:ascii="Arial" w:cs="Arial" w:eastAsia="Arial" w:hAnsi="Arial"/>
          <w:sz w:val="17"/>
          <w:szCs w:val="17"/>
          <w:b w:val="1"/>
          <w:bCs w:val="1"/>
          <w:color w:val="auto"/>
        </w:rPr>
        <w:t xml:space="preserve"> </w:t>
      </w:r>
      <w:r>
        <w:rPr>
          <w:rFonts w:ascii="Arial" w:cs="Arial" w:eastAsia="Arial" w:hAnsi="Arial"/>
          <w:sz w:val="17"/>
          <w:szCs w:val="17"/>
          <w:color w:val="auto"/>
        </w:rPr>
        <w:t>If the Employee dies while in the employ of the Company or during any period under Section 4 or Section 5(b) during which</w:t>
      </w:r>
      <w:r>
        <w:rPr>
          <w:rFonts w:ascii="Arial" w:cs="Arial" w:eastAsia="Arial" w:hAnsi="Arial"/>
          <w:sz w:val="17"/>
          <w:szCs w:val="17"/>
          <w:b w:val="1"/>
          <w:bCs w:val="1"/>
          <w:color w:val="auto"/>
        </w:rPr>
        <w:t xml:space="preserve"> </w:t>
      </w:r>
      <w:r>
        <w:rPr>
          <w:rFonts w:ascii="Arial" w:cs="Arial" w:eastAsia="Arial" w:hAnsi="Arial"/>
          <w:sz w:val="17"/>
          <w:szCs w:val="17"/>
          <w:color w:val="auto"/>
        </w:rPr>
        <w:t>the Employee has the right to exercise this Stock Option, this Stock Option may be exercised, to the extent otherwise exercisable on the date of his or her death, by the Employee’s estate, personal representative or beneficiary to whom this Stock Option has been assigned pursuant to Section 10, at any time on or before the earlier of (i) the date which is twelve (12) months after the date of the Employee’s death or (ii) the Option Expiration Date. Except as otherwise provided with respect to a Change in Control, the Employee’s estate, personal representative, or beneficiary to whom this Stock Option has been assigned shall not be entitled to purchase any shares in excess of the number of shares which the Employee was vested and entitled to purchase under Section 3 at the time of the Employee’s death.</w:t>
      </w:r>
    </w:p>
    <w:p>
      <w:pPr>
        <w:spacing w:after="0" w:line="172" w:lineRule="exact"/>
        <w:rPr>
          <w:rFonts w:ascii="Arial" w:cs="Arial" w:eastAsia="Arial" w:hAnsi="Arial"/>
          <w:sz w:val="17"/>
          <w:szCs w:val="17"/>
          <w:b w:val="1"/>
          <w:bCs w:val="1"/>
          <w:color w:val="auto"/>
        </w:rPr>
      </w:pPr>
    </w:p>
    <w:p>
      <w:pPr>
        <w:ind w:right="20" w:firstLine="1263"/>
        <w:spacing w:after="0" w:line="287" w:lineRule="auto"/>
        <w:tabs>
          <w:tab w:leader="none" w:pos="1905" w:val="left"/>
        </w:tabs>
        <w:numPr>
          <w:ilvl w:val="1"/>
          <w:numId w:val="3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Disability or Retirement</w:t>
      </w:r>
      <w:r>
        <w:rPr>
          <w:rFonts w:ascii="Arial" w:cs="Arial" w:eastAsia="Arial" w:hAnsi="Arial"/>
          <w:sz w:val="16"/>
          <w:szCs w:val="16"/>
          <w:b w:val="1"/>
          <w:bCs w:val="1"/>
          <w:color w:val="auto"/>
        </w:rPr>
        <w:t xml:space="preserve">: </w:t>
      </w:r>
      <w:r>
        <w:rPr>
          <w:rFonts w:ascii="Arial" w:cs="Arial" w:eastAsia="Arial" w:hAnsi="Arial"/>
          <w:sz w:val="16"/>
          <w:szCs w:val="16"/>
          <w:color w:val="auto"/>
        </w:rPr>
        <w:t>If the Employee ceases to be employed by the Company by reason of his or her Disability or Retirement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in the Plan), this Stock Option may be exercised, to the extent otherwise exercisable on the date of the termination of his or her employment, at any time on or before the earlier of (i) the date which is twelve (12) months after the date of such termination or (ii) the Option Expiration Date. Except as otherwise provided with respect to a Change in Control, the Employee shall not be entitled to purchase any shares in excess of the number of shares which the Employee is vested and entitled to purchase under Section 3 as of the date the Employee’s employment so terminates.</w:t>
      </w:r>
    </w:p>
    <w:p>
      <w:pPr>
        <w:spacing w:after="0" w:line="158" w:lineRule="exact"/>
        <w:rPr>
          <w:rFonts w:ascii="Arial" w:cs="Arial" w:eastAsia="Arial" w:hAnsi="Arial"/>
          <w:sz w:val="16"/>
          <w:szCs w:val="16"/>
          <w:b w:val="1"/>
          <w:bCs w:val="1"/>
          <w:color w:val="auto"/>
        </w:rPr>
      </w:pPr>
    </w:p>
    <w:p>
      <w:pPr>
        <w:ind w:right="180" w:firstLine="634"/>
        <w:spacing w:after="0" w:line="267" w:lineRule="auto"/>
        <w:tabs>
          <w:tab w:leader="none" w:pos="1258" w:val="left"/>
        </w:tabs>
        <w:numPr>
          <w:ilvl w:val="0"/>
          <w:numId w:val="3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Partial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This Stock Option may be exercised in part at any time and from time to time within the above limits, except that this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 may not be exercised for a fraction of a share unless such exercise is with respect to the final installment of stock subject to this Stock Option and cash in lieu of a fractional share must be paid to permit the Employee to exercise completely such final installment. Any fractional share with respect to which an installment of this Stock Option cannot be exercised because of the limitation contained in the preceding sentence shall remain subject to this Stock Option and shall be available for later purchase by the Employee in accordance with the terms hereof.</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65" w:lineRule="exact"/>
        <w:rPr>
          <w:rFonts w:ascii="Arial" w:cs="Arial" w:eastAsia="Arial" w:hAnsi="Arial"/>
          <w:sz w:val="17"/>
          <w:szCs w:val="17"/>
          <w:b w:val="1"/>
          <w:bCs w:val="1"/>
          <w:color w:val="auto"/>
        </w:rPr>
      </w:pPr>
    </w:p>
    <w:p>
      <w:pPr>
        <w:ind w:right="60" w:firstLine="634"/>
        <w:spacing w:after="0" w:line="297" w:lineRule="auto"/>
        <w:tabs>
          <w:tab w:leader="none" w:pos="1258" w:val="left"/>
        </w:tabs>
        <w:numPr>
          <w:ilvl w:val="0"/>
          <w:numId w:val="3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Payment of Price</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 price may only be paid in cash or by check. The option price of the Option Shares as to which this Stock Option</w:t>
      </w:r>
      <w:r>
        <w:rPr>
          <w:rFonts w:ascii="Arial" w:cs="Arial" w:eastAsia="Arial" w:hAnsi="Arial"/>
          <w:sz w:val="17"/>
          <w:szCs w:val="17"/>
          <w:b w:val="1"/>
          <w:bCs w:val="1"/>
          <w:color w:val="auto"/>
        </w:rPr>
        <w:t xml:space="preserve"> </w:t>
      </w:r>
      <w:r>
        <w:rPr>
          <w:rFonts w:ascii="Arial" w:cs="Arial" w:eastAsia="Arial" w:hAnsi="Arial"/>
          <w:sz w:val="17"/>
          <w:szCs w:val="17"/>
          <w:color w:val="auto"/>
        </w:rPr>
        <w:t>is exercised shall be paid in full at the time of exercise.</w:t>
      </w:r>
    </w:p>
    <w:p>
      <w:pPr>
        <w:spacing w:after="0" w:line="145" w:lineRule="exact"/>
        <w:rPr>
          <w:rFonts w:ascii="Arial" w:cs="Arial" w:eastAsia="Arial" w:hAnsi="Arial"/>
          <w:sz w:val="17"/>
          <w:szCs w:val="17"/>
          <w:b w:val="1"/>
          <w:bCs w:val="1"/>
          <w:color w:val="auto"/>
        </w:rPr>
      </w:pPr>
    </w:p>
    <w:p>
      <w:pPr>
        <w:ind w:firstLine="634"/>
        <w:spacing w:after="0" w:line="311" w:lineRule="auto"/>
        <w:tabs>
          <w:tab w:leader="none" w:pos="1258" w:val="left"/>
        </w:tabs>
        <w:numPr>
          <w:ilvl w:val="0"/>
          <w:numId w:val="38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Restrictions on Resale</w:t>
      </w:r>
      <w:r>
        <w:rPr>
          <w:rFonts w:ascii="Arial" w:cs="Arial" w:eastAsia="Arial" w:hAnsi="Arial"/>
          <w:sz w:val="15"/>
          <w:szCs w:val="15"/>
          <w:b w:val="1"/>
          <w:bCs w:val="1"/>
          <w:color w:val="auto"/>
        </w:rPr>
        <w:t xml:space="preserve">. </w:t>
      </w:r>
      <w:r>
        <w:rPr>
          <w:rFonts w:ascii="Arial" w:cs="Arial" w:eastAsia="Arial" w:hAnsi="Arial"/>
          <w:sz w:val="15"/>
          <w:szCs w:val="15"/>
          <w:color w:val="auto"/>
        </w:rPr>
        <w:t>Option Shares may not be transferred without the Company’s written consent except by will, by the laws of descent and</w:t>
      </w:r>
      <w:r>
        <w:rPr>
          <w:rFonts w:ascii="Arial" w:cs="Arial" w:eastAsia="Arial" w:hAnsi="Arial"/>
          <w:sz w:val="15"/>
          <w:szCs w:val="15"/>
          <w:b w:val="1"/>
          <w:bCs w:val="1"/>
          <w:color w:val="auto"/>
        </w:rPr>
        <w:t xml:space="preserve"> </w:t>
      </w:r>
      <w:r>
        <w:rPr>
          <w:rFonts w:ascii="Arial" w:cs="Arial" w:eastAsia="Arial" w:hAnsi="Arial"/>
          <w:sz w:val="15"/>
          <w:szCs w:val="15"/>
          <w:color w:val="auto"/>
        </w:rPr>
        <w:t>distribution and in accordance with the provisions of Section 17, if applicable. Option Shares will be subject to significant restrictions on transfer and will be deemed to be “restricted securities” for purposes of the Securities Act. Accordingly, the Option Shares must be sold in compliance with the registration requirements of the Applicable Legal Requirements or an exemption therefrom. Consistent with the terms of the Plan, the Company may, as a condition precedent to the exercise of this Stock Option, require an opinion of counsel, satisfactory to the Company, to the effect that the issuance of the Option Shares will not be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-1473835</wp:posOffset>
            </wp:positionV>
            <wp:extent cx="7271385" cy="2921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0" w:gutter="0" w:footer="0" w:header="0"/>
          <w:type w:val="continuous"/>
        </w:sectPr>
      </w:pPr>
    </w:p>
    <w:bookmarkStart w:id="300" w:name="page301"/>
    <w:bookmarkEnd w:id="300"/>
    <w:p>
      <w:pPr>
        <w:ind w:right="100"/>
        <w:spacing w:after="0" w:line="322" w:lineRule="auto"/>
        <w:rPr>
          <w:sz w:val="20"/>
          <w:szCs w:val="20"/>
          <w:color w:val="auto"/>
        </w:rPr>
      </w:pPr>
      <w:r>
        <w:rPr>
          <w:rFonts w:ascii="Arial" w:cs="Arial" w:eastAsia="Arial" w:hAnsi="Arial"/>
          <w:sz w:val="16"/>
          <w:szCs w:val="16"/>
          <w:color w:val="auto"/>
        </w:rPr>
        <w:t>violation of the Applicable Legal Requirements. Further, the Company may place legends on any certificates evidencing the Option Shares and issue stop transfer orders with respect thereto as the Company may deem necessary or advisable to assure compliance with the Applicable Legal Requirements.</w:t>
      </w:r>
    </w:p>
    <w:p>
      <w:pPr>
        <w:spacing w:after="0" w:line="130" w:lineRule="exact"/>
        <w:rPr>
          <w:sz w:val="20"/>
          <w:szCs w:val="20"/>
          <w:color w:val="auto"/>
        </w:rPr>
      </w:pPr>
    </w:p>
    <w:p>
      <w:pPr>
        <w:ind w:right="60" w:firstLine="634"/>
        <w:spacing w:after="0" w:line="281" w:lineRule="auto"/>
        <w:tabs>
          <w:tab w:leader="none" w:pos="1258" w:val="left"/>
        </w:tabs>
        <w:numPr>
          <w:ilvl w:val="0"/>
          <w:numId w:val="3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Method of Exercising Option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Agreement, this Stock Option may be exercised by written notice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at its principal executive office. Such notice shall state the election to exercise this Stock Option and the number of Option Shares for which it is being exercised and shall be signed by the person or persons so exercising this Stock Option. Such notice shall be accompanied by payment of the full purchase price of such shares, in cash or check, and the Company shall deliver a certificate or certificates representing such shares as soon as practicable after the notice shall be received. Such certificate or certificates shall be registered in the name of the person or persons so exercising this Stock Option (or if this Stock Option shall be exercised by the Employee and if the Employee shall so request in the notice exercising this Stock Option, shall be registered in the name of the Employee and another person jointly, with right of survivorship). In the event this option shall be exercised, pursuant to Section 5 hereof, by any person or persons other than the Employee, such notice shall be accompanied by appropriate proof of the right of such person or persons to exercise this Stock Option.</w:t>
      </w:r>
    </w:p>
    <w:p>
      <w:pPr>
        <w:spacing w:after="0" w:line="164" w:lineRule="exact"/>
        <w:rPr>
          <w:rFonts w:ascii="Arial" w:cs="Arial" w:eastAsia="Arial" w:hAnsi="Arial"/>
          <w:sz w:val="16"/>
          <w:szCs w:val="16"/>
          <w:b w:val="1"/>
          <w:bCs w:val="1"/>
          <w:color w:val="auto"/>
        </w:rPr>
      </w:pPr>
    </w:p>
    <w:p>
      <w:pPr>
        <w:ind w:right="260" w:firstLine="634"/>
        <w:spacing w:after="0" w:line="297" w:lineRule="auto"/>
        <w:tabs>
          <w:tab w:leader="none" w:pos="1254" w:val="left"/>
        </w:tabs>
        <w:numPr>
          <w:ilvl w:val="0"/>
          <w:numId w:val="3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Option Not Transferable</w:t>
      </w:r>
      <w:r>
        <w:rPr>
          <w:rFonts w:ascii="Arial" w:cs="Arial" w:eastAsia="Arial" w:hAnsi="Arial"/>
          <w:sz w:val="17"/>
          <w:szCs w:val="17"/>
          <w:b w:val="1"/>
          <w:bCs w:val="1"/>
          <w:color w:val="auto"/>
        </w:rPr>
        <w:t xml:space="preserve">. </w:t>
      </w:r>
      <w:r>
        <w:rPr>
          <w:rFonts w:ascii="Arial" w:cs="Arial" w:eastAsia="Arial" w:hAnsi="Arial"/>
          <w:sz w:val="17"/>
          <w:szCs w:val="17"/>
          <w:color w:val="auto"/>
        </w:rPr>
        <w:t>This Stock Option is not transferable or assignable except by will or by the laws of descent and distribution.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Employee’s lifetime only the Employee can exercise this Stock Option.</w:t>
      </w:r>
    </w:p>
    <w:p>
      <w:pPr>
        <w:spacing w:after="0" w:line="145" w:lineRule="exact"/>
        <w:rPr>
          <w:rFonts w:ascii="Arial" w:cs="Arial" w:eastAsia="Arial" w:hAnsi="Arial"/>
          <w:sz w:val="17"/>
          <w:szCs w:val="17"/>
          <w:b w:val="1"/>
          <w:bCs w:val="1"/>
          <w:color w:val="auto"/>
        </w:rPr>
      </w:pPr>
    </w:p>
    <w:p>
      <w:pPr>
        <w:ind w:left="1240" w:hanging="606"/>
        <w:spacing w:after="0"/>
        <w:tabs>
          <w:tab w:leader="none" w:pos="1240" w:val="left"/>
        </w:tabs>
        <w:numPr>
          <w:ilvl w:val="0"/>
          <w:numId w:val="38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 Obligation To Exercise Stock Option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grant and acceptance of this Stock Option imposes no obligation on the Employee to exercise it.</w:t>
      </w:r>
    </w:p>
    <w:p>
      <w:pPr>
        <w:spacing w:after="0" w:line="247" w:lineRule="exact"/>
        <w:rPr>
          <w:rFonts w:ascii="Arial" w:cs="Arial" w:eastAsia="Arial" w:hAnsi="Arial"/>
          <w:sz w:val="15"/>
          <w:szCs w:val="15"/>
          <w:b w:val="1"/>
          <w:bCs w:val="1"/>
          <w:color w:val="auto"/>
        </w:rPr>
      </w:pPr>
    </w:p>
    <w:p>
      <w:pPr>
        <w:ind w:right="80" w:firstLine="634"/>
        <w:spacing w:after="0" w:line="297" w:lineRule="auto"/>
        <w:tabs>
          <w:tab w:leader="none" w:pos="1254" w:val="left"/>
        </w:tabs>
        <w:numPr>
          <w:ilvl w:val="0"/>
          <w:numId w:val="3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Right to Continued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the Plan, this Agreement, nor the grant of this Stock Option shall confer upon or be construed as</w:t>
      </w:r>
      <w:r>
        <w:rPr>
          <w:rFonts w:ascii="Arial" w:cs="Arial" w:eastAsia="Arial" w:hAnsi="Arial"/>
          <w:sz w:val="17"/>
          <w:szCs w:val="17"/>
          <w:b w:val="1"/>
          <w:bCs w:val="1"/>
          <w:color w:val="auto"/>
        </w:rPr>
        <w:t xml:space="preserve"> </w:t>
      </w:r>
      <w:r>
        <w:rPr>
          <w:rFonts w:ascii="Arial" w:cs="Arial" w:eastAsia="Arial" w:hAnsi="Arial"/>
          <w:sz w:val="17"/>
          <w:szCs w:val="17"/>
          <w:color w:val="auto"/>
        </w:rPr>
        <w:t>giving the Employee any right to remain in the employ of the Company.</w:t>
      </w:r>
    </w:p>
    <w:p>
      <w:pPr>
        <w:spacing w:after="0" w:line="145" w:lineRule="exact"/>
        <w:rPr>
          <w:rFonts w:ascii="Arial" w:cs="Arial" w:eastAsia="Arial" w:hAnsi="Arial"/>
          <w:sz w:val="17"/>
          <w:szCs w:val="17"/>
          <w:b w:val="1"/>
          <w:bCs w:val="1"/>
          <w:color w:val="auto"/>
        </w:rPr>
      </w:pPr>
    </w:p>
    <w:p>
      <w:pPr>
        <w:ind w:left="1260" w:hanging="626"/>
        <w:spacing w:after="0"/>
        <w:tabs>
          <w:tab w:leader="none" w:pos="1260" w:val="left"/>
        </w:tabs>
        <w:numPr>
          <w:ilvl w:val="0"/>
          <w:numId w:val="38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 Rights as Stockholder until Exercise</w:t>
      </w:r>
      <w:r>
        <w:rPr>
          <w:rFonts w:ascii="Arial" w:cs="Arial" w:eastAsia="Arial" w:hAnsi="Arial"/>
          <w:sz w:val="15"/>
          <w:szCs w:val="15"/>
          <w:b w:val="1"/>
          <w:bCs w:val="1"/>
          <w:color w:val="auto"/>
        </w:rPr>
        <w:t xml:space="preserve">. </w:t>
      </w:r>
      <w:r>
        <w:rPr>
          <w:rFonts w:ascii="Arial" w:cs="Arial" w:eastAsia="Arial" w:hAnsi="Arial"/>
          <w:sz w:val="15"/>
          <w:szCs w:val="15"/>
          <w:color w:val="auto"/>
        </w:rPr>
        <w:t>The Employee shall have no rights as a shareholder with respect to the Option Shares until such time</w:t>
      </w:r>
    </w:p>
    <w:p>
      <w:pPr>
        <w:spacing w:after="0" w:line="55"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7"/>
          <w:szCs w:val="17"/>
          <w:color w:val="auto"/>
        </w:rPr>
        <w:t>as: (i) the Employee has exercised this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Stock Option by delivering a notice of exercise and has paid in full the purchase price for the shares so exercised in accordance with Section 9, and (ii) a certificate evidencing the Option Shares has been issued to the Employee. Except as is expressly provided in the Plan with respect to certain changes in the capitalization of the Company, no adjustment shall be made for dividends or similar rights for which the record date is prior to such date of exercise.</w:t>
      </w:r>
    </w:p>
    <w:p>
      <w:pPr>
        <w:spacing w:after="0" w:line="148" w:lineRule="exact"/>
        <w:rPr>
          <w:sz w:val="20"/>
          <w:szCs w:val="20"/>
          <w:color w:val="auto"/>
        </w:rPr>
      </w:pPr>
    </w:p>
    <w:p>
      <w:pPr>
        <w:ind w:right="60" w:firstLine="634"/>
        <w:spacing w:after="0" w:line="277" w:lineRule="auto"/>
        <w:tabs>
          <w:tab w:leader="none" w:pos="1254" w:val="left"/>
        </w:tabs>
        <w:numPr>
          <w:ilvl w:val="0"/>
          <w:numId w:val="3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Capital Changes and Business Successions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contains provisions covering the treatment of Stock Options in a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contingencies such as stock splits and mergers. Provisions in the Plan for adjustment with respect to stock subject to Stock Options and the related provisions with respect to successors to the business of the Company are hereby made applicable hereunder and are incorporated herein by reference.</w:t>
      </w:r>
    </w:p>
    <w:p>
      <w:pPr>
        <w:spacing w:after="0" w:line="162" w:lineRule="exact"/>
        <w:rPr>
          <w:rFonts w:ascii="Arial" w:cs="Arial" w:eastAsia="Arial" w:hAnsi="Arial"/>
          <w:sz w:val="17"/>
          <w:szCs w:val="17"/>
          <w:b w:val="1"/>
          <w:bCs w:val="1"/>
          <w:color w:val="auto"/>
        </w:rPr>
      </w:pPr>
    </w:p>
    <w:p>
      <w:pPr>
        <w:ind w:right="300" w:firstLine="634"/>
        <w:spacing w:after="0" w:line="270" w:lineRule="auto"/>
        <w:tabs>
          <w:tab w:leader="none" w:pos="1254" w:val="left"/>
        </w:tabs>
        <w:numPr>
          <w:ilvl w:val="0"/>
          <w:numId w:val="3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Early Disposition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Section 17, the Employee agrees to notify the Company in writing immediately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transfers any Option Shares, if such transfer occurs on or before the later of (a) the date which is two years after the date of this Agreement or (b) the date which is one year after the date the Employee acquired such Option Shares. The Employee also agrees to provide the Company with any information concerning any such transfer required by the Company for tax purposes.</w:t>
      </w:r>
    </w:p>
    <w:p>
      <w:pPr>
        <w:spacing w:after="0" w:line="169" w:lineRule="exact"/>
        <w:rPr>
          <w:rFonts w:ascii="Arial" w:cs="Arial" w:eastAsia="Arial" w:hAnsi="Arial"/>
          <w:sz w:val="17"/>
          <w:szCs w:val="17"/>
          <w:b w:val="1"/>
          <w:bCs w:val="1"/>
          <w:color w:val="auto"/>
        </w:rPr>
      </w:pPr>
    </w:p>
    <w:p>
      <w:pPr>
        <w:ind w:right="60" w:firstLine="634"/>
        <w:spacing w:after="0" w:line="283" w:lineRule="auto"/>
        <w:tabs>
          <w:tab w:leader="none" w:pos="1254" w:val="left"/>
        </w:tabs>
        <w:numPr>
          <w:ilvl w:val="0"/>
          <w:numId w:val="38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Withholding Taxes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Company in its discretion determines that it is obligated to withhold any tax in connection with the exercise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 or in connection with the transfer of, or the lapse of restrictions on, any Common Stock or other property acquired pursuant to this Stock Option, the Employee hereby agrees that the Company may withhold from the Employee’s wages or other remuneration the appropriate amount of tax. At the discretion of the Company, the amount required to be withheld may be withheld in cash from such wages or other remuneration or in kind from the Common Stock or other property otherwise deliverable to the Employee on exercise of this Stock Option. The Employee further agrees that the Company may require the Employee to make a cash payment to the Company if the Company determines that (i) the wages or other remuneration available for withholding are insufficient to satisfy the withholding obligation of the Company, or (ii) additional amounts should be withheld by the Company to satisfy the withholding obligation of the Company.</w:t>
      </w:r>
    </w:p>
    <w:p>
      <w:pPr>
        <w:spacing w:after="0" w:line="159" w:lineRule="exact"/>
        <w:rPr>
          <w:rFonts w:ascii="Arial" w:cs="Arial" w:eastAsia="Arial" w:hAnsi="Arial"/>
          <w:sz w:val="16"/>
          <w:szCs w:val="16"/>
          <w:b w:val="1"/>
          <w:bCs w:val="1"/>
          <w:color w:val="auto"/>
        </w:rPr>
      </w:pPr>
    </w:p>
    <w:p>
      <w:pPr>
        <w:ind w:left="1260" w:hanging="626"/>
        <w:spacing w:after="0"/>
        <w:tabs>
          <w:tab w:leader="none" w:pos="1260" w:val="left"/>
        </w:tabs>
        <w:numPr>
          <w:ilvl w:val="0"/>
          <w:numId w:val="3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Right of First Refusal</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b w:val="1"/>
          <w:bCs w:val="1"/>
          <w:color w:val="auto"/>
        </w:rPr>
      </w:pPr>
    </w:p>
    <w:p>
      <w:pPr>
        <w:ind w:right="120" w:firstLine="1263"/>
        <w:spacing w:after="0" w:line="296" w:lineRule="auto"/>
        <w:tabs>
          <w:tab w:leader="none" w:pos="1895" w:val="left"/>
        </w:tabs>
        <w:numPr>
          <w:ilvl w:val="1"/>
          <w:numId w:val="38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Primary Right of First Refusal by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If the Employee desires to transfer all or any part of the Option Shares to any person</w:t>
      </w:r>
      <w:r>
        <w:rPr>
          <w:rFonts w:ascii="Arial" w:cs="Arial" w:eastAsia="Arial" w:hAnsi="Arial"/>
          <w:sz w:val="15"/>
          <w:szCs w:val="15"/>
          <w:b w:val="1"/>
          <w:bCs w:val="1"/>
          <w:color w:val="auto"/>
        </w:rPr>
        <w:t xml:space="preserve"> </w:t>
      </w:r>
      <w:r>
        <w:rPr>
          <w:rFonts w:ascii="Arial" w:cs="Arial" w:eastAsia="Arial" w:hAnsi="Arial"/>
          <w:sz w:val="15"/>
          <w:szCs w:val="15"/>
          <w:color w:val="auto"/>
        </w:rPr>
        <w:t>other than the Company or other Shareholders (an “Offeror”), the Employee shall: (i) obtain in writing an irrevocable and unconditional bona fide offer (the “Offer”) for the purchase thereof from the Offeror; and (ii) give written notice (the “Option Notice”) to the Company and other Shareholders setting forth the Employee’s desire to transfer such shares, which Option Notice shall be accompanied by a photocopy of the Offer and shall set forth at least the name and address of the Offeror and the price and terms of the Offer. Upon receipt of the Option Notice, the Company shall have an option to purchase any or all of such Option</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800" w:type="dxa"/>
            <w:vAlign w:val="bottom"/>
          </w:tcPr>
          <w:p>
            <w:pPr>
              <w:spacing w:after="0"/>
              <w:rPr>
                <w:sz w:val="20"/>
                <w:szCs w:val="20"/>
                <w:color w:val="auto"/>
              </w:rPr>
            </w:pPr>
            <w:r>
              <w:rPr>
                <w:rFonts w:ascii="Arial" w:cs="Arial" w:eastAsia="Arial" w:hAnsi="Arial"/>
                <w:sz w:val="17"/>
                <w:szCs w:val="17"/>
                <w:color w:val="auto"/>
                <w:w w:val="96"/>
              </w:rPr>
              <w:t>Shares (the “Offered Shares”) specified in the Option Notice, such option to be exercisable by giving, within</w:t>
            </w:r>
          </w:p>
        </w:tc>
        <w:tc>
          <w:tcPr>
            <w:tcW w:w="3660" w:type="dxa"/>
            <w:vAlign w:val="bottom"/>
          </w:tcPr>
          <w:p>
            <w:pPr>
              <w:ind w:left="200"/>
              <w:spacing w:after="0"/>
              <w:rPr>
                <w:sz w:val="20"/>
                <w:szCs w:val="20"/>
                <w:color w:val="auto"/>
              </w:rPr>
            </w:pPr>
            <w:r>
              <w:rPr>
                <w:rFonts w:ascii="Arial" w:cs="Arial" w:eastAsia="Arial" w:hAnsi="Arial"/>
                <w:sz w:val="17"/>
                <w:szCs w:val="17"/>
                <w:color w:val="auto"/>
                <w:w w:val="99"/>
              </w:rPr>
              <w:t>days after receipt of the Option Notice, written</w:t>
            </w:r>
          </w:p>
        </w:tc>
      </w:tr>
      <w:tr>
        <w:trPr>
          <w:trHeight w:val="222"/>
        </w:trPr>
        <w:tc>
          <w:tcPr>
            <w:tcW w:w="7800" w:type="dxa"/>
            <w:vAlign w:val="bottom"/>
          </w:tcPr>
          <w:p>
            <w:pPr>
              <w:spacing w:after="0"/>
              <w:rPr>
                <w:sz w:val="20"/>
                <w:szCs w:val="20"/>
                <w:color w:val="auto"/>
              </w:rPr>
            </w:pPr>
            <w:r>
              <w:rPr>
                <w:rFonts w:ascii="Arial" w:cs="Arial" w:eastAsia="Arial" w:hAnsi="Arial"/>
                <w:sz w:val="17"/>
                <w:szCs w:val="17"/>
                <w:color w:val="auto"/>
              </w:rPr>
              <w:t>notice of such exercise to the Employee. If the Company elects to purchase any or all of such Offered</w:t>
            </w:r>
          </w:p>
        </w:tc>
        <w:tc>
          <w:tcPr>
            <w:tcW w:w="3660" w:type="dxa"/>
            <w:vAlign w:val="bottom"/>
          </w:tcPr>
          <w:p>
            <w:pPr>
              <w:spacing w:after="0"/>
              <w:rPr>
                <w:sz w:val="19"/>
                <w:szCs w:val="19"/>
                <w:color w:val="auto"/>
              </w:rPr>
            </w:pPr>
          </w:p>
        </w:tc>
      </w:tr>
      <w:tr>
        <w:trPr>
          <w:trHeight w:val="419"/>
        </w:trPr>
        <w:tc>
          <w:tcPr>
            <w:tcW w:w="7800" w:type="dxa"/>
            <w:vAlign w:val="bottom"/>
          </w:tcPr>
          <w:p>
            <w:pPr>
              <w:jc w:val="right"/>
              <w:ind w:right="1953"/>
              <w:spacing w:after="0"/>
              <w:rPr>
                <w:sz w:val="20"/>
                <w:szCs w:val="20"/>
                <w:color w:val="auto"/>
              </w:rPr>
            </w:pPr>
            <w:r>
              <w:rPr>
                <w:rFonts w:ascii="Arial" w:cs="Arial" w:eastAsia="Arial" w:hAnsi="Arial"/>
                <w:sz w:val="17"/>
                <w:szCs w:val="17"/>
                <w:color w:val="auto"/>
              </w:rPr>
              <w:t>4</w:t>
            </w:r>
          </w:p>
        </w:tc>
        <w:tc>
          <w:tcPr>
            <w:tcW w:w="3660" w:type="dxa"/>
            <w:vAlign w:val="bottom"/>
          </w:tcPr>
          <w:p>
            <w:pPr>
              <w:spacing w:after="0"/>
              <w:rPr>
                <w:sz w:val="24"/>
                <w:szCs w:val="24"/>
                <w:color w:val="auto"/>
              </w:rPr>
            </w:pPr>
          </w:p>
        </w:tc>
      </w:tr>
      <w:tr>
        <w:trPr>
          <w:trHeight w:val="128"/>
        </w:trPr>
        <w:tc>
          <w:tcPr>
            <w:tcW w:w="7800" w:type="dxa"/>
            <w:vAlign w:val="bottom"/>
            <w:tcBorders>
              <w:bottom w:val="single" w:sz="8" w:color="010101"/>
            </w:tcBorders>
          </w:tcPr>
          <w:p>
            <w:pPr>
              <w:spacing w:after="0"/>
              <w:rPr>
                <w:sz w:val="11"/>
                <w:szCs w:val="11"/>
                <w:color w:val="auto"/>
              </w:rPr>
            </w:pPr>
          </w:p>
        </w:tc>
        <w:tc>
          <w:tcPr>
            <w:tcW w:w="36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Shares, it shall be obligated to purchase, and the Employee shall be obligated to sell to the Company, such Offered Shares and said sale and purchase shall be</w:t>
      </w:r>
    </w:p>
    <w:p>
      <w:pPr>
        <w:spacing w:after="0" w:line="38" w:lineRule="exact"/>
        <w:rPr>
          <w:sz w:val="20"/>
          <w:szCs w:val="20"/>
          <w:color w:val="auto"/>
        </w:rPr>
      </w:pPr>
    </w:p>
    <w:p>
      <w:pPr>
        <w:spacing w:after="0"/>
        <w:tabs>
          <w:tab w:leader="none" w:pos="1320" w:val="left"/>
        </w:tabs>
        <w:rPr>
          <w:sz w:val="20"/>
          <w:szCs w:val="20"/>
          <w:color w:val="auto"/>
        </w:rPr>
      </w:pPr>
      <w:r>
        <w:rPr>
          <w:rFonts w:ascii="Arial" w:cs="Arial" w:eastAsia="Arial" w:hAnsi="Arial"/>
          <w:sz w:val="17"/>
          <w:szCs w:val="17"/>
          <w:color w:val="auto"/>
        </w:rPr>
        <w:t>closed within</w:t>
      </w:r>
      <w:r>
        <w:rPr>
          <w:sz w:val="20"/>
          <w:szCs w:val="20"/>
          <w:color w:val="auto"/>
        </w:rPr>
        <w:tab/>
      </w:r>
      <w:r>
        <w:rPr>
          <w:rFonts w:ascii="Arial" w:cs="Arial" w:eastAsia="Arial" w:hAnsi="Arial"/>
          <w:sz w:val="15"/>
          <w:szCs w:val="15"/>
          <w:color w:val="auto"/>
        </w:rPr>
        <w:t>days thereafter.</w:t>
      </w:r>
    </w:p>
    <w:p>
      <w:pPr>
        <w:spacing w:after="0" w:line="42" w:lineRule="exact"/>
        <w:rPr>
          <w:sz w:val="20"/>
          <w:szCs w:val="20"/>
          <w:color w:val="auto"/>
        </w:rPr>
      </w:pPr>
    </w:p>
    <w:p>
      <w:pPr>
        <w:ind w:left="1760" w:hanging="497"/>
        <w:spacing w:after="0"/>
        <w:tabs>
          <w:tab w:leader="none" w:pos="1760" w:val="left"/>
        </w:tabs>
        <w:numPr>
          <w:ilvl w:val="0"/>
          <w:numId w:val="3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Secondary Right of First Refusal by Other Shareholders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Company provides written notice of its intent not to exercise its right</w:t>
      </w:r>
    </w:p>
    <w:p>
      <w:pPr>
        <w:spacing w:after="0" w:line="196"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of first refusal or otherwise fails to exercise its right of first refusal to purchase all of the Offered Shares before the expiration of the -day period set forth in Section 17(a), the other Shareholders of the Company shall have an option for a period of days following the date of the receipt of the Company’s written</w:t>
      </w:r>
    </w:p>
    <w:p>
      <w:pPr>
        <w:spacing w:after="0" w:line="1"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notice to acquire all or any part of such Offered Shares not otherwise purchased by the Company. If one or more other shareholders gives written notice to the Company and the Offeror that such shareholder exercises his option to purchase such Offered Shares, then such Offered Shares shall be allocated among the other Shareholders as they may agree or, if the other shareholders fail to reach such an agreement, the Offered Shares shall be allocated among the exercising shareholders in the ratio each exercising shareholder’s number of shares of Common Stock bears to the total number of shares of Common Stock owned by all other Shareholders exercising their option pursuant to this Section 17(b). To the extent any other shareholders elect to exercise their right of first refusal under this</w:t>
      </w:r>
    </w:p>
    <w:p>
      <w:pPr>
        <w:spacing w:after="0" w:line="3" w:lineRule="exact"/>
        <w:rPr>
          <w:sz w:val="20"/>
          <w:szCs w:val="20"/>
          <w:color w:val="auto"/>
        </w:rPr>
      </w:pPr>
    </w:p>
    <w:p>
      <w:pPr>
        <w:ind w:right="340"/>
        <w:spacing w:after="0" w:line="291" w:lineRule="auto"/>
        <w:rPr>
          <w:sz w:val="20"/>
          <w:szCs w:val="20"/>
          <w:color w:val="auto"/>
        </w:rPr>
      </w:pPr>
      <w:r>
        <w:rPr>
          <w:rFonts w:ascii="Arial" w:cs="Arial" w:eastAsia="Arial" w:hAnsi="Arial"/>
          <w:sz w:val="15"/>
          <w:szCs w:val="15"/>
          <w:color w:val="auto"/>
        </w:rPr>
        <w:t>Section 17(b), such shareholder shall provide written notice of such exercise to the Employee and the Company within such -day period. If any other shareholders elect to purchase any or all of such Offered Shares, such shareholder shall be obligated to purchase, and the Employee shall be obligated to sell to</w:t>
      </w:r>
    </w:p>
    <w:p>
      <w:pPr>
        <w:spacing w:after="0" w:line="1" w:lineRule="exact"/>
        <w:rPr>
          <w:sz w:val="20"/>
          <w:szCs w:val="20"/>
          <w:color w:val="auto"/>
        </w:rPr>
      </w:pPr>
    </w:p>
    <w:p>
      <w:pPr>
        <w:spacing w:after="0"/>
        <w:tabs>
          <w:tab w:leader="none" w:pos="6580" w:val="left"/>
        </w:tabs>
        <w:rPr>
          <w:sz w:val="20"/>
          <w:szCs w:val="20"/>
          <w:color w:val="auto"/>
        </w:rPr>
      </w:pPr>
      <w:r>
        <w:rPr>
          <w:rFonts w:ascii="Arial" w:cs="Arial" w:eastAsia="Arial" w:hAnsi="Arial"/>
          <w:sz w:val="17"/>
          <w:szCs w:val="17"/>
          <w:color w:val="auto"/>
        </w:rPr>
        <w:t>such shareholders, such Offered Shares and said sale and purchase shall be closed within</w:t>
      </w:r>
      <w:r>
        <w:rPr>
          <w:sz w:val="20"/>
          <w:szCs w:val="20"/>
          <w:color w:val="auto"/>
        </w:rPr>
        <w:tab/>
      </w:r>
      <w:r>
        <w:rPr>
          <w:rFonts w:ascii="Arial" w:cs="Arial" w:eastAsia="Arial" w:hAnsi="Arial"/>
          <w:sz w:val="15"/>
          <w:szCs w:val="15"/>
          <w:color w:val="auto"/>
        </w:rPr>
        <w:t>days thereafter.</w:t>
      </w:r>
    </w:p>
    <w:p>
      <w:pPr>
        <w:sectPr>
          <w:pgSz w:w="11900" w:h="16838" w:orient="portrait"/>
          <w:cols w:equalWidth="0" w:num="1">
            <w:col w:w="11460"/>
          </w:cols>
          <w:pgMar w:left="240" w:top="127" w:right="199" w:bottom="76" w:gutter="0" w:footer="0" w:header="0"/>
        </w:sectPr>
      </w:pPr>
    </w:p>
    <w:bookmarkStart w:id="301" w:name="page302"/>
    <w:bookmarkEnd w:id="301"/>
    <w:p>
      <w:pPr>
        <w:spacing w:after="0" w:line="85" w:lineRule="exact"/>
        <w:rPr>
          <w:sz w:val="20"/>
          <w:szCs w:val="20"/>
          <w:color w:val="auto"/>
        </w:rPr>
      </w:pPr>
    </w:p>
    <w:p>
      <w:pPr>
        <w:ind w:left="1900" w:hanging="637"/>
        <w:spacing w:after="0"/>
        <w:tabs>
          <w:tab w:leader="none" w:pos="1900" w:val="left"/>
        </w:tabs>
        <w:numPr>
          <w:ilvl w:val="1"/>
          <w:numId w:val="38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Purchase Price</w:t>
      </w:r>
      <w:r>
        <w:rPr>
          <w:rFonts w:ascii="Arial" w:cs="Arial" w:eastAsia="Arial" w:hAnsi="Arial"/>
          <w:sz w:val="15"/>
          <w:szCs w:val="15"/>
          <w:b w:val="1"/>
          <w:bCs w:val="1"/>
          <w:color w:val="auto"/>
        </w:rPr>
        <w:t xml:space="preserve">: </w:t>
      </w:r>
      <w:r>
        <w:rPr>
          <w:rFonts w:ascii="Arial" w:cs="Arial" w:eastAsia="Arial" w:hAnsi="Arial"/>
          <w:sz w:val="15"/>
          <w:szCs w:val="15"/>
          <w:color w:val="auto"/>
        </w:rPr>
        <w:t>The total purchase price to be paid by the Company or other Shareholders for the Offered Shares shall be the lower of</w:t>
      </w:r>
    </w:p>
    <w:p>
      <w:pPr>
        <w:spacing w:after="0" w:line="55" w:lineRule="exact"/>
        <w:rPr>
          <w:rFonts w:ascii="Arial" w:cs="Arial" w:eastAsia="Arial" w:hAnsi="Arial"/>
          <w:sz w:val="15"/>
          <w:szCs w:val="15"/>
          <w:b w:val="1"/>
          <w:bCs w:val="1"/>
          <w:color w:val="auto"/>
        </w:rPr>
      </w:pPr>
    </w:p>
    <w:p>
      <w:pPr>
        <w:ind w:left="220" w:hanging="215"/>
        <w:spacing w:after="0"/>
        <w:tabs>
          <w:tab w:leader="none" w:pos="22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the purchase price set forth in the Option Notice, or (ii) the purchase price determined pursuant to Section 18 (d).</w:t>
      </w:r>
    </w:p>
    <w:p>
      <w:pPr>
        <w:spacing w:after="0" w:line="206" w:lineRule="exact"/>
        <w:rPr>
          <w:sz w:val="20"/>
          <w:szCs w:val="20"/>
          <w:color w:val="auto"/>
        </w:rPr>
      </w:pPr>
    </w:p>
    <w:p>
      <w:pPr>
        <w:ind w:right="40" w:firstLine="1259"/>
        <w:spacing w:after="0" w:line="281" w:lineRule="auto"/>
        <w:rPr>
          <w:sz w:val="20"/>
          <w:szCs w:val="20"/>
          <w:color w:val="auto"/>
        </w:rPr>
      </w:pPr>
      <w:r>
        <w:rPr>
          <w:rFonts w:ascii="Arial" w:cs="Arial" w:eastAsia="Arial" w:hAnsi="Arial"/>
          <w:sz w:val="16"/>
          <w:szCs w:val="16"/>
          <w:b w:val="1"/>
          <w:bCs w:val="1"/>
          <w:color w:val="auto"/>
        </w:rPr>
        <w:t xml:space="preserve">(d) </w:t>
      </w:r>
      <w:r>
        <w:rPr>
          <w:rFonts w:ascii="Arial" w:cs="Arial" w:eastAsia="Arial" w:hAnsi="Arial"/>
          <w:sz w:val="16"/>
          <w:szCs w:val="16"/>
          <w:b w:val="1"/>
          <w:bCs w:val="1"/>
          <w:u w:val="single" w:color="auto"/>
          <w:color w:val="auto"/>
        </w:rPr>
        <w:t>Sale of Offered Shares to Offeror</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Employee may, for days after the expiration of the option periods as set forth in Sections</w:t>
      </w:r>
      <w:r>
        <w:rPr>
          <w:rFonts w:ascii="Arial" w:cs="Arial" w:eastAsia="Arial" w:hAnsi="Arial"/>
          <w:sz w:val="16"/>
          <w:szCs w:val="16"/>
          <w:b w:val="1"/>
          <w:bCs w:val="1"/>
          <w:color w:val="auto"/>
        </w:rPr>
        <w:t xml:space="preserve"> </w:t>
      </w:r>
      <w:r>
        <w:rPr>
          <w:rFonts w:ascii="Arial" w:cs="Arial" w:eastAsia="Arial" w:hAnsi="Arial"/>
          <w:sz w:val="16"/>
          <w:szCs w:val="16"/>
          <w:color w:val="auto"/>
        </w:rPr>
        <w:t>17(a) and (b) above, sell to the Offeror, pursuant to the terms of the Offer, any or all of such Offered Shares not purchased or agreed to be purchased by the Company or the other Shareholders; provided, however, that the Employee shall not sell such Offered Shares to such Offeror unless such Offeror shall execute an agreement with the Company pursuant to which such Offeror agrees to be subject to the restrictions set forth in this Section 17. In no event shall the Employee sell or transfer any Offered Shares to the Offeree without (i) making all required filings with, and obtaining any required approval from, any applicable governmental or other regulatory authority which the Company shall, in its sole discretion, determine to be necessary or advisable, and (ii) otherwise complying with the Applicable Legal Requirements regarding any transfer or sale of the Offered Shares. If any or all of such Offered Shares are not sold pursuant to an Offer within the time permitted above, the unsold Offered Shares shall remain subject to the terms of this Section 17.</w:t>
      </w:r>
    </w:p>
    <w:p>
      <w:pPr>
        <w:spacing w:after="0" w:line="164" w:lineRule="exact"/>
        <w:rPr>
          <w:sz w:val="20"/>
          <w:szCs w:val="20"/>
          <w:color w:val="auto"/>
        </w:rPr>
      </w:pPr>
    </w:p>
    <w:p>
      <w:pPr>
        <w:ind w:right="100" w:firstLine="1263"/>
        <w:spacing w:after="0" w:line="330" w:lineRule="auto"/>
        <w:tabs>
          <w:tab w:leader="none" w:pos="1898" w:val="left"/>
        </w:tabs>
        <w:numPr>
          <w:ilvl w:val="0"/>
          <w:numId w:val="38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Adjustments for Changes in Capital Structure</w:t>
      </w:r>
      <w:r>
        <w:rPr>
          <w:rFonts w:ascii="Arial" w:cs="Arial" w:eastAsia="Arial" w:hAnsi="Arial"/>
          <w:sz w:val="15"/>
          <w:szCs w:val="15"/>
          <w:b w:val="1"/>
          <w:bCs w:val="1"/>
          <w:color w:val="auto"/>
        </w:rPr>
        <w:t xml:space="preserve">: </w:t>
      </w:r>
      <w:r>
        <w:rPr>
          <w:rFonts w:ascii="Arial" w:cs="Arial" w:eastAsia="Arial" w:hAnsi="Arial"/>
          <w:sz w:val="15"/>
          <w:szCs w:val="15"/>
          <w:color w:val="auto"/>
        </w:rPr>
        <w:t>If there shall be any change in the Common Stock of the Company through merger,</w:t>
      </w:r>
      <w:r>
        <w:rPr>
          <w:rFonts w:ascii="Arial" w:cs="Arial" w:eastAsia="Arial" w:hAnsi="Arial"/>
          <w:sz w:val="15"/>
          <w:szCs w:val="15"/>
          <w:b w:val="1"/>
          <w:bCs w:val="1"/>
          <w:color w:val="auto"/>
        </w:rPr>
        <w:t xml:space="preserve"> </w:t>
      </w:r>
      <w:r>
        <w:rPr>
          <w:rFonts w:ascii="Arial" w:cs="Arial" w:eastAsia="Arial" w:hAnsi="Arial"/>
          <w:sz w:val="15"/>
          <w:szCs w:val="15"/>
          <w:color w:val="auto"/>
        </w:rPr>
        <w:t>consolidation, reorganization, recapitalization, stock dividend, stock split, combination or exchange of shares, or the like, the restrictions contained in Section 8 and this Section 17 shall apply with equal force to additional and/or substitute securities, if any, received by the Employee in exchange for, or by virtue of his or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her ownership of, Option Shares, except as otherwise determined by the Board of Directors of the Company.</w:t>
      </w:r>
    </w:p>
    <w:p>
      <w:pPr>
        <w:spacing w:after="0" w:line="218" w:lineRule="exact"/>
        <w:rPr>
          <w:sz w:val="20"/>
          <w:szCs w:val="20"/>
          <w:color w:val="auto"/>
        </w:rPr>
      </w:pPr>
    </w:p>
    <w:p>
      <w:pPr>
        <w:ind w:right="40" w:firstLine="1263"/>
        <w:spacing w:after="0" w:line="265" w:lineRule="auto"/>
        <w:tabs>
          <w:tab w:leader="none" w:pos="1892" w:val="left"/>
        </w:tabs>
        <w:numPr>
          <w:ilvl w:val="2"/>
          <w:numId w:val="38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Failure to Deliver Option Shares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Employee fails or refuses to deliver on a timely basis duly endorsed certificates representing</w:t>
      </w:r>
      <w:r>
        <w:rPr>
          <w:rFonts w:ascii="Arial" w:cs="Arial" w:eastAsia="Arial" w:hAnsi="Arial"/>
          <w:sz w:val="17"/>
          <w:szCs w:val="17"/>
          <w:b w:val="1"/>
          <w:bCs w:val="1"/>
          <w:color w:val="auto"/>
        </w:rPr>
        <w:t xml:space="preserve"> </w:t>
      </w:r>
      <w:r>
        <w:rPr>
          <w:rFonts w:ascii="Arial" w:cs="Arial" w:eastAsia="Arial" w:hAnsi="Arial"/>
          <w:sz w:val="17"/>
          <w:szCs w:val="17"/>
          <w:color w:val="auto"/>
        </w:rPr>
        <w:t>Offered Shares to be sold to the Company or the other Shareholders pursuant to this Section 17, the Company shall have the right to establish a special account in the name, and for the benefit of, the Employee and deposit the purchase price for such Offered Shares in such special account, giving notice of such deposit to the Employee, whereupon such Offered Shares shall be deemed to have been purchased by the Company and/or the other Shareholders. All such monies shall be held for the benefit of the Employee. The Company may place a legend on any certificates for Option Shares delivered to the Employee reflecting the restrictions on transfer provided in Section 8 hereof and this Section 17.</w:t>
      </w:r>
    </w:p>
    <w:p>
      <w:pPr>
        <w:spacing w:after="0" w:line="173" w:lineRule="exact"/>
        <w:rPr>
          <w:rFonts w:ascii="Arial" w:cs="Arial" w:eastAsia="Arial" w:hAnsi="Arial"/>
          <w:sz w:val="17"/>
          <w:szCs w:val="17"/>
          <w:b w:val="1"/>
          <w:bCs w:val="1"/>
          <w:color w:val="auto"/>
        </w:rPr>
      </w:pPr>
    </w:p>
    <w:p>
      <w:pPr>
        <w:ind w:left="1260" w:hanging="626"/>
        <w:spacing w:after="0"/>
        <w:tabs>
          <w:tab w:leader="none" w:pos="1260" w:val="left"/>
        </w:tabs>
        <w:numPr>
          <w:ilvl w:val="1"/>
          <w:numId w:val="38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Repurchase of Option Shares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b w:val="1"/>
          <w:bCs w:val="1"/>
          <w:color w:val="auto"/>
        </w:rPr>
      </w:pPr>
    </w:p>
    <w:p>
      <w:pPr>
        <w:ind w:right="60" w:firstLine="1263"/>
        <w:spacing w:after="0" w:line="281" w:lineRule="auto"/>
        <w:tabs>
          <w:tab w:leader="none" w:pos="1885" w:val="left"/>
        </w:tabs>
        <w:numPr>
          <w:ilvl w:val="2"/>
          <w:numId w:val="389"/>
        </w:numPr>
        <w:rPr>
          <w:rFonts w:ascii="Arial" w:cs="Arial" w:eastAsia="Arial" w:hAnsi="Arial"/>
          <w:sz w:val="16"/>
          <w:szCs w:val="16"/>
          <w:color w:val="auto"/>
        </w:rPr>
      </w:pPr>
      <w:r>
        <w:rPr>
          <w:rFonts w:ascii="Arial" w:cs="Arial" w:eastAsia="Arial" w:hAnsi="Arial"/>
          <w:sz w:val="16"/>
          <w:szCs w:val="16"/>
          <w:color w:val="auto"/>
        </w:rPr>
        <w:t>If (i) the Employee’s employment with the Company is terminated by either the Employee or the Company and the Employee is found in violation of the signed Employee Agreement or works, performs work for hire, consults, is self employed or otherwise employed, either directly or indirectly or</w:t>
      </w:r>
    </w:p>
    <w:p>
      <w:pPr>
        <w:ind w:left="260" w:hanging="255"/>
        <w:spacing w:after="0"/>
        <w:tabs>
          <w:tab w:leader="none" w:pos="26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causes or solicits others to work, performs work for hire, consults, or be self employed or otherwise employed, either directly or indirectly, in a business</w:t>
      </w:r>
    </w:p>
    <w:p>
      <w:pPr>
        <w:spacing w:after="0" w:line="25"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7"/>
          <w:szCs w:val="17"/>
          <w:color w:val="auto"/>
        </w:rPr>
        <w:t>competing with or acting against the Company’s interest, the Company and other shareholders shall have the absolute right to purchase all of the Option Shares owned by such Employee (the “Repurchase Shares”) in accordance with the option time periods and notice procedures provided for with respect to the purchase of the Offered Shares as set forth in Section 17(a) and (b) above. Only under the conditions set forth in this section shall the provisions set forth in 17(a) and 17(b) be extended to cover a time period of nine (9) months after the termination of Employee’s employment during which time the Company will have the first right to elect to purchase all or any portion of the Repurchase Shares.</w:t>
      </w:r>
    </w:p>
    <w:p>
      <w:pPr>
        <w:spacing w:after="0" w:line="183" w:lineRule="exact"/>
        <w:rPr>
          <w:rFonts w:ascii="Arial" w:cs="Arial" w:eastAsia="Arial" w:hAnsi="Arial"/>
          <w:sz w:val="16"/>
          <w:szCs w:val="16"/>
          <w:color w:val="auto"/>
        </w:rPr>
      </w:pPr>
    </w:p>
    <w:p>
      <w:pPr>
        <w:ind w:right="320" w:firstLine="1263"/>
        <w:spacing w:after="0" w:line="289" w:lineRule="auto"/>
        <w:tabs>
          <w:tab w:leader="none" w:pos="1895" w:val="left"/>
        </w:tabs>
        <w:numPr>
          <w:ilvl w:val="2"/>
          <w:numId w:val="390"/>
        </w:numPr>
        <w:rPr>
          <w:rFonts w:ascii="Arial" w:cs="Arial" w:eastAsia="Arial" w:hAnsi="Arial"/>
          <w:sz w:val="17"/>
          <w:szCs w:val="17"/>
          <w:color w:val="auto"/>
        </w:rPr>
      </w:pPr>
      <w:r>
        <w:rPr>
          <w:rFonts w:ascii="Arial" w:cs="Arial" w:eastAsia="Arial" w:hAnsi="Arial"/>
          <w:sz w:val="17"/>
          <w:szCs w:val="17"/>
          <w:color w:val="auto"/>
        </w:rPr>
        <w:t>The purchase price (the “Purchase Price”) per share of the Repurchased Shares under this Section 18 shall be the Fair Value of such shares as described in Section 18(d) below.</w:t>
      </w:r>
    </w:p>
    <w:p>
      <w:pPr>
        <w:spacing w:after="0" w:line="158" w:lineRule="exact"/>
        <w:rPr>
          <w:rFonts w:ascii="Arial" w:cs="Arial" w:eastAsia="Arial" w:hAnsi="Arial"/>
          <w:sz w:val="17"/>
          <w:szCs w:val="17"/>
          <w:color w:val="auto"/>
        </w:rPr>
      </w:pPr>
    </w:p>
    <w:p>
      <w:pPr>
        <w:ind w:right="120" w:firstLine="1263"/>
        <w:spacing w:after="0" w:line="263" w:lineRule="auto"/>
        <w:tabs>
          <w:tab w:leader="none" w:pos="1898" w:val="left"/>
        </w:tabs>
        <w:numPr>
          <w:ilvl w:val="2"/>
          <w:numId w:val="390"/>
        </w:numPr>
        <w:rPr>
          <w:rFonts w:ascii="Arial" w:cs="Arial" w:eastAsia="Arial" w:hAnsi="Arial"/>
          <w:sz w:val="17"/>
          <w:szCs w:val="17"/>
          <w:color w:val="auto"/>
        </w:rPr>
      </w:pPr>
      <w:r>
        <w:rPr>
          <w:rFonts w:ascii="Arial" w:cs="Arial" w:eastAsia="Arial" w:hAnsi="Arial"/>
          <w:sz w:val="17"/>
          <w:szCs w:val="17"/>
          <w:color w:val="auto"/>
        </w:rPr>
        <w:t>If the Company and/or the other shareholders exercise their option to purchase the Repurchased Shares, the closing of the sale of the Repurchased Shares shall be made at the offices of the Company on or before the 30th day following the expiration of the Company’s and other shareholder’s options as provided in Section 18(a). Such sale shall be effected by the Employee’s (or heirs’ or legal representatives’) delivery to the Company and/or other purchasing shareholders of a certificate or certificates evidencing the Repurchased Shares, duly endorsed for transfer to the Company and/or other purchasing shareholders, against payment to the Employee (or his or her heirs or legal representatives) by the Company and/or other purchasing shareholders of the Purchase Price for each Repurchased Share.</w:t>
      </w:r>
    </w:p>
    <w:p>
      <w:pPr>
        <w:spacing w:after="0" w:line="183" w:lineRule="exact"/>
        <w:rPr>
          <w:rFonts w:ascii="Arial" w:cs="Arial" w:eastAsia="Arial" w:hAnsi="Arial"/>
          <w:sz w:val="17"/>
          <w:szCs w:val="17"/>
          <w:color w:val="auto"/>
        </w:rPr>
      </w:pPr>
    </w:p>
    <w:p>
      <w:pPr>
        <w:ind w:right="40" w:firstLine="1263"/>
        <w:spacing w:after="0" w:line="273" w:lineRule="auto"/>
        <w:tabs>
          <w:tab w:leader="none" w:pos="1895" w:val="left"/>
        </w:tabs>
        <w:numPr>
          <w:ilvl w:val="2"/>
          <w:numId w:val="390"/>
        </w:numPr>
        <w:rPr>
          <w:rFonts w:ascii="Arial" w:cs="Arial" w:eastAsia="Arial" w:hAnsi="Arial"/>
          <w:sz w:val="17"/>
          <w:szCs w:val="17"/>
          <w:color w:val="auto"/>
        </w:rPr>
      </w:pPr>
      <w:r>
        <w:rPr>
          <w:rFonts w:ascii="Arial" w:cs="Arial" w:eastAsia="Arial" w:hAnsi="Arial"/>
          <w:sz w:val="17"/>
          <w:szCs w:val="17"/>
          <w:color w:val="auto"/>
        </w:rPr>
        <w:t>For purposes of this Agreement, “Fair Value” shall mean: (i) if the Company’s Common Stock is not then publicly traded on a national securities exchange or in the Nasdaq over-the-counter inter-dealer quotation system, the value per share as determined in good faith by the Board of Directors, either pursuant to the most recent grant of an incentive stock option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under the Company’s Plan, or as is established in good faith by the Board of Directors, or (ii) if the Company’s Common Stock is then publicly traded, “Fair Value” shall mean the average of the bid and asked price in the over-the-counter market as reported by Nasdaq or, if the Common Stock is then traded on a national securities exchange, or traded in the Nasdaq National Market, the average of the high and low sale prices quoted on such exchange or market system for the 20 consecutive trading days preceding the date of termination of the Employee’s employment with the Company. Nothing in this section is intended to survive Section 17(e) except as provided for in Section 18(a) of this agreement.</w:t>
      </w:r>
    </w:p>
    <w:p>
      <w:pPr>
        <w:spacing w:after="0" w:line="173" w:lineRule="exact"/>
        <w:rPr>
          <w:sz w:val="20"/>
          <w:szCs w:val="20"/>
          <w:color w:val="auto"/>
        </w:rPr>
      </w:pPr>
    </w:p>
    <w:p>
      <w:pPr>
        <w:ind w:right="140" w:firstLine="634"/>
        <w:spacing w:after="0" w:line="265" w:lineRule="auto"/>
        <w:tabs>
          <w:tab w:leader="none" w:pos="1254" w:val="left"/>
        </w:tabs>
        <w:numPr>
          <w:ilvl w:val="0"/>
          <w:numId w:val="3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Lock-up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Employee agrees that in connection with an underwritten public offering of Common Stock, or in the event of a</w:t>
      </w:r>
      <w:r>
        <w:rPr>
          <w:rFonts w:ascii="Arial" w:cs="Arial" w:eastAsia="Arial" w:hAnsi="Arial"/>
          <w:sz w:val="17"/>
          <w:szCs w:val="17"/>
          <w:b w:val="1"/>
          <w:bCs w:val="1"/>
          <w:color w:val="auto"/>
        </w:rPr>
        <w:t xml:space="preserve"> </w:t>
      </w:r>
      <w:r>
        <w:rPr>
          <w:rFonts w:ascii="Arial" w:cs="Arial" w:eastAsia="Arial" w:hAnsi="Arial"/>
          <w:sz w:val="17"/>
          <w:szCs w:val="17"/>
          <w:color w:val="auto"/>
        </w:rPr>
        <w:t>Change in Control as provided in Section 3 and Section 17(e), upon the request of the Company or the principal underwriter managing such public offering, this Option and the Option Shares may not be sold, offered for sale or otherwise disposed of without the prior written consent of the Company or such underwriter, as the case may be, for at least 180 days after the effectiveness of the registration statement filed in connection with such offering, or such longer period of time as the Board of Directors may determine if all of the Company’s directors and officers agree to be similarly bound. The lock-up agreement established pursuant to this paragraph 19 shall have perpetual duration.</w:t>
      </w:r>
    </w:p>
    <w:p>
      <w:pPr>
        <w:spacing w:after="0" w:line="173" w:lineRule="exact"/>
        <w:rPr>
          <w:rFonts w:ascii="Arial" w:cs="Arial" w:eastAsia="Arial" w:hAnsi="Arial"/>
          <w:sz w:val="17"/>
          <w:szCs w:val="17"/>
          <w:b w:val="1"/>
          <w:bCs w:val="1"/>
          <w:color w:val="auto"/>
        </w:rPr>
      </w:pPr>
    </w:p>
    <w:p>
      <w:pPr>
        <w:ind w:left="1260" w:hanging="626"/>
        <w:spacing w:after="0"/>
        <w:tabs>
          <w:tab w:leader="none" w:pos="1260" w:val="left"/>
        </w:tabs>
        <w:numPr>
          <w:ilvl w:val="0"/>
          <w:numId w:val="39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Provision of Documentation to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By signing this Agreement the Employee acknowledges receipt of a copy of this Agreement and a</w:t>
      </w:r>
    </w:p>
    <w:p>
      <w:pPr>
        <w:spacing w:after="0" w:line="43"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7"/>
          <w:szCs w:val="17"/>
          <w:color w:val="auto"/>
        </w:rPr>
        <w:t>copy of the Plan.</w:t>
      </w:r>
    </w:p>
    <w:p>
      <w:pPr>
        <w:spacing w:after="0" w:line="206" w:lineRule="exact"/>
        <w:rPr>
          <w:rFonts w:ascii="Arial" w:cs="Arial" w:eastAsia="Arial" w:hAnsi="Arial"/>
          <w:sz w:val="16"/>
          <w:szCs w:val="16"/>
          <w:b w:val="1"/>
          <w:bCs w:val="1"/>
          <w:color w:val="auto"/>
        </w:rPr>
      </w:pPr>
    </w:p>
    <w:p>
      <w:pPr>
        <w:ind w:left="1260" w:hanging="626"/>
        <w:spacing w:after="0"/>
        <w:tabs>
          <w:tab w:leader="none" w:pos="1260" w:val="left"/>
        </w:tabs>
        <w:numPr>
          <w:ilvl w:val="0"/>
          <w:numId w:val="3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b w:val="1"/>
          <w:bCs w:val="1"/>
          <w:color w:val="auto"/>
        </w:rPr>
      </w:pPr>
    </w:p>
    <w:p>
      <w:pPr>
        <w:ind w:right="20" w:firstLine="1263"/>
        <w:spacing w:after="0" w:line="368" w:lineRule="auto"/>
        <w:tabs>
          <w:tab w:leader="none" w:pos="1895" w:val="left"/>
        </w:tabs>
        <w:numPr>
          <w:ilvl w:val="1"/>
          <w:numId w:val="39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 xml:space="preserve">: </w:t>
      </w:r>
      <w:r>
        <w:rPr>
          <w:rFonts w:ascii="Arial" w:cs="Arial" w:eastAsia="Arial" w:hAnsi="Arial"/>
          <w:sz w:val="15"/>
          <w:szCs w:val="15"/>
          <w:color w:val="auto"/>
        </w:rPr>
        <w:t>All notices hereunder shall be in writing and shall be deemed given when sent by certified or registered mail, postage prepaid,</w:t>
      </w:r>
      <w:r>
        <w:rPr>
          <w:rFonts w:ascii="Arial" w:cs="Arial" w:eastAsia="Arial" w:hAnsi="Arial"/>
          <w:sz w:val="15"/>
          <w:szCs w:val="15"/>
          <w:b w:val="1"/>
          <w:bCs w:val="1"/>
          <w:color w:val="auto"/>
        </w:rPr>
        <w:t xml:space="preserve"> </w:t>
      </w:r>
      <w:r>
        <w:rPr>
          <w:rFonts w:ascii="Arial" w:cs="Arial" w:eastAsia="Arial" w:hAnsi="Arial"/>
          <w:sz w:val="15"/>
          <w:szCs w:val="15"/>
          <w:color w:val="auto"/>
        </w:rPr>
        <w:t>return receipt requested, to the address set forth below. The addresses for such notices may be changed from time to time by written notice given in the manner</w:t>
      </w:r>
    </w:p>
    <w:p>
      <w:pPr>
        <w:sectPr>
          <w:pgSz w:w="11900" w:h="16923" w:orient="portrait"/>
          <w:cols w:equalWidth="0" w:num="1">
            <w:col w:w="11420"/>
          </w:cols>
          <w:pgMar w:left="240" w:top="121" w:right="239" w:bottom="0" w:gutter="0" w:footer="0" w:header="0"/>
        </w:sectPr>
      </w:pPr>
    </w:p>
    <w:bookmarkStart w:id="302" w:name="page303"/>
    <w:bookmarkEnd w:id="302"/>
    <w:p>
      <w:pPr>
        <w:spacing w:after="0"/>
        <w:rPr>
          <w:sz w:val="20"/>
          <w:szCs w:val="20"/>
          <w:color w:val="auto"/>
        </w:rPr>
      </w:pPr>
      <w:r>
        <w:rPr>
          <w:rFonts w:ascii="Arial" w:cs="Arial" w:eastAsia="Arial" w:hAnsi="Arial"/>
          <w:sz w:val="17"/>
          <w:szCs w:val="17"/>
          <w:color w:val="auto"/>
        </w:rPr>
        <w:t>provided for herein.</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1263"/>
        <w:spacing w:after="0" w:line="330" w:lineRule="auto"/>
        <w:tabs>
          <w:tab w:leader="none" w:pos="1905" w:val="left"/>
        </w:tabs>
        <w:numPr>
          <w:ilvl w:val="0"/>
          <w:numId w:val="39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Entire Agreement; Modification</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together with the Plan which is incorporated herein, constitute the entire</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between the parties relative to the subject matter hereof, and supersede all proposals, written or oral, and all other communications between the parties relating to the subject matter of this Agreement. This Agreement may be modified, amended or rescinded only by a written agreement executed by both parties.</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20" w:firstLine="1263"/>
        <w:spacing w:after="0" w:line="297" w:lineRule="auto"/>
        <w:tabs>
          <w:tab w:leader="none" w:pos="1898" w:val="left"/>
        </w:tabs>
        <w:numPr>
          <w:ilvl w:val="0"/>
          <w:numId w:val="39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The invalidity, illegality or unenforceability of any provision of this Agreement shall in no way affect the validity,</w:t>
      </w:r>
      <w:r>
        <w:rPr>
          <w:rFonts w:ascii="Arial" w:cs="Arial" w:eastAsia="Arial" w:hAnsi="Arial"/>
          <w:sz w:val="17"/>
          <w:szCs w:val="17"/>
          <w:b w:val="1"/>
          <w:bCs w:val="1"/>
          <w:color w:val="auto"/>
        </w:rPr>
        <w:t xml:space="preserve"> </w:t>
      </w:r>
      <w:r>
        <w:rPr>
          <w:rFonts w:ascii="Arial" w:cs="Arial" w:eastAsia="Arial" w:hAnsi="Arial"/>
          <w:sz w:val="17"/>
          <w:szCs w:val="17"/>
          <w:color w:val="auto"/>
        </w:rPr>
        <w:t>legality or enforceability of any other provision.</w:t>
      </w:r>
    </w:p>
    <w:p>
      <w:pPr>
        <w:spacing w:after="0" w:line="145" w:lineRule="exact"/>
        <w:rPr>
          <w:rFonts w:ascii="Arial" w:cs="Arial" w:eastAsia="Arial" w:hAnsi="Arial"/>
          <w:sz w:val="17"/>
          <w:szCs w:val="17"/>
          <w:b w:val="1"/>
          <w:bCs w:val="1"/>
          <w:color w:val="auto"/>
        </w:rPr>
      </w:pPr>
    </w:p>
    <w:p>
      <w:pPr>
        <w:ind w:right="300" w:firstLine="1263"/>
        <w:spacing w:after="0" w:line="297" w:lineRule="auto"/>
        <w:tabs>
          <w:tab w:leader="none" w:pos="1905" w:val="left"/>
        </w:tabs>
        <w:numPr>
          <w:ilvl w:val="0"/>
          <w:numId w:val="39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binding upon and inure to the benefit of the parties hereto and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successors and assigns, subject to the limitations set forth in Section 10 hereof.</w:t>
      </w:r>
    </w:p>
    <w:p>
      <w:pPr>
        <w:spacing w:after="0" w:line="145" w:lineRule="exact"/>
        <w:rPr>
          <w:rFonts w:ascii="Arial" w:cs="Arial" w:eastAsia="Arial" w:hAnsi="Arial"/>
          <w:sz w:val="17"/>
          <w:szCs w:val="17"/>
          <w:b w:val="1"/>
          <w:bCs w:val="1"/>
          <w:color w:val="auto"/>
        </w:rPr>
      </w:pPr>
    </w:p>
    <w:p>
      <w:pPr>
        <w:ind w:right="340" w:firstLine="1263"/>
        <w:spacing w:after="0" w:line="297" w:lineRule="auto"/>
        <w:tabs>
          <w:tab w:leader="none" w:pos="1898" w:val="left"/>
        </w:tabs>
        <w:numPr>
          <w:ilvl w:val="0"/>
          <w:numId w:val="39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governed by and interpreted in accordance with the laws of the State of Texas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giving effect to the principles of the conflicts of laws thereof.</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Company and the Employee have caused this instrument to be executed as of the date first above written.</w:t>
      </w:r>
    </w:p>
    <w:p>
      <w:pPr>
        <w:spacing w:after="0" w:line="200" w:lineRule="exact"/>
        <w:rPr>
          <w:sz w:val="20"/>
          <w:szCs w:val="20"/>
          <w:color w:val="auto"/>
        </w:rPr>
      </w:pPr>
    </w:p>
    <w:p>
      <w:pPr>
        <w:spacing w:after="0" w:line="22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APPLIED OPTOELECTRONICS, INC.</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-123190</wp:posOffset>
            </wp:positionV>
            <wp:extent cx="314642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jc w:val="center"/>
        <w:ind w:left="3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EMPLOYEE</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-123190</wp:posOffset>
            </wp:positionV>
            <wp:extent cx="314642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280"/>
          </w:cols>
          <w:pgMar w:left="240" w:top="127" w:right="379" w:bottom="1440" w:gutter="0" w:footer="0" w:header="0"/>
        </w:sectPr>
      </w:pPr>
    </w:p>
    <w:bookmarkStart w:id="303" w:name="page304"/>
    <w:bookmarkEnd w:id="303"/>
    <w:p>
      <w:pPr>
        <w:jc w:val="right"/>
        <w:spacing w:after="0"/>
        <w:rPr>
          <w:sz w:val="20"/>
          <w:szCs w:val="20"/>
          <w:color w:val="auto"/>
        </w:rPr>
      </w:pPr>
      <w:r>
        <w:rPr>
          <w:rFonts w:ascii="Arial" w:cs="Arial" w:eastAsia="Arial" w:hAnsi="Arial"/>
          <w:sz w:val="17"/>
          <w:szCs w:val="17"/>
          <w:b w:val="1"/>
          <w:bCs w:val="1"/>
          <w:color w:val="auto"/>
        </w:rPr>
        <w:t>Exhibit 10.4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2004 INCENTIVE SHARE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220345</wp:posOffset>
            </wp:positionV>
            <wp:extent cx="182308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PURPOSE AND EFFECTIVE DATE</w:t>
      </w:r>
    </w:p>
    <w:p>
      <w:pPr>
        <w:spacing w:after="0" w:line="21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i w:val="1"/>
          <w:iCs w:val="1"/>
          <w:u w:val="single" w:color="auto"/>
          <w:color w:val="auto"/>
        </w:rPr>
        <w:t xml:space="preserve">Purpose. </w:t>
      </w:r>
      <w:r>
        <w:rPr>
          <w:rFonts w:ascii="Arial" w:cs="Arial" w:eastAsia="Arial" w:hAnsi="Arial"/>
          <w:sz w:val="15"/>
          <w:szCs w:val="15"/>
          <w:color w:val="auto"/>
        </w:rPr>
        <w:t>The purpose of the 2004 Incentive Share Plan (the “</w:t>
      </w:r>
      <w:r>
        <w:rPr>
          <w:rFonts w:ascii="Arial" w:cs="Arial" w:eastAsia="Arial" w:hAnsi="Arial"/>
          <w:sz w:val="15"/>
          <w:szCs w:val="15"/>
          <w:i w:val="1"/>
          <w:iCs w:val="1"/>
          <w:color w:val="auto"/>
        </w:rPr>
        <w:t>Plan</w:t>
      </w:r>
      <w:r>
        <w:rPr>
          <w:rFonts w:ascii="Arial" w:cs="Arial" w:eastAsia="Arial" w:hAnsi="Arial"/>
          <w:sz w:val="15"/>
          <w:szCs w:val="15"/>
          <w:color w:val="auto"/>
        </w:rPr>
        <w:t>”) is to advance the interests of Applied Optoelectronics, Inc. (the</w:t>
      </w:r>
    </w:p>
    <w:p>
      <w:pPr>
        <w:spacing w:after="0" w:line="26"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w:t>
      </w:r>
      <w:r>
        <w:rPr>
          <w:rFonts w:ascii="Arial" w:cs="Arial" w:eastAsia="Arial" w:hAnsi="Arial"/>
          <w:sz w:val="17"/>
          <w:szCs w:val="17"/>
          <w:color w:val="auto"/>
        </w:rPr>
        <w:t>”) and its shareholders by enabling the Company and each of its Subsidiaries (as hereinafter defined) to (A) provide share ownership opportunities to certain of their key employees to participate in the Company’s growth and (B) enhance their ability to attract and retain individuals of superior managerial or technical ability and to motivate employees, consultants, independent contractors, agents, and other persons to exert their best efforts towards future progress and profitability of the Company.</w:t>
      </w:r>
    </w:p>
    <w:p>
      <w:pPr>
        <w:spacing w:after="0" w:line="18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i w:val="1"/>
          <w:iCs w:val="1"/>
          <w:u w:val="single" w:color="auto"/>
          <w:color w:val="auto"/>
        </w:rPr>
        <w:t xml:space="preserve">Effective Date. </w:t>
      </w:r>
      <w:r>
        <w:rPr>
          <w:rFonts w:ascii="Arial" w:cs="Arial" w:eastAsia="Arial" w:hAnsi="Arial"/>
          <w:sz w:val="15"/>
          <w:szCs w:val="15"/>
          <w:color w:val="auto"/>
        </w:rPr>
        <w:t>The effective date of the Plan shall be the date that this Plan is approved by the shareholders of the Company.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used in this Plan, the following terms shall have the meanings set forth below unless the context otherwise requires:</w:t>
      </w:r>
    </w:p>
    <w:p>
      <w:pPr>
        <w:spacing w:after="0" w:line="224"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i w:val="1"/>
          <w:iCs w:val="1"/>
          <w:color w:val="auto"/>
        </w:rPr>
        <w:t>“Award”</w:t>
      </w:r>
      <w:r>
        <w:rPr>
          <w:rFonts w:ascii="Arial" w:cs="Arial" w:eastAsia="Arial" w:hAnsi="Arial"/>
          <w:sz w:val="17"/>
          <w:szCs w:val="17"/>
          <w:color w:val="auto"/>
        </w:rPr>
        <w:t xml:space="preserve"> shall mean the grant of a Stock Option, a Stock Appreciation Right, Restricted Stock, a Performance Award, or any other grant of incentive compensation pursuant to this Plan.</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Award Period</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Subsection 16.2</w:t>
      </w:r>
      <w:r>
        <w:rPr>
          <w:rFonts w:ascii="Arial" w:cs="Arial" w:eastAsia="Arial" w:hAnsi="Arial"/>
          <w:sz w:val="15"/>
          <w:szCs w:val="15"/>
          <w:color w:val="auto"/>
        </w:rPr>
        <w:t xml:space="preserve"> of this Plan.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6"/>
          <w:szCs w:val="16"/>
          <w:i w:val="1"/>
          <w:iCs w:val="1"/>
          <w:color w:val="auto"/>
        </w:rPr>
        <w:t xml:space="preserve">“Board” </w:t>
      </w:r>
      <w:r>
        <w:rPr>
          <w:rFonts w:ascii="Arial" w:cs="Arial" w:eastAsia="Arial" w:hAnsi="Arial"/>
          <w:sz w:val="16"/>
          <w:szCs w:val="16"/>
          <w:color w:val="auto"/>
        </w:rPr>
        <w:t>shall mean the Board of Directors of the Company, as the same may be constituted from time to time.</w:t>
      </w:r>
    </w:p>
    <w:p>
      <w:pPr>
        <w:spacing w:after="0" w:line="224" w:lineRule="exact"/>
        <w:rPr>
          <w:sz w:val="20"/>
          <w:szCs w:val="20"/>
          <w:color w:val="auto"/>
        </w:rPr>
      </w:pPr>
    </w:p>
    <w:p>
      <w:pPr>
        <w:ind w:right="80" w:firstLine="629"/>
        <w:spacing w:after="0" w:line="262"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i w:val="1"/>
          <w:iCs w:val="1"/>
          <w:color w:val="auto"/>
        </w:rPr>
        <w:t>“Change in Control”</w:t>
      </w:r>
      <w:r>
        <w:rPr>
          <w:rFonts w:ascii="Arial" w:cs="Arial" w:eastAsia="Arial" w:hAnsi="Arial"/>
          <w:sz w:val="17"/>
          <w:szCs w:val="17"/>
          <w:color w:val="auto"/>
        </w:rPr>
        <w:t xml:space="preserve"> has the meaning given such term in the applicable Award agreement or, if not defined therein, shall mean, after the effective date of this Plan stated in </w:t>
      </w:r>
      <w:r>
        <w:rPr>
          <w:rFonts w:ascii="Arial" w:cs="Arial" w:eastAsia="Arial" w:hAnsi="Arial"/>
          <w:sz w:val="17"/>
          <w:szCs w:val="17"/>
          <w:u w:val="single" w:color="auto"/>
          <w:color w:val="auto"/>
        </w:rPr>
        <w:t>Subsection 1.2</w:t>
      </w:r>
      <w:r>
        <w:rPr>
          <w:rFonts w:ascii="Arial" w:cs="Arial" w:eastAsia="Arial" w:hAnsi="Arial"/>
          <w:sz w:val="17"/>
          <w:szCs w:val="17"/>
          <w:color w:val="auto"/>
        </w:rPr>
        <w:t>, (i) the occurrence of an event of a nature that would be required to be reported by the Company in response to Item 1 of a Current Report on Form 8-K (or any successor to such form), whether or not the Company is, in fact, required to report on such form, promulgated pursuant to the Exchange Act; provided that, without limitation, such a Change in Control shall be deemed to have occurred if (a) any Person or group (as defined in the Exchange Act), other than (A) the Company, (B) a wholly-owned Subsidiary, (C) any employee benefit plan (including, without limitation, an employee stock ownership plan) adopted by the Company or any wholly-owned Subsidiary or (D) any trustee or other fiduciary holding securities under any employee benefit plan adopted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189230</wp:posOffset>
            </wp:positionV>
            <wp:extent cx="7271385" cy="2921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Company or any Subsidiary, becomes the “beneficial owner” (as defined in Rule 13d-3 (or any successor to such rule) promulgated under the Exchange Act), directly or indirectly, of securities of the Company representing fifty percent (50%) or more of the combined voting power of the Company’s then outstanding securities or (b) during any period of twenty-four (24) months, individuals who at the beginning of such period constitute the Board cease for any reason to constitute at least a majority thereof, unless the election by the Board or the nomination for election by the Company’s shareholders was approved by a vote of at least two-thirds (2/3) of the directors then still in office who either were directors at the beginning of such twenty-four (24) month period or whose election or nomination for election was previously so approved; (ii) a Corporate Transaction is consummated, other than a Corporate Transaction that would result in substantially all of the holders of voting securities of the Company outstanding immediately prior thereto owning (directly or indirectly and in substantially the same proportions relative to each other) not less than fifty percent (50%) of the combined voting power of the voting securities of the issuing/surviving/resulting entity outstanding immediately after such Corporate Transaction; or (iii) an agreement for the sale or other disposition of all or substantially all of the Company’s assets (evaluated on a consolidated basis, without regard to whether the sale or disposition is effected via a sale or disposition of assets of the Company, the sale or disposition of the securities of one or more Subsidiaries or the sale or disposition of the assets of one or more Subsidiaries) is consummated.</w:t>
      </w:r>
    </w:p>
    <w:p>
      <w:pPr>
        <w:spacing w:after="0" w:line="173" w:lineRule="exact"/>
        <w:rPr>
          <w:sz w:val="20"/>
          <w:szCs w:val="20"/>
          <w:color w:val="auto"/>
        </w:rPr>
      </w:pPr>
    </w:p>
    <w:p>
      <w:pPr>
        <w:ind w:right="4120" w:firstLine="629"/>
        <w:spacing w:after="0" w:line="28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i w:val="1"/>
          <w:iCs w:val="1"/>
          <w:color w:val="auto"/>
        </w:rPr>
        <w:t>“Code”</w:t>
      </w:r>
      <w:r>
        <w:rPr>
          <w:rFonts w:ascii="Arial" w:cs="Arial" w:eastAsia="Arial" w:hAnsi="Arial"/>
          <w:sz w:val="17"/>
          <w:szCs w:val="17"/>
          <w:color w:val="auto"/>
        </w:rPr>
        <w:t xml:space="preserve"> shall mean the Internal Revenue Code of 1986, as amended from time to time (or any successor to such legislation).</w:t>
      </w:r>
    </w:p>
    <w:p>
      <w:pPr>
        <w:spacing w:after="0" w:line="158" w:lineRule="exact"/>
        <w:rPr>
          <w:sz w:val="20"/>
          <w:szCs w:val="20"/>
          <w:color w:val="auto"/>
        </w:rPr>
      </w:pPr>
    </w:p>
    <w:p>
      <w:pPr>
        <w:ind w:right="60" w:firstLine="629"/>
        <w:spacing w:after="0" w:line="290"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shall mean the Compensation Committee of the Board, if such a committee shall have been appointed and consist of two (2) or more directors of the Company who are both “Non-Employee Directors” (as that term is defined in Rule 16b-3 (or any successor to such rule) promulgated under the Exchange Act) and “outside directors” within the meaning of Section 162(m) of the Code and such Treasury regulations as may be promulgated thereunder. If a separate Compensation Committee with such membership shall not have been appointed, “Committee” shall mean the Board.</w:t>
      </w:r>
    </w:p>
    <w:p>
      <w:pPr>
        <w:spacing w:after="0" w:line="15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6"/>
          <w:szCs w:val="16"/>
          <w:i w:val="1"/>
          <w:iCs w:val="1"/>
          <w:color w:val="auto"/>
        </w:rPr>
        <w:t xml:space="preserve">“Company” </w:t>
      </w:r>
      <w:r>
        <w:rPr>
          <w:rFonts w:ascii="Arial" w:cs="Arial" w:eastAsia="Arial" w:hAnsi="Arial"/>
          <w:sz w:val="16"/>
          <w:szCs w:val="16"/>
          <w:color w:val="auto"/>
        </w:rPr>
        <w:t>shall mean Applied Optoelectronics, Inc., a Texas corporation.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5"/>
          <w:szCs w:val="15"/>
          <w:i w:val="1"/>
          <w:iCs w:val="1"/>
          <w:color w:val="auto"/>
        </w:rPr>
        <w:t xml:space="preserve">“Consultant” </w:t>
      </w:r>
      <w:r>
        <w:rPr>
          <w:rFonts w:ascii="Arial" w:cs="Arial" w:eastAsia="Arial" w:hAnsi="Arial"/>
          <w:sz w:val="15"/>
          <w:szCs w:val="15"/>
          <w:color w:val="auto"/>
        </w:rPr>
        <w:t>shall mean any Person who or which is engaged by the Company or any Subsidiary to render services as a consultant or advisor.</w:t>
      </w:r>
    </w:p>
    <w:p>
      <w:pPr>
        <w:spacing w:after="0" w:line="224" w:lineRule="exact"/>
        <w:rPr>
          <w:sz w:val="20"/>
          <w:szCs w:val="20"/>
          <w:color w:val="auto"/>
        </w:rPr>
      </w:pPr>
    </w:p>
    <w:p>
      <w:pPr>
        <w:ind w:right="540" w:firstLine="629"/>
        <w:spacing w:after="0" w:line="289"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i w:val="1"/>
          <w:iCs w:val="1"/>
          <w:color w:val="auto"/>
        </w:rPr>
        <w:t>“Corporate Transaction”</w:t>
      </w:r>
      <w:r>
        <w:rPr>
          <w:rFonts w:ascii="Arial" w:cs="Arial" w:eastAsia="Arial" w:hAnsi="Arial"/>
          <w:sz w:val="17"/>
          <w:szCs w:val="17"/>
          <w:color w:val="auto"/>
        </w:rPr>
        <w:t xml:space="preserve"> shall mean any reorganization, merger, consolidation or conversion involving the Company or any exchange of securities involving Shares, other than a Recapitalization.</w:t>
      </w:r>
    </w:p>
    <w:p>
      <w:pPr>
        <w:spacing w:after="0" w:line="158"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i w:val="1"/>
          <w:iCs w:val="1"/>
          <w:color w:val="auto"/>
        </w:rPr>
        <w:t>“Designated Beneficiary”</w:t>
      </w:r>
      <w:r>
        <w:rPr>
          <w:rFonts w:ascii="Arial" w:cs="Arial" w:eastAsia="Arial" w:hAnsi="Arial"/>
          <w:sz w:val="17"/>
          <w:szCs w:val="17"/>
          <w:color w:val="auto"/>
        </w:rPr>
        <w:t xml:space="preserve"> shall mean the beneficiary designated by a Participant, in a manner authorized by the Committee, to exercise the rights of such Participant in the event of such Participant’s death. In the absence of an effective designation by a Participant, the Designated Beneficiary shall be such Participant’s estate.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324" w:gutter="0" w:footer="0" w:header="0"/>
        </w:sectPr>
      </w:pPr>
    </w:p>
    <w:bookmarkStart w:id="304" w:name="page305"/>
    <w:bookmarkEnd w:id="304"/>
    <w:p>
      <w:pPr>
        <w:jc w:val="both"/>
        <w:ind w:right="360" w:firstLine="629"/>
        <w:spacing w:after="0" w:line="273"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i w:val="1"/>
          <w:iCs w:val="1"/>
          <w:color w:val="auto"/>
        </w:rPr>
        <w:t>“Disability”</w:t>
      </w:r>
      <w:r>
        <w:rPr>
          <w:rFonts w:ascii="Arial" w:cs="Arial" w:eastAsia="Arial" w:hAnsi="Arial"/>
          <w:sz w:val="17"/>
          <w:szCs w:val="17"/>
          <w:color w:val="auto"/>
        </w:rPr>
        <w:t xml:space="preserve"> shall mean permanent and total inability to engage in any substantial gainful activity, even with reasonable accommodation, by reason of any medically determinable physical or mental impairment which has lasted or can reasonably be expected to last without material interruption for a period of not less than twelve (12) months, as determined in the sole discretion of the Committee.</w:t>
      </w:r>
    </w:p>
    <w:p>
      <w:pPr>
        <w:spacing w:after="0" w:line="17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5"/>
          <w:szCs w:val="15"/>
          <w:i w:val="1"/>
          <w:iCs w:val="1"/>
          <w:color w:val="auto"/>
        </w:rPr>
        <w:t xml:space="preserve">“Exchange Act” </w:t>
      </w:r>
      <w:r>
        <w:rPr>
          <w:rFonts w:ascii="Arial" w:cs="Arial" w:eastAsia="Arial" w:hAnsi="Arial"/>
          <w:sz w:val="15"/>
          <w:szCs w:val="15"/>
          <w:color w:val="auto"/>
        </w:rPr>
        <w:t>shall mean the Securities Exchange Act of 1934, as amended from time to time (or any successor to such legislation).</w:t>
      </w:r>
    </w:p>
    <w:p>
      <w:pPr>
        <w:spacing w:after="0" w:line="224" w:lineRule="exact"/>
        <w:rPr>
          <w:sz w:val="20"/>
          <w:szCs w:val="20"/>
          <w:color w:val="auto"/>
        </w:rPr>
      </w:pPr>
    </w:p>
    <w:p>
      <w:pPr>
        <w:ind w:right="40" w:firstLine="629"/>
        <w:spacing w:after="0" w:line="300" w:lineRule="auto"/>
        <w:rPr>
          <w:sz w:val="20"/>
          <w:szCs w:val="20"/>
          <w:color w:val="auto"/>
        </w:rPr>
      </w:pPr>
      <w:r>
        <w:rPr>
          <w:rFonts w:ascii="Arial" w:cs="Arial" w:eastAsia="Arial" w:hAnsi="Arial"/>
          <w:sz w:val="15"/>
          <w:szCs w:val="15"/>
          <w:color w:val="auto"/>
        </w:rPr>
        <w:t xml:space="preserve">2.13 </w:t>
      </w:r>
      <w:r>
        <w:rPr>
          <w:rFonts w:ascii="Arial" w:cs="Arial" w:eastAsia="Arial" w:hAnsi="Arial"/>
          <w:sz w:val="15"/>
          <w:szCs w:val="15"/>
          <w:i w:val="1"/>
          <w:iCs w:val="1"/>
          <w:color w:val="auto"/>
        </w:rPr>
        <w:t>“Fair Market Value”</w:t>
      </w:r>
      <w:r>
        <w:rPr>
          <w:rFonts w:ascii="Arial" w:cs="Arial" w:eastAsia="Arial" w:hAnsi="Arial"/>
          <w:sz w:val="15"/>
          <w:szCs w:val="15"/>
          <w:color w:val="auto"/>
        </w:rPr>
        <w:t xml:space="preserve"> shall mean with respect to the Shares, as of any date, (i) if the Shares are listed or admitted to trade on a national securities exchange, the closing price of the Shares on the composite tape, as published in the </w:t>
      </w:r>
      <w:r>
        <w:rPr>
          <w:rFonts w:ascii="Arial" w:cs="Arial" w:eastAsia="Arial" w:hAnsi="Arial"/>
          <w:sz w:val="15"/>
          <w:szCs w:val="15"/>
          <w:i w:val="1"/>
          <w:iCs w:val="1"/>
          <w:color w:val="auto"/>
        </w:rPr>
        <w:t>Wall Street Journal</w:t>
      </w:r>
      <w:r>
        <w:rPr>
          <w:rFonts w:ascii="Arial" w:cs="Arial" w:eastAsia="Arial" w:hAnsi="Arial"/>
          <w:sz w:val="15"/>
          <w:szCs w:val="15"/>
          <w:color w:val="auto"/>
        </w:rPr>
        <w:t>, of the principal national securities exchange on which the Shares are so listed or admitted to trade, on such date or, if there is no trading in Shares on such date, then the closing price of the Shares as quoted on such composite tape on the next preceding date on which there was trading in such Shares; (ii) if the Shares are not listed or admitted to trade on a national securities exchange, then the closing price of the Shares as quoted on the National Market System of the NASD; (iii) if the Shares are not listed or admitted to trade on a national securities exchange or the National Market System of the NASD, the mean between the bid and asked price for the Shares on such date, as furnished by the NASD through NASDAQ or a similar organization if NASDAQ is no longer reporting such information; or (iv) if the Shares are not listed or admitted to trade on a national securities exchange or the National Market System of the NASD and if bid and asked prices for the Shares are not so furnished by the NASD or a similar organization, the value established by the Board, determined without regard to any restriction other than a restriction which, by its terms, will never lapse.</w:t>
      </w:r>
    </w:p>
    <w:p>
      <w:pPr>
        <w:spacing w:after="0" w:line="157"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i w:val="1"/>
          <w:iCs w:val="1"/>
          <w:color w:val="auto"/>
        </w:rPr>
        <w:t>“Incentive Stock Option”</w:t>
      </w:r>
      <w:r>
        <w:rPr>
          <w:rFonts w:ascii="Arial" w:cs="Arial" w:eastAsia="Arial" w:hAnsi="Arial"/>
          <w:sz w:val="17"/>
          <w:szCs w:val="17"/>
          <w:color w:val="auto"/>
        </w:rPr>
        <w:t xml:space="preserve"> shall mean any option to purchase Shares awarded pursuant to this Plan which qualifies as an “Incentive Stock Option” pursuant to Section 422 of the Code.</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2.15</w:t>
      </w:r>
      <w:r>
        <w:rPr>
          <w:sz w:val="20"/>
          <w:szCs w:val="20"/>
          <w:color w:val="auto"/>
        </w:rPr>
        <w:tab/>
      </w:r>
      <w:r>
        <w:rPr>
          <w:rFonts w:ascii="Arial" w:cs="Arial" w:eastAsia="Arial" w:hAnsi="Arial"/>
          <w:sz w:val="16"/>
          <w:szCs w:val="16"/>
          <w:i w:val="1"/>
          <w:iCs w:val="1"/>
          <w:color w:val="auto"/>
        </w:rPr>
        <w:t xml:space="preserve">“Named Executive Officer” </w:t>
      </w:r>
      <w:r>
        <w:rPr>
          <w:rFonts w:ascii="Arial" w:cs="Arial" w:eastAsia="Arial" w:hAnsi="Arial"/>
          <w:sz w:val="16"/>
          <w:szCs w:val="16"/>
          <w:color w:val="auto"/>
        </w:rPr>
        <w:t>shall have the meaning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Subsection 16.1</w:t>
      </w:r>
      <w:r>
        <w:rPr>
          <w:rFonts w:ascii="Arial" w:cs="Arial" w:eastAsia="Arial" w:hAnsi="Arial"/>
          <w:sz w:val="16"/>
          <w:szCs w:val="16"/>
          <w:i w:val="1"/>
          <w:iCs w:val="1"/>
          <w:color w:val="auto"/>
        </w:rPr>
        <w:t xml:space="preserve"> </w:t>
      </w:r>
      <w:r>
        <w:rPr>
          <w:rFonts w:ascii="Arial" w:cs="Arial" w:eastAsia="Arial" w:hAnsi="Arial"/>
          <w:sz w:val="16"/>
          <w:szCs w:val="16"/>
          <w:color w:val="auto"/>
        </w:rPr>
        <w:t>of this Plan.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2.16</w:t>
      </w:r>
      <w:r>
        <w:rPr>
          <w:sz w:val="20"/>
          <w:szCs w:val="20"/>
          <w:color w:val="auto"/>
        </w:rPr>
        <w:tab/>
      </w:r>
      <w:r>
        <w:rPr>
          <w:rFonts w:ascii="Arial" w:cs="Arial" w:eastAsia="Arial" w:hAnsi="Arial"/>
          <w:sz w:val="16"/>
          <w:szCs w:val="16"/>
          <w:i w:val="1"/>
          <w:iCs w:val="1"/>
          <w:color w:val="auto"/>
        </w:rPr>
        <w:t xml:space="preserve">“NASD” </w:t>
      </w:r>
      <w:r>
        <w:rPr>
          <w:rFonts w:ascii="Arial" w:cs="Arial" w:eastAsia="Arial" w:hAnsi="Arial"/>
          <w:sz w:val="16"/>
          <w:szCs w:val="16"/>
          <w:color w:val="auto"/>
        </w:rPr>
        <w:t>shall mean the National Association of Securities Dealers, Inc.</w:t>
      </w:r>
    </w:p>
    <w:p>
      <w:pPr>
        <w:spacing w:after="0" w:line="224"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i w:val="1"/>
          <w:iCs w:val="1"/>
          <w:color w:val="auto"/>
        </w:rPr>
        <w:t>“Non-Qualified Stock Option”</w:t>
      </w:r>
      <w:r>
        <w:rPr>
          <w:rFonts w:ascii="Arial" w:cs="Arial" w:eastAsia="Arial" w:hAnsi="Arial"/>
          <w:sz w:val="17"/>
          <w:szCs w:val="17"/>
          <w:color w:val="auto"/>
        </w:rPr>
        <w:t xml:space="preserve"> shall mean any option to purchase Shares awarded pursuant to this Plan that does not qualify as an Incentive Stock Option (including, without limitation, any option to purchase Shares originally designated as or intended to qualify as an Incentive Stock Option) but which does not (for whatever reason) qualify as an Incentive Stock Option.</w:t>
      </w:r>
    </w:p>
    <w:p>
      <w:pPr>
        <w:spacing w:after="0" w:line="172"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i w:val="1"/>
          <w:iCs w:val="1"/>
          <w:color w:val="auto"/>
        </w:rPr>
        <w:t>“Non-Tandem Stock Appreciation Right”</w:t>
      </w:r>
      <w:r>
        <w:rPr>
          <w:rFonts w:ascii="Arial" w:cs="Arial" w:eastAsia="Arial" w:hAnsi="Arial"/>
          <w:sz w:val="17"/>
          <w:szCs w:val="17"/>
          <w:color w:val="auto"/>
        </w:rPr>
        <w:t xml:space="preserve"> shall mean any Stock Appreciation Right granted alone and not in connection with an Award which is a Stock Option.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2.19</w:t>
      </w:r>
      <w:r>
        <w:rPr>
          <w:sz w:val="20"/>
          <w:szCs w:val="20"/>
          <w:color w:val="auto"/>
        </w:rPr>
        <w:tab/>
      </w:r>
      <w:r>
        <w:rPr>
          <w:rFonts w:ascii="Arial" w:cs="Arial" w:eastAsia="Arial" w:hAnsi="Arial"/>
          <w:sz w:val="15"/>
          <w:szCs w:val="15"/>
          <w:i w:val="1"/>
          <w:iCs w:val="1"/>
          <w:color w:val="auto"/>
        </w:rPr>
        <w:t xml:space="preserve">“Optionee” </w:t>
      </w:r>
      <w:r>
        <w:rPr>
          <w:rFonts w:ascii="Arial" w:cs="Arial" w:eastAsia="Arial" w:hAnsi="Arial"/>
          <w:sz w:val="15"/>
          <w:szCs w:val="15"/>
          <w:color w:val="auto"/>
        </w:rPr>
        <w:t>shall mean any Participant who has been granted and holds a Stock Option awarded pursuant to this Plan.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2.20</w:t>
      </w:r>
      <w:r>
        <w:rPr>
          <w:sz w:val="20"/>
          <w:szCs w:val="20"/>
          <w:color w:val="auto"/>
        </w:rPr>
        <w:tab/>
      </w:r>
      <w:r>
        <w:rPr>
          <w:rFonts w:ascii="Arial" w:cs="Arial" w:eastAsia="Arial" w:hAnsi="Arial"/>
          <w:sz w:val="15"/>
          <w:szCs w:val="15"/>
          <w:i w:val="1"/>
          <w:iCs w:val="1"/>
          <w:color w:val="auto"/>
        </w:rPr>
        <w:t xml:space="preserve">“Participant” </w:t>
      </w:r>
      <w:r>
        <w:rPr>
          <w:rFonts w:ascii="Arial" w:cs="Arial" w:eastAsia="Arial" w:hAnsi="Arial"/>
          <w:sz w:val="15"/>
          <w:szCs w:val="15"/>
          <w:color w:val="auto"/>
        </w:rPr>
        <w:t>shall mean any Person who has been granted and holds an Award granted pursuant to this Plan.</w:t>
      </w:r>
    </w:p>
    <w:p>
      <w:pPr>
        <w:spacing w:after="0" w:line="224" w:lineRule="exact"/>
        <w:rPr>
          <w:sz w:val="20"/>
          <w:szCs w:val="20"/>
          <w:color w:val="auto"/>
        </w:rPr>
      </w:pPr>
    </w:p>
    <w:p>
      <w:pPr>
        <w:ind w:right="480" w:firstLine="629"/>
        <w:spacing w:after="0" w:line="322"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i w:val="1"/>
          <w:iCs w:val="1"/>
          <w:color w:val="auto"/>
        </w:rPr>
        <w:t>“Performance Award”</w:t>
      </w:r>
      <w:r>
        <w:rPr>
          <w:rFonts w:ascii="Arial" w:cs="Arial" w:eastAsia="Arial" w:hAnsi="Arial"/>
          <w:sz w:val="16"/>
          <w:szCs w:val="16"/>
          <w:color w:val="auto"/>
        </w:rPr>
        <w:t xml:space="preserve"> shall mean any Award granted pursuant to this Plan of Shares, rights based upon, payable in or otherwise related to Shares (including Restricted Stock) or cash, as the Committee may determine, at the end of a specified performance period established by the Committee.</w:t>
      </w:r>
    </w:p>
    <w:p>
      <w:pPr>
        <w:spacing w:after="0" w:line="136" w:lineRule="exact"/>
        <w:rPr>
          <w:sz w:val="20"/>
          <w:szCs w:val="20"/>
          <w:color w:val="auto"/>
        </w:rPr>
      </w:pPr>
    </w:p>
    <w:p>
      <w:pPr>
        <w:ind w:right="40" w:firstLine="629"/>
        <w:spacing w:after="0" w:line="279" w:lineRule="auto"/>
        <w:rPr>
          <w:sz w:val="20"/>
          <w:szCs w:val="20"/>
          <w:color w:val="auto"/>
        </w:rPr>
      </w:pPr>
      <w:r>
        <w:rPr>
          <w:rFonts w:ascii="Arial" w:cs="Arial" w:eastAsia="Arial" w:hAnsi="Arial"/>
          <w:sz w:val="16"/>
          <w:szCs w:val="16"/>
          <w:color w:val="auto"/>
        </w:rPr>
        <w:t>2.22 “</w:t>
      </w:r>
      <w:r>
        <w:rPr>
          <w:rFonts w:ascii="Arial" w:cs="Arial" w:eastAsia="Arial" w:hAnsi="Arial"/>
          <w:sz w:val="16"/>
          <w:szCs w:val="16"/>
          <w:i w:val="1"/>
          <w:iCs w:val="1"/>
          <w:color w:val="auto"/>
        </w:rPr>
        <w:t>Permitted Modification</w:t>
      </w:r>
      <w:r>
        <w:rPr>
          <w:rFonts w:ascii="Arial" w:cs="Arial" w:eastAsia="Arial" w:hAnsi="Arial"/>
          <w:sz w:val="16"/>
          <w:szCs w:val="16"/>
          <w:color w:val="auto"/>
        </w:rPr>
        <w:t>” shall be deemed to be any modification of an Award which is made in connection with a Corporate Transaction and which provides (i) in connection with a Stock Option, that subsequent to the consummation of the Corporate Transaction (A) the exercise price of such Stock Option will be proportionately adjusted to reflect the exchange ratio applicable to the particular Corporate Transaction and/or (B) the nature and amount of consideration to be received upon exercise of the Stock Option will be the same (on a per share basis) as was received by Persons who were holders of Shares immediately prior to the consummation of the Corporate Transaction, (ii) in connection with a Stock Appreciation Right, that subsequent to the consummation of the Corporate Transaction (A) the base price of such Stock Appreciation Right will be proportionately adjusted to reflect the exchange ratio applicable to the particular Corporate Transaction and/or (B) the benefits to be received by the holder of such Stock Appreciation Right will be measured based upon the nature and amount of consideration received (on a per share basis) by Persons who were holders of Shares immediately prior to the consummation of the Corporate Transaction, or (iii) for a modification expressly provided for in this Plan or in an Award agreement.</w:t>
      </w:r>
    </w:p>
    <w:p>
      <w:pPr>
        <w:spacing w:after="0" w:line="173" w:lineRule="exact"/>
        <w:rPr>
          <w:sz w:val="20"/>
          <w:szCs w:val="20"/>
          <w:color w:val="auto"/>
        </w:rPr>
      </w:pPr>
    </w:p>
    <w:p>
      <w:pPr>
        <w:ind w:right="760" w:firstLine="629"/>
        <w:spacing w:after="0" w:line="289" w:lineRule="auto"/>
        <w:rPr>
          <w:sz w:val="20"/>
          <w:szCs w:val="20"/>
          <w:color w:val="auto"/>
        </w:rPr>
      </w:pPr>
      <w:r>
        <w:rPr>
          <w:rFonts w:ascii="Arial" w:cs="Arial" w:eastAsia="Arial" w:hAnsi="Arial"/>
          <w:sz w:val="17"/>
          <w:szCs w:val="17"/>
          <w:color w:val="auto"/>
        </w:rPr>
        <w:t>2.23 “</w:t>
      </w:r>
      <w:r>
        <w:rPr>
          <w:rFonts w:ascii="Arial" w:cs="Arial" w:eastAsia="Arial" w:hAnsi="Arial"/>
          <w:sz w:val="17"/>
          <w:szCs w:val="17"/>
          <w:i w:val="1"/>
          <w:iCs w:val="1"/>
          <w:color w:val="auto"/>
        </w:rPr>
        <w:t>Person</w:t>
      </w:r>
      <w:r>
        <w:rPr>
          <w:rFonts w:ascii="Arial" w:cs="Arial" w:eastAsia="Arial" w:hAnsi="Arial"/>
          <w:sz w:val="17"/>
          <w:szCs w:val="17"/>
          <w:color w:val="auto"/>
        </w:rPr>
        <w:t>” shall mean an individual, partnership, limited liability company, corporation, joint stock company, trust, estate, joint venture, association or unincorporated organization or any other form of business organization.</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2.24</w:t>
      </w:r>
      <w:r>
        <w:rPr>
          <w:sz w:val="20"/>
          <w:szCs w:val="20"/>
          <w:color w:val="auto"/>
        </w:rPr>
        <w:tab/>
      </w:r>
      <w:r>
        <w:rPr>
          <w:rFonts w:ascii="Arial" w:cs="Arial" w:eastAsia="Arial" w:hAnsi="Arial"/>
          <w:sz w:val="15"/>
          <w:szCs w:val="15"/>
          <w:i w:val="1"/>
          <w:iCs w:val="1"/>
          <w:color w:val="auto"/>
        </w:rPr>
        <w:t xml:space="preserve">“Plan” </w:t>
      </w:r>
      <w:r>
        <w:rPr>
          <w:rFonts w:ascii="Arial" w:cs="Arial" w:eastAsia="Arial" w:hAnsi="Arial"/>
          <w:sz w:val="15"/>
          <w:szCs w:val="15"/>
          <w:color w:val="auto"/>
        </w:rPr>
        <w:t>shall mean this Applied Optoelectronics, Inc. 2004 Incentive Share Plan as set out in this document and as it may be amended from time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to time.</w:t>
      </w:r>
    </w:p>
    <w:p>
      <w:pPr>
        <w:spacing w:after="0" w:line="21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2.25</w:t>
      </w:r>
      <w:r>
        <w:rPr>
          <w:sz w:val="20"/>
          <w:szCs w:val="20"/>
          <w:color w:val="auto"/>
        </w:rPr>
        <w:tab/>
      </w:r>
      <w:r>
        <w:rPr>
          <w:rFonts w:ascii="Arial" w:cs="Arial" w:eastAsia="Arial" w:hAnsi="Arial"/>
          <w:sz w:val="16"/>
          <w:szCs w:val="16"/>
          <w:i w:val="1"/>
          <w:iCs w:val="1"/>
          <w:color w:val="auto"/>
        </w:rPr>
        <w:t xml:space="preserve">“Reload Option” </w:t>
      </w:r>
      <w:r>
        <w:rPr>
          <w:rFonts w:ascii="Arial" w:cs="Arial" w:eastAsia="Arial" w:hAnsi="Arial"/>
          <w:sz w:val="16"/>
          <w:szCs w:val="16"/>
          <w:color w:val="auto"/>
        </w:rPr>
        <w:t>shall mean a Stock Option as defined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Subsection 6.6(b)</w:t>
      </w:r>
      <w:r>
        <w:rPr>
          <w:rFonts w:ascii="Arial" w:cs="Arial" w:eastAsia="Arial" w:hAnsi="Arial"/>
          <w:sz w:val="16"/>
          <w:szCs w:val="16"/>
          <w:i w:val="1"/>
          <w:iCs w:val="1"/>
          <w:color w:val="auto"/>
        </w:rPr>
        <w:t xml:space="preserve"> </w:t>
      </w:r>
      <w:r>
        <w:rPr>
          <w:rFonts w:ascii="Arial" w:cs="Arial" w:eastAsia="Arial" w:hAnsi="Arial"/>
          <w:sz w:val="16"/>
          <w:szCs w:val="16"/>
          <w:color w:val="auto"/>
        </w:rPr>
        <w:t>of this Plan.</w:t>
      </w:r>
    </w:p>
    <w:p>
      <w:pPr>
        <w:spacing w:after="0" w:line="224" w:lineRule="exact"/>
        <w:rPr>
          <w:sz w:val="20"/>
          <w:szCs w:val="20"/>
          <w:color w:val="auto"/>
        </w:rPr>
      </w:pPr>
    </w:p>
    <w:p>
      <w:pPr>
        <w:ind w:right="120" w:firstLine="629"/>
        <w:spacing w:after="0" w:line="273" w:lineRule="auto"/>
        <w:rPr>
          <w:sz w:val="20"/>
          <w:szCs w:val="20"/>
          <w:color w:val="auto"/>
        </w:rPr>
      </w:pPr>
      <w:r>
        <w:rPr>
          <w:rFonts w:ascii="Arial" w:cs="Arial" w:eastAsia="Arial" w:hAnsi="Arial"/>
          <w:sz w:val="17"/>
          <w:szCs w:val="17"/>
          <w:color w:val="auto"/>
        </w:rPr>
        <w:t>2.26 “</w:t>
      </w:r>
      <w:r>
        <w:rPr>
          <w:rFonts w:ascii="Arial" w:cs="Arial" w:eastAsia="Arial" w:hAnsi="Arial"/>
          <w:sz w:val="17"/>
          <w:szCs w:val="17"/>
          <w:i w:val="1"/>
          <w:iCs w:val="1"/>
          <w:color w:val="auto"/>
        </w:rPr>
        <w:t>Recapitalization</w:t>
      </w:r>
      <w:r>
        <w:rPr>
          <w:rFonts w:ascii="Arial" w:cs="Arial" w:eastAsia="Arial" w:hAnsi="Arial"/>
          <w:sz w:val="17"/>
          <w:szCs w:val="17"/>
          <w:color w:val="auto"/>
        </w:rPr>
        <w:t>” shall mean any stock split, stock dividend, reverse stock split, combination or subdivision of Shares or any other similar increase or decrease in the number of Shares issued and outstanding, without the Company receiving consideration therefor in money, services, or property (other than securities issued by the Company).</w:t>
      </w:r>
    </w:p>
    <w:p>
      <w:pPr>
        <w:spacing w:after="0" w:line="172" w:lineRule="exact"/>
        <w:rPr>
          <w:sz w:val="20"/>
          <w:szCs w:val="20"/>
          <w:color w:val="auto"/>
        </w:rPr>
      </w:pPr>
    </w:p>
    <w:p>
      <w:pPr>
        <w:jc w:val="center"/>
        <w:ind w:right="240"/>
        <w:spacing w:after="0"/>
        <w:tabs>
          <w:tab w:leader="none" w:pos="300" w:val="left"/>
        </w:tabs>
        <w:rPr>
          <w:sz w:val="20"/>
          <w:szCs w:val="20"/>
          <w:color w:val="auto"/>
        </w:rPr>
      </w:pPr>
      <w:r>
        <w:rPr>
          <w:rFonts w:ascii="Arial" w:cs="Arial" w:eastAsia="Arial" w:hAnsi="Arial"/>
          <w:sz w:val="17"/>
          <w:szCs w:val="17"/>
          <w:color w:val="auto"/>
        </w:rPr>
        <w:t>2.27</w:t>
      </w:r>
      <w:r>
        <w:rPr>
          <w:sz w:val="20"/>
          <w:szCs w:val="20"/>
          <w:color w:val="auto"/>
        </w:rPr>
        <w:tab/>
      </w:r>
      <w:r>
        <w:rPr>
          <w:rFonts w:ascii="Arial" w:cs="Arial" w:eastAsia="Arial" w:hAnsi="Arial"/>
          <w:sz w:val="15"/>
          <w:szCs w:val="15"/>
          <w:i w:val="1"/>
          <w:iCs w:val="1"/>
          <w:color w:val="auto"/>
        </w:rPr>
        <w:t xml:space="preserve">“Restricted Stock” </w:t>
      </w:r>
      <w:r>
        <w:rPr>
          <w:rFonts w:ascii="Arial" w:cs="Arial" w:eastAsia="Arial" w:hAnsi="Arial"/>
          <w:sz w:val="15"/>
          <w:szCs w:val="15"/>
          <w:color w:val="auto"/>
        </w:rPr>
        <w:t>shall mean any Shares granted pursuant to this Plan that are subject to restrictions or substantial risk of forfeiture.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40" w:firstLine="629"/>
        <w:spacing w:after="0" w:line="289" w:lineRule="auto"/>
        <w:rPr>
          <w:sz w:val="20"/>
          <w:szCs w:val="20"/>
          <w:color w:val="auto"/>
        </w:rPr>
      </w:pPr>
      <w:r>
        <w:rPr>
          <w:rFonts w:ascii="Arial" w:cs="Arial" w:eastAsia="Arial" w:hAnsi="Arial"/>
          <w:sz w:val="17"/>
          <w:szCs w:val="17"/>
          <w:color w:val="auto"/>
        </w:rPr>
        <w:t xml:space="preserve">2.28 </w:t>
      </w:r>
      <w:r>
        <w:rPr>
          <w:rFonts w:ascii="Arial" w:cs="Arial" w:eastAsia="Arial" w:hAnsi="Arial"/>
          <w:sz w:val="17"/>
          <w:szCs w:val="17"/>
          <w:i w:val="1"/>
          <w:iCs w:val="1"/>
          <w:color w:val="auto"/>
        </w:rPr>
        <w:t>“Retirement”</w:t>
      </w:r>
      <w:r>
        <w:rPr>
          <w:rFonts w:ascii="Arial" w:cs="Arial" w:eastAsia="Arial" w:hAnsi="Arial"/>
          <w:sz w:val="17"/>
          <w:szCs w:val="17"/>
          <w:color w:val="auto"/>
        </w:rPr>
        <w:t xml:space="preserve"> shall mean the termination of employment of an employee of the Company or any Subsidiary pursuant to the terms of any retirement plan or policy maintained by the Company or any Subsidiary in which such employee participates.</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2.29</w:t>
      </w:r>
      <w:r>
        <w:rPr>
          <w:sz w:val="20"/>
          <w:szCs w:val="20"/>
          <w:color w:val="auto"/>
        </w:rPr>
        <w:tab/>
      </w:r>
      <w:r>
        <w:rPr>
          <w:rFonts w:ascii="Arial" w:cs="Arial" w:eastAsia="Arial" w:hAnsi="Arial"/>
          <w:sz w:val="15"/>
          <w:szCs w:val="15"/>
          <w:i w:val="1"/>
          <w:iCs w:val="1"/>
          <w:color w:val="auto"/>
        </w:rPr>
        <w:t xml:space="preserve">“Securities Act” </w:t>
      </w:r>
      <w:r>
        <w:rPr>
          <w:rFonts w:ascii="Arial" w:cs="Arial" w:eastAsia="Arial" w:hAnsi="Arial"/>
          <w:sz w:val="15"/>
          <w:szCs w:val="15"/>
          <w:color w:val="auto"/>
        </w:rPr>
        <w:t>shall mean the Securities Act of 1933, as amended from time to time (or any successor to such legislation).</w:t>
      </w:r>
    </w:p>
    <w:p>
      <w:pPr>
        <w:spacing w:after="0" w:line="224"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 xml:space="preserve">2.30 </w:t>
      </w:r>
      <w:r>
        <w:rPr>
          <w:rFonts w:ascii="Arial" w:cs="Arial" w:eastAsia="Arial" w:hAnsi="Arial"/>
          <w:sz w:val="17"/>
          <w:szCs w:val="17"/>
          <w:i w:val="1"/>
          <w:iCs w:val="1"/>
          <w:color w:val="auto"/>
        </w:rPr>
        <w:t>“Shares”</w:t>
      </w:r>
      <w:r>
        <w:rPr>
          <w:rFonts w:ascii="Arial" w:cs="Arial" w:eastAsia="Arial" w:hAnsi="Arial"/>
          <w:sz w:val="17"/>
          <w:szCs w:val="17"/>
          <w:color w:val="auto"/>
        </w:rPr>
        <w:t xml:space="preserve"> shall mean shares of the common stock of the Company and any shares of capital stock or other securities hereafter issued or issuable upon, in respect of or in substitution or exchange for shares of common stock of the Company.</w:t>
      </w:r>
    </w:p>
    <w:p>
      <w:pPr>
        <w:sectPr>
          <w:pgSz w:w="11900" w:h="16838" w:orient="portrait"/>
          <w:cols w:equalWidth="0" w:num="1">
            <w:col w:w="11420"/>
          </w:cols>
          <w:pgMar w:left="240" w:top="127" w:right="239" w:bottom="23" w:gutter="0" w:footer="0" w:header="0"/>
        </w:sectPr>
      </w:pPr>
    </w:p>
    <w:bookmarkStart w:id="305" w:name="page306"/>
    <w:bookmarkEnd w:id="305"/>
    <w:p>
      <w:pPr>
        <w:spacing w:after="0" w:line="6"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i w:val="1"/>
          <w:iCs w:val="1"/>
          <w:color w:val="auto"/>
        </w:rPr>
        <w:t>“Stock Appreciation Right”</w:t>
      </w:r>
      <w:r>
        <w:rPr>
          <w:rFonts w:ascii="Arial" w:cs="Arial" w:eastAsia="Arial" w:hAnsi="Arial"/>
          <w:sz w:val="17"/>
          <w:szCs w:val="17"/>
          <w:color w:val="auto"/>
        </w:rPr>
        <w:t xml:space="preserve"> shall mean the right of the holder thereof to receive property or Shares with a Fair Market Value equal to or cash in an amount equal to the excess of the Fair Market Value of the aggregate number of Shares subject to such Stock Appreciation Right on the date of exercise over the Fair Market Value of the aggregate number of Shares subject to such Stock Appreciation Right on the date of the grant of such Stock Appreciation Right (or such other value as may be specified in the agreement granting such Stock Appreciation Right). A Stock Appreciation Right may be a Tandem Stock Appreciation Right or a Non-Tandem Stock Appreciation Right.</w:t>
      </w:r>
    </w:p>
    <w:p>
      <w:pPr>
        <w:spacing w:after="0" w:line="17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Stock Option</w:t>
      </w:r>
      <w:r>
        <w:rPr>
          <w:rFonts w:ascii="Arial" w:cs="Arial" w:eastAsia="Arial" w:hAnsi="Arial"/>
          <w:sz w:val="16"/>
          <w:szCs w:val="16"/>
          <w:color w:val="auto"/>
        </w:rPr>
        <w:t>” shall mean any Incentive Stock Option or Non-Qualified Stock Option.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2.33</w:t>
      </w:r>
      <w:r>
        <w:rPr>
          <w:sz w:val="20"/>
          <w:szCs w:val="20"/>
          <w:color w:val="auto"/>
        </w:rPr>
        <w:tab/>
      </w:r>
      <w:r>
        <w:rPr>
          <w:rFonts w:ascii="Arial" w:cs="Arial" w:eastAsia="Arial" w:hAnsi="Arial"/>
          <w:sz w:val="16"/>
          <w:szCs w:val="16"/>
          <w:i w:val="1"/>
          <w:iCs w:val="1"/>
          <w:color w:val="auto"/>
        </w:rPr>
        <w:t xml:space="preserve">“Subsidiary” </w:t>
      </w:r>
      <w:r>
        <w:rPr>
          <w:rFonts w:ascii="Arial" w:cs="Arial" w:eastAsia="Arial" w:hAnsi="Arial"/>
          <w:sz w:val="16"/>
          <w:szCs w:val="16"/>
          <w:color w:val="auto"/>
        </w:rPr>
        <w:t>shall mean a subsidiary corporation of the Company, as defined in Section 424(f) of the Code.</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2.34</w:t>
      </w:r>
      <w:r>
        <w:rPr>
          <w:sz w:val="20"/>
          <w:szCs w:val="20"/>
          <w:color w:val="auto"/>
        </w:rPr>
        <w:tab/>
      </w:r>
      <w:r>
        <w:rPr>
          <w:rFonts w:ascii="Arial" w:cs="Arial" w:eastAsia="Arial" w:hAnsi="Arial"/>
          <w:sz w:val="16"/>
          <w:szCs w:val="16"/>
          <w:i w:val="1"/>
          <w:iCs w:val="1"/>
          <w:color w:val="auto"/>
        </w:rPr>
        <w:t xml:space="preserve">“Tandem Stock Appreciation Right” </w:t>
      </w:r>
      <w:r>
        <w:rPr>
          <w:rFonts w:ascii="Arial" w:cs="Arial" w:eastAsia="Arial" w:hAnsi="Arial"/>
          <w:sz w:val="16"/>
          <w:szCs w:val="16"/>
          <w:color w:val="auto"/>
        </w:rPr>
        <w:t>shall mean a Stock Appreciation Right granted in connection with an Award which is a Stock Option.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2.35</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Transactional Consideration</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Subsection 12.2</w:t>
      </w:r>
      <w:r>
        <w:rPr>
          <w:rFonts w:ascii="Arial" w:cs="Arial" w:eastAsia="Arial" w:hAnsi="Arial"/>
          <w:sz w:val="16"/>
          <w:szCs w:val="16"/>
          <w:color w:val="auto"/>
        </w:rPr>
        <w:t xml:space="preserve"> of this Plan.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3</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ADMINISTRATION OF THIS PLAN</w:t>
      </w:r>
    </w:p>
    <w:p>
      <w:pPr>
        <w:spacing w:after="0" w:line="21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i w:val="1"/>
          <w:iCs w:val="1"/>
          <w:u w:val="single" w:color="auto"/>
          <w:color w:val="auto"/>
        </w:rPr>
        <w:t xml:space="preserve">Committee. </w:t>
      </w:r>
      <w:r>
        <w:rPr>
          <w:rFonts w:ascii="Arial" w:cs="Arial" w:eastAsia="Arial" w:hAnsi="Arial"/>
          <w:sz w:val="15"/>
          <w:szCs w:val="15"/>
          <w:color w:val="auto"/>
        </w:rPr>
        <w:t>This Plan shall be administered and interpreted by the Committee.</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6"/>
          <w:szCs w:val="16"/>
          <w:i w:val="1"/>
          <w:iCs w:val="1"/>
          <w:u w:val="single" w:color="auto"/>
          <w:color w:val="auto"/>
        </w:rPr>
        <w:t>Administration</w:t>
      </w:r>
      <w:r>
        <w:rPr>
          <w:rFonts w:ascii="Arial" w:cs="Arial" w:eastAsia="Arial" w:hAnsi="Arial"/>
          <w:sz w:val="16"/>
          <w:szCs w:val="16"/>
          <w:u w:val="single" w:color="auto"/>
          <w:color w:val="auto"/>
        </w:rPr>
        <w:t>.</w:t>
      </w:r>
    </w:p>
    <w:p>
      <w:pPr>
        <w:spacing w:after="0" w:line="224" w:lineRule="exact"/>
        <w:rPr>
          <w:sz w:val="20"/>
          <w:szCs w:val="20"/>
          <w:color w:val="auto"/>
        </w:rPr>
      </w:pPr>
    </w:p>
    <w:p>
      <w:pPr>
        <w:ind w:left="1260" w:hanging="626"/>
        <w:spacing w:after="0"/>
        <w:tabs>
          <w:tab w:leader="none" w:pos="126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Subject to the provisions of this Plan and directions from the Board, the Committee is authorized to:</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1"/>
          <w:numId w:val="394"/>
        </w:numPr>
        <w:rPr>
          <w:rFonts w:ascii="Arial" w:cs="Arial" w:eastAsia="Arial" w:hAnsi="Arial"/>
          <w:sz w:val="17"/>
          <w:szCs w:val="17"/>
          <w:color w:val="auto"/>
        </w:rPr>
      </w:pPr>
      <w:r>
        <w:rPr>
          <w:rFonts w:ascii="Arial" w:cs="Arial" w:eastAsia="Arial" w:hAnsi="Arial"/>
          <w:sz w:val="17"/>
          <w:szCs w:val="17"/>
          <w:color w:val="auto"/>
        </w:rPr>
        <w:t>determine the Persons to whom Awards are to be granted;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260" w:right="140" w:firstLine="3"/>
        <w:spacing w:after="0" w:line="268" w:lineRule="auto"/>
        <w:tabs>
          <w:tab w:leader="none" w:pos="1919" w:val="left"/>
        </w:tabs>
        <w:numPr>
          <w:ilvl w:val="0"/>
          <w:numId w:val="395"/>
        </w:numPr>
        <w:rPr>
          <w:rFonts w:ascii="Arial" w:cs="Arial" w:eastAsia="Arial" w:hAnsi="Arial"/>
          <w:sz w:val="17"/>
          <w:szCs w:val="17"/>
          <w:color w:val="auto"/>
        </w:rPr>
      </w:pPr>
      <w:r>
        <w:rPr>
          <w:rFonts w:ascii="Arial" w:cs="Arial" w:eastAsia="Arial" w:hAnsi="Arial"/>
          <w:sz w:val="17"/>
          <w:szCs w:val="17"/>
          <w:color w:val="auto"/>
        </w:rPr>
        <w:t>determine the types and combinations of Awards to be granted; the number of Shares to be covered by an Award; the exercise price of an Award; the time or times when an Award shall be granted and may be exercised; the terms, performance criteria or other conditions, vesting periods or any restrictions for an Award; any restrictions on Shares acquired pursuant to the exercise of an Award; and any other terms and conditions of an Award;</w:t>
      </w:r>
    </w:p>
    <w:p>
      <w:pPr>
        <w:spacing w:after="0" w:line="175" w:lineRule="exact"/>
        <w:rPr>
          <w:rFonts w:ascii="Arial" w:cs="Arial" w:eastAsia="Arial" w:hAnsi="Arial"/>
          <w:sz w:val="17"/>
          <w:szCs w:val="17"/>
          <w:color w:val="auto"/>
        </w:rPr>
      </w:pPr>
    </w:p>
    <w:p>
      <w:pPr>
        <w:ind w:left="1940" w:hanging="677"/>
        <w:spacing w:after="0"/>
        <w:tabs>
          <w:tab w:leader="none" w:pos="194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conclusively interpret the provisions of this Plan;</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prescribe, amend and rescind rules and regulations relating to this Plan;</w:t>
      </w:r>
    </w:p>
    <w:p>
      <w:pPr>
        <w:spacing w:after="0" w:line="224" w:lineRule="exact"/>
        <w:rPr>
          <w:rFonts w:ascii="Arial" w:cs="Arial" w:eastAsia="Arial" w:hAnsi="Arial"/>
          <w:sz w:val="17"/>
          <w:szCs w:val="17"/>
          <w:color w:val="auto"/>
        </w:rPr>
      </w:pPr>
    </w:p>
    <w:p>
      <w:pPr>
        <w:ind w:left="1900" w:right="820" w:hanging="637"/>
        <w:spacing w:after="0" w:line="289" w:lineRule="auto"/>
        <w:tabs>
          <w:tab w:leader="none" w:pos="1907" w:val="left"/>
        </w:tabs>
        <w:numPr>
          <w:ilvl w:val="0"/>
          <w:numId w:val="395"/>
        </w:numPr>
        <w:rPr>
          <w:rFonts w:ascii="Arial" w:cs="Arial" w:eastAsia="Arial" w:hAnsi="Arial"/>
          <w:sz w:val="17"/>
          <w:szCs w:val="17"/>
          <w:color w:val="auto"/>
        </w:rPr>
      </w:pPr>
      <w:r>
        <w:rPr>
          <w:rFonts w:ascii="Arial" w:cs="Arial" w:eastAsia="Arial" w:hAnsi="Arial"/>
          <w:sz w:val="17"/>
          <w:szCs w:val="17"/>
          <w:color w:val="auto"/>
        </w:rPr>
        <w:t>rely upon employees of the Company for such clerical and record keeping duties as may be necessary in connection with the administration of this Plan;</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accelerate or defer (with the consent of the Participant) the vesting of any rights pursuant to an Award; and</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make all other determinations and take all other actions necessary or advisable for the administration of this Plan.</w:t>
      </w:r>
    </w:p>
    <w:p>
      <w:pPr>
        <w:spacing w:after="0" w:line="224" w:lineRule="exact"/>
        <w:rPr>
          <w:sz w:val="20"/>
          <w:szCs w:val="20"/>
          <w:color w:val="auto"/>
        </w:rPr>
      </w:pPr>
    </w:p>
    <w:p>
      <w:pPr>
        <w:ind w:left="640" w:right="40"/>
        <w:spacing w:after="0" w:line="281" w:lineRule="auto"/>
        <w:rPr>
          <w:sz w:val="20"/>
          <w:szCs w:val="20"/>
          <w:color w:val="auto"/>
        </w:rPr>
      </w:pPr>
      <w:r>
        <w:rPr>
          <w:rFonts w:ascii="Arial" w:cs="Arial" w:eastAsia="Arial" w:hAnsi="Arial"/>
          <w:sz w:val="16"/>
          <w:szCs w:val="16"/>
          <w:color w:val="auto"/>
        </w:rPr>
        <w:t>The President of the Company shall also be authorized, subject to the provisions of this Plan and directions from the Board and the Committee, to determine the types and combinations of Awards to be granted; the number of Shares to be covered by an Award; the exercise price of an Award; the time or times when an Award shall be granted and may be exercised; the terms, performance criteria or other conditions, vesting periods or any restrictions for an Award; any restrictions on Shares acquired pursuant to the exercise of an Award; and any other terms and conditions of an Award; provided, however, that the President of the Company may not (1) grant any Award to himself or herself (2) grant Awards to any one person with respect to more than 100,000 Shares in the aggregate (which number shall be adjusted pro rata in the event of any adjustment to the limitation set forth in ARTICLE 4.1 hereof), or (3) modify any Award made by the Committee or Board.</w:t>
      </w:r>
    </w:p>
    <w:p>
      <w:pPr>
        <w:spacing w:after="0" w:line="170" w:lineRule="exact"/>
        <w:rPr>
          <w:sz w:val="20"/>
          <w:szCs w:val="20"/>
          <w:color w:val="auto"/>
        </w:rPr>
      </w:pPr>
    </w:p>
    <w:p>
      <w:pPr>
        <w:ind w:right="100" w:firstLine="634"/>
        <w:spacing w:after="0" w:line="268" w:lineRule="auto"/>
        <w:tabs>
          <w:tab w:leader="none" w:pos="1266" w:val="left"/>
        </w:tabs>
        <w:numPr>
          <w:ilvl w:val="0"/>
          <w:numId w:val="396"/>
        </w:numPr>
        <w:rPr>
          <w:rFonts w:ascii="Arial" w:cs="Arial" w:eastAsia="Arial" w:hAnsi="Arial"/>
          <w:sz w:val="17"/>
          <w:szCs w:val="17"/>
          <w:color w:val="auto"/>
        </w:rPr>
      </w:pPr>
      <w:r>
        <w:rPr>
          <w:rFonts w:ascii="Arial" w:cs="Arial" w:eastAsia="Arial" w:hAnsi="Arial"/>
          <w:sz w:val="17"/>
          <w:szCs w:val="17"/>
          <w:color w:val="auto"/>
        </w:rPr>
        <w:t>A majority of the Committee members shall constitute a quorum for action by the Committee. All determinations of the Committee in connection with the Plan shall be made by not less than a majority of its members. All questions of interpretation and application of this Plan or pertaining to any question of fact or Award granted hereunder will be decided by the Committee, whose decision will be final, conclusive and binding upon the Company and each other affected party.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4</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SHARES SUBJECT TO PLAN</w:t>
      </w:r>
    </w:p>
    <w:p>
      <w:pPr>
        <w:spacing w:after="0" w:line="212" w:lineRule="exact"/>
        <w:rPr>
          <w:sz w:val="20"/>
          <w:szCs w:val="20"/>
          <w:color w:val="auto"/>
        </w:rPr>
      </w:pPr>
    </w:p>
    <w:p>
      <w:pPr>
        <w:ind w:right="340" w:firstLine="629"/>
        <w:spacing w:after="0" w:line="29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u w:val="single" w:color="auto"/>
          <w:color w:val="auto"/>
        </w:rPr>
        <w:t>Limitations</w:t>
      </w:r>
      <w:r>
        <w:rPr>
          <w:rFonts w:ascii="Arial" w:cs="Arial" w:eastAsia="Arial" w:hAnsi="Arial"/>
          <w:sz w:val="16"/>
          <w:szCs w:val="16"/>
          <w:u w:val="single" w:color="auto"/>
          <w:color w:val="auto"/>
        </w:rPr>
        <w:t>.</w:t>
      </w:r>
      <w:r>
        <w:rPr>
          <w:rFonts w:ascii="Arial" w:cs="Arial" w:eastAsia="Arial" w:hAnsi="Arial"/>
          <w:sz w:val="16"/>
          <w:szCs w:val="16"/>
          <w:color w:val="auto"/>
        </w:rPr>
        <w:t xml:space="preserve"> The maximum number of Shares that may be issued with respect to Awards granted pursuant to this Plan shall not exceed 1,500,000 unless increased or decreased by reason of changes in the capitalization of the Company as hereinafter provided or by amendment of this Plan. The Shares issued pursuant to this Plan may be authorized but unissued Shares, or may be issued Shares which have been reacquired by the Company.</w:t>
      </w:r>
    </w:p>
    <w:p>
      <w:pPr>
        <w:spacing w:after="0" w:line="154" w:lineRule="exact"/>
        <w:rPr>
          <w:sz w:val="20"/>
          <w:szCs w:val="20"/>
          <w:color w:val="auto"/>
        </w:rPr>
      </w:pPr>
    </w:p>
    <w:p>
      <w:pPr>
        <w:ind w:firstLine="629"/>
        <w:spacing w:after="0" w:line="26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i w:val="1"/>
          <w:iCs w:val="1"/>
          <w:u w:val="single" w:color="auto"/>
          <w:color w:val="auto"/>
        </w:rPr>
        <w:t>Changes</w:t>
      </w:r>
      <w:r>
        <w:rPr>
          <w:rFonts w:ascii="Arial" w:cs="Arial" w:eastAsia="Arial" w:hAnsi="Arial"/>
          <w:sz w:val="17"/>
          <w:szCs w:val="17"/>
          <w:u w:val="single" w:color="auto"/>
          <w:color w:val="auto"/>
        </w:rPr>
        <w:t>.</w:t>
      </w:r>
      <w:r>
        <w:rPr>
          <w:rFonts w:ascii="Arial" w:cs="Arial" w:eastAsia="Arial" w:hAnsi="Arial"/>
          <w:sz w:val="17"/>
          <w:szCs w:val="17"/>
          <w:color w:val="auto"/>
        </w:rPr>
        <w:t xml:space="preserve"> To the extent that any Award granted pursuant to this Plan shall be forfeited, shall expire or shall be canceled, in whole or in part, then the number of Shares covered by the Award so forfeited, expired or canceled may again be awarded pursuant to the provisions of this Plan. In the event that Shares are delivered to the Company in full or partial payment of the exercise price for the exercise of a Stock Option, the number of Shares available for future Awards granted pursuant to this Plan shall be reduced only by the net number of Shares issued upon the exercise of the Stock Option. Awards that may be satisfied either by the issuance of Shares or by cash or other consideration shall, until the form of consideration to be paid is finally determined, be counted against the maximum number of Shares that may be issued pursuant to this Plan. If the Award is ultimately satisfied by the payment of consideration other than Shares, such Shares may again be made the subject of an Award granted pursuant to this Plan. Awards will not reduce the number of Shares that may be issued pursuant to this Plan if the settlement of the Award will not require the issuance of Shares, as, for example, a Stock Appreciation Right that can be satisfied only by the payment of cash.</w:t>
      </w:r>
    </w:p>
    <w:p>
      <w:pPr>
        <w:sectPr>
          <w:pgSz w:w="11900" w:h="16844" w:orient="portrait"/>
          <w:cols w:equalWidth="0" w:num="1">
            <w:col w:w="11420"/>
          </w:cols>
          <w:pgMar w:left="240" w:top="127" w:right="239" w:bottom="0" w:gutter="0" w:footer="0" w:header="0"/>
        </w:sectPr>
      </w:pPr>
    </w:p>
    <w:bookmarkStart w:id="306" w:name="page307"/>
    <w:bookmarkEnd w:id="306"/>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5</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ELIGIBILITY</w:t>
      </w:r>
    </w:p>
    <w:p>
      <w:pPr>
        <w:spacing w:after="0" w:line="212" w:lineRule="exact"/>
        <w:rPr>
          <w:sz w:val="20"/>
          <w:szCs w:val="20"/>
          <w:color w:val="auto"/>
        </w:rPr>
      </w:pPr>
    </w:p>
    <w:p>
      <w:pPr>
        <w:ind w:right="100" w:firstLine="629"/>
        <w:spacing w:after="0" w:line="285"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u w:val="single" w:color="auto"/>
          <w:color w:val="auto"/>
        </w:rPr>
        <w:t>Eligibility.</w:t>
      </w:r>
      <w:r>
        <w:rPr>
          <w:rFonts w:ascii="Arial" w:cs="Arial" w:eastAsia="Arial" w:hAnsi="Arial"/>
          <w:sz w:val="16"/>
          <w:szCs w:val="16"/>
          <w:color w:val="auto"/>
        </w:rPr>
        <w:t xml:space="preserve"> Eligibility for participation in this Plan shall be confined to those individuals who are employed by the Company or a Subsidiary and such Consultants and non-employee Directors as may be designated by the Committee. In making any determination as to Persons to whom Awards shall be granted, the type of Award and/or the number of Shares to be covered by the Award, the Committee shall consider the position and responsibilities of the Person, the importance of the Person to the Company, the duties of the Person, the past, present and potential contributions of the Person to the growth and success of the Company and such other factors as the Committee may deem relevant in connection with accomplishing the purposes of this Plan.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6</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STOCK OPTIONS</w:t>
      </w:r>
    </w:p>
    <w:p>
      <w:pPr>
        <w:spacing w:after="0" w:line="212"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u w:val="single" w:color="auto"/>
          <w:color w:val="auto"/>
        </w:rPr>
        <w:t>Grants</w:t>
      </w:r>
      <w:r>
        <w:rPr>
          <w:rFonts w:ascii="Arial" w:cs="Arial" w:eastAsia="Arial" w:hAnsi="Arial"/>
          <w:sz w:val="17"/>
          <w:szCs w:val="17"/>
          <w:u w:val="single" w:color="auto"/>
          <w:color w:val="auto"/>
        </w:rPr>
        <w:t>.</w:t>
      </w:r>
      <w:r>
        <w:rPr>
          <w:rFonts w:ascii="Arial" w:cs="Arial" w:eastAsia="Arial" w:hAnsi="Arial"/>
          <w:sz w:val="17"/>
          <w:szCs w:val="17"/>
          <w:color w:val="auto"/>
        </w:rPr>
        <w:t xml:space="preserve"> The Committee may grant Stock Options alone or in addition to other Awards granted pursuant to this Plan to any eligible Person. Each Person so selected shall be offered a Stock Option to purchase the number of Shares determined by the Committee. The Committee shall specify whether such Stock Option is an Incentive Stock Option or Non-Qualified Stock Option and any other terms or conditions relating to such Award; provided, however only employees of the Company or a Subsidiary may be granted Incentive Stock Options. To the extent that any Stock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Option designated as an Incentive Stock Option does not qualify as an Incentive Stock Option (whether because of its provisions, the failure of the shareholders of the Company to authorize the issuance of Incentive Stock Options, the time or manner of its exercise or otherwise), such Stock Option or the portion thereof which does not qualify shall be deemed to constitute a Non-Qualified Stock Option. Each Person to be granted a Stock Option shall enter into a written agreement with the Company, in such form as the Committee may prescribe, setting forth the terms and conditions (including, without limitation, the exercise price and vesting schedule) of the Stock Option. At any time and from time to time, the Optionee and the Committee may agree to modify an option agreement in such respects as they may deem appropriate, including, without limitation, the conversion of an Incentive Stock Option into a Non-Qualified Stock Option. The Committee may require that an Optionee meet certain conditions before the Stock Option or a portion thereof may vest or be exercised, as, for example, that the Optionee remain in the employ of the Company or a Subsidiary for a stated period or periods of time.</w:t>
      </w:r>
    </w:p>
    <w:p>
      <w:pPr>
        <w:spacing w:after="0" w:line="17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6"/>
          <w:szCs w:val="16"/>
          <w:i w:val="1"/>
          <w:iCs w:val="1"/>
          <w:u w:val="single" w:color="auto"/>
          <w:color w:val="auto"/>
        </w:rPr>
        <w:t>Incentive Stock Options Limitations.</w:t>
      </w:r>
    </w:p>
    <w:p>
      <w:pPr>
        <w:spacing w:after="0" w:line="224" w:lineRule="exact"/>
        <w:rPr>
          <w:sz w:val="20"/>
          <w:szCs w:val="20"/>
          <w:color w:val="auto"/>
        </w:rPr>
      </w:pPr>
    </w:p>
    <w:p>
      <w:pPr>
        <w:ind w:right="120" w:firstLine="634"/>
        <w:spacing w:after="0" w:line="285" w:lineRule="auto"/>
        <w:tabs>
          <w:tab w:leader="none" w:pos="1256" w:val="left"/>
        </w:tabs>
        <w:numPr>
          <w:ilvl w:val="0"/>
          <w:numId w:val="397"/>
        </w:numPr>
        <w:rPr>
          <w:rFonts w:ascii="Arial" w:cs="Arial" w:eastAsia="Arial" w:hAnsi="Arial"/>
          <w:sz w:val="16"/>
          <w:szCs w:val="16"/>
          <w:color w:val="auto"/>
        </w:rPr>
      </w:pPr>
      <w:r>
        <w:rPr>
          <w:rFonts w:ascii="Arial" w:cs="Arial" w:eastAsia="Arial" w:hAnsi="Arial"/>
          <w:sz w:val="16"/>
          <w:szCs w:val="16"/>
          <w:color w:val="auto"/>
        </w:rPr>
        <w:t xml:space="preserve">In no event shall any individual be granted Incentive Stock Options to the extent that the Shares covered by any Incentive Stock Options (and any incentive stock options granted pursuant to any other plans of the Company or its Subsidiaries) that may be exercised for the first time by such individual in any calendar year have an aggregate Fair Market Value in excess of $100,000. For this purpose, the Fair Market Value of the Shares shall be determined as of the date(s) on which the Incentive Stock Options are granted. It is intended that the limitation on Incentive Stock Options provided in this </w:t>
      </w:r>
      <w:r>
        <w:rPr>
          <w:rFonts w:ascii="Arial" w:cs="Arial" w:eastAsia="Arial" w:hAnsi="Arial"/>
          <w:sz w:val="16"/>
          <w:szCs w:val="16"/>
          <w:u w:val="single" w:color="auto"/>
          <w:color w:val="auto"/>
        </w:rPr>
        <w:t>Subsection 6.2(a)</w:t>
      </w:r>
      <w:r>
        <w:rPr>
          <w:rFonts w:ascii="Arial" w:cs="Arial" w:eastAsia="Arial" w:hAnsi="Arial"/>
          <w:sz w:val="16"/>
          <w:szCs w:val="16"/>
          <w:color w:val="auto"/>
        </w:rPr>
        <w:t xml:space="preserve"> be the maximum limitation on Stock Options which may be considered Incentive Stock Options pursuant to the Code.</w:t>
      </w:r>
    </w:p>
    <w:p>
      <w:pPr>
        <w:spacing w:after="0" w:line="166" w:lineRule="exact"/>
        <w:rPr>
          <w:rFonts w:ascii="Arial" w:cs="Arial" w:eastAsia="Arial" w:hAnsi="Arial"/>
          <w:sz w:val="16"/>
          <w:szCs w:val="16"/>
          <w:color w:val="auto"/>
        </w:rPr>
      </w:pPr>
    </w:p>
    <w:p>
      <w:pPr>
        <w:ind w:right="60" w:firstLine="634"/>
        <w:spacing w:after="0" w:line="289" w:lineRule="auto"/>
        <w:tabs>
          <w:tab w:leader="none" w:pos="1266" w:val="left"/>
        </w:tabs>
        <w:numPr>
          <w:ilvl w:val="0"/>
          <w:numId w:val="397"/>
        </w:numPr>
        <w:rPr>
          <w:rFonts w:ascii="Arial" w:cs="Arial" w:eastAsia="Arial" w:hAnsi="Arial"/>
          <w:sz w:val="17"/>
          <w:szCs w:val="17"/>
          <w:color w:val="auto"/>
        </w:rPr>
      </w:pPr>
      <w:r>
        <w:rPr>
          <w:rFonts w:ascii="Arial" w:cs="Arial" w:eastAsia="Arial" w:hAnsi="Arial"/>
          <w:sz w:val="17"/>
          <w:szCs w:val="17"/>
          <w:color w:val="auto"/>
        </w:rPr>
        <w:t>The option exercise price of an Incentive Stock Option shall not be less than one hundred percent (100%) of the Fair Market Value of the Shares subject to such Incentive Stock Option on the date of the grant of such Incentive Stock Option.</w:t>
      </w:r>
    </w:p>
    <w:p>
      <w:pPr>
        <w:spacing w:after="0" w:line="158" w:lineRule="exact"/>
        <w:rPr>
          <w:rFonts w:ascii="Arial" w:cs="Arial" w:eastAsia="Arial" w:hAnsi="Arial"/>
          <w:sz w:val="17"/>
          <w:szCs w:val="17"/>
          <w:color w:val="auto"/>
        </w:rPr>
      </w:pPr>
    </w:p>
    <w:p>
      <w:pPr>
        <w:ind w:right="180" w:firstLine="634"/>
        <w:spacing w:after="0" w:line="268" w:lineRule="auto"/>
        <w:tabs>
          <w:tab w:leader="none" w:pos="1269" w:val="left"/>
        </w:tabs>
        <w:numPr>
          <w:ilvl w:val="0"/>
          <w:numId w:val="397"/>
        </w:numPr>
        <w:rPr>
          <w:rFonts w:ascii="Arial" w:cs="Arial" w:eastAsia="Arial" w:hAnsi="Arial"/>
          <w:sz w:val="17"/>
          <w:szCs w:val="17"/>
          <w:color w:val="auto"/>
        </w:rPr>
      </w:pPr>
      <w:r>
        <w:rPr>
          <w:rFonts w:ascii="Arial" w:cs="Arial" w:eastAsia="Arial" w:hAnsi="Arial"/>
          <w:sz w:val="17"/>
          <w:szCs w:val="17"/>
          <w:color w:val="auto"/>
        </w:rPr>
        <w:t>Notwithstanding anything herein to the contrary, in no event shall any employee owning more than ten percent (10%) of the total combined voting power of the Company or any Subsidiary be granted an Incentive Stock Option unless the option exercise price of such Incentive Stock Option shall be at least one hundred ten percent (110%) of the Fair Market Value of the Shares subject to such Incentive Stock Option on the date of the grant of such Incentive Stock Option.</w:t>
      </w:r>
    </w:p>
    <w:p>
      <w:pPr>
        <w:spacing w:after="0" w:line="175" w:lineRule="exact"/>
        <w:rPr>
          <w:rFonts w:ascii="Arial" w:cs="Arial" w:eastAsia="Arial" w:hAnsi="Arial"/>
          <w:sz w:val="17"/>
          <w:szCs w:val="17"/>
          <w:color w:val="auto"/>
        </w:rPr>
      </w:pPr>
    </w:p>
    <w:p>
      <w:pPr>
        <w:ind w:right="160" w:firstLine="634"/>
        <w:spacing w:after="0" w:line="289" w:lineRule="auto"/>
        <w:tabs>
          <w:tab w:leader="none" w:pos="1266" w:val="left"/>
        </w:tabs>
        <w:numPr>
          <w:ilvl w:val="0"/>
          <w:numId w:val="397"/>
        </w:numPr>
        <w:rPr>
          <w:rFonts w:ascii="Arial" w:cs="Arial" w:eastAsia="Arial" w:hAnsi="Arial"/>
          <w:sz w:val="17"/>
          <w:szCs w:val="17"/>
          <w:color w:val="auto"/>
        </w:rPr>
      </w:pPr>
      <w:r>
        <w:rPr>
          <w:rFonts w:ascii="Arial" w:cs="Arial" w:eastAsia="Arial" w:hAnsi="Arial"/>
          <w:sz w:val="17"/>
          <w:szCs w:val="17"/>
          <w:color w:val="auto"/>
        </w:rPr>
        <w:t>In no event shall any individual be granted an Incentive Stock Option after the expiration of ten (10) years from the date this Plan is adopted or is approved by the shareholders of the Company (if shareholder approval is required by Section 422 of the Code), whichever is earlier.</w:t>
      </w:r>
    </w:p>
    <w:p>
      <w:pPr>
        <w:spacing w:after="0" w:line="158" w:lineRule="exact"/>
        <w:rPr>
          <w:rFonts w:ascii="Arial" w:cs="Arial" w:eastAsia="Arial" w:hAnsi="Arial"/>
          <w:sz w:val="17"/>
          <w:szCs w:val="17"/>
          <w:color w:val="auto"/>
        </w:rPr>
      </w:pPr>
    </w:p>
    <w:p>
      <w:pPr>
        <w:jc w:val="both"/>
        <w:ind w:right="100" w:firstLine="634"/>
        <w:spacing w:after="0" w:line="268" w:lineRule="auto"/>
        <w:tabs>
          <w:tab w:leader="none" w:pos="1269" w:val="left"/>
        </w:tabs>
        <w:numPr>
          <w:ilvl w:val="0"/>
          <w:numId w:val="397"/>
        </w:numPr>
        <w:rPr>
          <w:rFonts w:ascii="Arial" w:cs="Arial" w:eastAsia="Arial" w:hAnsi="Arial"/>
          <w:sz w:val="17"/>
          <w:szCs w:val="17"/>
          <w:color w:val="auto"/>
        </w:rPr>
      </w:pPr>
      <w:r>
        <w:rPr>
          <w:rFonts w:ascii="Arial" w:cs="Arial" w:eastAsia="Arial" w:hAnsi="Arial"/>
          <w:sz w:val="17"/>
          <w:szCs w:val="17"/>
          <w:color w:val="auto"/>
        </w:rPr>
        <w:t>To the extent shareholder approval of this Plan is required by Section 422 of the Code, no individual shall be granted an Incentive Stock Option unless this Plan is approved by the shareholders of the Company within twelve (12) months before or after the date this Plan is initially adopted. In the event this Plan is amended to increase the number of Shares subject to issuance upon the exercise of Incentive Stock Options or to change the class of employees eligible to receive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Incentive Stock Options, no individual shall be granted an Incentive Stock Option unless such amendment is approved by the shareholders of the Company within twelve (12) months before or after such amendment.</w:t>
      </w:r>
    </w:p>
    <w:p>
      <w:pPr>
        <w:spacing w:after="0" w:line="158" w:lineRule="exact"/>
        <w:rPr>
          <w:sz w:val="20"/>
          <w:szCs w:val="20"/>
          <w:color w:val="auto"/>
        </w:rPr>
      </w:pPr>
    </w:p>
    <w:p>
      <w:pPr>
        <w:ind w:right="120" w:firstLine="634"/>
        <w:spacing w:after="0" w:line="273" w:lineRule="auto"/>
        <w:tabs>
          <w:tab w:leader="none" w:pos="1263" w:val="left"/>
        </w:tabs>
        <w:numPr>
          <w:ilvl w:val="0"/>
          <w:numId w:val="398"/>
        </w:numPr>
        <w:rPr>
          <w:rFonts w:ascii="Arial" w:cs="Arial" w:eastAsia="Arial" w:hAnsi="Arial"/>
          <w:sz w:val="17"/>
          <w:szCs w:val="17"/>
          <w:color w:val="auto"/>
        </w:rPr>
      </w:pPr>
      <w:r>
        <w:rPr>
          <w:rFonts w:ascii="Arial" w:cs="Arial" w:eastAsia="Arial" w:hAnsi="Arial"/>
          <w:sz w:val="17"/>
          <w:szCs w:val="17"/>
          <w:color w:val="auto"/>
        </w:rPr>
        <w:t>No Incentive Stock Option shall be granted to any employee owning more than ten percent (10%) of the total combined voting power of the Company or any Subsidiary unless the term of such Incentive Stock Option is equal to or less than five (5) years measured from the date on which such Incentive Stock Option is granted.</w:t>
      </w:r>
    </w:p>
    <w:p>
      <w:pPr>
        <w:spacing w:after="0" w:line="171" w:lineRule="exact"/>
        <w:rPr>
          <w:rFonts w:ascii="Arial" w:cs="Arial" w:eastAsia="Arial" w:hAnsi="Arial"/>
          <w:sz w:val="17"/>
          <w:szCs w:val="17"/>
          <w:color w:val="auto"/>
        </w:rPr>
      </w:pPr>
    </w:p>
    <w:p>
      <w:pPr>
        <w:ind w:right="20" w:firstLine="634"/>
        <w:spacing w:after="0" w:line="289" w:lineRule="auto"/>
        <w:tabs>
          <w:tab w:leader="none" w:pos="1279" w:val="left"/>
        </w:tabs>
        <w:numPr>
          <w:ilvl w:val="0"/>
          <w:numId w:val="398"/>
        </w:numPr>
        <w:rPr>
          <w:rFonts w:ascii="Arial" w:cs="Arial" w:eastAsia="Arial" w:hAnsi="Arial"/>
          <w:sz w:val="17"/>
          <w:szCs w:val="17"/>
          <w:color w:val="auto"/>
        </w:rPr>
      </w:pPr>
      <w:r>
        <w:rPr>
          <w:rFonts w:ascii="Arial" w:cs="Arial" w:eastAsia="Arial" w:hAnsi="Arial"/>
          <w:sz w:val="17"/>
          <w:szCs w:val="17"/>
          <w:color w:val="auto"/>
        </w:rPr>
        <w:t>No Incentive Stock Option granted pursuant to this Plan shall be transferable other than by will or the laws of decent and distribution and it shall be exercisable only by the Optionee during his or her lifetime.</w:t>
      </w:r>
    </w:p>
    <w:p>
      <w:pPr>
        <w:spacing w:after="0" w:line="158" w:lineRule="exact"/>
        <w:rPr>
          <w:sz w:val="20"/>
          <w:szCs w:val="20"/>
          <w:color w:val="auto"/>
        </w:rPr>
      </w:pPr>
    </w:p>
    <w:p>
      <w:pPr>
        <w:ind w:right="320" w:firstLine="629"/>
        <w:spacing w:after="0" w:line="28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i w:val="1"/>
          <w:iCs w:val="1"/>
          <w:u w:val="single" w:color="auto"/>
          <w:color w:val="auto"/>
        </w:rPr>
        <w:t>Option Term.</w:t>
      </w:r>
      <w:r>
        <w:rPr>
          <w:rFonts w:ascii="Arial" w:cs="Arial" w:eastAsia="Arial" w:hAnsi="Arial"/>
          <w:sz w:val="17"/>
          <w:szCs w:val="17"/>
          <w:color w:val="auto"/>
        </w:rPr>
        <w:t xml:space="preserve"> The term of a Stock Option shall be for such period of time from the date of its grant as may be determined by the Committee; provided, however, that no Incentive Stock Option shall be exercisable after the expiration of ten (10) years from the date of its grant.</w:t>
      </w:r>
    </w:p>
    <w:p>
      <w:pPr>
        <w:spacing w:after="0" w:line="158"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i w:val="1"/>
          <w:iCs w:val="1"/>
          <w:u w:val="single" w:color="auto"/>
          <w:color w:val="auto"/>
        </w:rPr>
        <w:t>Time of Exercise.</w:t>
      </w:r>
      <w:r>
        <w:rPr>
          <w:rFonts w:ascii="Arial" w:cs="Arial" w:eastAsia="Arial" w:hAnsi="Arial"/>
          <w:sz w:val="17"/>
          <w:szCs w:val="17"/>
          <w:color w:val="auto"/>
        </w:rPr>
        <w:t xml:space="preserve"> No Stock Option may be exercised unless it is exercised prior to the expiration of its stated term and, in connection with options granted to employees of the Company or its Subsidiaries, at the time of such exercise, the Optionee is, and has been continuously since the date of grant of such Stock Option, employed by the Company or a Subsidiary, except that:</w:t>
      </w:r>
    </w:p>
    <w:p>
      <w:pPr>
        <w:spacing w:after="0" w:line="172" w:lineRule="exact"/>
        <w:rPr>
          <w:sz w:val="20"/>
          <w:szCs w:val="20"/>
          <w:color w:val="auto"/>
        </w:rPr>
      </w:pPr>
    </w:p>
    <w:p>
      <w:pPr>
        <w:ind w:right="20" w:firstLine="634"/>
        <w:spacing w:after="0" w:line="360" w:lineRule="auto"/>
        <w:tabs>
          <w:tab w:leader="none" w:pos="1256" w:val="left"/>
        </w:tabs>
        <w:numPr>
          <w:ilvl w:val="0"/>
          <w:numId w:val="399"/>
        </w:numPr>
        <w:rPr>
          <w:rFonts w:ascii="Arial" w:cs="Arial" w:eastAsia="Arial" w:hAnsi="Arial"/>
          <w:sz w:val="15"/>
          <w:szCs w:val="15"/>
          <w:color w:val="auto"/>
        </w:rPr>
      </w:pPr>
      <w:r>
        <w:rPr>
          <w:rFonts w:ascii="Arial" w:cs="Arial" w:eastAsia="Arial" w:hAnsi="Arial"/>
          <w:sz w:val="15"/>
          <w:szCs w:val="15"/>
          <w:color w:val="auto"/>
        </w:rPr>
        <w:t>A Stock Option may, to the extent vested as of the date the Optionee ceases to be an employee of the Company or a Subsidiary, be exercised during the three-month period immediately following the date the Optionee ceases (for any reason other than death, Disability or Retirement) to be an employee of</w:t>
      </w:r>
    </w:p>
    <w:p>
      <w:pPr>
        <w:sectPr>
          <w:pgSz w:w="11900" w:h="16917" w:orient="portrait"/>
          <w:cols w:equalWidth="0" w:num="1">
            <w:col w:w="11420"/>
          </w:cols>
          <w:pgMar w:left="240" w:top="331" w:right="239" w:bottom="0" w:gutter="0" w:footer="0" w:header="0"/>
        </w:sectPr>
      </w:pPr>
    </w:p>
    <w:bookmarkStart w:id="307" w:name="page308"/>
    <w:bookmarkEnd w:id="307"/>
    <w:p>
      <w:pPr>
        <w:spacing w:after="0" w:line="1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or a Subsidiary (or within such other period as may be specified in the applicable option agreement), provided that, if the Stock Option has been designated as an Incentive Stock Option and the option agreement provides for a longer exercise period, the exercise of such Stock Option after such three-month period shall be treated as the exercise of a Non-Qualified Stock Option;</w:t>
      </w:r>
    </w:p>
    <w:p>
      <w:pPr>
        <w:spacing w:after="0" w:line="172" w:lineRule="exact"/>
        <w:rPr>
          <w:sz w:val="20"/>
          <w:szCs w:val="20"/>
          <w:color w:val="auto"/>
        </w:rPr>
      </w:pPr>
    </w:p>
    <w:p>
      <w:pPr>
        <w:ind w:right="40" w:firstLine="634"/>
        <w:spacing w:after="0" w:line="265" w:lineRule="auto"/>
        <w:tabs>
          <w:tab w:leader="none" w:pos="1266" w:val="left"/>
        </w:tabs>
        <w:numPr>
          <w:ilvl w:val="0"/>
          <w:numId w:val="400"/>
        </w:numPr>
        <w:rPr>
          <w:rFonts w:ascii="Arial" w:cs="Arial" w:eastAsia="Arial" w:hAnsi="Arial"/>
          <w:sz w:val="17"/>
          <w:szCs w:val="17"/>
          <w:color w:val="auto"/>
        </w:rPr>
      </w:pPr>
      <w:r>
        <w:rPr>
          <w:rFonts w:ascii="Arial" w:cs="Arial" w:eastAsia="Arial" w:hAnsi="Arial"/>
          <w:sz w:val="17"/>
          <w:szCs w:val="17"/>
          <w:color w:val="auto"/>
        </w:rPr>
        <w:t>If the Optionee dies while entitled to exercise a Stock Option, such Stock Option may, to the extent vested as of the date of the Optionee’s death, be exercised by the Optionee’s Designated Beneficiary during the three year period immediately following the date of the Optionee’s death (or within such other period as may be specified in the applicable option agreement); provided that, if the Stock Option has been designated as an Incentive Stock Option and the option agreement provides for a longer exercise period, the exercise of such Stock Option after such one-year period shall be treated as the exercise of a Non-Qualified Stock Option;</w:t>
      </w:r>
    </w:p>
    <w:p>
      <w:pPr>
        <w:spacing w:after="0" w:line="179" w:lineRule="exact"/>
        <w:rPr>
          <w:rFonts w:ascii="Arial" w:cs="Arial" w:eastAsia="Arial" w:hAnsi="Arial"/>
          <w:sz w:val="17"/>
          <w:szCs w:val="17"/>
          <w:color w:val="auto"/>
        </w:rPr>
      </w:pPr>
    </w:p>
    <w:p>
      <w:pPr>
        <w:ind w:right="120" w:firstLine="634"/>
        <w:spacing w:after="0" w:line="268" w:lineRule="auto"/>
        <w:tabs>
          <w:tab w:leader="none" w:pos="1269" w:val="left"/>
        </w:tabs>
        <w:numPr>
          <w:ilvl w:val="0"/>
          <w:numId w:val="400"/>
        </w:numPr>
        <w:rPr>
          <w:rFonts w:ascii="Arial" w:cs="Arial" w:eastAsia="Arial" w:hAnsi="Arial"/>
          <w:sz w:val="17"/>
          <w:szCs w:val="17"/>
          <w:color w:val="auto"/>
        </w:rPr>
      </w:pPr>
      <w:r>
        <w:rPr>
          <w:rFonts w:ascii="Arial" w:cs="Arial" w:eastAsia="Arial" w:hAnsi="Arial"/>
          <w:sz w:val="17"/>
          <w:szCs w:val="17"/>
          <w:color w:val="auto"/>
        </w:rPr>
        <w:t>If the Optionee ceases to be an employee of the Company or a Subsidiary by reason of the Optionee’s Disability or Retirement, a Stock Option, to the extent vested as of the date the Optionee ceases to be an employee of the Company or a Subsidiary, may be exercised during the three year period immediately following the date of such cessation of employment (or within such other period as may be specified in the applicable option agreement); provided that, if the Stock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Option has been designated as an Incentive Stock Option and the option agreement provides for a longer exercise period, the exercise of such Stock Option after such one-year period shall be treated as the exercise of a Non-Qualified Stock Option; and</w:t>
      </w:r>
    </w:p>
    <w:p>
      <w:pPr>
        <w:spacing w:after="0" w:line="158" w:lineRule="exact"/>
        <w:rPr>
          <w:sz w:val="20"/>
          <w:szCs w:val="20"/>
          <w:color w:val="auto"/>
        </w:rPr>
      </w:pPr>
    </w:p>
    <w:p>
      <w:pPr>
        <w:ind w:left="640" w:right="100"/>
        <w:spacing w:after="0" w:line="265" w:lineRule="auto"/>
        <w:rPr>
          <w:sz w:val="20"/>
          <w:szCs w:val="20"/>
          <w:color w:val="auto"/>
        </w:rPr>
      </w:pPr>
      <w:r>
        <w:rPr>
          <w:rFonts w:ascii="Arial" w:cs="Arial" w:eastAsia="Arial" w:hAnsi="Arial"/>
          <w:sz w:val="17"/>
          <w:szCs w:val="17"/>
          <w:color w:val="auto"/>
        </w:rPr>
        <w:t xml:space="preserve">Nothing contained in this </w:t>
      </w:r>
      <w:r>
        <w:rPr>
          <w:rFonts w:ascii="Arial" w:cs="Arial" w:eastAsia="Arial" w:hAnsi="Arial"/>
          <w:sz w:val="17"/>
          <w:szCs w:val="17"/>
          <w:u w:val="single" w:color="auto"/>
          <w:color w:val="auto"/>
        </w:rPr>
        <w:t>Subsection 6.4</w:t>
      </w:r>
      <w:r>
        <w:rPr>
          <w:rFonts w:ascii="Arial" w:cs="Arial" w:eastAsia="Arial" w:hAnsi="Arial"/>
          <w:sz w:val="17"/>
          <w:szCs w:val="17"/>
          <w:color w:val="auto"/>
        </w:rPr>
        <w:t xml:space="preserve"> will be deemed to extend the term of a Stock Option or to revive any Stock Option which has previously lapsed or been canceled, terminated or surrendered. Stock Options granted under this Plan to Consultants or non-employee Directors will contain such terms and conditions with respect to the death or disability of a Consultant or non-employee Director or termination of a Consultant’s or non-employee Director’s relationship with the Company as the Committee deems necessary or appropriate. Such terms and conditions will be set forth in the option agreements evidencing the grant of such Stock Options.</w:t>
      </w:r>
    </w:p>
    <w:p>
      <w:pPr>
        <w:spacing w:after="0" w:line="17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5"/>
          <w:szCs w:val="15"/>
          <w:i w:val="1"/>
          <w:iCs w:val="1"/>
          <w:u w:val="single" w:color="auto"/>
          <w:color w:val="auto"/>
        </w:rPr>
        <w:t>Vesting of Stock Options.</w:t>
      </w:r>
    </w:p>
    <w:p>
      <w:pPr>
        <w:spacing w:after="0" w:line="224" w:lineRule="exact"/>
        <w:rPr>
          <w:sz w:val="20"/>
          <w:szCs w:val="20"/>
          <w:color w:val="auto"/>
        </w:rPr>
      </w:pPr>
    </w:p>
    <w:p>
      <w:pPr>
        <w:ind w:right="140" w:firstLine="634"/>
        <w:spacing w:after="0" w:line="290" w:lineRule="auto"/>
        <w:tabs>
          <w:tab w:leader="none" w:pos="1256" w:val="left"/>
        </w:tabs>
        <w:numPr>
          <w:ilvl w:val="0"/>
          <w:numId w:val="401"/>
        </w:numPr>
        <w:rPr>
          <w:rFonts w:ascii="Arial" w:cs="Arial" w:eastAsia="Arial" w:hAnsi="Arial"/>
          <w:sz w:val="16"/>
          <w:szCs w:val="16"/>
          <w:color w:val="auto"/>
        </w:rPr>
      </w:pPr>
      <w:r>
        <w:rPr>
          <w:rFonts w:ascii="Arial" w:cs="Arial" w:eastAsia="Arial" w:hAnsi="Arial"/>
          <w:sz w:val="16"/>
          <w:szCs w:val="16"/>
          <w:color w:val="auto"/>
        </w:rPr>
        <w:t>Each Stock Option granted pursuant to this Plan may only be exercised to the extent that the Optionee is vested in such Stock Option, except as specified below with respect to Early Exercise. Each Stock Option shall vest separately in accordance with the option vesting schedule determined by the Committee, which will be incorporated in the option agreement entered into between the Company and such Optionee. The option vesting schedule may be accelerated if, in the sole discretion of the Committee, the acceleration of the option vesting schedule would be in the best interests the Company.</w:t>
      </w:r>
    </w:p>
    <w:p>
      <w:pPr>
        <w:spacing w:after="0" w:line="159"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Early Exercise”</w:t>
      </w:r>
      <w:r>
        <w:rPr>
          <w:rFonts w:ascii="Arial" w:cs="Arial" w:eastAsia="Arial" w:hAnsi="Arial"/>
          <w:sz w:val="17"/>
          <w:szCs w:val="17"/>
          <w:color w:val="auto"/>
        </w:rPr>
        <w:t xml:space="preserve"> means the exercise of a Stock Option prior to vesting in accordance with the applicable provisions of this Plan and the Award agreement evidencing the Stock Option. “</w:t>
      </w:r>
      <w:r>
        <w:rPr>
          <w:rFonts w:ascii="Arial" w:cs="Arial" w:eastAsia="Arial" w:hAnsi="Arial"/>
          <w:sz w:val="17"/>
          <w:szCs w:val="17"/>
          <w:i w:val="1"/>
          <w:iCs w:val="1"/>
          <w:color w:val="auto"/>
        </w:rPr>
        <w:t>Repurchase Rights</w:t>
      </w:r>
      <w:r>
        <w:rPr>
          <w:rFonts w:ascii="Arial" w:cs="Arial" w:eastAsia="Arial" w:hAnsi="Arial"/>
          <w:sz w:val="17"/>
          <w:szCs w:val="17"/>
          <w:color w:val="auto"/>
        </w:rPr>
        <w:t>” means the right the Company may have pursuant to this Plan or an Award agreement to repurchase unvested shares of Common Stock that the applicable Participant may have received through Early Exercise of a Stock Option or through an Award of Restricted Stock at the same price that such Participant paid (if any).</w:t>
      </w:r>
    </w:p>
    <w:p>
      <w:pPr>
        <w:spacing w:after="0" w:line="176" w:lineRule="exact"/>
        <w:rPr>
          <w:sz w:val="20"/>
          <w:szCs w:val="20"/>
          <w:color w:val="auto"/>
        </w:rPr>
      </w:pPr>
    </w:p>
    <w:p>
      <w:pPr>
        <w:ind w:right="320" w:firstLine="629"/>
        <w:spacing w:after="0" w:line="268" w:lineRule="auto"/>
        <w:rPr>
          <w:sz w:val="20"/>
          <w:szCs w:val="20"/>
          <w:color w:val="auto"/>
        </w:rPr>
      </w:pPr>
      <w:r>
        <w:rPr>
          <w:rFonts w:ascii="Arial" w:cs="Arial" w:eastAsia="Arial" w:hAnsi="Arial"/>
          <w:sz w:val="17"/>
          <w:szCs w:val="17"/>
          <w:color w:val="auto"/>
        </w:rPr>
        <w:t>An Award agreement covering a Non-Qualified Stock Option may (in the Committee’s sole discretion) permit the Early Exercise of all or a portion of such Stock Option prior to the vesting of such Stock Option, but only prior to an Initial Public Offering. Shares purchased through the Early Exercise of such Option will be restricted and will be subject to the same vesting schedule as set forth in the Stock Option, and will also be subject to any repurchase rights if provided in the Award agreement</w:t>
      </w:r>
    </w:p>
    <w:p>
      <w:pPr>
        <w:spacing w:after="0" w:line="176" w:lineRule="exact"/>
        <w:rPr>
          <w:sz w:val="20"/>
          <w:szCs w:val="20"/>
          <w:color w:val="auto"/>
        </w:rPr>
      </w:pPr>
    </w:p>
    <w:p>
      <w:pPr>
        <w:ind w:right="20" w:firstLine="634"/>
        <w:spacing w:after="0" w:line="265" w:lineRule="auto"/>
        <w:tabs>
          <w:tab w:leader="none" w:pos="1266" w:val="left"/>
        </w:tabs>
        <w:numPr>
          <w:ilvl w:val="0"/>
          <w:numId w:val="402"/>
        </w:numPr>
        <w:rPr>
          <w:rFonts w:ascii="Arial" w:cs="Arial" w:eastAsia="Arial" w:hAnsi="Arial"/>
          <w:sz w:val="17"/>
          <w:szCs w:val="17"/>
          <w:color w:val="auto"/>
        </w:rPr>
      </w:pPr>
      <w:r>
        <w:rPr>
          <w:rFonts w:ascii="Arial" w:cs="Arial" w:eastAsia="Arial" w:hAnsi="Arial"/>
          <w:sz w:val="17"/>
          <w:szCs w:val="17"/>
          <w:color w:val="auto"/>
        </w:rPr>
        <w:t xml:space="preserve">In the event of the dissolution or liquidation of the Company, each Stock Option granted pursuant to this Plan shall terminate as of a date to be fixed by the Committee; provided, however, that not less than thirty (30) days’ written notice of the date so fixed shall be given to each Optionee. During such period all Stock Options which have not previously been terminated, exercised or surrendered will (subject to the provisions of </w:t>
      </w:r>
      <w:r>
        <w:rPr>
          <w:rFonts w:ascii="Arial" w:cs="Arial" w:eastAsia="Arial" w:hAnsi="Arial"/>
          <w:sz w:val="17"/>
          <w:szCs w:val="17"/>
          <w:u w:val="single" w:color="auto"/>
          <w:color w:val="auto"/>
        </w:rPr>
        <w:t>Subsections 6.3 and 6.4</w:t>
      </w:r>
      <w:r>
        <w:rPr>
          <w:rFonts w:ascii="Arial" w:cs="Arial" w:eastAsia="Arial" w:hAnsi="Arial"/>
          <w:sz w:val="17"/>
          <w:szCs w:val="17"/>
          <w:color w:val="auto"/>
        </w:rPr>
        <w:t>) fully vest and become exercisable, notwithstanding the vesting schedule set forth in the option agreement evidencing the grant of such Stock Option. Upon the date fixed by the Committee, any unexercised Stock Options shall terminate and be of no further effect.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34"/>
        <w:spacing w:after="0" w:line="265" w:lineRule="auto"/>
        <w:tabs>
          <w:tab w:leader="none" w:pos="1269" w:val="left"/>
        </w:tabs>
        <w:numPr>
          <w:ilvl w:val="0"/>
          <w:numId w:val="403"/>
        </w:numPr>
        <w:rPr>
          <w:rFonts w:ascii="Arial" w:cs="Arial" w:eastAsia="Arial" w:hAnsi="Arial"/>
          <w:sz w:val="17"/>
          <w:szCs w:val="17"/>
          <w:color w:val="auto"/>
        </w:rPr>
      </w:pPr>
      <w:r>
        <w:rPr>
          <w:rFonts w:ascii="Arial" w:cs="Arial" w:eastAsia="Arial" w:hAnsi="Arial"/>
          <w:sz w:val="17"/>
          <w:szCs w:val="17"/>
          <w:color w:val="auto"/>
        </w:rPr>
        <w:t>Upon a Change in Control, all Stock Options and any associated Stock Appreciation Rights Options will be treated in accordance with the applicable Award agreements. An Award agreement granting an Award pursuant to this Plan may be amended, with the written consent of the parties thereto, to modify the treatment of any Stock Options or Stock Appreciation Rights upon Change in Control as specified in the associated Award agreement. In particular, an Award agreement granting an Award pursuant to this Plan may be amended to eliminate any provision in the associated Award agreement providing for immediate exercisability of Stock Options or Stock Appreciation Rights upon Change in Control.</w:t>
      </w:r>
    </w:p>
    <w:p>
      <w:pPr>
        <w:spacing w:after="0" w:line="17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5"/>
          <w:szCs w:val="15"/>
          <w:i w:val="1"/>
          <w:iCs w:val="1"/>
          <w:u w:val="single" w:color="auto"/>
          <w:color w:val="auto"/>
        </w:rPr>
        <w:t>Manner of Exercise of Stock Options.</w:t>
      </w:r>
    </w:p>
    <w:p>
      <w:pPr>
        <w:spacing w:after="0" w:line="224" w:lineRule="exact"/>
        <w:rPr>
          <w:sz w:val="20"/>
          <w:szCs w:val="20"/>
          <w:color w:val="auto"/>
        </w:rPr>
      </w:pPr>
    </w:p>
    <w:p>
      <w:pPr>
        <w:ind w:right="120" w:firstLine="634"/>
        <w:spacing w:after="0" w:line="268" w:lineRule="auto"/>
        <w:tabs>
          <w:tab w:leader="none" w:pos="1256" w:val="left"/>
        </w:tabs>
        <w:numPr>
          <w:ilvl w:val="0"/>
          <w:numId w:val="404"/>
        </w:numPr>
        <w:rPr>
          <w:rFonts w:ascii="Arial" w:cs="Arial" w:eastAsia="Arial" w:hAnsi="Arial"/>
          <w:sz w:val="17"/>
          <w:szCs w:val="17"/>
          <w:color w:val="auto"/>
        </w:rPr>
      </w:pPr>
      <w:r>
        <w:rPr>
          <w:rFonts w:ascii="Arial" w:cs="Arial" w:eastAsia="Arial" w:hAnsi="Arial"/>
          <w:sz w:val="17"/>
          <w:szCs w:val="17"/>
          <w:color w:val="auto"/>
        </w:rPr>
        <w:t>Except as otherwise provided in this Plan, Stock Options may be exercised as to Shares only in amounts and at intervals of time specified in the written option agreement between the Company and the Optionee. Each exercise of a Stock Option, or any part thereof, shall be evidenced by a written notice delivered by the Optionee to the Company. The purchase price of the Shares as to which a Stock Option shall be exercised shall be paid in full at the time of exercise, and may be paid to the Company either:</w:t>
      </w:r>
    </w:p>
    <w:p>
      <w:pPr>
        <w:spacing w:after="0" w:line="175" w:lineRule="exact"/>
        <w:rPr>
          <w:rFonts w:ascii="Arial" w:cs="Arial" w:eastAsia="Arial" w:hAnsi="Arial"/>
          <w:sz w:val="17"/>
          <w:szCs w:val="17"/>
          <w:color w:val="auto"/>
        </w:rPr>
      </w:pPr>
    </w:p>
    <w:p>
      <w:pPr>
        <w:ind w:left="1920" w:hanging="657"/>
        <w:spacing w:after="0"/>
        <w:tabs>
          <w:tab w:leader="none" w:pos="1920" w:val="left"/>
        </w:tabs>
        <w:numPr>
          <w:ilvl w:val="1"/>
          <w:numId w:val="404"/>
        </w:numPr>
        <w:rPr>
          <w:rFonts w:ascii="Arial" w:cs="Arial" w:eastAsia="Arial" w:hAnsi="Arial"/>
          <w:sz w:val="17"/>
          <w:szCs w:val="17"/>
          <w:color w:val="auto"/>
        </w:rPr>
      </w:pPr>
      <w:r>
        <w:rPr>
          <w:rFonts w:ascii="Arial" w:cs="Arial" w:eastAsia="Arial" w:hAnsi="Arial"/>
          <w:sz w:val="17"/>
          <w:szCs w:val="17"/>
          <w:color w:val="auto"/>
        </w:rPr>
        <w:t>in cash (including check, bank draft or money order); or</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1"/>
          <w:numId w:val="404"/>
        </w:numPr>
        <w:rPr>
          <w:rFonts w:ascii="Arial" w:cs="Arial" w:eastAsia="Arial" w:hAnsi="Arial"/>
          <w:sz w:val="17"/>
          <w:szCs w:val="17"/>
          <w:color w:val="auto"/>
        </w:rPr>
      </w:pPr>
      <w:r>
        <w:rPr>
          <w:rFonts w:ascii="Arial" w:cs="Arial" w:eastAsia="Arial" w:hAnsi="Arial"/>
          <w:sz w:val="17"/>
          <w:szCs w:val="17"/>
          <w:color w:val="auto"/>
        </w:rPr>
        <w:t>by other consideration deemed acceptable by the Committee in its sole discretion.</w:t>
      </w:r>
    </w:p>
    <w:p>
      <w:pPr>
        <w:spacing w:after="0" w:line="224" w:lineRule="exact"/>
        <w:rPr>
          <w:rFonts w:ascii="Arial" w:cs="Arial" w:eastAsia="Arial" w:hAnsi="Arial"/>
          <w:sz w:val="17"/>
          <w:szCs w:val="17"/>
          <w:color w:val="auto"/>
        </w:rPr>
      </w:pPr>
    </w:p>
    <w:p>
      <w:pPr>
        <w:ind w:right="20" w:firstLine="634"/>
        <w:spacing w:after="0" w:line="303" w:lineRule="auto"/>
        <w:tabs>
          <w:tab w:leader="none" w:pos="1266" w:val="left"/>
        </w:tabs>
        <w:numPr>
          <w:ilvl w:val="0"/>
          <w:numId w:val="404"/>
        </w:numPr>
        <w:rPr>
          <w:rFonts w:ascii="Arial" w:cs="Arial" w:eastAsia="Arial" w:hAnsi="Arial"/>
          <w:sz w:val="15"/>
          <w:szCs w:val="15"/>
          <w:color w:val="auto"/>
        </w:rPr>
      </w:pPr>
      <w:r>
        <w:rPr>
          <w:rFonts w:ascii="Arial" w:cs="Arial" w:eastAsia="Arial" w:hAnsi="Arial"/>
          <w:sz w:val="15"/>
          <w:szCs w:val="15"/>
          <w:color w:val="auto"/>
        </w:rPr>
        <w:t>If, as permitted in the option agreement or by the Committee, an Optionee delivers Shares already owned by the Optionee in full or partial payment of the exercise price for any Stock Option or the Optionee elects to have the Company retain that number of Shares out of the Shares being acquired through the exercise of the Stock Option having a Fair Market Value equal to the exercise price of the Stock Option being exercised, the Committee may, in its sole discretion, authorize the grant of a new Stock Option (a “</w:t>
      </w:r>
      <w:r>
        <w:rPr>
          <w:rFonts w:ascii="Arial" w:cs="Arial" w:eastAsia="Arial" w:hAnsi="Arial"/>
          <w:sz w:val="15"/>
          <w:szCs w:val="15"/>
          <w:u w:val="single" w:color="auto"/>
          <w:color w:val="auto"/>
        </w:rPr>
        <w:t>Reload Option</w:t>
      </w:r>
      <w:r>
        <w:rPr>
          <w:rFonts w:ascii="Arial" w:cs="Arial" w:eastAsia="Arial" w:hAnsi="Arial"/>
          <w:sz w:val="15"/>
          <w:szCs w:val="15"/>
          <w:color w:val="auto"/>
        </w:rPr>
        <w:t>”) for that number of Shares equal to the number of already owned Shares surrendered or newly acquired Shares being retained by the Company in payment of the option exercise price of the underlying Stock Option being exercised. The grant of a Reload Option will become effective upon the exercise of the underlying Stock Option. The option exercise price of the Reload Option shall be the Fair Market Value of a Share on the effective date of the grant of the Reload Option. Each Reload Option shall be exercisable no later than the time when the underlying stock</w:t>
      </w:r>
    </w:p>
    <w:p>
      <w:pPr>
        <w:sectPr>
          <w:pgSz w:w="11900" w:h="16849" w:orient="portrait"/>
          <w:cols w:equalWidth="0" w:num="1">
            <w:col w:w="11420"/>
          </w:cols>
          <w:pgMar w:left="240" w:top="127" w:right="239" w:bottom="0" w:gutter="0" w:footer="0" w:header="0"/>
        </w:sectPr>
      </w:pPr>
    </w:p>
    <w:bookmarkStart w:id="308" w:name="page309"/>
    <w:bookmarkEnd w:id="308"/>
    <w:p>
      <w:pPr>
        <w:ind w:right="60"/>
        <w:spacing w:after="0" w:line="289" w:lineRule="auto"/>
        <w:rPr>
          <w:sz w:val="20"/>
          <w:szCs w:val="20"/>
          <w:color w:val="auto"/>
        </w:rPr>
      </w:pPr>
      <w:r>
        <w:rPr>
          <w:rFonts w:ascii="Arial" w:cs="Arial" w:eastAsia="Arial" w:hAnsi="Arial"/>
          <w:sz w:val="17"/>
          <w:szCs w:val="17"/>
          <w:color w:val="auto"/>
        </w:rPr>
        <w:t>option being exercised could be last exercised. The Committee may also specify additional terms, conditions and restrictions for the Reload Option and the Shares to be acquired upon the exercise thereof.</w:t>
      </w:r>
    </w:p>
    <w:p>
      <w:pPr>
        <w:spacing w:after="0" w:line="158" w:lineRule="exact"/>
        <w:rPr>
          <w:sz w:val="20"/>
          <w:szCs w:val="20"/>
          <w:color w:val="auto"/>
        </w:rPr>
      </w:pPr>
    </w:p>
    <w:p>
      <w:pPr>
        <w:ind w:right="120" w:firstLine="634"/>
        <w:spacing w:after="0" w:line="268" w:lineRule="auto"/>
        <w:tabs>
          <w:tab w:leader="none" w:pos="1269" w:val="left"/>
        </w:tabs>
        <w:numPr>
          <w:ilvl w:val="0"/>
          <w:numId w:val="405"/>
        </w:numPr>
        <w:rPr>
          <w:rFonts w:ascii="Arial" w:cs="Arial" w:eastAsia="Arial" w:hAnsi="Arial"/>
          <w:sz w:val="17"/>
          <w:szCs w:val="17"/>
          <w:color w:val="auto"/>
        </w:rPr>
      </w:pPr>
      <w:r>
        <w:rPr>
          <w:rFonts w:ascii="Arial" w:cs="Arial" w:eastAsia="Arial" w:hAnsi="Arial"/>
          <w:sz w:val="17"/>
          <w:szCs w:val="17"/>
          <w:color w:val="auto"/>
        </w:rPr>
        <w:t>The amount, as determined by the Committee, of any federal, state or local tax required to be withheld by the Company due to the exercise of a Stock Option shall, subject to the authorization of the Committee, be satisfied, at the election of the Optionee, either (i) by payment by the Optionee to the Company of the amount of such withholding obligation in cash or other consideration acceptable to the Committee in its sole discretion or (ii) through either the retention by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 xml:space="preserve">the Company of a number of Shares out of the Shares being acquired through the exercise of the Stock Option or the delivery of already owned Shares having a Fair Market Value equal to the amount of the withholding obligation. If an Optionee elects to use the method described in clause (ii) of the preceding sentence in full or partial satisfaction of any tax liability resulting from the exercise of a Stock Option, the Committee may authorize the grant of a Reload Option for that number of Shares as shall equal the number of Shares used to satisfy the tax liabilities of the Optionee arising out of the exercise of such Stock Option. Such Reload Option will be granted at the price and on the terms set forth in </w:t>
      </w:r>
      <w:r>
        <w:rPr>
          <w:rFonts w:ascii="Arial" w:cs="Arial" w:eastAsia="Arial" w:hAnsi="Arial"/>
          <w:sz w:val="16"/>
          <w:szCs w:val="16"/>
          <w:u w:val="single" w:color="auto"/>
          <w:color w:val="auto"/>
        </w:rPr>
        <w:t>Subsection 6.6 (b)</w:t>
      </w:r>
      <w:r>
        <w:rPr>
          <w:rFonts w:ascii="Arial" w:cs="Arial" w:eastAsia="Arial" w:hAnsi="Arial"/>
          <w:sz w:val="16"/>
          <w:szCs w:val="16"/>
          <w:color w:val="auto"/>
        </w:rPr>
        <w:t>. The cash payment or an amount equal to the Fair Market Value of the Shares so withheld, as the case may be, shall be remitted by the Company to the appropriate taxing authorities.</w:t>
      </w:r>
    </w:p>
    <w:p>
      <w:pPr>
        <w:spacing w:after="0" w:line="167" w:lineRule="exact"/>
        <w:rPr>
          <w:sz w:val="20"/>
          <w:szCs w:val="20"/>
          <w:color w:val="auto"/>
        </w:rPr>
      </w:pPr>
    </w:p>
    <w:p>
      <w:pPr>
        <w:ind w:right="120" w:firstLine="634"/>
        <w:spacing w:after="0" w:line="322" w:lineRule="auto"/>
        <w:tabs>
          <w:tab w:leader="none" w:pos="1266" w:val="left"/>
        </w:tabs>
        <w:numPr>
          <w:ilvl w:val="0"/>
          <w:numId w:val="406"/>
        </w:numPr>
        <w:rPr>
          <w:rFonts w:ascii="Arial" w:cs="Arial" w:eastAsia="Arial" w:hAnsi="Arial"/>
          <w:sz w:val="16"/>
          <w:szCs w:val="16"/>
          <w:color w:val="auto"/>
        </w:rPr>
      </w:pPr>
      <w:r>
        <w:rPr>
          <w:rFonts w:ascii="Arial" w:cs="Arial" w:eastAsia="Arial" w:hAnsi="Arial"/>
          <w:sz w:val="16"/>
          <w:szCs w:val="16"/>
          <w:color w:val="auto"/>
        </w:rPr>
        <w:t>An Optionee shall not have any of the rights of a shareholder of the Company with respect to the Shares subject to a Stock Option except to the extent that such Stock Option is exercised and one or more certificates representing such Shares shall have been delivered to the Optionee.</w:t>
      </w:r>
    </w:p>
    <w:p>
      <w:pPr>
        <w:spacing w:after="0" w:line="136"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i w:val="1"/>
          <w:iCs w:val="1"/>
          <w:u w:val="single" w:color="auto"/>
          <w:color w:val="auto"/>
        </w:rPr>
        <w:t>First Refusal Rights</w:t>
      </w:r>
      <w:r>
        <w:rPr>
          <w:rFonts w:ascii="Arial" w:cs="Arial" w:eastAsia="Arial" w:hAnsi="Arial"/>
          <w:sz w:val="17"/>
          <w:szCs w:val="17"/>
          <w:color w:val="auto"/>
        </w:rPr>
        <w:t>. Until such time as the Common Stock is first registered under Section 12 of the Exchange Act, the Company shall have the right of first refusal with respect to any proposed disposition by the Optionee (or any successor in interest) of any Shares issued under the Plan. Such right of first refusal shall be exercisable in accordance with the terms established by the Committee.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7</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APPRECIATION RIGHTS</w:t>
      </w:r>
    </w:p>
    <w:p>
      <w:pPr>
        <w:spacing w:after="0" w:line="212" w:lineRule="exact"/>
        <w:rPr>
          <w:sz w:val="20"/>
          <w:szCs w:val="20"/>
          <w:color w:val="auto"/>
        </w:rPr>
      </w:pPr>
    </w:p>
    <w:p>
      <w:pPr>
        <w:ind w:right="100" w:firstLine="629"/>
        <w:spacing w:after="0" w:line="279"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u w:val="single" w:color="auto"/>
          <w:color w:val="auto"/>
        </w:rPr>
        <w:t>Grants.</w:t>
      </w:r>
      <w:r>
        <w:rPr>
          <w:rFonts w:ascii="Arial" w:cs="Arial" w:eastAsia="Arial" w:hAnsi="Arial"/>
          <w:sz w:val="16"/>
          <w:szCs w:val="16"/>
          <w:color w:val="auto"/>
        </w:rPr>
        <w:t xml:space="preserve"> The Committee may grant to any eligible Consultant, non-employee Director or employee of the Company or a Subsidiary either Non-Tandem Stock Appreciation Rights or Tandem Stock Appreciation Rights. Stock Appreciation Rights shall be subject to such terms and conditions as the Committee shall impose. The grant of the Stock Appreciation Right may provide that the holder will be paid for the value of the Stock Appreciation Right either in cash or in Shares, or a combination thereof, at the sole discretion of the Committee. In the event of the exercise of a Stock Appreciation Right payable in Shares, the holder of the Stock Appreciation Right shall receive that number of whole Shares having an aggregate Fair Market Value on the date of exercise equal to the value obtained by multiplying (i) either (a) in the case of a Tandem Stock Appreciation Right, the difference between the Fair Market Value of a Share on the date of exercise over the per share exercise price of the related Stock Option, or (b) in the case of a Non-Tandem Stock Appreciation Right, the difference between the Fair Market Value of a Share on the date of exercise over the Fair Market Value on the date of the grant by (ii) the number of Shares as to which the Stock Appreciation Right is exercised. However, notwithstanding the foregoing, the Committee, in its sole discretion, may place a ceiling on the amount payable upon exercise of a Stock Appreciation Right, but any such limitation shall be specified at the time that the Stock Appreciation Right is granted.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29"/>
        <w:spacing w:after="0" w:line="28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u w:val="single" w:color="auto"/>
          <w:color w:val="auto"/>
        </w:rPr>
        <w:t>Exercisability.</w:t>
      </w:r>
      <w:r>
        <w:rPr>
          <w:rFonts w:ascii="Arial" w:cs="Arial" w:eastAsia="Arial" w:hAnsi="Arial"/>
          <w:sz w:val="16"/>
          <w:szCs w:val="16"/>
          <w:color w:val="auto"/>
        </w:rPr>
        <w:t xml:space="preserve"> A Tandem Stock Appreciation Right granted in connection with an Incentive Stock Option (i) may be exercised at, and only at, the times and to the extent the related Incentive Stock Option is exercisable, (ii) will expire upon the termination of the related Incentive Stock Option, (iii) may not exceed 100% of the difference between the exercise price of the related Incentive Stock Option and the Fair Market Value of the Shares subject to the related Incentive Stock Option at the time the Tandem Stock Appreciation Right is exercised and (iv) may be exercised at, and only at, such times as the Fair Market Value of the Shares subject to the related Incentive Stock Option exceeds the exercise price of the related Incentive Stock Option. A Tandem Stock Appreciation Right may be transferred at, and only at, the times and to the extent the related Stock Option is transferable. If a Tandem Stock Appreciation Right is granted, there shall be surrendered and canceled from the related Stock Option at the time of exercise of the Tandem Stock Appreciation Right, in lieu of exercise pursuant to the related Stock Option, that number of Shares of the Stock Option to which the exercised Tandem Stock Appreciation Right relates.</w:t>
      </w:r>
    </w:p>
    <w:p>
      <w:pPr>
        <w:spacing w:after="0" w:line="171" w:lineRule="exact"/>
        <w:rPr>
          <w:sz w:val="20"/>
          <w:szCs w:val="20"/>
          <w:color w:val="auto"/>
        </w:rPr>
      </w:pPr>
    </w:p>
    <w:p>
      <w:pPr>
        <w:jc w:val="both"/>
        <w:ind w:right="20" w:firstLine="629"/>
        <w:spacing w:after="0" w:line="298"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u w:val="single" w:color="auto"/>
          <w:color w:val="auto"/>
        </w:rPr>
        <w:t>Certain Limitations on Non-Tandem Stock Appreciation Rights</w:t>
      </w:r>
      <w:r>
        <w:rPr>
          <w:rFonts w:ascii="Arial" w:cs="Arial" w:eastAsia="Arial" w:hAnsi="Arial"/>
          <w:sz w:val="16"/>
          <w:szCs w:val="16"/>
          <w:i w:val="1"/>
          <w:iCs w:val="1"/>
          <w:color w:val="auto"/>
        </w:rPr>
        <w:t>.</w:t>
      </w:r>
      <w:r>
        <w:rPr>
          <w:rFonts w:ascii="Arial" w:cs="Arial" w:eastAsia="Arial" w:hAnsi="Arial"/>
          <w:sz w:val="16"/>
          <w:szCs w:val="16"/>
          <w:color w:val="auto"/>
        </w:rPr>
        <w:t xml:space="preserve"> A Non-Tandem Stock Appreciation Right will be exercisable as provided by the Committee and will have such other terms and conditions as the Committee may determine. A Non-Tandem Stock Appreciation Right is subject to acceleration of vesting or immediate termination in certain circumstances in the same manner as Stock Options pursuant to </w:t>
      </w:r>
      <w:r>
        <w:rPr>
          <w:rFonts w:ascii="Arial" w:cs="Arial" w:eastAsia="Arial" w:hAnsi="Arial"/>
          <w:sz w:val="16"/>
          <w:szCs w:val="16"/>
          <w:u w:val="single" w:color="auto"/>
          <w:color w:val="auto"/>
        </w:rPr>
        <w:t>Subsections 6.4 and 6.5</w:t>
      </w:r>
      <w:r>
        <w:rPr>
          <w:rFonts w:ascii="Arial" w:cs="Arial" w:eastAsia="Arial" w:hAnsi="Arial"/>
          <w:sz w:val="16"/>
          <w:szCs w:val="16"/>
          <w:color w:val="auto"/>
        </w:rPr>
        <w:t xml:space="preserve"> of this Plan.</w:t>
      </w:r>
    </w:p>
    <w:p>
      <w:pPr>
        <w:spacing w:after="0" w:line="154"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i w:val="1"/>
          <w:iCs w:val="1"/>
          <w:u w:val="single" w:color="auto"/>
          <w:color w:val="auto"/>
        </w:rPr>
        <w:t>Limited Stock Appreciation Rights.</w:t>
      </w:r>
      <w:r>
        <w:rPr>
          <w:rFonts w:ascii="Arial" w:cs="Arial" w:eastAsia="Arial" w:hAnsi="Arial"/>
          <w:sz w:val="17"/>
          <w:szCs w:val="17"/>
          <w:color w:val="auto"/>
        </w:rPr>
        <w:t xml:space="preserve"> The Committee may grant limited Stock Appreciation Rights, either as Tandem Stock Appreciation Rights or Non-Tandem Stock Appreciation Rights, which may become exercisable only upon the occurrence of a Change in Control or such other event as the Committee may designate at the time of grant or thereafter.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8</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STOCK</w:t>
      </w:r>
    </w:p>
    <w:p>
      <w:pPr>
        <w:spacing w:after="0" w:line="212" w:lineRule="exact"/>
        <w:rPr>
          <w:sz w:val="20"/>
          <w:szCs w:val="20"/>
          <w:color w:val="auto"/>
        </w:rPr>
      </w:pPr>
    </w:p>
    <w:p>
      <w:pPr>
        <w:ind w:right="120" w:firstLine="629"/>
        <w:spacing w:after="0" w:line="27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i w:val="1"/>
          <w:iCs w:val="1"/>
          <w:u w:val="single" w:color="auto"/>
          <w:color w:val="auto"/>
        </w:rPr>
        <w:t>Grants.</w:t>
      </w:r>
      <w:r>
        <w:rPr>
          <w:rFonts w:ascii="Arial" w:cs="Arial" w:eastAsia="Arial" w:hAnsi="Arial"/>
          <w:sz w:val="16"/>
          <w:szCs w:val="16"/>
          <w:color w:val="auto"/>
        </w:rPr>
        <w:t xml:space="preserve"> The Committee may grant Awards of Restricted Stock to any eligible Consultant, non-employee Director or employee of the Company or a Subsidiary for such minimum consideration, if any, as may be required by applicable law or such greater consideration as may be determined by the Committee, in its sole discretion. The terms and conditions of the Restricted Stock shall be specified by the grant agreement. The Committee, in its sole discretion, may specify any particular rights which the Participant to whom a grant of Restricted Stock is made shall have in the Restricted Stock during the restriction period and the restrictions applicable to the particular Award, the vesting schedule (which may be based on service, performance or other factors) and rights to acceleration of vesting (including, without limitation, whether non-vested Shares are forfeited or vested upon termination of employment). Further, the Committee may grant performance-based Awards consisting of Restricted Stock by conditioning the grant, or vesting or such other factors, such as the release, expiration or lapse of restrictions upon any such Award (including the acceleration of any such conditions or terms) of such Restricted Stock upon the attainment of specified performance goals or such other factors as the Committee may determine. The Committee shall also determine when the restrictions shall lapse or expire and the conditions, if any, pursuant to which the Restricted Stock will be forfeited or sold back to the Company. Each Award of Restricted Stock may have different restrictions and conditions. Unless otherwise set forth</w:t>
      </w:r>
    </w:p>
    <w:p>
      <w:pPr>
        <w:sectPr>
          <w:pgSz w:w="11900" w:h="16838" w:orient="portrait"/>
          <w:cols w:equalWidth="0" w:num="1">
            <w:col w:w="11420"/>
          </w:cols>
          <w:pgMar w:left="240" w:top="128" w:right="239" w:bottom="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8" w:right="239" w:bottom="0" w:gutter="0" w:footer="0" w:header="0"/>
          <w:type w:val="continuous"/>
        </w:sectPr>
      </w:pPr>
    </w:p>
    <w:bookmarkStart w:id="309" w:name="page310"/>
    <w:bookmarkEnd w:id="309"/>
    <w:p>
      <w:pPr>
        <w:spacing w:after="0" w:line="6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in the grant agreement, Restricted Stock may not be sold, pledged, encumbered or otherwise disposed of by the recipient until the restrictions specified in the Award expire. Awards of Restricted Stock are subject to acceleration of vesting, termination of restrictions and termination in the same manner as Stock Options pursuant to </w:t>
      </w:r>
      <w:r>
        <w:rPr>
          <w:rFonts w:ascii="Arial" w:cs="Arial" w:eastAsia="Arial" w:hAnsi="Arial"/>
          <w:sz w:val="17"/>
          <w:szCs w:val="17"/>
          <w:u w:val="single" w:color="auto"/>
          <w:color w:val="auto"/>
        </w:rPr>
        <w:t>Subsections 6.4 and 6.5</w:t>
      </w:r>
      <w:r>
        <w:rPr>
          <w:rFonts w:ascii="Arial" w:cs="Arial" w:eastAsia="Arial" w:hAnsi="Arial"/>
          <w:sz w:val="17"/>
          <w:szCs w:val="17"/>
          <w:color w:val="auto"/>
        </w:rPr>
        <w:t xml:space="preserve"> of this Plan.</w:t>
      </w:r>
    </w:p>
    <w:p>
      <w:pPr>
        <w:spacing w:after="0" w:line="172" w:lineRule="exact"/>
        <w:rPr>
          <w:sz w:val="20"/>
          <w:szCs w:val="20"/>
          <w:color w:val="auto"/>
        </w:rPr>
      </w:pPr>
    </w:p>
    <w:p>
      <w:pPr>
        <w:ind w:right="40" w:firstLine="629"/>
        <w:spacing w:after="0" w:line="308"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i w:val="1"/>
          <w:iCs w:val="1"/>
          <w:u w:val="single" w:color="auto"/>
          <w:color w:val="auto"/>
        </w:rPr>
        <w:t>Awards and Certificates.</w:t>
      </w:r>
      <w:r>
        <w:rPr>
          <w:rFonts w:ascii="Arial" w:cs="Arial" w:eastAsia="Arial" w:hAnsi="Arial"/>
          <w:sz w:val="15"/>
          <w:szCs w:val="15"/>
          <w:color w:val="auto"/>
        </w:rPr>
        <w:t xml:space="preserve"> Any Restricted Stock issued hereunder may be evidenced in such manner as the Committee, in its sole discretion, shall deem appropriate including, without limitation, book-entry registration or issuance of a stock certificate or certificates. In the event any stock certificate is issued in respect of Shares of Restricted Stock, such certificate shall bear an appropriate legend with respect to the restrictions applicable to such Award. The Company may retain, at its option, the physical custody of any stock certificate representing any awards of Restricted Stock during the restriction period or require that the certificates evidencing Restricted Stock be placed in escrow or trust, along with a stock power endorsed in blank, until all restrictions are removed or expire.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9</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PERFORMANCE AWARDS</w:t>
      </w:r>
    </w:p>
    <w:p>
      <w:pPr>
        <w:spacing w:after="0" w:line="212" w:lineRule="exact"/>
        <w:rPr>
          <w:sz w:val="20"/>
          <w:szCs w:val="20"/>
          <w:color w:val="auto"/>
        </w:rPr>
      </w:pPr>
    </w:p>
    <w:p>
      <w:pPr>
        <w:ind w:right="80" w:firstLine="629"/>
        <w:spacing w:after="0" w:line="278"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u w:val="single" w:color="auto"/>
          <w:color w:val="auto"/>
        </w:rPr>
        <w:t>Grants</w:t>
      </w:r>
      <w:r>
        <w:rPr>
          <w:rFonts w:ascii="Arial" w:cs="Arial" w:eastAsia="Arial" w:hAnsi="Arial"/>
          <w:sz w:val="16"/>
          <w:szCs w:val="16"/>
          <w:u w:val="single" w:color="auto"/>
          <w:color w:val="auto"/>
        </w:rPr>
        <w:t>.</w:t>
      </w:r>
      <w:r>
        <w:rPr>
          <w:rFonts w:ascii="Arial" w:cs="Arial" w:eastAsia="Arial" w:hAnsi="Arial"/>
          <w:sz w:val="16"/>
          <w:szCs w:val="16"/>
          <w:color w:val="auto"/>
        </w:rPr>
        <w:t xml:space="preserve"> A Performance Award may consist of either or both, as the Committee may determine, of (i) the right to receive Shares or Restricted Stock, or any combination thereof as the Committee may determine or (ii) the right to receive a fixed dollar amount payable in Shares, Restricted Stock, cash or any combination thereof, as the Committee may determine. The Committee may grant Performance Awards to any eligible Consultant, non-employee Director or employee of the Company or a Subsidiary, for such minimum consideration, if any, as may be required by applicable law or such greater consideration as may be determined by the Committee, in its sole discretion. The terms and conditions of Performance Awards shall be specified at the time of the grant and may include provisions establishing the performance period, the performance criteria to be achieved during a performance period, the criteria used to determine vesting (including the acceleration thereof), whether Performance Awards are forfeited or vest upon termination of employment during a performance period and the maximum or minimum settlement values. Each Performance Award shall have its own terms and conditions, which shall be determined in the sole discretion of the Committee. If the Committee determines, in its sole discretion, that the established performance measures or objectives are no longer suitable because of a change in the Company’s business, operations, corporate structure or for other reasons that the Committee deems satisfactory, the Committee may modify the performance measures or objectives and/or the performance period. Performance Awards are subject to acceleration of vesting, termination of restrictions and termination in the same manner as Stock Options pursuant to </w:t>
      </w:r>
      <w:r>
        <w:rPr>
          <w:rFonts w:ascii="Arial" w:cs="Arial" w:eastAsia="Arial" w:hAnsi="Arial"/>
          <w:sz w:val="16"/>
          <w:szCs w:val="16"/>
          <w:u w:val="single" w:color="auto"/>
          <w:color w:val="auto"/>
        </w:rPr>
        <w:t>Subsections 6.4 and 6.5</w:t>
      </w:r>
      <w:r>
        <w:rPr>
          <w:rFonts w:ascii="Arial" w:cs="Arial" w:eastAsia="Arial" w:hAnsi="Arial"/>
          <w:sz w:val="16"/>
          <w:szCs w:val="16"/>
          <w:color w:val="auto"/>
        </w:rPr>
        <w:t xml:space="preserve"> of this Plan.</w:t>
      </w:r>
    </w:p>
    <w:p>
      <w:pPr>
        <w:spacing w:after="0" w:line="169" w:lineRule="exact"/>
        <w:rPr>
          <w:sz w:val="20"/>
          <w:szCs w:val="20"/>
          <w:color w:val="auto"/>
        </w:rPr>
      </w:pPr>
    </w:p>
    <w:p>
      <w:pPr>
        <w:ind w:right="100" w:firstLine="629"/>
        <w:spacing w:after="0" w:line="290"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u w:val="single" w:color="auto"/>
          <w:color w:val="auto"/>
        </w:rPr>
        <w:t>Terms and Conditions.</w:t>
      </w:r>
      <w:r>
        <w:rPr>
          <w:rFonts w:ascii="Arial" w:cs="Arial" w:eastAsia="Arial" w:hAnsi="Arial"/>
          <w:sz w:val="16"/>
          <w:szCs w:val="16"/>
          <w:color w:val="auto"/>
        </w:rPr>
        <w:t xml:space="preserve"> Performance Awards may be valued by reference to the Fair Market Value of a Share or according to any other formula or method deemed appropriate by the Committee, in its sole discretion, including, but not limited to, achievement of specific financial, production, sales, cost or earnings performance objectives that the Committee believes to be relevant or the Company’s performance or the performance of the Shares measured against the performance of the market, the Company’s industry segment or its direct competitors. Performance Awards may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also be conditioned upon the applicable Participant remaining in the employ of the Company or one of its Subsidiaries for a specified period. Performance Awards may be paid in cash, Shares (including Restricted Stock) or other consideration, or any combination thereof. Performance Awards may be payable in a single payment or in installments and may be payable at a specified date or dates or upon attaining the performance objective or objectives, all at the sole discretion of the Committee. The extent to which any applicable performance objective has been achieved shall be conclusively determined by the Committee in its sole discretion.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10</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OTHER AWARDS</w:t>
      </w:r>
    </w:p>
    <w:p>
      <w:pPr>
        <w:spacing w:after="0" w:line="212" w:lineRule="exact"/>
        <w:rPr>
          <w:sz w:val="20"/>
          <w:szCs w:val="20"/>
          <w:color w:val="auto"/>
        </w:rPr>
      </w:pPr>
    </w:p>
    <w:p>
      <w:pPr>
        <w:ind w:right="80" w:firstLine="629"/>
        <w:spacing w:after="0" w:line="263"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i w:val="1"/>
          <w:iCs w:val="1"/>
          <w:u w:val="single" w:color="auto"/>
          <w:color w:val="auto"/>
        </w:rPr>
        <w:t>Other Awards.</w:t>
      </w:r>
      <w:r>
        <w:rPr>
          <w:rFonts w:ascii="Arial" w:cs="Arial" w:eastAsia="Arial" w:hAnsi="Arial"/>
          <w:sz w:val="17"/>
          <w:szCs w:val="17"/>
          <w:color w:val="auto"/>
        </w:rPr>
        <w:t xml:space="preserve"> The Committee may grant to any eligible Consultant, non-employee Director or employee of the Company or a Subsidiary other forms of Awards based upon, payable in or otherwise related to, in whole or in part, Shares, if the Committee, in its sole discretion, determines that such other form of Award is consistent with the purposes of this Plan. The terms and conditions of such other form of Award shall be specified in a written agreement which sets forth the terms and conditions of such Award, including, but not limited to, the price, if any, and the vesting schedule, if any, of such Award. Such Awards may be granted for such minimum consideration, if any, as may be required by applicable law or for such other greater consideration as may be determined by the Committee, in its sole discretion.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11</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COMPLIANCE WITH SECURITIES AND OTHER LAWS</w:t>
      </w:r>
    </w:p>
    <w:p>
      <w:pPr>
        <w:spacing w:after="0" w:line="212" w:lineRule="exact"/>
        <w:rPr>
          <w:sz w:val="20"/>
          <w:szCs w:val="20"/>
          <w:color w:val="auto"/>
        </w:rPr>
      </w:pPr>
    </w:p>
    <w:p>
      <w:pPr>
        <w:ind w:right="20" w:firstLine="629"/>
        <w:spacing w:after="0" w:line="298"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i w:val="1"/>
          <w:iCs w:val="1"/>
          <w:u w:val="single" w:color="auto"/>
          <w:color w:val="auto"/>
        </w:rPr>
        <w:t>Compliance.</w:t>
      </w:r>
      <w:r>
        <w:rPr>
          <w:rFonts w:ascii="Arial" w:cs="Arial" w:eastAsia="Arial" w:hAnsi="Arial"/>
          <w:sz w:val="15"/>
          <w:szCs w:val="15"/>
          <w:color w:val="auto"/>
        </w:rPr>
        <w:t xml:space="preserve"> As a condition to the issuance or transfer of any Award or any security issuable in connection with such Award, the Company may require an opinion of counsel, satisfactory to the Company, to the effect that (i) such issuance and/or transfer will not be in violation of the Securities Act or any other applicable securities laws and (ii) such issuance and/or transfer will not be in violation of the rules and regulations of any securities exchange or automated quotation system on which the Shares are listed or admitted to trading. Further, the Company may refrain from issuing, delivering or transferring any Award or any security issuable in connection with such Award until the Committee has determined that such issuance, delivery or transfer will not violate such securities laws or rules and regulations and that either the recipient has tendered to the Company, or the Company or a Subsidiary has withheld, any federal, state or local tax owed as a result of such issuance, delivery or transfer, when the Company has a legal liability to satisfy such tax. The Company shall not be liable for damages due to delay in the issuance, delivery or transfer of any Award or any security issuable in connection with such Award or any agreement, instrument or certificate evidencing such Award or security for any reason whatsoever, including, but not limited to, a delay caused by the listing requirements of any securities exchange or automated quotation system or any registration requirements under the Securities Act, the Exchange Act, or under any other state or federal law, rule or regulation. The Company is under no obligation to take any action or incur any expense to register or qualify the issuance, delivery or transfer of any Award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40"/>
        <w:spacing w:after="0" w:line="305" w:lineRule="auto"/>
        <w:rPr>
          <w:sz w:val="20"/>
          <w:szCs w:val="20"/>
          <w:color w:val="auto"/>
        </w:rPr>
      </w:pPr>
      <w:r>
        <w:rPr>
          <w:rFonts w:ascii="Arial" w:cs="Arial" w:eastAsia="Arial" w:hAnsi="Arial"/>
          <w:sz w:val="15"/>
          <w:szCs w:val="15"/>
          <w:color w:val="auto"/>
        </w:rPr>
        <w:t xml:space="preserve">or any security issuable in connection with such Award under applicable securities laws or to perfect any exemption from such registration or qualification or to list any security on any securities exchange or automated quotation system. Furthermore, the Company will have no liability to any person for refusing to issue, deliver or transfer any Award or any security issuable in connection with such Award if such refusal is based upon the foregoing provisions of this </w:t>
      </w:r>
      <w:r>
        <w:rPr>
          <w:rFonts w:ascii="Arial" w:cs="Arial" w:eastAsia="Arial" w:hAnsi="Arial"/>
          <w:sz w:val="15"/>
          <w:szCs w:val="15"/>
          <w:u w:val="single" w:color="auto"/>
          <w:color w:val="auto"/>
        </w:rPr>
        <w:t>ARTICLE 11</w:t>
      </w:r>
      <w:r>
        <w:rPr>
          <w:rFonts w:ascii="Arial" w:cs="Arial" w:eastAsia="Arial" w:hAnsi="Arial"/>
          <w:sz w:val="15"/>
          <w:szCs w:val="15"/>
          <w:color w:val="auto"/>
        </w:rPr>
        <w:t>. As a condition to any issuance, delivery or transfer of any Award or any security issuable in connection with such Award, the Company may place legends on any agreement, instrument or certificate evidencing such Award or security, issue stop transfer orders with respect thereto and require such agreements or undertakings as the Company may deem necessary or advisable to assure compliance with applicable laws or regulations, including, if the Company or its counsel deems it</w:t>
      </w:r>
    </w:p>
    <w:p>
      <w:pPr>
        <w:sectPr>
          <w:pgSz w:w="11900" w:h="16902" w:orient="portrait"/>
          <w:cols w:equalWidth="0" w:num="1">
            <w:col w:w="11420"/>
          </w:cols>
          <w:pgMar w:left="240" w:top="573" w:right="239" w:bottom="0" w:gutter="0" w:footer="0" w:header="0"/>
        </w:sectPr>
      </w:pPr>
    </w:p>
    <w:bookmarkStart w:id="310" w:name="page311"/>
    <w:bookmarkEnd w:id="310"/>
    <w:p>
      <w:pPr>
        <w:ind w:right="100"/>
        <w:spacing w:after="0" w:line="273" w:lineRule="auto"/>
        <w:rPr>
          <w:sz w:val="20"/>
          <w:szCs w:val="20"/>
          <w:color w:val="auto"/>
        </w:rPr>
      </w:pPr>
      <w:r>
        <w:rPr>
          <w:rFonts w:ascii="Arial" w:cs="Arial" w:eastAsia="Arial" w:hAnsi="Arial"/>
          <w:sz w:val="17"/>
          <w:szCs w:val="17"/>
          <w:color w:val="auto"/>
        </w:rPr>
        <w:t>appropriate, representations from the recipient of such Award or security to the effect that such recipient is acquiring such Award or security solely for investment and not with a view to distribution and that no distribution of the Award or the security will be made unless registered pursuant to applicable federal and state securities laws, or in the opinion of counsel to the Company, such registration is unnecessary.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12</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ADJUSTMENTS UPON THE OCCURRENCE OF A RECAPITALIZATION OR CORPORATE TRANSACTION</w:t>
      </w:r>
    </w:p>
    <w:p>
      <w:pPr>
        <w:spacing w:after="0" w:line="212"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12.1 In the event of a Recapitalization, the number and class of Shares subject to this Plan and to each outstanding Award, and the exercise price of each Award which is based upon Shares, shall (to the extent deemed appropriate by the Committee) be proportionately adjusted (as determined by the Committee in its sole discretion) to account for any increase or decrease in the number, or change in the class, of issued and outstanding Shares of the Company resulting from such Recapitalization.</w:t>
      </w:r>
    </w:p>
    <w:p>
      <w:pPr>
        <w:spacing w:after="0" w:line="176" w:lineRule="exact"/>
        <w:rPr>
          <w:sz w:val="20"/>
          <w:szCs w:val="20"/>
          <w:color w:val="auto"/>
        </w:rPr>
      </w:pPr>
    </w:p>
    <w:p>
      <w:pPr>
        <w:ind w:right="140" w:firstLine="629"/>
        <w:spacing w:after="0" w:line="283" w:lineRule="auto"/>
        <w:rPr>
          <w:sz w:val="20"/>
          <w:szCs w:val="20"/>
          <w:color w:val="auto"/>
        </w:rPr>
      </w:pPr>
      <w:r>
        <w:rPr>
          <w:rFonts w:ascii="Arial" w:cs="Arial" w:eastAsia="Arial" w:hAnsi="Arial"/>
          <w:sz w:val="16"/>
          <w:szCs w:val="16"/>
          <w:color w:val="auto"/>
        </w:rPr>
        <w:t>12.2 If a Corporate Transaction is consummated and immediately following the consummation of such Corporate Transaction the Persons who were holders of Shares immediately prior to the consummation of such Corporate Transaction do not receive any securities or other property (hereinafter collectively referred to as “</w:t>
      </w:r>
      <w:r>
        <w:rPr>
          <w:rFonts w:ascii="Arial" w:cs="Arial" w:eastAsia="Arial" w:hAnsi="Arial"/>
          <w:sz w:val="16"/>
          <w:szCs w:val="16"/>
          <w:u w:val="single" w:color="auto"/>
          <w:color w:val="auto"/>
        </w:rPr>
        <w:t>Transactional Consideration</w:t>
      </w:r>
      <w:r>
        <w:rPr>
          <w:rFonts w:ascii="Arial" w:cs="Arial" w:eastAsia="Arial" w:hAnsi="Arial"/>
          <w:sz w:val="16"/>
          <w:szCs w:val="16"/>
          <w:color w:val="auto"/>
        </w:rPr>
        <w:t>”) as a result of such Corporate Transaction and substantially all of such Persons continue to hold the Shares held by them immediately prior to the consummation of such Corporate Transaction (in substantially the same proportions relative to each other), the Awards will remain outstanding and will (subject to, and except as provided in, the other provisions of this Plan and the Award agreement) continue in full force and effect in accordance with its terms (without any modification) following the consummation of the Corporate Transaction.</w:t>
      </w:r>
    </w:p>
    <w:p>
      <w:pPr>
        <w:spacing w:after="0" w:line="167" w:lineRule="exact"/>
        <w:rPr>
          <w:sz w:val="20"/>
          <w:szCs w:val="20"/>
          <w:color w:val="auto"/>
        </w:rPr>
      </w:pPr>
    </w:p>
    <w:p>
      <w:pPr>
        <w:ind w:right="160" w:firstLine="629"/>
        <w:spacing w:after="0" w:line="268" w:lineRule="auto"/>
        <w:rPr>
          <w:sz w:val="20"/>
          <w:szCs w:val="20"/>
          <w:color w:val="auto"/>
        </w:rPr>
      </w:pPr>
      <w:r>
        <w:rPr>
          <w:rFonts w:ascii="Arial" w:cs="Arial" w:eastAsia="Arial" w:hAnsi="Arial"/>
          <w:sz w:val="17"/>
          <w:szCs w:val="17"/>
          <w:color w:val="auto"/>
        </w:rPr>
        <w:t>12.3 If a Corporate Transaction is consummated and immediately following the consummation of such Corporate Transaction the Persons who were holders of Shares immediately prior to the consummation of such Corporate Transaction do receive Transactional Consideration as a result of such Corporate Transaction or substantially all of such Persons do not continue to hold the Shares held by them immediately prior to the consummation of such Corporate Transaction (in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substantially the same proportions relative to each other), the terms and conditions of the Awards will be modified as follows:</w:t>
      </w:r>
    </w:p>
    <w:p>
      <w:pPr>
        <w:spacing w:after="0" w:line="224" w:lineRule="exact"/>
        <w:rPr>
          <w:sz w:val="20"/>
          <w:szCs w:val="20"/>
          <w:color w:val="auto"/>
        </w:rPr>
      </w:pPr>
    </w:p>
    <w:p>
      <w:pPr>
        <w:ind w:firstLine="634"/>
        <w:spacing w:after="0" w:line="290" w:lineRule="auto"/>
        <w:tabs>
          <w:tab w:leader="none" w:pos="1279" w:val="left"/>
        </w:tabs>
        <w:numPr>
          <w:ilvl w:val="0"/>
          <w:numId w:val="407"/>
        </w:numPr>
        <w:rPr>
          <w:rFonts w:ascii="Arial" w:cs="Arial" w:eastAsia="Arial" w:hAnsi="Arial"/>
          <w:sz w:val="16"/>
          <w:szCs w:val="16"/>
          <w:color w:val="auto"/>
        </w:rPr>
      </w:pPr>
      <w:r>
        <w:rPr>
          <w:rFonts w:ascii="Arial" w:cs="Arial" w:eastAsia="Arial" w:hAnsi="Arial"/>
          <w:sz w:val="16"/>
          <w:szCs w:val="16"/>
          <w:color w:val="auto"/>
        </w:rPr>
        <w:t>If the documentation pursuant to which a Corporate Transaction will be consummated provides for the assumption (by the entity issuing Transactional Consideration to the Persons who were the holders of Shares immediately prior to the consummation of such Corporate Transaction) of the Awards granted pursuant to this Plan without any modification or amendment (other than Permitted Modifications), such Awards will remain outstanding and will continue in full force and effect in accordance with its terms following the consummation of such Corporate Transaction (subject to such Permitted Modifications).</w:t>
      </w:r>
    </w:p>
    <w:p>
      <w:pPr>
        <w:spacing w:after="0" w:line="159" w:lineRule="exact"/>
        <w:rPr>
          <w:rFonts w:ascii="Arial" w:cs="Arial" w:eastAsia="Arial" w:hAnsi="Arial"/>
          <w:sz w:val="16"/>
          <w:szCs w:val="16"/>
          <w:color w:val="auto"/>
        </w:rPr>
      </w:pPr>
    </w:p>
    <w:p>
      <w:pPr>
        <w:ind w:right="100" w:firstLine="634"/>
        <w:spacing w:after="0" w:line="279" w:lineRule="auto"/>
        <w:tabs>
          <w:tab w:leader="none" w:pos="1288" w:val="left"/>
        </w:tabs>
        <w:numPr>
          <w:ilvl w:val="0"/>
          <w:numId w:val="407"/>
        </w:numPr>
        <w:rPr>
          <w:rFonts w:ascii="Arial" w:cs="Arial" w:eastAsia="Arial" w:hAnsi="Arial"/>
          <w:sz w:val="16"/>
          <w:szCs w:val="16"/>
          <w:color w:val="auto"/>
        </w:rPr>
      </w:pPr>
      <w:r>
        <w:rPr>
          <w:rFonts w:ascii="Arial" w:cs="Arial" w:eastAsia="Arial" w:hAnsi="Arial"/>
          <w:sz w:val="16"/>
          <w:szCs w:val="16"/>
          <w:color w:val="auto"/>
        </w:rPr>
        <w:t>If the documentation pursuant to which a Corporate Transaction will be consummated does not provide for the assumption by the entity issuing Transactional Consideration to the Persons who were the holders of Shares immediately prior to the consummation of such Corporate Transaction of the Awards granted pursuant to this Plan without any modification or amendment (other than Permitted Modifications), all vesting restrictions (performance based or otherwise) applicable to Awards which will not be so assumed will accelerate and the holders of such Awards may (subject to the expiration of the term of such Awards) exercise/receive the benefits of such Awards without regard to such vesting restrictions during the ten (10) day period immediately preceding the consummation of such Corporate Transaction. For purposes of the immediately preceding sentence, all performance based goals will be deemed to have been satisfied in full. The Company will provide each Participant holding Awards which will not be so assumed with reasonable notice of the termination of such vesting restrictions and the impending termination of such Awards. Upon the consummation of such a Corporate Transaction, all unexercised Awards which are not to be so assumed will automatically terminate and cease to be outstanding.</w:t>
      </w:r>
    </w:p>
    <w:p>
      <w:pPr>
        <w:spacing w:after="0" w:line="173"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 xml:space="preserve">Nothing contained in this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will be deemed to extend the term of an Award or to revive any Award which has previously lapsed or been canceled, terminated or surrendered.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13</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 OR TERMINATION OF THIS PLAN</w:t>
      </w:r>
    </w:p>
    <w:p>
      <w:pPr>
        <w:spacing w:after="0" w:line="212" w:lineRule="exact"/>
        <w:rPr>
          <w:sz w:val="20"/>
          <w:szCs w:val="20"/>
          <w:color w:val="auto"/>
        </w:rPr>
      </w:pPr>
    </w:p>
    <w:p>
      <w:pPr>
        <w:ind w:right="100" w:firstLine="629"/>
        <w:spacing w:after="0" w:line="268"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i w:val="1"/>
          <w:iCs w:val="1"/>
          <w:u w:val="single" w:color="auto"/>
          <w:color w:val="auto"/>
        </w:rPr>
        <w:t>Amendment of This Plan.</w:t>
      </w:r>
      <w:r>
        <w:rPr>
          <w:rFonts w:ascii="Arial" w:cs="Arial" w:eastAsia="Arial" w:hAnsi="Arial"/>
          <w:sz w:val="17"/>
          <w:szCs w:val="17"/>
          <w:color w:val="auto"/>
        </w:rPr>
        <w:t xml:space="preserve"> Notwithstanding anything contained in this Plan to the contrary, all provisions of this Plan (including, without limitation, the maximum number of Shares that may be issued with respect to Awards to be granted pursuant to this Plan) may at any time or from time to time be modified or amended by the Board; provided, however, that no Award at any time outstanding pursuant to this Plan may be modified, impaired or canceled adversely to the holder of the Award without the consent of such holder.</w:t>
      </w:r>
    </w:p>
    <w:p>
      <w:pPr>
        <w:spacing w:after="0" w:line="176" w:lineRule="exact"/>
        <w:rPr>
          <w:sz w:val="20"/>
          <w:szCs w:val="20"/>
          <w:color w:val="auto"/>
        </w:rPr>
      </w:pPr>
    </w:p>
    <w:p>
      <w:pPr>
        <w:jc w:val="both"/>
        <w:ind w:right="140" w:firstLine="629"/>
        <w:spacing w:after="0" w:line="298"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i w:val="1"/>
          <w:iCs w:val="1"/>
          <w:u w:val="single" w:color="auto"/>
          <w:color w:val="auto"/>
        </w:rPr>
        <w:t>Termination of This Plan.</w:t>
      </w:r>
      <w:r>
        <w:rPr>
          <w:rFonts w:ascii="Arial" w:cs="Arial" w:eastAsia="Arial" w:hAnsi="Arial"/>
          <w:sz w:val="16"/>
          <w:szCs w:val="16"/>
          <w:color w:val="auto"/>
        </w:rPr>
        <w:t xml:space="preserve"> The Board may suspend or terminate this Plan at any time, and such suspension or termination may be retroactive or prospective. Termination of this Plan shall not impair or affect any Award previously granted hereunder and the rights of the holder of the Award shall remain in effect until the Award has been exercised in its entirety or has expired or otherwise has been terminated by the terms of such Award.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14</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AMENDMENTS AND ADJUSTMENTS TO AWARDS</w:t>
      </w:r>
    </w:p>
    <w:p>
      <w:pPr>
        <w:spacing w:after="0" w:line="212" w:lineRule="exact"/>
        <w:rPr>
          <w:sz w:val="20"/>
          <w:szCs w:val="20"/>
          <w:color w:val="auto"/>
        </w:rPr>
      </w:pPr>
    </w:p>
    <w:p>
      <w:pPr>
        <w:ind w:right="40" w:firstLine="629"/>
        <w:spacing w:after="0" w:line="299" w:lineRule="auto"/>
        <w:rPr>
          <w:sz w:val="20"/>
          <w:szCs w:val="20"/>
          <w:color w:val="auto"/>
        </w:rPr>
      </w:pPr>
      <w:r>
        <w:rPr>
          <w:rFonts w:ascii="Arial" w:cs="Arial" w:eastAsia="Arial" w:hAnsi="Arial"/>
          <w:sz w:val="15"/>
          <w:szCs w:val="15"/>
          <w:color w:val="auto"/>
        </w:rPr>
        <w:t xml:space="preserve">14.1 </w:t>
      </w:r>
      <w:r>
        <w:rPr>
          <w:rFonts w:ascii="Arial" w:cs="Arial" w:eastAsia="Arial" w:hAnsi="Arial"/>
          <w:sz w:val="15"/>
          <w:szCs w:val="15"/>
          <w:i w:val="1"/>
          <w:iCs w:val="1"/>
          <w:u w:val="single" w:color="auto"/>
          <w:color w:val="auto"/>
        </w:rPr>
        <w:t>Amendments and Adjustments.</w:t>
      </w:r>
      <w:r>
        <w:rPr>
          <w:rFonts w:ascii="Arial" w:cs="Arial" w:eastAsia="Arial" w:hAnsi="Arial"/>
          <w:sz w:val="15"/>
          <w:szCs w:val="15"/>
          <w:color w:val="auto"/>
        </w:rPr>
        <w:t xml:space="preserve"> The Committee may amend, modify or terminate any outstanding Award with the Participant’s consent at any time prior to payment or exercise in any manner not inconsistent with the terms of this Plan, including, without limitation, (i) to change the date or dates as of which and/or the terms and conditions pursuant to which (A) a Stock Option becomes exercisable or (B) a Performance Award is deemed earned, (ii) to amend the terms of any outstanding Award to provide an exercise price per share which is higher or lower than the then current exercise price per share of such outstanding Award or (iii) to cancel an Award and grant a new Award in substitution therefor under such different terms and conditions as the Committee determines in its sole discretion to be appropriate including, but not limited to, having an exercise price per share which may be higher or lower than the exercise price per share of the canceled Award. The Committee may also make adjustments in the terms and conditions of, and the criteria included in agreements evidencing Awards in recognition of unusual or nonrecurring events (including, without limitation, the events described in </w:t>
      </w:r>
      <w:r>
        <w:rPr>
          <w:rFonts w:ascii="Arial" w:cs="Arial" w:eastAsia="Arial" w:hAnsi="Arial"/>
          <w:sz w:val="15"/>
          <w:szCs w:val="15"/>
          <w:u w:val="single" w:color="auto"/>
          <w:color w:val="auto"/>
        </w:rPr>
        <w:t>ARTICLE 12</w:t>
      </w:r>
      <w:r>
        <w:rPr>
          <w:rFonts w:ascii="Arial" w:cs="Arial" w:eastAsia="Arial" w:hAnsi="Arial"/>
          <w:sz w:val="15"/>
          <w:szCs w:val="15"/>
          <w:color w:val="auto"/>
        </w:rPr>
        <w:t xml:space="preserve"> hereof) affecting the Company, or the financial statements of the Company or any Affiliate, or of changes in applicable laws, regulations or accounting principles, whenever the Committee determines that such adjustments are appropriate to prevent reduction or enlargement of the benefits or potential benefits intended to be made available pursuant to this Plan.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15</w:t>
      </w:r>
    </w:p>
    <w:p>
      <w:pPr>
        <w:sectPr>
          <w:pgSz w:w="11900" w:h="16838" w:orient="portrait"/>
          <w:cols w:equalWidth="0" w:num="1">
            <w:col w:w="11420"/>
          </w:cols>
          <w:pgMar w:left="240" w:top="127" w:right="239" w:bottom="0" w:gutter="0" w:footer="0" w:header="0"/>
        </w:sectPr>
      </w:pPr>
    </w:p>
    <w:bookmarkStart w:id="311" w:name="page312"/>
    <w:bookmarkEnd w:id="311"/>
    <w:p>
      <w:pPr>
        <w:jc w:val="center"/>
        <w:ind w:right="-19"/>
        <w:spacing w:after="0"/>
        <w:rPr>
          <w:sz w:val="20"/>
          <w:szCs w:val="20"/>
          <w:color w:val="auto"/>
        </w:rPr>
      </w:pPr>
      <w:r>
        <w:rPr>
          <w:rFonts w:ascii="Arial" w:cs="Arial" w:eastAsia="Arial" w:hAnsi="Arial"/>
          <w:sz w:val="17"/>
          <w:szCs w:val="17"/>
          <w:b w:val="1"/>
          <w:bCs w:val="1"/>
          <w:color w:val="auto"/>
        </w:rPr>
        <w:t>GENERAL PROVISIONS</w:t>
      </w:r>
    </w:p>
    <w:p>
      <w:pPr>
        <w:spacing w:after="0" w:line="230" w:lineRule="exact"/>
        <w:rPr>
          <w:sz w:val="20"/>
          <w:szCs w:val="20"/>
          <w:color w:val="auto"/>
        </w:rPr>
      </w:pPr>
    </w:p>
    <w:p>
      <w:pPr>
        <w:ind w:right="100" w:firstLine="629"/>
        <w:spacing w:after="0" w:line="298"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i w:val="1"/>
          <w:iCs w:val="1"/>
          <w:u w:val="single" w:color="auto"/>
          <w:color w:val="auto"/>
        </w:rPr>
        <w:t>No Limit on Other Compensation Arrangements.</w:t>
      </w:r>
      <w:r>
        <w:rPr>
          <w:rFonts w:ascii="Arial" w:cs="Arial" w:eastAsia="Arial" w:hAnsi="Arial"/>
          <w:sz w:val="16"/>
          <w:szCs w:val="16"/>
          <w:color w:val="auto"/>
        </w:rPr>
        <w:t xml:space="preserve"> Nothing contained in this Plan shall prevent the Company from adopting or continuing in effect other compensation arrangements, and such arrangements may be either generally applicable or applicable only in specific cases. This Plan shall not affect any other stock option, incentive, or other compensation or benefit plan of the Company or any Subsidiary, except as may be expressly provided therein.</w:t>
      </w:r>
    </w:p>
    <w:p>
      <w:pPr>
        <w:spacing w:after="0" w:line="154"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i w:val="1"/>
          <w:iCs w:val="1"/>
          <w:u w:val="single" w:color="auto"/>
          <w:color w:val="auto"/>
        </w:rPr>
        <w:t>Other Awards.</w:t>
      </w:r>
      <w:r>
        <w:rPr>
          <w:rFonts w:ascii="Arial" w:cs="Arial" w:eastAsia="Arial" w:hAnsi="Arial"/>
          <w:sz w:val="17"/>
          <w:szCs w:val="17"/>
          <w:color w:val="auto"/>
        </w:rPr>
        <w:t xml:space="preserve"> The grant of an Award shall not confer upon the recipient the right to receive any future or other Awards under this Plan or any other plans of the Company or any Subsidiary, whether or not any awards may be granted to similarly situated employees, or the right to receive future Awards upon the same terms or conditions as previously granted.</w:t>
      </w:r>
    </w:p>
    <w:p>
      <w:pPr>
        <w:spacing w:after="0" w:line="172"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i w:val="1"/>
          <w:iCs w:val="1"/>
          <w:u w:val="single" w:color="auto"/>
          <w:color w:val="auto"/>
        </w:rPr>
        <w:t>No Right to Employment or Continuation of Relationship.</w:t>
      </w:r>
      <w:r>
        <w:rPr>
          <w:rFonts w:ascii="Arial" w:cs="Arial" w:eastAsia="Arial" w:hAnsi="Arial"/>
          <w:sz w:val="17"/>
          <w:szCs w:val="17"/>
          <w:color w:val="auto"/>
        </w:rPr>
        <w:t xml:space="preserve"> Nothing in this Plan or in any Award, nor the grant of any Award, shall confer upon or be construed as giving any Participant any right to remain in the employ of the Company or a Subsidiary or to continue as a Consultant or non-employee Director. Further, the Company or a Subsidiary may at any time dismiss a Participant from emp1oyment or terminate the relationship of any Consultant or non-employee Director with the Company or any Subsidiary, free from any liability or any claim pursuant to this Plan. No</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Consultant, non-employee Director or employee of the Company or any Subsidiary shall have any claim to be granted any Award, and there is no obligation for uniformity of treatment of any Consultant, non-employee Director or employee of the Company or any Subsidiary or of any Participants.</w:t>
      </w:r>
    </w:p>
    <w:p>
      <w:pPr>
        <w:spacing w:after="0" w:line="158" w:lineRule="exact"/>
        <w:rPr>
          <w:sz w:val="20"/>
          <w:szCs w:val="20"/>
          <w:color w:val="auto"/>
        </w:rPr>
      </w:pPr>
    </w:p>
    <w:p>
      <w:pPr>
        <w:ind w:right="460" w:firstLine="629"/>
        <w:spacing w:after="0" w:line="289" w:lineRule="auto"/>
        <w:rPr>
          <w:sz w:val="20"/>
          <w:szCs w:val="20"/>
          <w:color w:val="auto"/>
        </w:rPr>
      </w:pPr>
      <w:r>
        <w:rPr>
          <w:rFonts w:ascii="Arial" w:cs="Arial" w:eastAsia="Arial" w:hAnsi="Arial"/>
          <w:sz w:val="17"/>
          <w:szCs w:val="17"/>
          <w:color w:val="auto"/>
        </w:rPr>
        <w:t xml:space="preserve">15.4 </w:t>
      </w:r>
      <w:r>
        <w:rPr>
          <w:rFonts w:ascii="Arial" w:cs="Arial" w:eastAsia="Arial" w:hAnsi="Arial"/>
          <w:sz w:val="17"/>
          <w:szCs w:val="17"/>
          <w:i w:val="1"/>
          <w:iCs w:val="1"/>
          <w:u w:val="single" w:color="auto"/>
          <w:color w:val="auto"/>
        </w:rPr>
        <w:t>Governing Law</w:t>
      </w:r>
      <w:r>
        <w:rPr>
          <w:rFonts w:ascii="Arial" w:cs="Arial" w:eastAsia="Arial" w:hAnsi="Arial"/>
          <w:sz w:val="17"/>
          <w:szCs w:val="17"/>
          <w:i w:val="1"/>
          <w:iCs w:val="1"/>
          <w:color w:val="auto"/>
        </w:rPr>
        <w:t>.</w:t>
      </w:r>
      <w:r>
        <w:rPr>
          <w:rFonts w:ascii="Arial" w:cs="Arial" w:eastAsia="Arial" w:hAnsi="Arial"/>
          <w:sz w:val="17"/>
          <w:szCs w:val="17"/>
          <w:color w:val="auto"/>
        </w:rPr>
        <w:t xml:space="preserve"> The validity, construction and effect of this Plan and any rules and regulations relating to this Plan shall be determined in accordance with the laws of the State of Texas, without giving effect to the conflict of laws principles thereof.</w:t>
      </w:r>
    </w:p>
    <w:p>
      <w:pPr>
        <w:spacing w:after="0" w:line="158"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 xml:space="preserve">15.5 </w:t>
      </w:r>
      <w:r>
        <w:rPr>
          <w:rFonts w:ascii="Arial" w:cs="Arial" w:eastAsia="Arial" w:hAnsi="Arial"/>
          <w:sz w:val="17"/>
          <w:szCs w:val="17"/>
          <w:i w:val="1"/>
          <w:iCs w:val="1"/>
          <w:u w:val="single" w:color="auto"/>
          <w:color w:val="auto"/>
        </w:rPr>
        <w:t>Severability.</w:t>
      </w:r>
      <w:r>
        <w:rPr>
          <w:rFonts w:ascii="Arial" w:cs="Arial" w:eastAsia="Arial" w:hAnsi="Arial"/>
          <w:sz w:val="17"/>
          <w:szCs w:val="17"/>
          <w:color w:val="auto"/>
        </w:rPr>
        <w:t xml:space="preserve"> If any provision of this Plan or any Award is or becomes or is deemed to be invalid, illegal or unenforceable in any jurisdiction or as to any individual or Award, or would disqualify this Plan or any Award under any law deemed applicable by the Committee, such provision shall be construed or deemed amended to conform to applicable law, or if it cannot be construed or deemed amended without, in the sole determination of the Committee, materially altering the intent of this Plan or the Award, such provision shall be stricken as to such jurisdiction, individual or Award and the remainder of this Plan and any such Award shall remain in full force and effect.</w:t>
      </w:r>
    </w:p>
    <w:p>
      <w:pPr>
        <w:spacing w:after="0" w:line="179" w:lineRule="exact"/>
        <w:rPr>
          <w:sz w:val="20"/>
          <w:szCs w:val="20"/>
          <w:color w:val="auto"/>
        </w:rPr>
      </w:pPr>
    </w:p>
    <w:p>
      <w:pPr>
        <w:jc w:val="both"/>
        <w:ind w:right="80" w:firstLine="629"/>
        <w:spacing w:after="0" w:line="273" w:lineRule="auto"/>
        <w:rPr>
          <w:sz w:val="20"/>
          <w:szCs w:val="20"/>
          <w:color w:val="auto"/>
        </w:rPr>
      </w:pPr>
      <w:r>
        <w:rPr>
          <w:rFonts w:ascii="Arial" w:cs="Arial" w:eastAsia="Arial" w:hAnsi="Arial"/>
          <w:sz w:val="17"/>
          <w:szCs w:val="17"/>
          <w:color w:val="auto"/>
        </w:rPr>
        <w:t xml:space="preserve">15.6 </w:t>
      </w:r>
      <w:r>
        <w:rPr>
          <w:rFonts w:ascii="Arial" w:cs="Arial" w:eastAsia="Arial" w:hAnsi="Arial"/>
          <w:sz w:val="17"/>
          <w:szCs w:val="17"/>
          <w:i w:val="1"/>
          <w:iCs w:val="1"/>
          <w:u w:val="single" w:color="auto"/>
          <w:color w:val="auto"/>
        </w:rPr>
        <w:t>No Fractional Shares.</w:t>
      </w:r>
      <w:r>
        <w:rPr>
          <w:rFonts w:ascii="Arial" w:cs="Arial" w:eastAsia="Arial" w:hAnsi="Arial"/>
          <w:sz w:val="17"/>
          <w:szCs w:val="17"/>
          <w:color w:val="auto"/>
        </w:rPr>
        <w:t xml:space="preserve"> No fractional Shares shall be issued or delivered pursuant to this Plan or any Award, and the Committee shall determine, in its sole discretion, whether cash, other securities or other property shall be paid or transferred in lieu of any fractional Shares or whether such fractional Shares or any rights thereto shall be canceled, terminated or otherwise eliminated.</w:t>
      </w:r>
    </w:p>
    <w:p>
      <w:pPr>
        <w:spacing w:after="0" w:line="172" w:lineRule="exact"/>
        <w:rPr>
          <w:sz w:val="20"/>
          <w:szCs w:val="20"/>
          <w:color w:val="auto"/>
        </w:rPr>
      </w:pPr>
    </w:p>
    <w:p>
      <w:pPr>
        <w:ind w:right="340" w:firstLine="629"/>
        <w:spacing w:after="0" w:line="289" w:lineRule="auto"/>
        <w:rPr>
          <w:sz w:val="20"/>
          <w:szCs w:val="20"/>
          <w:color w:val="auto"/>
        </w:rPr>
      </w:pPr>
      <w:r>
        <w:rPr>
          <w:rFonts w:ascii="Arial" w:cs="Arial" w:eastAsia="Arial" w:hAnsi="Arial"/>
          <w:sz w:val="17"/>
          <w:szCs w:val="17"/>
          <w:color w:val="auto"/>
        </w:rPr>
        <w:t xml:space="preserve">15.7 </w:t>
      </w:r>
      <w:r>
        <w:rPr>
          <w:rFonts w:ascii="Arial" w:cs="Arial" w:eastAsia="Arial" w:hAnsi="Arial"/>
          <w:sz w:val="17"/>
          <w:szCs w:val="17"/>
          <w:i w:val="1"/>
          <w:iCs w:val="1"/>
          <w:u w:val="single" w:color="auto"/>
          <w:color w:val="auto"/>
        </w:rPr>
        <w:t>Headings.</w:t>
      </w:r>
      <w:r>
        <w:rPr>
          <w:rFonts w:ascii="Arial" w:cs="Arial" w:eastAsia="Arial" w:hAnsi="Arial"/>
          <w:sz w:val="17"/>
          <w:szCs w:val="17"/>
          <w:color w:val="auto"/>
        </w:rPr>
        <w:t xml:space="preserve"> Headings are given to the ARTICLEs and Subsections of this Plan solely as a convenience to facilitate reference. Such headings shall not be deemed in any way material or relevant to the construction or interpretation of this Plan or any provision thereof.</w:t>
      </w:r>
    </w:p>
    <w:p>
      <w:pPr>
        <w:spacing w:after="0" w:line="158"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 xml:space="preserve">15.8 </w:t>
      </w:r>
      <w:r>
        <w:rPr>
          <w:rFonts w:ascii="Arial" w:cs="Arial" w:eastAsia="Arial" w:hAnsi="Arial"/>
          <w:sz w:val="17"/>
          <w:szCs w:val="17"/>
          <w:i w:val="1"/>
          <w:iCs w:val="1"/>
          <w:u w:val="single" w:color="auto"/>
          <w:color w:val="auto"/>
        </w:rPr>
        <w:t>Gender.</w:t>
      </w:r>
      <w:r>
        <w:rPr>
          <w:rFonts w:ascii="Arial" w:cs="Arial" w:eastAsia="Arial" w:hAnsi="Arial"/>
          <w:sz w:val="17"/>
          <w:szCs w:val="17"/>
          <w:color w:val="auto"/>
        </w:rPr>
        <w:t xml:space="preserve"> If the context requires, words of one gender when used in this Plan shall include the others and words used in the singular shall include the plural, and vice versa.</w:t>
      </w:r>
    </w:p>
    <w:p>
      <w:pPr>
        <w:spacing w:after="0" w:line="158"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 xml:space="preserve">15.9 </w:t>
      </w:r>
      <w:r>
        <w:rPr>
          <w:rFonts w:ascii="Arial" w:cs="Arial" w:eastAsia="Arial" w:hAnsi="Arial"/>
          <w:sz w:val="17"/>
          <w:szCs w:val="17"/>
          <w:i w:val="1"/>
          <w:iCs w:val="1"/>
          <w:u w:val="single" w:color="auto"/>
          <w:color w:val="auto"/>
        </w:rPr>
        <w:t>Transferability of Awards.</w:t>
      </w:r>
      <w:r>
        <w:rPr>
          <w:rFonts w:ascii="Arial" w:cs="Arial" w:eastAsia="Arial" w:hAnsi="Arial"/>
          <w:sz w:val="17"/>
          <w:szCs w:val="17"/>
          <w:color w:val="auto"/>
        </w:rPr>
        <w:t xml:space="preserve"> Awards shall not be transferable otherwise than by will or the laws of descent and distribution without the written consent of the Committee (which may be granted or withheld at the sole discretion of the Committee). Awards may be exercised, during the lifetime of the holder, only by the holder. Any attempted assignment, transfer, pledge, hypothecation or other disposition of an Award contrary to the provisions hereof, or the levy of any execution, attachment or similar process upon an Award shall be null and void and without effect.</w:t>
      </w:r>
    </w:p>
    <w:p>
      <w:pPr>
        <w:spacing w:after="0" w:line="176" w:lineRule="exact"/>
        <w:rPr>
          <w:sz w:val="20"/>
          <w:szCs w:val="20"/>
          <w:color w:val="auto"/>
        </w:rPr>
      </w:pPr>
    </w:p>
    <w:p>
      <w:pPr>
        <w:jc w:val="both"/>
        <w:ind w:right="20" w:firstLine="629"/>
        <w:spacing w:after="0" w:line="265" w:lineRule="auto"/>
        <w:rPr>
          <w:sz w:val="20"/>
          <w:szCs w:val="20"/>
          <w:color w:val="auto"/>
        </w:rPr>
      </w:pPr>
      <w:r>
        <w:rPr>
          <w:rFonts w:ascii="Arial" w:cs="Arial" w:eastAsia="Arial" w:hAnsi="Arial"/>
          <w:sz w:val="17"/>
          <w:szCs w:val="17"/>
          <w:color w:val="auto"/>
        </w:rPr>
        <w:t xml:space="preserve">15.10 </w:t>
      </w:r>
      <w:r>
        <w:rPr>
          <w:rFonts w:ascii="Arial" w:cs="Arial" w:eastAsia="Arial" w:hAnsi="Arial"/>
          <w:sz w:val="17"/>
          <w:szCs w:val="17"/>
          <w:i w:val="1"/>
          <w:iCs w:val="1"/>
          <w:u w:val="single" w:color="auto"/>
          <w:color w:val="auto"/>
        </w:rPr>
        <w:t>Rights of Participants.</w:t>
      </w:r>
      <w:r>
        <w:rPr>
          <w:rFonts w:ascii="Arial" w:cs="Arial" w:eastAsia="Arial" w:hAnsi="Arial"/>
          <w:sz w:val="17"/>
          <w:szCs w:val="17"/>
          <w:color w:val="auto"/>
        </w:rPr>
        <w:t xml:space="preserve"> Except as hereinbefore expressly provided in this Plan, any Person to whom an Award is granted shall have no rights by reason of any subdivision or consolidation of stock of any class or the payment of any stock dividend or any other increase or decrease in the number of shares of stock of any class or by reason of any dissolution, liquidation, reorganization, merger or consolidation or spinoff of assets or stock of another corporation, and any issue by the Company of shares of stock of any class or securities convertible into shares of stock of any class shall not affect, and no adjustment by reason thereof shall be made with respect to, the number or exercise price of Shares subject to an Award.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 xml:space="preserve">15.11 </w:t>
      </w:r>
      <w:r>
        <w:rPr>
          <w:rFonts w:ascii="Arial" w:cs="Arial" w:eastAsia="Arial" w:hAnsi="Arial"/>
          <w:sz w:val="17"/>
          <w:szCs w:val="17"/>
          <w:i w:val="1"/>
          <w:iCs w:val="1"/>
          <w:u w:val="single" w:color="auto"/>
          <w:color w:val="auto"/>
        </w:rPr>
        <w:t>No Limitation Upon the Rights of the Company.</w:t>
      </w:r>
      <w:r>
        <w:rPr>
          <w:rFonts w:ascii="Arial" w:cs="Arial" w:eastAsia="Arial" w:hAnsi="Arial"/>
          <w:sz w:val="17"/>
          <w:szCs w:val="17"/>
          <w:color w:val="auto"/>
        </w:rPr>
        <w:t xml:space="preserve"> The grant of an Award pursuant to this Plan shall not affect in any way the right or power of the Company to make adjustments, reclassifications, or changes of its capital or business structure; to merge, convert or consolidate; to dissolve or liquidate; or sell or transfer all or any part of its business or assets.</w:t>
      </w:r>
    </w:p>
    <w:p>
      <w:pPr>
        <w:spacing w:after="0" w:line="172" w:lineRule="exact"/>
        <w:rPr>
          <w:sz w:val="20"/>
          <w:szCs w:val="20"/>
          <w:color w:val="auto"/>
        </w:rPr>
      </w:pPr>
    </w:p>
    <w:p>
      <w:pPr>
        <w:ind w:right="20" w:firstLine="629"/>
        <w:spacing w:after="0" w:line="285" w:lineRule="auto"/>
        <w:rPr>
          <w:sz w:val="20"/>
          <w:szCs w:val="20"/>
          <w:color w:val="auto"/>
        </w:rPr>
      </w:pPr>
      <w:r>
        <w:rPr>
          <w:rFonts w:ascii="Arial" w:cs="Arial" w:eastAsia="Arial" w:hAnsi="Arial"/>
          <w:sz w:val="16"/>
          <w:szCs w:val="16"/>
          <w:color w:val="auto"/>
        </w:rPr>
        <w:t xml:space="preserve">15.12 </w:t>
      </w:r>
      <w:r>
        <w:rPr>
          <w:rFonts w:ascii="Arial" w:cs="Arial" w:eastAsia="Arial" w:hAnsi="Arial"/>
          <w:sz w:val="16"/>
          <w:szCs w:val="16"/>
          <w:i w:val="1"/>
          <w:iCs w:val="1"/>
          <w:u w:val="single" w:color="auto"/>
          <w:color w:val="auto"/>
        </w:rPr>
        <w:t>Date of Grant of an Award.</w:t>
      </w:r>
      <w:r>
        <w:rPr>
          <w:rFonts w:ascii="Arial" w:cs="Arial" w:eastAsia="Arial" w:hAnsi="Arial"/>
          <w:sz w:val="16"/>
          <w:szCs w:val="16"/>
          <w:color w:val="auto"/>
        </w:rPr>
        <w:t xml:space="preserve"> Except as noted in this </w:t>
      </w:r>
      <w:r>
        <w:rPr>
          <w:rFonts w:ascii="Arial" w:cs="Arial" w:eastAsia="Arial" w:hAnsi="Arial"/>
          <w:sz w:val="16"/>
          <w:szCs w:val="16"/>
          <w:u w:val="single" w:color="auto"/>
          <w:color w:val="auto"/>
        </w:rPr>
        <w:t>ARTICLE 15.12</w:t>
      </w:r>
      <w:r>
        <w:rPr>
          <w:rFonts w:ascii="Arial" w:cs="Arial" w:eastAsia="Arial" w:hAnsi="Arial"/>
          <w:sz w:val="16"/>
          <w:szCs w:val="16"/>
          <w:color w:val="auto"/>
        </w:rPr>
        <w:t>, the granting of an Award shall take place only upon the execution and delivery by the Company and the Participant of a written agreement and neither any other action taken by the Committee nor anything contained in this Plan or in any resolution adopted or to be adopted by the Committee, the Board or the shareholders of the Company shall constitute the granting of an Award pursuant to this Plan. Solely for purposes of determining the Fair Market Value of the Shares subject to an Award, such Award will be deemed to have been granted as of the date specified by the Committee notwithstanding any delay which may elapse in executing and delivering the applicable agreement.</w:t>
      </w:r>
    </w:p>
    <w:p>
      <w:pPr>
        <w:spacing w:after="0" w:line="166"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15.13 </w:t>
      </w:r>
      <w:r>
        <w:rPr>
          <w:rFonts w:ascii="Arial" w:cs="Arial" w:eastAsia="Arial" w:hAnsi="Arial"/>
          <w:sz w:val="17"/>
          <w:szCs w:val="17"/>
          <w:i w:val="1"/>
          <w:iCs w:val="1"/>
          <w:u w:val="single" w:color="auto"/>
          <w:color w:val="auto"/>
        </w:rPr>
        <w:t>Tax Withholding.</w:t>
      </w:r>
      <w:r>
        <w:rPr>
          <w:rFonts w:ascii="Arial" w:cs="Arial" w:eastAsia="Arial" w:hAnsi="Arial"/>
          <w:sz w:val="17"/>
          <w:szCs w:val="17"/>
          <w:color w:val="auto"/>
        </w:rPr>
        <w:t xml:space="preserve"> The Company or any Subsidiary shall be entitled to deduct from other compensation payable to an employee any sums required by federal, state, or local tax law to be withheld with respect to the granting or exercise of a Stock Option or other Award under this Plan. In the alternative, the Company or any Subsidiary may require the recipient (or other person exercising the Award) to pay such sums directly to the employer, and neither the Company or any Subsidiary shall have any obligation to issue any Shares or make any payment until such payment has been received.</w:t>
      </w:r>
    </w:p>
    <w:p>
      <w:pPr>
        <w:spacing w:after="0" w:line="176"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 xml:space="preserve">15.14 </w:t>
      </w:r>
      <w:r>
        <w:rPr>
          <w:rFonts w:ascii="Arial" w:cs="Arial" w:eastAsia="Arial" w:hAnsi="Arial"/>
          <w:sz w:val="17"/>
          <w:szCs w:val="17"/>
          <w:i w:val="1"/>
          <w:iCs w:val="1"/>
          <w:u w:val="single" w:color="auto"/>
          <w:color w:val="auto"/>
        </w:rPr>
        <w:t>Other Laws.</w:t>
      </w:r>
      <w:r>
        <w:rPr>
          <w:rFonts w:ascii="Arial" w:cs="Arial" w:eastAsia="Arial" w:hAnsi="Arial"/>
          <w:sz w:val="17"/>
          <w:szCs w:val="17"/>
          <w:color w:val="auto"/>
        </w:rPr>
        <w:t xml:space="preserve"> The Company shall not be obligated to issue any Shares pursuant to any Award granted under the Plan at any time when the offering of the Shares covered by such Award is not either (I) registered under the Securities Act of 1933 and such other state and federal laws, rules or regulations as the Company or the Committee deems applicable or (ii) exempt from the registration requirements of such laws, rules or regulations available for the issuance and sale of such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16</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NAMED EXECUTIVE OFFICERS</w:t>
      </w:r>
    </w:p>
    <w:p>
      <w:pPr>
        <w:sectPr>
          <w:pgSz w:w="11900" w:h="16838" w:orient="portrait"/>
          <w:cols w:equalWidth="0" w:num="1">
            <w:col w:w="11400"/>
          </w:cols>
          <w:pgMar w:left="240" w:top="121" w:right="259" w:bottom="0" w:gutter="0" w:footer="0" w:header="0"/>
        </w:sectPr>
      </w:pPr>
    </w:p>
    <w:bookmarkStart w:id="312" w:name="page313"/>
    <w:bookmarkEnd w:id="312"/>
    <w:p>
      <w:pPr>
        <w:ind w:firstLine="629"/>
        <w:spacing w:after="0" w:line="263" w:lineRule="auto"/>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i w:val="1"/>
          <w:iCs w:val="1"/>
          <w:u w:val="single" w:color="auto"/>
          <w:color w:val="auto"/>
        </w:rPr>
        <w:t>Applicability of ARTICLE 16.</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shall apply only if the Company is a “publicly held corporation” as defined in Section 162(m)(2) of the Code, and then only to those executive officers (i) whose compensation is required to be reported in the Company’s proxy statement pursuant to Item 402(a)(3)(i) and (ii) (or any successor thereto) of Regulation S-K (or any successor thereto) under the general rules and regulations under the Exchange Act and (ii) whose total compensation, including estimated Awards, is determined by the Committee to possibly be subject to the limitations on deductions imposed by Section 162(m) of the Code (“</w:t>
      </w:r>
      <w:r>
        <w:rPr>
          <w:rFonts w:ascii="Arial" w:cs="Arial" w:eastAsia="Arial" w:hAnsi="Arial"/>
          <w:sz w:val="17"/>
          <w:szCs w:val="17"/>
          <w:u w:val="single" w:color="auto"/>
          <w:color w:val="auto"/>
        </w:rPr>
        <w:t>Named Executive Officers</w:t>
      </w:r>
      <w:r>
        <w:rPr>
          <w:rFonts w:ascii="Arial" w:cs="Arial" w:eastAsia="Arial" w:hAnsi="Arial"/>
          <w:sz w:val="17"/>
          <w:szCs w:val="17"/>
          <w:color w:val="auto"/>
        </w:rPr>
        <w:t xml:space="preserve">”). In the event of any inconsistencies between this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and the other Plan provisions as they pertain to Named Executive Officers, the provisions of this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shall control.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29"/>
        <w:spacing w:after="0" w:line="278"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i w:val="1"/>
          <w:iCs w:val="1"/>
          <w:u w:val="single" w:color="auto"/>
          <w:color w:val="auto"/>
        </w:rPr>
        <w:t>Establishment of Performance Goals.</w:t>
      </w:r>
      <w:r>
        <w:rPr>
          <w:rFonts w:ascii="Arial" w:cs="Arial" w:eastAsia="Arial" w:hAnsi="Arial"/>
          <w:sz w:val="16"/>
          <w:szCs w:val="16"/>
          <w:color w:val="auto"/>
        </w:rPr>
        <w:t xml:space="preserve"> Awards for Named Executive Officers, other than Stock Options and Stock Appreciation Rights, shall be based on the attainment of certain performance goals. No later than the earlier of (i) ninety (90) days after the commencement of the applicable fiscal year of the Company or one of its Subsidiaries or such other award period as may be established by the Committee (“</w:t>
      </w:r>
      <w:r>
        <w:rPr>
          <w:rFonts w:ascii="Arial" w:cs="Arial" w:eastAsia="Arial" w:hAnsi="Arial"/>
          <w:sz w:val="16"/>
          <w:szCs w:val="16"/>
          <w:u w:val="single" w:color="auto"/>
          <w:color w:val="auto"/>
        </w:rPr>
        <w:t>Award Period</w:t>
      </w:r>
      <w:r>
        <w:rPr>
          <w:rFonts w:ascii="Arial" w:cs="Arial" w:eastAsia="Arial" w:hAnsi="Arial"/>
          <w:sz w:val="16"/>
          <w:szCs w:val="16"/>
          <w:color w:val="auto"/>
        </w:rPr>
        <w:t>”) and (ii) the completion of twenty-five percent (25%) of such Award Period, the Committee shall establish, in writing, the performance goals applicable to each such Award for Named Executive Officers. At the time the performance goals are established, their outcome must be substantially uncertain. In addition, the performance goal must state, in terms of an objective formula or standard, the method for computing the amount of compensation payable to the Named Executive Officer if the goal is obtained. Such formula or standard shall be sufficiently objective so that a third party with knowledge of the relevant performance results could calculate the amount to be paid to the subject Named Executive Officer. The material terms of the performance goals for Named Executive Officers and the compensation payable thereunder shall be submitted to the shareholders of the Company for their review and approval if and to the extent required for such compensation to be deductible pursuant to Section 162(m) (or any successor thereto) of the Code, and the Treasury Regulations thereunder. Shareholder approval, if necessary, shall be obtained for such performance goals prior to any Award being paid to such Named Executive Officer. If shareholder approval is required and not received with respect to such performance goals, no amount shall be paid to such Named Executive Officer for such applicable Award Period pursuant to this Plan.</w:t>
      </w:r>
    </w:p>
    <w:p>
      <w:pPr>
        <w:spacing w:after="0" w:line="169" w:lineRule="exact"/>
        <w:rPr>
          <w:sz w:val="20"/>
          <w:szCs w:val="20"/>
          <w:color w:val="auto"/>
        </w:rPr>
      </w:pPr>
    </w:p>
    <w:p>
      <w:pPr>
        <w:ind w:right="140" w:firstLine="629"/>
        <w:spacing w:after="0" w:line="281"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i w:val="1"/>
          <w:iCs w:val="1"/>
          <w:u w:val="single" w:color="auto"/>
          <w:color w:val="auto"/>
        </w:rPr>
        <w:t>Components of Awards.</w:t>
      </w:r>
      <w:r>
        <w:rPr>
          <w:rFonts w:ascii="Arial" w:cs="Arial" w:eastAsia="Arial" w:hAnsi="Arial"/>
          <w:sz w:val="16"/>
          <w:szCs w:val="16"/>
          <w:color w:val="auto"/>
        </w:rPr>
        <w:t xml:space="preserve"> Each Award granted to a Named Executive Officer, other than Stock Options and Stock Appreciation Rights, shall be based on performance goals which are sufficiently objective so that a third party having knowledge of the relevant facts could determine whether the goal was met. Except as provided in </w:t>
      </w:r>
      <w:r>
        <w:rPr>
          <w:rFonts w:ascii="Arial" w:cs="Arial" w:eastAsia="Arial" w:hAnsi="Arial"/>
          <w:sz w:val="16"/>
          <w:szCs w:val="16"/>
          <w:u w:val="single" w:color="auto"/>
          <w:color w:val="auto"/>
        </w:rPr>
        <w:t>Subsection 16.8</w:t>
      </w:r>
      <w:r>
        <w:rPr>
          <w:rFonts w:ascii="Arial" w:cs="Arial" w:eastAsia="Arial" w:hAnsi="Arial"/>
          <w:sz w:val="16"/>
          <w:szCs w:val="16"/>
          <w:color w:val="auto"/>
        </w:rPr>
        <w:t xml:space="preserve"> herein, performance measures which may serve as determinants of Named Executive Officers’ Awards shall be limited to the following measures: earnings per share; return on assets; return on equity; return on capital; net profit after taxes; net profit before taxes; operating profits; stock price; and sales or expenses. Within ninety (90) days following the end of each Award Period, the Committee shall certify in writing that the performance goals, and any other material terms were satisfied. Thereafter, Awards shall be made for each Named Executive Officer as determined by the Committee. The Awards may not vary from the pre-established amount based on the level of achievement.</w:t>
      </w:r>
    </w:p>
    <w:p>
      <w:pPr>
        <w:spacing w:after="0" w:line="170"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 xml:space="preserve">16.4 </w:t>
      </w:r>
      <w:r>
        <w:rPr>
          <w:rFonts w:ascii="Arial" w:cs="Arial" w:eastAsia="Arial" w:hAnsi="Arial"/>
          <w:sz w:val="17"/>
          <w:szCs w:val="17"/>
          <w:i w:val="1"/>
          <w:iCs w:val="1"/>
          <w:u w:val="single" w:color="auto"/>
          <w:color w:val="auto"/>
        </w:rPr>
        <w:t>No Mid-Year Change in Awards</w:t>
      </w:r>
      <w:r>
        <w:rPr>
          <w:rFonts w:ascii="Arial" w:cs="Arial" w:eastAsia="Arial" w:hAnsi="Arial"/>
          <w:sz w:val="17"/>
          <w:szCs w:val="17"/>
          <w:i w:val="1"/>
          <w:iCs w:val="1"/>
          <w:color w:val="auto"/>
        </w:rPr>
        <w:t>.</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Subsections 16.8 and 16.9</w:t>
      </w:r>
      <w:r>
        <w:rPr>
          <w:rFonts w:ascii="Arial" w:cs="Arial" w:eastAsia="Arial" w:hAnsi="Arial"/>
          <w:sz w:val="17"/>
          <w:szCs w:val="17"/>
          <w:color w:val="auto"/>
        </w:rPr>
        <w:t xml:space="preserve"> herein, each Named Executive Officer’s Awards shall be based exclusively on the performance measures established by the Committee pursuant to </w:t>
      </w:r>
      <w:r>
        <w:rPr>
          <w:rFonts w:ascii="Arial" w:cs="Arial" w:eastAsia="Arial" w:hAnsi="Arial"/>
          <w:sz w:val="17"/>
          <w:szCs w:val="17"/>
          <w:u w:val="single" w:color="auto"/>
          <w:color w:val="auto"/>
        </w:rPr>
        <w:t>Subsections 16.2 and 16.3</w:t>
      </w:r>
      <w:r>
        <w:rPr>
          <w:rFonts w:ascii="Arial" w:cs="Arial" w:eastAsia="Arial" w:hAnsi="Arial"/>
          <w:sz w:val="17"/>
          <w:szCs w:val="17"/>
          <w:color w:val="auto"/>
        </w:rPr>
        <w:t>.</w:t>
      </w:r>
    </w:p>
    <w:p>
      <w:pPr>
        <w:spacing w:after="0" w:line="158"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 xml:space="preserve">16.5 </w:t>
      </w:r>
      <w:r>
        <w:rPr>
          <w:rFonts w:ascii="Arial" w:cs="Arial" w:eastAsia="Arial" w:hAnsi="Arial"/>
          <w:sz w:val="17"/>
          <w:szCs w:val="17"/>
          <w:i w:val="1"/>
          <w:iCs w:val="1"/>
          <w:u w:val="single" w:color="auto"/>
          <w:color w:val="auto"/>
        </w:rPr>
        <w:t>No Partial Award Period Participation.</w:t>
      </w:r>
      <w:r>
        <w:rPr>
          <w:rFonts w:ascii="Arial" w:cs="Arial" w:eastAsia="Arial" w:hAnsi="Arial"/>
          <w:sz w:val="17"/>
          <w:szCs w:val="17"/>
          <w:color w:val="auto"/>
        </w:rPr>
        <w:t xml:space="preserve"> A Named Executive Officer who becomes eligible to participate in this Plan after performance goals have been established in an Award Period pursuant to </w:t>
      </w:r>
      <w:r>
        <w:rPr>
          <w:rFonts w:ascii="Arial" w:cs="Arial" w:eastAsia="Arial" w:hAnsi="Arial"/>
          <w:sz w:val="17"/>
          <w:szCs w:val="17"/>
          <w:u w:val="single" w:color="auto"/>
          <w:color w:val="auto"/>
        </w:rPr>
        <w:t>Subsections 16.2 and 16.3</w:t>
      </w:r>
      <w:r>
        <w:rPr>
          <w:rFonts w:ascii="Arial" w:cs="Arial" w:eastAsia="Arial" w:hAnsi="Arial"/>
          <w:sz w:val="17"/>
          <w:szCs w:val="17"/>
          <w:color w:val="auto"/>
        </w:rPr>
        <w:t xml:space="preserve"> may not participate in this Plan prior to the next succeeding Award Period, except with respect to Awards which are Stock Options or Stock Appreciation Rights.</w:t>
      </w:r>
    </w:p>
    <w:p>
      <w:pPr>
        <w:spacing w:after="0" w:line="172"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 xml:space="preserve">16.6 </w:t>
      </w:r>
      <w:r>
        <w:rPr>
          <w:rFonts w:ascii="Arial" w:cs="Arial" w:eastAsia="Arial" w:hAnsi="Arial"/>
          <w:sz w:val="17"/>
          <w:szCs w:val="17"/>
          <w:i w:val="1"/>
          <w:iCs w:val="1"/>
          <w:u w:val="single" w:color="auto"/>
          <w:color w:val="auto"/>
        </w:rPr>
        <w:t>Performance Goals.</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Subsection 16.8</w:t>
      </w:r>
      <w:r>
        <w:rPr>
          <w:rFonts w:ascii="Arial" w:cs="Arial" w:eastAsia="Arial" w:hAnsi="Arial"/>
          <w:sz w:val="17"/>
          <w:szCs w:val="17"/>
          <w:color w:val="auto"/>
        </w:rPr>
        <w:t xml:space="preserve"> herein, performance goals shall not be changed following their establishment, and Named Executive Officers shall not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receive any payout, except with respect to Awards which are Stock Options or Stock Appreciation Rights, when the minimum performance goals are not met or exceeded.</w:t>
      </w:r>
    </w:p>
    <w:p>
      <w:pPr>
        <w:spacing w:after="0" w:line="158" w:lineRule="exact"/>
        <w:rPr>
          <w:sz w:val="20"/>
          <w:szCs w:val="20"/>
          <w:color w:val="auto"/>
        </w:rPr>
      </w:pPr>
    </w:p>
    <w:p>
      <w:pPr>
        <w:ind w:right="200" w:firstLine="629"/>
        <w:spacing w:after="0" w:line="273" w:lineRule="auto"/>
        <w:rPr>
          <w:sz w:val="20"/>
          <w:szCs w:val="20"/>
          <w:color w:val="auto"/>
        </w:rPr>
      </w:pPr>
      <w:r>
        <w:rPr>
          <w:rFonts w:ascii="Arial" w:cs="Arial" w:eastAsia="Arial" w:hAnsi="Arial"/>
          <w:sz w:val="17"/>
          <w:szCs w:val="17"/>
          <w:color w:val="auto"/>
        </w:rPr>
        <w:t xml:space="preserve">16.7 </w:t>
      </w:r>
      <w:r>
        <w:rPr>
          <w:rFonts w:ascii="Arial" w:cs="Arial" w:eastAsia="Arial" w:hAnsi="Arial"/>
          <w:sz w:val="17"/>
          <w:szCs w:val="17"/>
          <w:i w:val="1"/>
          <w:iCs w:val="1"/>
          <w:u w:val="single" w:color="auto"/>
          <w:color w:val="auto"/>
        </w:rPr>
        <w:t>Individual Performance and Discretionary Adjustments.</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Subsection 16.8</w:t>
      </w:r>
      <w:r>
        <w:rPr>
          <w:rFonts w:ascii="Arial" w:cs="Arial" w:eastAsia="Arial" w:hAnsi="Arial"/>
          <w:sz w:val="17"/>
          <w:szCs w:val="17"/>
          <w:color w:val="auto"/>
        </w:rPr>
        <w:t xml:space="preserve"> herein, subjective evaluations of individual performance of Named Executive Officers shall not be reflected in their Awards, other than Awards which are Stock Options or Stock Appreciation Rights. The payment of such Awards shall be entirely dependent upon the attainment of the preestablished performance goals.</w:t>
      </w:r>
    </w:p>
    <w:p>
      <w:pPr>
        <w:spacing w:after="0" w:line="172" w:lineRule="exact"/>
        <w:rPr>
          <w:sz w:val="20"/>
          <w:szCs w:val="20"/>
          <w:color w:val="auto"/>
        </w:rPr>
      </w:pPr>
    </w:p>
    <w:p>
      <w:pPr>
        <w:ind w:right="260" w:firstLine="629"/>
        <w:spacing w:after="0" w:line="263" w:lineRule="auto"/>
        <w:rPr>
          <w:sz w:val="20"/>
          <w:szCs w:val="20"/>
          <w:color w:val="auto"/>
        </w:rPr>
      </w:pPr>
      <w:r>
        <w:rPr>
          <w:rFonts w:ascii="Arial" w:cs="Arial" w:eastAsia="Arial" w:hAnsi="Arial"/>
          <w:sz w:val="17"/>
          <w:szCs w:val="17"/>
          <w:color w:val="auto"/>
        </w:rPr>
        <w:t xml:space="preserve">16.8 </w:t>
      </w:r>
      <w:r>
        <w:rPr>
          <w:rFonts w:ascii="Arial" w:cs="Arial" w:eastAsia="Arial" w:hAnsi="Arial"/>
          <w:sz w:val="17"/>
          <w:szCs w:val="17"/>
          <w:i w:val="1"/>
          <w:iCs w:val="1"/>
          <w:u w:val="single" w:color="auto"/>
          <w:color w:val="auto"/>
        </w:rPr>
        <w:t>Amendments.</w:t>
      </w:r>
      <w:r>
        <w:rPr>
          <w:rFonts w:ascii="Arial" w:cs="Arial" w:eastAsia="Arial" w:hAnsi="Arial"/>
          <w:sz w:val="17"/>
          <w:szCs w:val="17"/>
          <w:color w:val="auto"/>
        </w:rPr>
        <w:t xml:space="preserve"> No amendment of this Plan with respect to any Named Executive Officer may be made which would (i) increase the maximum amount that can be paid to any one Participant pursuant to this Plan, (ii) change the specified performance goal for payment of Awards, or (iii) modify the requirements as to eligibility for participation in this Plan, unless the Company’s shareholders have first approved such amendment in a manner which would permit the deduction under Section 162(m) (or any successor thereto) of the Code of such payment in the fiscal year it is paid. The Committee shall amend this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and such other provisions as it deems appropriate, to cause amounts payable to Named Executive Officers to satisfy the requirements of Section 162(m) (or any successor thereto) and the Treasury regulations promulgated thereunder.</w:t>
      </w:r>
    </w:p>
    <w:p>
      <w:pPr>
        <w:spacing w:after="0" w:line="183" w:lineRule="exact"/>
        <w:rPr>
          <w:sz w:val="20"/>
          <w:szCs w:val="20"/>
          <w:color w:val="auto"/>
        </w:rPr>
      </w:pPr>
    </w:p>
    <w:p>
      <w:pPr>
        <w:ind w:right="160" w:firstLine="629"/>
        <w:spacing w:after="0" w:line="262" w:lineRule="auto"/>
        <w:rPr>
          <w:sz w:val="20"/>
          <w:szCs w:val="20"/>
          <w:color w:val="auto"/>
        </w:rPr>
      </w:pPr>
      <w:r>
        <w:rPr>
          <w:rFonts w:ascii="Arial" w:cs="Arial" w:eastAsia="Arial" w:hAnsi="Arial"/>
          <w:sz w:val="17"/>
          <w:szCs w:val="17"/>
          <w:color w:val="auto"/>
        </w:rPr>
        <w:t xml:space="preserve">16.9 </w:t>
      </w:r>
      <w:r>
        <w:rPr>
          <w:rFonts w:ascii="Arial" w:cs="Arial" w:eastAsia="Arial" w:hAnsi="Arial"/>
          <w:sz w:val="17"/>
          <w:szCs w:val="17"/>
          <w:i w:val="1"/>
          <w:iCs w:val="1"/>
          <w:u w:val="single" w:color="auto"/>
          <w:color w:val="auto"/>
        </w:rPr>
        <w:t>Stock Options and Stock Appreciation Rights - Grant Price.</w:t>
      </w:r>
      <w:r>
        <w:rPr>
          <w:rFonts w:ascii="Arial" w:cs="Arial" w:eastAsia="Arial" w:hAnsi="Arial"/>
          <w:sz w:val="17"/>
          <w:szCs w:val="17"/>
          <w:color w:val="auto"/>
        </w:rPr>
        <w:t xml:space="preserve"> Notwithstanding any provision of this Plan (including the provisions of this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to the contrary, the amount of compensation which a Named Executive Officer may receive with respect to Stock Options and Stock Appreciation Rights which are granted hereunder is based solely on an increase in the value of the applicable Shares after the date of grant of such Award. Thus, no Stock Option may be granted hereunder to a Named Executive Officer with an exercise price less than the Fair Market Value of Shares on the date of grant. Furthermore, the maximum number of Shares (or cash equivalent value) with respect to which Stock Options or Stock Appreciation Rights may be granted hereunder to any Named Executive Officer during any calendar year may not exceed 1,000,000 Shares, subject to adjustment as provided in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hereunder.</w:t>
      </w:r>
    </w:p>
    <w:p>
      <w:pPr>
        <w:spacing w:after="0" w:line="184"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 xml:space="preserve">16.10 </w:t>
      </w:r>
      <w:r>
        <w:rPr>
          <w:rFonts w:ascii="Arial" w:cs="Arial" w:eastAsia="Arial" w:hAnsi="Arial"/>
          <w:sz w:val="17"/>
          <w:szCs w:val="17"/>
          <w:i w:val="1"/>
          <w:iCs w:val="1"/>
          <w:u w:val="single" w:color="auto"/>
          <w:color w:val="auto"/>
        </w:rPr>
        <w:t>Maximum Amount of Compensation.</w:t>
      </w:r>
      <w:r>
        <w:rPr>
          <w:rFonts w:ascii="Arial" w:cs="Arial" w:eastAsia="Arial" w:hAnsi="Arial"/>
          <w:sz w:val="17"/>
          <w:szCs w:val="17"/>
          <w:color w:val="auto"/>
        </w:rPr>
        <w:t xml:space="preserve"> The maximum amount of compensation payable as an Award (other than an Award which is a Stock Option or Stock Appreciation Right) to any Named Executive Officer during any calendar year may not exceed $1,000,000.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7" w:right="239" w:bottom="718" w:gutter="0" w:footer="0" w:header="0"/>
        </w:sectPr>
      </w:pPr>
    </w:p>
    <w:bookmarkStart w:id="313" w:name="page314"/>
    <w:bookmarkEnd w:id="313"/>
    <w:p>
      <w:pPr>
        <w:spacing w:after="0" w:line="1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10.4.1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2004 INCENTIVE SHARE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OPTION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(INCENTIVE AND NONQUALIFIED STOCK OPTIONS)</w:t>
      </w:r>
    </w:p>
    <w:p>
      <w:pPr>
        <w:spacing w:after="0" w:line="212" w:lineRule="exact"/>
        <w:rPr>
          <w:sz w:val="20"/>
          <w:szCs w:val="20"/>
          <w:color w:val="auto"/>
        </w:rPr>
      </w:pPr>
    </w:p>
    <w:p>
      <w:pPr>
        <w:jc w:val="both"/>
        <w:ind w:right="220" w:firstLine="629"/>
        <w:spacing w:after="0" w:line="326" w:lineRule="auto"/>
        <w:rPr>
          <w:sz w:val="20"/>
          <w:szCs w:val="20"/>
          <w:color w:val="auto"/>
        </w:rPr>
      </w:pPr>
      <w:r>
        <w:rPr>
          <w:rFonts w:ascii="Arial" w:cs="Arial" w:eastAsia="Arial" w:hAnsi="Arial"/>
          <w:sz w:val="15"/>
          <w:szCs w:val="15"/>
          <w:color w:val="auto"/>
        </w:rPr>
        <w:t>Pursuant to this Stock Option Agreement (the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having an effective date of the Grant Date (defined below), Applied Optoelectronics,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has granted you (the “</w:t>
      </w:r>
      <w:r>
        <w:rPr>
          <w:rFonts w:ascii="Arial" w:cs="Arial" w:eastAsia="Arial" w:hAnsi="Arial"/>
          <w:sz w:val="15"/>
          <w:szCs w:val="15"/>
          <w:b w:val="1"/>
          <w:bCs w:val="1"/>
          <w:i w:val="1"/>
          <w:iCs w:val="1"/>
          <w:color w:val="auto"/>
        </w:rPr>
        <w:t>Participant</w:t>
      </w:r>
      <w:r>
        <w:rPr>
          <w:rFonts w:ascii="Arial" w:cs="Arial" w:eastAsia="Arial" w:hAnsi="Arial"/>
          <w:sz w:val="15"/>
          <w:szCs w:val="15"/>
          <w:color w:val="auto"/>
        </w:rPr>
        <w:t>”) a Stock Option (“</w:t>
      </w:r>
      <w:r>
        <w:rPr>
          <w:rFonts w:ascii="Arial" w:cs="Arial" w:eastAsia="Arial" w:hAnsi="Arial"/>
          <w:sz w:val="15"/>
          <w:szCs w:val="15"/>
          <w:b w:val="1"/>
          <w:bCs w:val="1"/>
          <w:i w:val="1"/>
          <w:iCs w:val="1"/>
          <w:color w:val="auto"/>
        </w:rPr>
        <w:t>Option</w:t>
      </w:r>
      <w:r>
        <w:rPr>
          <w:rFonts w:ascii="Arial" w:cs="Arial" w:eastAsia="Arial" w:hAnsi="Arial"/>
          <w:sz w:val="15"/>
          <w:szCs w:val="15"/>
          <w:color w:val="auto"/>
        </w:rPr>
        <w:t>”) under its 2004 Incentive Share Plan, as amended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to purchase the number of shares of the Company’s Common Stock at the exercise price indicated below. Undefined terms in this Agreement are defined in the Plan.</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details of your Option are as follows: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PARTICIPANT: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ADDRESS: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FIRST DATE OF EMPLOYMENT: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TOTAL OPTION SHARES: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PURCHASE PRICE PER SHARE: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GRANT DATE: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FIRST VESTING DATE: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FIRST VESTING DATE NUMBER OF SHARES: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SUBSEQUENT VESTING DATE NUMBER OF SHARES: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EXPIRATION DATE: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TYPE OF STOCK OPTION:</w:t>
      </w:r>
    </w:p>
    <w:p>
      <w:pPr>
        <w:sectPr>
          <w:pgSz w:w="11900" w:h="16854" w:orient="portrait"/>
          <w:cols w:equalWidth="0" w:num="1">
            <w:col w:w="11420"/>
          </w:cols>
          <w:pgMar w:left="240" w:top="357" w:right="239" w:bottom="0" w:gutter="0" w:footer="0" w:header="0"/>
        </w:sectPr>
      </w:pP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(CHECK ONE)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INCENTIVE STOCK OPTION</w:t>
      </w:r>
    </w:p>
    <w:p>
      <w:pPr>
        <w:spacing w:after="0" w:line="25" w:lineRule="exact"/>
        <w:rPr>
          <w:sz w:val="20"/>
          <w:szCs w:val="20"/>
          <w:color w:val="auto"/>
        </w:rPr>
      </w:pPr>
    </w:p>
    <w:p>
      <w:pPr>
        <w:sectPr>
          <w:pgSz w:w="11900" w:h="16854" w:orient="portrait"/>
          <w:cols w:equalWidth="0" w:num="3">
            <w:col w:w="1960" w:space="720"/>
            <w:col w:w="100" w:space="420"/>
            <w:col w:w="8220"/>
          </w:cols>
          <w:pgMar w:left="240" w:top="357" w:right="239" w:bottom="0" w:gutter="0" w:footer="0" w:header="0"/>
          <w:type w:val="continuous"/>
        </w:sectPr>
      </w:pPr>
    </w:p>
    <w:p>
      <w:pPr>
        <w:ind w:left="3200" w:hanging="512"/>
        <w:spacing w:after="0"/>
        <w:tabs>
          <w:tab w:leader="none" w:pos="3200" w:val="left"/>
        </w:tabs>
        <w:numPr>
          <w:ilvl w:val="1"/>
          <w:numId w:val="408"/>
        </w:numPr>
        <w:rPr>
          <w:rFonts w:ascii="Arial" w:cs="Arial" w:eastAsia="Arial" w:hAnsi="Arial"/>
          <w:sz w:val="17"/>
          <w:szCs w:val="17"/>
          <w:color w:val="auto"/>
        </w:rPr>
      </w:pPr>
      <w:r>
        <w:rPr>
          <w:rFonts w:ascii="Arial" w:cs="Arial" w:eastAsia="Arial" w:hAnsi="Arial"/>
          <w:sz w:val="17"/>
          <w:szCs w:val="17"/>
          <w:color w:val="auto"/>
        </w:rPr>
        <w:t>NONQUALIFIED STOCK OPTION</w:t>
      </w:r>
    </w:p>
    <w:p>
      <w:pPr>
        <w:spacing w:after="0" w:line="212" w:lineRule="exact"/>
        <w:rPr>
          <w:rFonts w:ascii="Arial" w:cs="Arial" w:eastAsia="Arial" w:hAnsi="Arial"/>
          <w:sz w:val="17"/>
          <w:szCs w:val="17"/>
          <w:color w:val="auto"/>
        </w:rPr>
      </w:pPr>
    </w:p>
    <w:p>
      <w:pPr>
        <w:ind w:left="640" w:right="40" w:hanging="635"/>
        <w:spacing w:after="0" w:line="283" w:lineRule="auto"/>
        <w:tabs>
          <w:tab w:leader="none" w:pos="640" w:val="left"/>
        </w:tabs>
        <w:numPr>
          <w:ilvl w:val="0"/>
          <w:numId w:val="408"/>
        </w:numPr>
        <w:rPr>
          <w:rFonts w:ascii="Arial" w:cs="Arial" w:eastAsia="Arial" w:hAnsi="Arial"/>
          <w:sz w:val="16"/>
          <w:szCs w:val="16"/>
          <w:color w:val="auto"/>
        </w:rPr>
      </w:pPr>
      <w:r>
        <w:rPr>
          <w:rFonts w:ascii="Arial" w:cs="Arial" w:eastAsia="Arial" w:hAnsi="Arial"/>
          <w:sz w:val="16"/>
          <w:szCs w:val="16"/>
          <w:color w:val="auto"/>
        </w:rPr>
        <w:t>GRANT OF OPTION. The Company hereby grants to you an option (the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to purchase the total number of shares of Common Stock set forth above at the Purchase Price Per Share set forth above (the “</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subject to all of the terms and conditions of this Agreement and the Plan. If designated as an Incentive Stock Option above, the Option is intended to qualify as an “incentive stock option” within the meaning of Section 422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However, the Company shall have no liability in the event it is determined that such Option fails to qualify as such. If this Option is designated as an Incentive Stock Option and all or any portion of this Option fails to qualify as such, the portion that fails to qualify as an Incentive Stock Option shall be treated as a Nonqualified Stock Option.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hanging="635"/>
        <w:spacing w:after="0"/>
        <w:tabs>
          <w:tab w:leader="none" w:pos="64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EXERCISE PERIOD/VESTING SCHEDULE.</w:t>
      </w:r>
    </w:p>
    <w:p>
      <w:pPr>
        <w:spacing w:after="0" w:line="224" w:lineRule="exact"/>
        <w:rPr>
          <w:rFonts w:ascii="Arial" w:cs="Arial" w:eastAsia="Arial" w:hAnsi="Arial"/>
          <w:sz w:val="17"/>
          <w:szCs w:val="17"/>
          <w:color w:val="auto"/>
        </w:rPr>
      </w:pPr>
    </w:p>
    <w:p>
      <w:pPr>
        <w:ind w:right="100" w:firstLine="1263"/>
        <w:spacing w:after="0" w:line="262" w:lineRule="auto"/>
        <w:tabs>
          <w:tab w:leader="none" w:pos="1885" w:val="left"/>
        </w:tabs>
        <w:numPr>
          <w:ilvl w:val="1"/>
          <w:numId w:val="4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Person</w:t>
      </w:r>
      <w:r>
        <w:rPr>
          <w:rFonts w:ascii="Arial" w:cs="Arial" w:eastAsia="Arial" w:hAnsi="Arial"/>
          <w:sz w:val="17"/>
          <w:szCs w:val="17"/>
          <w:color w:val="auto"/>
        </w:rPr>
        <w:t>” means the Company or a Subsidiary. “</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means that the applicable Participant’s service with a Company Person, whether as an employee, director or consultant, is not interrupted or terminated. Such Participant’s Continuous Service will not be deemed to have terminated merely because of a change in the capacity in which such Participant renders service to a Company Person as an employee, consultant or director or a change in the Company Person for which such Participant renders such service, provided that there is no interruption or termination of such Participant’s Continuous Service. For example, a change in status from an employee of the Company to a consultant of a Subsidiary or a director will not constitute an interruption of Continuous Service. The Committee or the chief executive officer of the Company, in that party’s sole discretion, may determine whether Continuous Service will be considered interrupted in the case of any leave of absence approved by that party, including sick leave, military leave or any other personal leave.</w:t>
      </w:r>
    </w:p>
    <w:p>
      <w:pPr>
        <w:spacing w:after="0" w:line="180" w:lineRule="exact"/>
        <w:rPr>
          <w:rFonts w:ascii="Arial" w:cs="Arial" w:eastAsia="Arial" w:hAnsi="Arial"/>
          <w:sz w:val="17"/>
          <w:szCs w:val="17"/>
          <w:color w:val="auto"/>
        </w:rPr>
      </w:pPr>
    </w:p>
    <w:p>
      <w:pPr>
        <w:ind w:left="1900" w:hanging="637"/>
        <w:spacing w:after="0"/>
        <w:tabs>
          <w:tab w:leader="none" w:pos="1900" w:val="left"/>
        </w:tabs>
        <w:numPr>
          <w:ilvl w:val="1"/>
          <w:numId w:val="409"/>
        </w:numPr>
        <w:rPr>
          <w:rFonts w:ascii="Arial" w:cs="Arial" w:eastAsia="Arial" w:hAnsi="Arial"/>
          <w:sz w:val="16"/>
          <w:szCs w:val="16"/>
          <w:color w:val="auto"/>
        </w:rPr>
      </w:pPr>
      <w:r>
        <w:rPr>
          <w:rFonts w:ascii="Arial" w:cs="Arial" w:eastAsia="Arial" w:hAnsi="Arial"/>
          <w:sz w:val="16"/>
          <w:szCs w:val="16"/>
          <w:color w:val="auto"/>
        </w:rPr>
        <w:t>Provided that you continue to provide Continuous Service to any Company Person throughout the specified period, the Option shall</w:t>
      </w:r>
    </w:p>
    <w:p>
      <w:pPr>
        <w:spacing w:after="0" w:line="38"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vest and become exercisable as to portions of the shares as follows:</w:t>
      </w:r>
      <w:r>
        <w:rPr>
          <w:sz w:val="20"/>
          <w:szCs w:val="20"/>
          <w:color w:val="auto"/>
        </w:rPr>
        <w:tab/>
      </w:r>
      <w:r>
        <w:rPr>
          <w:rFonts w:ascii="Arial" w:cs="Arial" w:eastAsia="Arial" w:hAnsi="Arial"/>
          <w:sz w:val="15"/>
          <w:szCs w:val="15"/>
          <w:color w:val="auto"/>
        </w:rPr>
        <w:t>on the First Vesting Date, with the remainder vesting in equal portions</w:t>
      </w:r>
    </w:p>
    <w:p>
      <w:pPr>
        <w:spacing w:after="0" w:line="14" w:lineRule="exact"/>
        <w:rPr>
          <w:sz w:val="20"/>
          <w:szCs w:val="20"/>
          <w:color w:val="auto"/>
        </w:rPr>
      </w:pPr>
    </w:p>
    <w:p>
      <w:pPr>
        <w:spacing w:after="0"/>
        <w:tabs>
          <w:tab w:leader="none" w:pos="1140" w:val="left"/>
          <w:tab w:leader="none" w:pos="3420" w:val="left"/>
          <w:tab w:leader="none" w:pos="8120" w:val="left"/>
        </w:tabs>
        <w:rPr>
          <w:sz w:val="20"/>
          <w:szCs w:val="20"/>
          <w:color w:val="auto"/>
        </w:rPr>
      </w:pPr>
      <w:r>
        <w:rPr>
          <w:rFonts w:ascii="Arial" w:cs="Arial" w:eastAsia="Arial" w:hAnsi="Arial"/>
          <w:sz w:val="17"/>
          <w:szCs w:val="17"/>
          <w:color w:val="auto"/>
        </w:rPr>
        <w:t>of</w:t>
      </w:r>
      <w:r>
        <w:rPr>
          <w:sz w:val="20"/>
          <w:szCs w:val="20"/>
          <w:color w:val="auto"/>
        </w:rPr>
        <w:tab/>
      </w:r>
      <w:r>
        <w:rPr>
          <w:rFonts w:ascii="Arial" w:cs="Arial" w:eastAsia="Arial" w:hAnsi="Arial"/>
          <w:sz w:val="17"/>
          <w:szCs w:val="17"/>
          <w:color w:val="auto"/>
        </w:rPr>
        <w:t>each at the end of</w:t>
      </w:r>
      <w:r>
        <w:rPr>
          <w:sz w:val="20"/>
          <w:szCs w:val="20"/>
          <w:color w:val="auto"/>
        </w:rPr>
        <w:tab/>
      </w:r>
      <w:r>
        <w:rPr>
          <w:rFonts w:ascii="Arial" w:cs="Arial" w:eastAsia="Arial" w:hAnsi="Arial"/>
          <w:sz w:val="17"/>
          <w:szCs w:val="17"/>
          <w:color w:val="auto"/>
        </w:rPr>
        <w:t>periods (each such period, a “</w:t>
      </w:r>
      <w:r>
        <w:rPr>
          <w:rFonts w:ascii="Arial" w:cs="Arial" w:eastAsia="Arial" w:hAnsi="Arial"/>
          <w:sz w:val="17"/>
          <w:szCs w:val="17"/>
          <w:b w:val="1"/>
          <w:bCs w:val="1"/>
          <w:i w:val="1"/>
          <w:iCs w:val="1"/>
          <w:color w:val="auto"/>
        </w:rPr>
        <w:t>Vesting Period</w:t>
      </w:r>
      <w:r>
        <w:rPr>
          <w:rFonts w:ascii="Arial" w:cs="Arial" w:eastAsia="Arial" w:hAnsi="Arial"/>
          <w:sz w:val="17"/>
          <w:szCs w:val="17"/>
          <w:color w:val="auto"/>
        </w:rPr>
        <w:t>”) of the</w:t>
      </w:r>
      <w:r>
        <w:rPr>
          <w:sz w:val="20"/>
          <w:szCs w:val="20"/>
          <w:color w:val="auto"/>
        </w:rPr>
        <w:tab/>
      </w:r>
      <w:r>
        <w:rPr>
          <w:rFonts w:ascii="Arial" w:cs="Arial" w:eastAsia="Arial" w:hAnsi="Arial"/>
          <w:sz w:val="16"/>
          <w:szCs w:val="16"/>
          <w:color w:val="auto"/>
        </w:rPr>
        <w:t>period following the First Vesting Date (each</w:t>
      </w:r>
    </w:p>
    <w:p>
      <w:pPr>
        <w:spacing w:after="0" w:line="1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such date, a “</w:t>
      </w:r>
      <w:r>
        <w:rPr>
          <w:rFonts w:ascii="Arial" w:cs="Arial" w:eastAsia="Arial" w:hAnsi="Arial"/>
          <w:sz w:val="17"/>
          <w:szCs w:val="17"/>
          <w:b w:val="1"/>
          <w:bCs w:val="1"/>
          <w:i w:val="1"/>
          <w:iCs w:val="1"/>
          <w:color w:val="auto"/>
        </w:rPr>
        <w:t>Vesting Date</w:t>
      </w:r>
      <w:r>
        <w:rPr>
          <w:rFonts w:ascii="Arial" w:cs="Arial" w:eastAsia="Arial" w:hAnsi="Arial"/>
          <w:sz w:val="17"/>
          <w:szCs w:val="17"/>
          <w:color w:val="auto"/>
        </w:rPr>
        <w:t>”). Each Vesting Date shall be on the same day of the month as that of the First Vesting Date, or on the last day of the month in cases where the day of the month of the First Vesting Date is beyond the end of the month of the respective Vesting Date. [If application of any vesting percentage causes a fractional share, such share shall be rounded down to a whole share.] Subject to the limitations contained herein, your Option will vest as set forth herein, provided that vesting will cease upon the termination of your Continuous Service, and further provided that this vesting schedule is subject to Sections 4 and 7 hereof.</w:t>
      </w:r>
    </w:p>
    <w:p>
      <w:pPr>
        <w:spacing w:after="0" w:line="184" w:lineRule="exact"/>
        <w:rPr>
          <w:sz w:val="20"/>
          <w:szCs w:val="20"/>
          <w:color w:val="auto"/>
        </w:rPr>
      </w:pPr>
    </w:p>
    <w:p>
      <w:pPr>
        <w:ind w:left="640" w:right="500" w:hanging="635"/>
        <w:spacing w:after="0" w:line="289" w:lineRule="auto"/>
        <w:tabs>
          <w:tab w:leader="none" w:pos="640" w:val="left"/>
        </w:tabs>
        <w:numPr>
          <w:ilvl w:val="0"/>
          <w:numId w:val="410"/>
        </w:numPr>
        <w:rPr>
          <w:rFonts w:ascii="Arial" w:cs="Arial" w:eastAsia="Arial" w:hAnsi="Arial"/>
          <w:sz w:val="17"/>
          <w:szCs w:val="17"/>
          <w:color w:val="auto"/>
        </w:rPr>
      </w:pPr>
      <w:r>
        <w:rPr>
          <w:rFonts w:ascii="Arial" w:cs="Arial" w:eastAsia="Arial" w:hAnsi="Arial"/>
          <w:sz w:val="17"/>
          <w:szCs w:val="17"/>
          <w:color w:val="auto"/>
        </w:rPr>
        <w:t>NUMBER OF SHARES AND EXERCISE PRICE. The number of shares of Common Stock subject to your Option and the Purchase Price may be adjusted from time to time in accordance with the Plan.</w:t>
      </w:r>
    </w:p>
    <w:p>
      <w:pPr>
        <w:spacing w:after="0" w:line="158" w:lineRule="exact"/>
        <w:rPr>
          <w:rFonts w:ascii="Arial" w:cs="Arial" w:eastAsia="Arial" w:hAnsi="Arial"/>
          <w:sz w:val="17"/>
          <w:szCs w:val="17"/>
          <w:color w:val="auto"/>
        </w:rPr>
      </w:pPr>
    </w:p>
    <w:p>
      <w:pPr>
        <w:ind w:left="640" w:hanging="635"/>
        <w:spacing w:after="0"/>
        <w:tabs>
          <w:tab w:leader="none" w:pos="640" w:val="left"/>
        </w:tabs>
        <w:numPr>
          <w:ilvl w:val="0"/>
          <w:numId w:val="410"/>
        </w:numPr>
        <w:rPr>
          <w:rFonts w:ascii="Arial" w:cs="Arial" w:eastAsia="Arial" w:hAnsi="Arial"/>
          <w:sz w:val="17"/>
          <w:szCs w:val="17"/>
          <w:color w:val="auto"/>
        </w:rPr>
      </w:pPr>
      <w:r>
        <w:rPr>
          <w:rFonts w:ascii="Arial" w:cs="Arial" w:eastAsia="Arial" w:hAnsi="Arial"/>
          <w:sz w:val="17"/>
          <w:szCs w:val="17"/>
          <w:color w:val="auto"/>
        </w:rPr>
        <w:t>[CHANGE IN CONTROL.</w:t>
      </w:r>
    </w:p>
    <w:p>
      <w:pPr>
        <w:spacing w:after="0" w:line="224" w:lineRule="exact"/>
        <w:rPr>
          <w:rFonts w:ascii="Arial" w:cs="Arial" w:eastAsia="Arial" w:hAnsi="Arial"/>
          <w:sz w:val="17"/>
          <w:szCs w:val="17"/>
          <w:color w:val="auto"/>
        </w:rPr>
      </w:pPr>
    </w:p>
    <w:p>
      <w:pPr>
        <w:ind w:left="1900" w:right="120" w:hanging="637"/>
        <w:spacing w:after="0" w:line="326" w:lineRule="auto"/>
        <w:tabs>
          <w:tab w:leader="none" w:pos="1897" w:val="left"/>
        </w:tabs>
        <w:numPr>
          <w:ilvl w:val="1"/>
          <w:numId w:val="410"/>
        </w:numPr>
        <w:rPr>
          <w:rFonts w:ascii="Arial" w:cs="Arial" w:eastAsia="Arial" w:hAnsi="Arial"/>
          <w:sz w:val="15"/>
          <w:szCs w:val="15"/>
          <w:color w:val="auto"/>
        </w:rPr>
      </w:pPr>
      <w:r>
        <w:rPr>
          <w:rFonts w:ascii="Arial" w:cs="Arial" w:eastAsia="Arial" w:hAnsi="Arial"/>
          <w:sz w:val="15"/>
          <w:szCs w:val="15"/>
          <w:color w:val="auto"/>
        </w:rPr>
        <w:t>If Participant is an employee (“</w:t>
      </w:r>
      <w:r>
        <w:rPr>
          <w:rFonts w:ascii="Arial" w:cs="Arial" w:eastAsia="Arial" w:hAnsi="Arial"/>
          <w:sz w:val="15"/>
          <w:szCs w:val="15"/>
          <w:b w:val="1"/>
          <w:bCs w:val="1"/>
          <w:i w:val="1"/>
          <w:iCs w:val="1"/>
          <w:color w:val="auto"/>
        </w:rPr>
        <w:t>Employee</w:t>
      </w:r>
      <w:r>
        <w:rPr>
          <w:rFonts w:ascii="Arial" w:cs="Arial" w:eastAsia="Arial" w:hAnsi="Arial"/>
          <w:sz w:val="15"/>
          <w:szCs w:val="15"/>
          <w:color w:val="auto"/>
        </w:rPr>
        <w:t>”), the Option hereby granted shall become immediately and fully exercisable, irrespective of the limitations set forth in Section 2 above, provided that the Employee has been in Continuous Employment since the Grant Date of said Option and as long as this Option has not already expired or been forfeited, upon the occurrence of both: (a) a Change in Control;</w:t>
      </w:r>
    </w:p>
    <w:p>
      <w:pPr>
        <w:sectPr>
          <w:pgSz w:w="11900" w:h="16854" w:orient="portrait"/>
          <w:cols w:equalWidth="0" w:num="1">
            <w:col w:w="11420"/>
          </w:cols>
          <w:pgMar w:left="240" w:top="357" w:right="239" w:bottom="0" w:gutter="0" w:footer="0" w:header="0"/>
          <w:type w:val="continuous"/>
        </w:sectPr>
      </w:pPr>
    </w:p>
    <w:bookmarkStart w:id="314" w:name="page315"/>
    <w:bookmarkEnd w:id="314"/>
    <w:p>
      <w:pPr>
        <w:ind w:left="1900" w:right="20"/>
        <w:spacing w:after="0" w:line="289" w:lineRule="auto"/>
        <w:rPr>
          <w:sz w:val="20"/>
          <w:szCs w:val="20"/>
          <w:color w:val="auto"/>
        </w:rPr>
      </w:pPr>
      <w:r>
        <w:rPr>
          <w:rFonts w:ascii="Arial" w:cs="Arial" w:eastAsia="Arial" w:hAnsi="Arial"/>
          <w:sz w:val="17"/>
          <w:szCs w:val="17"/>
          <w:color w:val="auto"/>
        </w:rPr>
        <w:t>and (b) termination of the Employee’s Employment on or after the date of a Change in Control either (i) by the Company for any reason other than for Cause, or (ii) by the Employee for Good Reason.</w:t>
      </w:r>
    </w:p>
    <w:p>
      <w:pPr>
        <w:spacing w:after="0" w:line="158" w:lineRule="exact"/>
        <w:rPr>
          <w:sz w:val="20"/>
          <w:szCs w:val="20"/>
          <w:color w:val="auto"/>
        </w:rPr>
      </w:pPr>
    </w:p>
    <w:p>
      <w:pPr>
        <w:ind w:left="1900" w:right="400" w:hanging="637"/>
        <w:spacing w:after="0" w:line="273" w:lineRule="auto"/>
        <w:tabs>
          <w:tab w:leader="none" w:pos="1907" w:val="left"/>
        </w:tabs>
        <w:numPr>
          <w:ilvl w:val="0"/>
          <w:numId w:val="4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shall mean cause as defined in any employment agreement between the Employee and the Company or any Subsidiary in effect at the time of the Employee’s termination of Employment or, in the absence of any such employment agreement, any of the following: (i) conviction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right="140"/>
        <w:spacing w:after="0" w:line="265" w:lineRule="auto"/>
        <w:rPr>
          <w:sz w:val="20"/>
          <w:szCs w:val="20"/>
          <w:color w:val="auto"/>
        </w:rPr>
      </w:pPr>
      <w:r>
        <w:rPr>
          <w:rFonts w:ascii="Arial" w:cs="Arial" w:eastAsia="Arial" w:hAnsi="Arial"/>
          <w:sz w:val="17"/>
          <w:szCs w:val="17"/>
          <w:color w:val="auto"/>
        </w:rPr>
        <w:t>the Employee by a court of competent jurisdiction of any felony or a crime involving moral turpitude; (ii) the Employee’s knowing failure or refusal to follow reasonable instructions of the Board or the Employee’s supervisor or reasonable policies, standards and regulations of the Company or any Subsidiary; (iii) the Employee’s continued failure or refusal to faithfully and diligently perform the usual, customary duties of his Employment with the Company or any Subsidiary; or (iv) the Employee’s conduct is detrimental to the reputation, character, business or standing of the Company or any Subsidiary.</w:t>
      </w:r>
    </w:p>
    <w:p>
      <w:pPr>
        <w:spacing w:after="0" w:line="179" w:lineRule="exact"/>
        <w:rPr>
          <w:sz w:val="20"/>
          <w:szCs w:val="20"/>
          <w:color w:val="auto"/>
        </w:rPr>
      </w:pPr>
    </w:p>
    <w:p>
      <w:pPr>
        <w:ind w:left="1900" w:right="40" w:hanging="637"/>
        <w:spacing w:after="0" w:line="260" w:lineRule="auto"/>
        <w:tabs>
          <w:tab w:leader="none" w:pos="1910" w:val="left"/>
        </w:tabs>
        <w:numPr>
          <w:ilvl w:val="2"/>
          <w:numId w:val="4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shall mean if, without the written consent of the Employee, (i) the Employee is assigned duties (or has his or her duties diminished in a fashion) materially inconsistent with his or her position, duties, responsibilities and status with the Company and its Subsidiaries as of the time of a Change in Control; (ii) the Company or any of its Subsidiaries materially reduces the aggregate compensation or incentive package of the Employee as in effect at the time of a Change in Control; (iii) the Company or any of its Subsidiaries reduces the benefit package for health and welfare benefit plans, pension and 401(k) plans of the Employee, as in effect at the time of the Change in Control, except for changes in the benefit package applicable to all employees of the Company or its Subsidiaries; or (iv) the Company takes any other action which materially and adversely changes the conditions or perquisites of the Employee’s Employment as in effect as of the time of the Change in Control (provided that no material or adverse change shall be deemed to have occurred solely on account of a change in the individual(s) in the office or on the board of directors to whom the Employee reports). The Employee shall give notice of any termination of the Employee’s Employment for Good Reason due to any of the events described above by delivery of written notice thereof to the Company within 120 days after the first occurrence of the event giving rise to such Good Reason.</w:t>
      </w:r>
    </w:p>
    <w:p>
      <w:pPr>
        <w:spacing w:after="0" w:line="185" w:lineRule="exact"/>
        <w:rPr>
          <w:rFonts w:ascii="Arial" w:cs="Arial" w:eastAsia="Arial" w:hAnsi="Arial"/>
          <w:sz w:val="17"/>
          <w:szCs w:val="17"/>
          <w:color w:val="auto"/>
        </w:rPr>
      </w:pPr>
    </w:p>
    <w:p>
      <w:pPr>
        <w:ind w:left="1900" w:right="640" w:hanging="637"/>
        <w:spacing w:after="0" w:line="289" w:lineRule="auto"/>
        <w:tabs>
          <w:tab w:leader="none" w:pos="1907" w:val="left"/>
        </w:tabs>
        <w:numPr>
          <w:ilvl w:val="2"/>
          <w:numId w:val="4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Employment</w:t>
      </w:r>
      <w:r>
        <w:rPr>
          <w:rFonts w:ascii="Arial" w:cs="Arial" w:eastAsia="Arial" w:hAnsi="Arial"/>
          <w:sz w:val="17"/>
          <w:szCs w:val="17"/>
          <w:color w:val="auto"/>
        </w:rPr>
        <w:t>” shall mean employment with a Company Person. “</w:t>
      </w:r>
      <w:r>
        <w:rPr>
          <w:rFonts w:ascii="Arial" w:cs="Arial" w:eastAsia="Arial" w:hAnsi="Arial"/>
          <w:sz w:val="17"/>
          <w:szCs w:val="17"/>
          <w:b w:val="1"/>
          <w:bCs w:val="1"/>
          <w:i w:val="1"/>
          <w:iCs w:val="1"/>
          <w:color w:val="auto"/>
        </w:rPr>
        <w:t>Continuous Employment</w:t>
      </w:r>
      <w:r>
        <w:rPr>
          <w:rFonts w:ascii="Arial" w:cs="Arial" w:eastAsia="Arial" w:hAnsi="Arial"/>
          <w:sz w:val="17"/>
          <w:szCs w:val="17"/>
          <w:color w:val="auto"/>
        </w:rPr>
        <w:t>” means Continuous Service as an employee of a Company Person.]</w:t>
      </w:r>
    </w:p>
    <w:p>
      <w:pPr>
        <w:spacing w:after="0" w:line="158" w:lineRule="exact"/>
        <w:rPr>
          <w:rFonts w:ascii="Arial" w:cs="Arial" w:eastAsia="Arial" w:hAnsi="Arial"/>
          <w:sz w:val="17"/>
          <w:szCs w:val="17"/>
          <w:color w:val="auto"/>
        </w:rPr>
      </w:pPr>
    </w:p>
    <w:p>
      <w:pPr>
        <w:jc w:val="both"/>
        <w:ind w:right="120" w:firstLine="634"/>
        <w:spacing w:after="0" w:line="297" w:lineRule="auto"/>
        <w:tabs>
          <w:tab w:leader="none" w:pos="1258" w:val="left"/>
        </w:tabs>
        <w:numPr>
          <w:ilvl w:val="1"/>
          <w:numId w:val="413"/>
        </w:numPr>
        <w:rPr>
          <w:rFonts w:ascii="Arial" w:cs="Arial" w:eastAsia="Arial" w:hAnsi="Arial"/>
          <w:sz w:val="15"/>
          <w:szCs w:val="15"/>
          <w:color w:val="auto"/>
        </w:rPr>
      </w:pPr>
      <w:r>
        <w:rPr>
          <w:rFonts w:ascii="Arial" w:cs="Arial" w:eastAsia="Arial" w:hAnsi="Arial"/>
          <w:sz w:val="15"/>
          <w:szCs w:val="15"/>
          <w:color w:val="auto"/>
        </w:rPr>
        <w:t>METHOD OF PAYMENT. This Option may be exercised, in whole or in part, by giving written notice of exercise to the Company specifying the number of shares of Common Stock to be purchased. [Such notice shall be accompanied by the payment in full of the Option Purchase Price. Such payment shall be made: (a) in cash; (b) to the extent authorized by the Committee, by surrender of shares of Common Stock previously owned by the holder of the Option;</w:t>
      </w:r>
    </w:p>
    <w:p>
      <w:pPr>
        <w:ind w:right="60" w:firstLine="5"/>
        <w:spacing w:after="0" w:line="317" w:lineRule="auto"/>
        <w:tabs>
          <w:tab w:leader="none" w:pos="238" w:val="left"/>
        </w:tabs>
        <w:numPr>
          <w:ilvl w:val="0"/>
          <w:numId w:val="414"/>
        </w:numPr>
        <w:rPr>
          <w:rFonts w:ascii="Arial" w:cs="Arial" w:eastAsia="Arial" w:hAnsi="Arial"/>
          <w:sz w:val="15"/>
          <w:szCs w:val="15"/>
          <w:color w:val="auto"/>
        </w:rPr>
      </w:pPr>
      <w:r>
        <w:rPr>
          <w:rFonts w:ascii="Arial" w:cs="Arial" w:eastAsia="Arial" w:hAnsi="Arial"/>
          <w:sz w:val="15"/>
          <w:szCs w:val="15"/>
          <w:color w:val="auto"/>
        </w:rPr>
        <w:t>following an Initial Public Offering, through simultaneous sale through a broker of shares acquired on exercise, as permitted under Regulation T of the Federal Reserve Board; (d) through additional methods prescribed by the Committee; or (e) by a combination of any such methods as permitted by the Committee. Your subsequent transfer or disposition of any shares acquired upon exercise of an Option will be subject to any Federal and state laws then applicable.]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hanging="635"/>
        <w:spacing w:after="0"/>
        <w:tabs>
          <w:tab w:leader="none" w:pos="64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WHOLE SHARES. You may exercise your Option only for whole shares of Common Stock.</w:t>
      </w:r>
    </w:p>
    <w:p>
      <w:pPr>
        <w:spacing w:after="0" w:line="224" w:lineRule="exact"/>
        <w:rPr>
          <w:rFonts w:ascii="Arial" w:cs="Arial" w:eastAsia="Arial" w:hAnsi="Arial"/>
          <w:sz w:val="17"/>
          <w:szCs w:val="17"/>
          <w:color w:val="auto"/>
        </w:rPr>
      </w:pPr>
    </w:p>
    <w:p>
      <w:pPr>
        <w:ind w:left="640" w:hanging="635"/>
        <w:spacing w:after="0" w:line="265" w:lineRule="auto"/>
        <w:tabs>
          <w:tab w:leader="none" w:pos="64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SECURITIES LAW COMPLIANCE. Notwithstanding anything to the contrary contained herein, you may not exercise your Option unless the shares of Common Stock issuable upon such exercise are then registered under the Securities Act or, if such shares of Common Stock are not then so registered, the Committee has determined that such exercise and issuance would be exempt from the registration requirements of the Securities Act. The exercise of your Option must also comply with other applicable laws and regulations governing your Option, and you may not exercise your Option if the Committee determines that such exercise would not be in material compliance with such laws and regulations.</w:t>
      </w:r>
    </w:p>
    <w:p>
      <w:pPr>
        <w:spacing w:after="0" w:line="179" w:lineRule="exact"/>
        <w:rPr>
          <w:rFonts w:ascii="Arial" w:cs="Arial" w:eastAsia="Arial" w:hAnsi="Arial"/>
          <w:sz w:val="17"/>
          <w:szCs w:val="17"/>
          <w:color w:val="auto"/>
        </w:rPr>
      </w:pPr>
    </w:p>
    <w:p>
      <w:pPr>
        <w:ind w:left="640" w:hanging="635"/>
        <w:spacing w:after="0"/>
        <w:tabs>
          <w:tab w:leader="none" w:pos="64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TERM. The term of your Option commences on the Grant Date and expires upon the EARLIEST of the following:</w:t>
      </w:r>
    </w:p>
    <w:p>
      <w:pPr>
        <w:spacing w:after="0" w:line="224" w:lineRule="exact"/>
        <w:rPr>
          <w:rFonts w:ascii="Arial" w:cs="Arial" w:eastAsia="Arial" w:hAnsi="Arial"/>
          <w:sz w:val="17"/>
          <w:szCs w:val="17"/>
          <w:color w:val="auto"/>
        </w:rPr>
      </w:pPr>
    </w:p>
    <w:p>
      <w:pPr>
        <w:ind w:right="20" w:firstLine="1263"/>
        <w:spacing w:after="0" w:line="268" w:lineRule="auto"/>
        <w:tabs>
          <w:tab w:leader="none" w:pos="1885" w:val="left"/>
        </w:tabs>
        <w:numPr>
          <w:ilvl w:val="1"/>
          <w:numId w:val="415"/>
        </w:numPr>
        <w:rPr>
          <w:rFonts w:ascii="Arial" w:cs="Arial" w:eastAsia="Arial" w:hAnsi="Arial"/>
          <w:sz w:val="17"/>
          <w:szCs w:val="17"/>
          <w:color w:val="auto"/>
        </w:rPr>
      </w:pPr>
      <w:r>
        <w:rPr>
          <w:rFonts w:ascii="Arial" w:cs="Arial" w:eastAsia="Arial" w:hAnsi="Arial"/>
          <w:sz w:val="17"/>
          <w:szCs w:val="17"/>
          <w:color w:val="auto"/>
        </w:rPr>
        <w:t>three months after the termination of your Continuous Service for any reason other than your Disability or death, provided that if during any part of such three month period your Option is not exercisable solely because of the condition set forth in the preceding paragraph relating to “Securities Law Compliance,” your Option will not expire until the earlier of the Expiration Date or until it has been exercisable for an aggregate period of three months after the termination of your Continuous Service;</w:t>
      </w:r>
    </w:p>
    <w:p>
      <w:pPr>
        <w:spacing w:after="0" w:line="175" w:lineRule="exact"/>
        <w:rPr>
          <w:rFonts w:ascii="Arial" w:cs="Arial" w:eastAsia="Arial" w:hAnsi="Arial"/>
          <w:sz w:val="17"/>
          <w:szCs w:val="17"/>
          <w:color w:val="auto"/>
        </w:rPr>
      </w:pPr>
    </w:p>
    <w:p>
      <w:pPr>
        <w:ind w:left="1900" w:hanging="637"/>
        <w:spacing w:after="0"/>
        <w:tabs>
          <w:tab w:leader="none" w:pos="1900" w:val="left"/>
        </w:tabs>
        <w:numPr>
          <w:ilvl w:val="1"/>
          <w:numId w:val="415"/>
        </w:numPr>
        <w:rPr>
          <w:rFonts w:ascii="Arial" w:cs="Arial" w:eastAsia="Arial" w:hAnsi="Arial"/>
          <w:sz w:val="17"/>
          <w:szCs w:val="17"/>
          <w:color w:val="auto"/>
        </w:rPr>
      </w:pPr>
      <w:r>
        <w:rPr>
          <w:rFonts w:ascii="Arial" w:cs="Arial" w:eastAsia="Arial" w:hAnsi="Arial"/>
          <w:sz w:val="17"/>
          <w:szCs w:val="17"/>
          <w:color w:val="auto"/>
        </w:rPr>
        <w:t>twelve months after the termination of your Continuous Service due to your Disability;</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415"/>
        </w:numPr>
        <w:rPr>
          <w:rFonts w:ascii="Arial" w:cs="Arial" w:eastAsia="Arial" w:hAnsi="Arial"/>
          <w:sz w:val="16"/>
          <w:szCs w:val="16"/>
          <w:color w:val="auto"/>
        </w:rPr>
      </w:pPr>
      <w:r>
        <w:rPr>
          <w:rFonts w:ascii="Arial" w:cs="Arial" w:eastAsia="Arial" w:hAnsi="Arial"/>
          <w:sz w:val="16"/>
          <w:szCs w:val="16"/>
          <w:color w:val="auto"/>
        </w:rPr>
        <w:t>twelve months after your death if you die either during your Continuous Service or within three months after your Continuous Service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terminates;</w:t>
      </w:r>
    </w:p>
    <w:p>
      <w:pPr>
        <w:spacing w:after="0" w:line="212" w:lineRule="exact"/>
        <w:rPr>
          <w:rFonts w:ascii="Arial" w:cs="Arial" w:eastAsia="Arial" w:hAnsi="Arial"/>
          <w:sz w:val="16"/>
          <w:szCs w:val="16"/>
          <w:color w:val="auto"/>
        </w:rPr>
      </w:pPr>
    </w:p>
    <w:p>
      <w:pPr>
        <w:ind w:left="1900" w:hanging="637"/>
        <w:spacing w:after="0"/>
        <w:tabs>
          <w:tab w:leader="none" w:pos="1900" w:val="left"/>
        </w:tabs>
        <w:numPr>
          <w:ilvl w:val="1"/>
          <w:numId w:val="415"/>
        </w:numPr>
        <w:rPr>
          <w:rFonts w:ascii="Arial" w:cs="Arial" w:eastAsia="Arial" w:hAnsi="Arial"/>
          <w:sz w:val="17"/>
          <w:szCs w:val="17"/>
          <w:color w:val="auto"/>
        </w:rPr>
      </w:pPr>
      <w:r>
        <w:rPr>
          <w:rFonts w:ascii="Arial" w:cs="Arial" w:eastAsia="Arial" w:hAnsi="Arial"/>
          <w:sz w:val="17"/>
          <w:szCs w:val="17"/>
          <w:color w:val="auto"/>
        </w:rPr>
        <w:t>the Expiration Date set forth in the schedule on the first page of this Agreement; or</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415"/>
        </w:numPr>
        <w:rPr>
          <w:rFonts w:ascii="Arial" w:cs="Arial" w:eastAsia="Arial" w:hAnsi="Arial"/>
          <w:sz w:val="17"/>
          <w:szCs w:val="17"/>
          <w:color w:val="auto"/>
        </w:rPr>
      </w:pPr>
      <w:r>
        <w:rPr>
          <w:rFonts w:ascii="Arial" w:cs="Arial" w:eastAsia="Arial" w:hAnsi="Arial"/>
          <w:sz w:val="17"/>
          <w:szCs w:val="17"/>
          <w:color w:val="auto"/>
        </w:rPr>
        <w:t>upon a forfeiture of the Option pursuant to the Plan or this Agreement.</w:t>
      </w:r>
    </w:p>
    <w:p>
      <w:pPr>
        <w:spacing w:after="0" w:line="224" w:lineRule="exact"/>
        <w:rPr>
          <w:sz w:val="20"/>
          <w:szCs w:val="20"/>
          <w:color w:val="auto"/>
        </w:rPr>
      </w:pPr>
    </w:p>
    <w:p>
      <w:pPr>
        <w:ind w:right="100" w:firstLine="629"/>
        <w:spacing w:after="0" w:line="303" w:lineRule="auto"/>
        <w:rPr>
          <w:sz w:val="20"/>
          <w:szCs w:val="20"/>
          <w:color w:val="auto"/>
        </w:rPr>
      </w:pPr>
      <w:r>
        <w:rPr>
          <w:rFonts w:ascii="Arial" w:cs="Arial" w:eastAsia="Arial" w:hAnsi="Arial"/>
          <w:sz w:val="15"/>
          <w:szCs w:val="15"/>
          <w:color w:val="auto"/>
        </w:rPr>
        <w:t>If your Option is an Incentive Stock Option, note that, to obtain the federal income tax advantages associated with an Incentive Stock Option, the Code requires (1) that at all times beginning on the Grant Date and ending on the day three months before the date of your Option’s exercise, you must be an employee of a Company Person, except in the event of your death or Disability; and (2) you may generally not dispose of shares of the Common Stock issued upon exercise of your Option within two years after the Grant Date of this Option or within one year after such shares of Common Stock are transferred upon exercise of your Option. The Company has provided for extended exercisability of your Option under certain circumstances for your benefit but there is no guarantee that your Option will necessarily be treated as an Incentive Stock Option if you exercise your Option more than three months after the date your employment terminates, except in the case of death or Disability, even if you continue to provide services to a Company Person as a consultant or director after your employment.</w:t>
      </w:r>
    </w:p>
    <w:p>
      <w:pPr>
        <w:sectPr>
          <w:pgSz w:w="11900" w:h="16838" w:orient="portrait"/>
          <w:cols w:equalWidth="0" w:num="1">
            <w:col w:w="11420"/>
          </w:cols>
          <w:pgMar w:left="240" w:top="127" w:right="239" w:bottom="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315" w:name="page316"/>
    <w:bookmarkEnd w:id="315"/>
    <w:p>
      <w:pPr>
        <w:ind w:left="640" w:hanging="635"/>
        <w:spacing w:after="0"/>
        <w:tabs>
          <w:tab w:leader="none" w:pos="64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EXERCISE.</w:t>
      </w:r>
    </w:p>
    <w:p>
      <w:pPr>
        <w:spacing w:after="0" w:line="224" w:lineRule="exact"/>
        <w:rPr>
          <w:sz w:val="20"/>
          <w:szCs w:val="20"/>
          <w:color w:val="auto"/>
        </w:rPr>
      </w:pPr>
    </w:p>
    <w:p>
      <w:pPr>
        <w:ind w:left="1880" w:hanging="617"/>
        <w:spacing w:after="0"/>
        <w:tabs>
          <w:tab w:leader="none" w:pos="1880" w:val="left"/>
        </w:tabs>
        <w:numPr>
          <w:ilvl w:val="0"/>
          <w:numId w:val="417"/>
        </w:numPr>
        <w:rPr>
          <w:rFonts w:ascii="Arial" w:cs="Arial" w:eastAsia="Arial" w:hAnsi="Arial"/>
          <w:sz w:val="16"/>
          <w:szCs w:val="16"/>
          <w:color w:val="auto"/>
        </w:rPr>
      </w:pPr>
      <w:r>
        <w:rPr>
          <w:rFonts w:ascii="Arial" w:cs="Arial" w:eastAsia="Arial" w:hAnsi="Arial"/>
          <w:sz w:val="16"/>
          <w:szCs w:val="16"/>
          <w:color w:val="auto"/>
        </w:rPr>
        <w:t>As a condition to the exercise of the Option or any portion thereof, you or any other person entitled to exercise the Option shall enter</w:t>
      </w:r>
    </w:p>
    <w:p>
      <w:pPr>
        <w:spacing w:after="0" w:line="38"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into a written joinder to the Shareholder’s Agreement dated on or about , as it may be hereafter amended. You may exercise the vested portion of your Option during its term by delivering a notice of exercise (in a form designated by the Company) together with the Purchase Price to the Secretary of the Company, or to such other person as the Company may designate, during regular business hours, together with such additional documents as the Company may then reasonably require, including a written joinder to the Shareholder’s Agreement as specified above.</w:t>
      </w:r>
    </w:p>
    <w:p>
      <w:pPr>
        <w:spacing w:after="0" w:line="180" w:lineRule="exact"/>
        <w:rPr>
          <w:sz w:val="20"/>
          <w:szCs w:val="20"/>
          <w:color w:val="auto"/>
        </w:rPr>
      </w:pPr>
    </w:p>
    <w:p>
      <w:pPr>
        <w:ind w:firstLine="1263"/>
        <w:spacing w:after="0" w:line="268" w:lineRule="auto"/>
        <w:tabs>
          <w:tab w:leader="none" w:pos="1895" w:val="left"/>
        </w:tabs>
        <w:numPr>
          <w:ilvl w:val="1"/>
          <w:numId w:val="418"/>
        </w:numPr>
        <w:rPr>
          <w:rFonts w:ascii="Arial" w:cs="Arial" w:eastAsia="Arial" w:hAnsi="Arial"/>
          <w:sz w:val="17"/>
          <w:szCs w:val="17"/>
          <w:color w:val="auto"/>
        </w:rPr>
      </w:pPr>
      <w:r>
        <w:rPr>
          <w:rFonts w:ascii="Arial" w:cs="Arial" w:eastAsia="Arial" w:hAnsi="Arial"/>
          <w:sz w:val="17"/>
          <w:szCs w:val="17"/>
          <w:color w:val="auto"/>
        </w:rPr>
        <w:t>By exercising your Option you agree that, as a condition to any exercise of your Option, the Company may require you to enter into an arrangement providing for the payment by you to the Company of any tax withholding obligation of the Company arising because of (1) the exercise of your Option, (2) the lapse of any substantial risk of forfeiture to which the shares of Common Stock are subject at the time of exercise, or (3) the disposition of shares of Common Stock acquired upon such exercise.</w:t>
      </w:r>
    </w:p>
    <w:p>
      <w:pPr>
        <w:spacing w:after="0" w:line="175" w:lineRule="exact"/>
        <w:rPr>
          <w:rFonts w:ascii="Arial" w:cs="Arial" w:eastAsia="Arial" w:hAnsi="Arial"/>
          <w:sz w:val="17"/>
          <w:szCs w:val="17"/>
          <w:color w:val="auto"/>
        </w:rPr>
      </w:pPr>
    </w:p>
    <w:p>
      <w:pPr>
        <w:ind w:right="20" w:firstLine="1263"/>
        <w:spacing w:after="0" w:line="273" w:lineRule="auto"/>
        <w:tabs>
          <w:tab w:leader="none" w:pos="1898" w:val="left"/>
        </w:tabs>
        <w:numPr>
          <w:ilvl w:val="1"/>
          <w:numId w:val="418"/>
        </w:numPr>
        <w:rPr>
          <w:rFonts w:ascii="Arial" w:cs="Arial" w:eastAsia="Arial" w:hAnsi="Arial"/>
          <w:sz w:val="17"/>
          <w:szCs w:val="17"/>
          <w:color w:val="auto"/>
        </w:rPr>
      </w:pPr>
      <w:r>
        <w:rPr>
          <w:rFonts w:ascii="Arial" w:cs="Arial" w:eastAsia="Arial" w:hAnsi="Arial"/>
          <w:sz w:val="17"/>
          <w:szCs w:val="17"/>
          <w:color w:val="auto"/>
        </w:rPr>
        <w:t>If your Option is an Incentive Stock Option, by exercising your Option you agree that you will notify the Company in writing within 15 days after the date of any disposition of any of the shares of the Common Stock issued upon exercise of your Option that occurs within two years after the Grant Date of this Option or within one year after such shares of Common Stock are transferred upon exercise of your Option.</w:t>
      </w:r>
    </w:p>
    <w:p>
      <w:pPr>
        <w:spacing w:after="0" w:line="171" w:lineRule="exact"/>
        <w:rPr>
          <w:rFonts w:ascii="Arial" w:cs="Arial" w:eastAsia="Arial" w:hAnsi="Arial"/>
          <w:sz w:val="17"/>
          <w:szCs w:val="17"/>
          <w:color w:val="auto"/>
        </w:rPr>
      </w:pPr>
    </w:p>
    <w:p>
      <w:pPr>
        <w:ind w:left="640" w:right="140" w:hanging="635"/>
        <w:spacing w:after="0" w:line="273" w:lineRule="auto"/>
        <w:tabs>
          <w:tab w:leader="none" w:pos="635" w:val="left"/>
        </w:tabs>
        <w:numPr>
          <w:ilvl w:val="0"/>
          <w:numId w:val="419"/>
        </w:numPr>
        <w:rPr>
          <w:rFonts w:ascii="Arial" w:cs="Arial" w:eastAsia="Arial" w:hAnsi="Arial"/>
          <w:sz w:val="17"/>
          <w:szCs w:val="17"/>
          <w:color w:val="auto"/>
        </w:rPr>
      </w:pPr>
      <w:r>
        <w:rPr>
          <w:rFonts w:ascii="Arial" w:cs="Arial" w:eastAsia="Arial" w:hAnsi="Arial"/>
          <w:sz w:val="17"/>
          <w:szCs w:val="17"/>
          <w:color w:val="auto"/>
        </w:rPr>
        <w:t>TRANSFERABILITY. Your Option is not transferable, except by will or by the laws of descent and distribution. If your Option is an Incentive Stock Option, it is exercisable during your life only by you. If it is a Nonqualified Stock Option, it is exercisable during your life only by you or your guardian or legal representative.</w:t>
      </w:r>
    </w:p>
    <w:p>
      <w:pPr>
        <w:spacing w:after="0" w:line="171" w:lineRule="exact"/>
        <w:rPr>
          <w:rFonts w:ascii="Arial" w:cs="Arial" w:eastAsia="Arial" w:hAnsi="Arial"/>
          <w:sz w:val="17"/>
          <w:szCs w:val="17"/>
          <w:color w:val="auto"/>
        </w:rPr>
      </w:pPr>
    </w:p>
    <w:p>
      <w:pPr>
        <w:ind w:left="640" w:right="20" w:hanging="635"/>
        <w:spacing w:after="0" w:line="268" w:lineRule="auto"/>
        <w:tabs>
          <w:tab w:leader="none" w:pos="629" w:val="left"/>
        </w:tabs>
        <w:numPr>
          <w:ilvl w:val="0"/>
          <w:numId w:val="419"/>
        </w:numPr>
        <w:rPr>
          <w:rFonts w:ascii="Arial" w:cs="Arial" w:eastAsia="Arial" w:hAnsi="Arial"/>
          <w:sz w:val="17"/>
          <w:szCs w:val="17"/>
          <w:color w:val="auto"/>
        </w:rPr>
      </w:pPr>
      <w:r>
        <w:rPr>
          <w:rFonts w:ascii="Arial" w:cs="Arial" w:eastAsia="Arial" w:hAnsi="Arial"/>
          <w:sz w:val="17"/>
          <w:szCs w:val="17"/>
          <w:color w:val="auto"/>
        </w:rPr>
        <w:t>OPTION NOT A SERVICE CONTRACT. Your Option is not an employment or service contract, and nothing in your Option shall be deemed to create in any way whatsoever any obligation on your part to continue in the employ or Continuous Service of a Company Person, or of any Company Person to continue your employment. In addition, nothing in your Option shall obligate any Company Person, its shareholders, boards of directors, officers or employees to continue any relationship that you might have as a director or consultant for any Company Person.</w:t>
      </w:r>
    </w:p>
    <w:p>
      <w:pPr>
        <w:spacing w:after="0" w:line="175" w:lineRule="exact"/>
        <w:rPr>
          <w:rFonts w:ascii="Arial" w:cs="Arial" w:eastAsia="Arial" w:hAnsi="Arial"/>
          <w:sz w:val="17"/>
          <w:szCs w:val="17"/>
          <w:color w:val="auto"/>
        </w:rPr>
      </w:pPr>
    </w:p>
    <w:p>
      <w:pPr>
        <w:ind w:left="620" w:hanging="615"/>
        <w:spacing w:after="0"/>
        <w:tabs>
          <w:tab w:leader="none" w:pos="620" w:val="left"/>
        </w:tabs>
        <w:numPr>
          <w:ilvl w:val="0"/>
          <w:numId w:val="419"/>
        </w:numPr>
        <w:rPr>
          <w:rFonts w:ascii="Arial" w:cs="Arial" w:eastAsia="Arial" w:hAnsi="Arial"/>
          <w:sz w:val="17"/>
          <w:szCs w:val="17"/>
          <w:color w:val="auto"/>
        </w:rPr>
      </w:pPr>
      <w:r>
        <w:rPr>
          <w:rFonts w:ascii="Arial" w:cs="Arial" w:eastAsia="Arial" w:hAnsi="Arial"/>
          <w:sz w:val="17"/>
          <w:szCs w:val="17"/>
          <w:color w:val="auto"/>
        </w:rPr>
        <w:t>WITHHOLDING OBLIGATIONS.</w:t>
      </w:r>
    </w:p>
    <w:p>
      <w:pPr>
        <w:spacing w:after="0" w:line="224" w:lineRule="exact"/>
        <w:rPr>
          <w:rFonts w:ascii="Arial" w:cs="Arial" w:eastAsia="Arial" w:hAnsi="Arial"/>
          <w:sz w:val="17"/>
          <w:szCs w:val="17"/>
          <w:color w:val="auto"/>
        </w:rPr>
      </w:pPr>
    </w:p>
    <w:p>
      <w:pPr>
        <w:ind w:right="60" w:firstLine="1263"/>
        <w:spacing w:after="0" w:line="265" w:lineRule="auto"/>
        <w:tabs>
          <w:tab w:leader="none" w:pos="1885" w:val="left"/>
        </w:tabs>
        <w:numPr>
          <w:ilvl w:val="1"/>
          <w:numId w:val="419"/>
        </w:numPr>
        <w:rPr>
          <w:rFonts w:ascii="Arial" w:cs="Arial" w:eastAsia="Arial" w:hAnsi="Arial"/>
          <w:sz w:val="17"/>
          <w:szCs w:val="17"/>
          <w:color w:val="auto"/>
        </w:rPr>
      </w:pPr>
      <w:r>
        <w:rPr>
          <w:rFonts w:ascii="Arial" w:cs="Arial" w:eastAsia="Arial" w:hAnsi="Arial"/>
          <w:sz w:val="17"/>
          <w:szCs w:val="17"/>
          <w:color w:val="auto"/>
        </w:rPr>
        <w:t>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of the Company or a Subsidiary, if any (but not in excess of the minimum withholding requirements), which arise in connection with your Option.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1263"/>
        <w:spacing w:after="0" w:line="261" w:lineRule="auto"/>
        <w:tabs>
          <w:tab w:leader="none" w:pos="1895" w:val="left"/>
        </w:tabs>
        <w:numPr>
          <w:ilvl w:val="1"/>
          <w:numId w:val="420"/>
        </w:numPr>
        <w:rPr>
          <w:rFonts w:ascii="Arial" w:cs="Arial" w:eastAsia="Arial" w:hAnsi="Arial"/>
          <w:sz w:val="17"/>
          <w:szCs w:val="17"/>
          <w:color w:val="auto"/>
        </w:rPr>
      </w:pPr>
      <w:r>
        <w:rPr>
          <w:rFonts w:ascii="Arial" w:cs="Arial" w:eastAsia="Arial" w:hAnsi="Arial"/>
          <w:sz w:val="17"/>
          <w:szCs w:val="17"/>
          <w:color w:val="auto"/>
        </w:rPr>
        <w:t>Upon your request and subject to approval by the Company, in its sole discretion, and compliance with any applicable conditions or restrictions of law, the Company may withhold from fully vested shares of Common Stock otherwise issuable to you upon the exercise of your Option a number of whole shares of Common Stock having a Fair Market Value, determined by the Committee as of the date of exercise, not in excess of the minimum amount of tax required to be withheld by law.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181" w:lineRule="exact"/>
        <w:rPr>
          <w:rFonts w:ascii="Arial" w:cs="Arial" w:eastAsia="Arial" w:hAnsi="Arial"/>
          <w:sz w:val="17"/>
          <w:szCs w:val="17"/>
          <w:color w:val="auto"/>
        </w:rPr>
      </w:pPr>
    </w:p>
    <w:p>
      <w:pPr>
        <w:ind w:right="220" w:firstLine="1263"/>
        <w:spacing w:after="0" w:line="273" w:lineRule="auto"/>
        <w:tabs>
          <w:tab w:leader="none" w:pos="1898" w:val="left"/>
        </w:tabs>
        <w:numPr>
          <w:ilvl w:val="1"/>
          <w:numId w:val="420"/>
        </w:numPr>
        <w:rPr>
          <w:rFonts w:ascii="Arial" w:cs="Arial" w:eastAsia="Arial" w:hAnsi="Arial"/>
          <w:sz w:val="17"/>
          <w:szCs w:val="17"/>
          <w:color w:val="auto"/>
        </w:rPr>
      </w:pPr>
      <w:r>
        <w:rPr>
          <w:rFonts w:ascii="Arial" w:cs="Arial" w:eastAsia="Arial" w:hAnsi="Arial"/>
          <w:sz w:val="17"/>
          <w:szCs w:val="17"/>
          <w:color w:val="auto"/>
        </w:rPr>
        <w:t>You may not exercise your Option unless the tax withholding obligations of the Company and/or any Affiliate are satisfied. Accordingly, you may not be able to exercise your Option when desired even though your Option is vested, and the Company shall have no obligation to issue a certificate for such shares of Common Stock or release such shares of Common Stock.</w:t>
      </w:r>
    </w:p>
    <w:p>
      <w:pPr>
        <w:spacing w:after="0" w:line="171" w:lineRule="exact"/>
        <w:rPr>
          <w:rFonts w:ascii="Arial" w:cs="Arial" w:eastAsia="Arial" w:hAnsi="Arial"/>
          <w:sz w:val="17"/>
          <w:szCs w:val="17"/>
          <w:color w:val="auto"/>
        </w:rPr>
      </w:pPr>
    </w:p>
    <w:p>
      <w:pPr>
        <w:ind w:left="620" w:hanging="615"/>
        <w:spacing w:after="0"/>
        <w:tabs>
          <w:tab w:leader="none" w:pos="620" w:val="left"/>
        </w:tabs>
        <w:numPr>
          <w:ilvl w:val="0"/>
          <w:numId w:val="421"/>
        </w:numPr>
        <w:rPr>
          <w:rFonts w:ascii="Arial" w:cs="Arial" w:eastAsia="Arial" w:hAnsi="Arial"/>
          <w:sz w:val="17"/>
          <w:szCs w:val="17"/>
          <w:color w:val="auto"/>
        </w:rPr>
      </w:pPr>
      <w:r>
        <w:rPr>
          <w:rFonts w:ascii="Arial" w:cs="Arial" w:eastAsia="Arial" w:hAnsi="Arial"/>
          <w:sz w:val="17"/>
          <w:szCs w:val="17"/>
          <w:color w:val="auto"/>
        </w:rPr>
        <w:t>FORFEITURE AND REPURCHASE OF OPTION SHARES</w:t>
      </w:r>
    </w:p>
    <w:p>
      <w:pPr>
        <w:spacing w:after="0" w:line="224" w:lineRule="exact"/>
        <w:rPr>
          <w:rFonts w:ascii="Arial" w:cs="Arial" w:eastAsia="Arial" w:hAnsi="Arial"/>
          <w:sz w:val="17"/>
          <w:szCs w:val="17"/>
          <w:color w:val="auto"/>
        </w:rPr>
      </w:pPr>
    </w:p>
    <w:p>
      <w:pPr>
        <w:ind w:right="20" w:firstLine="1263"/>
        <w:spacing w:after="0" w:line="262" w:lineRule="auto"/>
        <w:tabs>
          <w:tab w:leader="none" w:pos="1885" w:val="left"/>
        </w:tabs>
        <w:numPr>
          <w:ilvl w:val="1"/>
          <w:numId w:val="4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Forfeiture Event</w:t>
      </w:r>
      <w:r>
        <w:rPr>
          <w:rFonts w:ascii="Arial" w:cs="Arial" w:eastAsia="Arial" w:hAnsi="Arial"/>
          <w:sz w:val="17"/>
          <w:szCs w:val="17"/>
          <w:color w:val="auto"/>
        </w:rPr>
        <w:t>” means a serious breach of conduct by a Participant (including, without limitation, any conduct prejudicial to or in conflict with any Company Person) or any activity of a Participant who is an Employee in competition with any of the businesses of any Company Person during a time period of nine (9) months after termination of Participant’s Service, or a termination of employment for Cause. Said activity in competition includes activity during a time period of nine (9) months after termination of Participant’s Service in which the Employee (i) works, performs work for hire, consults, is self employed or otherwise employed, either directly or indirectly, in a business competing with or acting against any Company Person’s interest; or (ii) causes or solicits others to work, performs work for hire, consults, or be self employed or otherwise employed, either directly or indirectly, in a business competing with or acting against any Company Person’s interest. The determination of whether a Forfeiture Event has occurred will be determined by the Committee in good faith and in its sole discretion.</w:t>
      </w:r>
    </w:p>
    <w:p>
      <w:pPr>
        <w:spacing w:after="0" w:line="180" w:lineRule="exact"/>
        <w:rPr>
          <w:rFonts w:ascii="Arial" w:cs="Arial" w:eastAsia="Arial" w:hAnsi="Arial"/>
          <w:sz w:val="17"/>
          <w:szCs w:val="17"/>
          <w:color w:val="auto"/>
        </w:rPr>
      </w:pPr>
    </w:p>
    <w:p>
      <w:pPr>
        <w:ind w:right="60" w:firstLine="1263"/>
        <w:spacing w:after="0" w:line="273" w:lineRule="auto"/>
        <w:tabs>
          <w:tab w:leader="none" w:pos="1895" w:val="left"/>
        </w:tabs>
        <w:numPr>
          <w:ilvl w:val="1"/>
          <w:numId w:val="421"/>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xml:space="preserve">. If a Forfeiture Event occurs, the Committee may cancel any outstanding Award granted to such Participant, in whole or in part, whether or not vested. Such cancellation will be effective as of the date specified by the Committee. This </w:t>
      </w:r>
      <w:r>
        <w:rPr>
          <w:rFonts w:ascii="Arial" w:cs="Arial" w:eastAsia="Arial" w:hAnsi="Arial"/>
          <w:sz w:val="17"/>
          <w:szCs w:val="17"/>
          <w:u w:val="single" w:color="auto"/>
          <w:color w:val="auto"/>
        </w:rPr>
        <w:t>Section 13(b)</w:t>
      </w:r>
      <w:r>
        <w:rPr>
          <w:rFonts w:ascii="Arial" w:cs="Arial" w:eastAsia="Arial" w:hAnsi="Arial"/>
          <w:sz w:val="17"/>
          <w:szCs w:val="17"/>
          <w:color w:val="auto"/>
        </w:rPr>
        <w:t xml:space="preserve"> will have no application following a Change of Control.</w:t>
      </w:r>
    </w:p>
    <w:p>
      <w:pPr>
        <w:spacing w:after="0" w:line="171" w:lineRule="exact"/>
        <w:rPr>
          <w:rFonts w:ascii="Arial" w:cs="Arial" w:eastAsia="Arial" w:hAnsi="Arial"/>
          <w:sz w:val="17"/>
          <w:szCs w:val="17"/>
          <w:color w:val="auto"/>
        </w:rPr>
      </w:pPr>
    </w:p>
    <w:p>
      <w:pPr>
        <w:ind w:right="100" w:firstLine="1263"/>
        <w:spacing w:after="0" w:line="273" w:lineRule="auto"/>
        <w:tabs>
          <w:tab w:leader="none" w:pos="1898" w:val="left"/>
        </w:tabs>
        <w:numPr>
          <w:ilvl w:val="1"/>
          <w:numId w:val="421"/>
        </w:numPr>
        <w:rPr>
          <w:rFonts w:ascii="Arial" w:cs="Arial" w:eastAsia="Arial" w:hAnsi="Arial"/>
          <w:sz w:val="17"/>
          <w:szCs w:val="17"/>
          <w:color w:val="auto"/>
        </w:rPr>
      </w:pPr>
      <w:r>
        <w:rPr>
          <w:rFonts w:ascii="Arial" w:cs="Arial" w:eastAsia="Arial" w:hAnsi="Arial"/>
          <w:sz w:val="17"/>
          <w:szCs w:val="17"/>
          <w:u w:val="single" w:color="auto"/>
          <w:color w:val="auto"/>
        </w:rPr>
        <w:t>Repurchase of Option Shares</w:t>
      </w:r>
      <w:r>
        <w:rPr>
          <w:rFonts w:ascii="Arial" w:cs="Arial" w:eastAsia="Arial" w:hAnsi="Arial"/>
          <w:sz w:val="17"/>
          <w:szCs w:val="17"/>
          <w:color w:val="auto"/>
        </w:rPr>
        <w:t>. If a Forfeiture Event occurs, the Company shall have the absolute right to purchase all or any portion of the Option Shares owned by such Employee (the “</w:t>
      </w:r>
      <w:r>
        <w:rPr>
          <w:rFonts w:ascii="Arial" w:cs="Arial" w:eastAsia="Arial" w:hAnsi="Arial"/>
          <w:sz w:val="17"/>
          <w:szCs w:val="17"/>
          <w:b w:val="1"/>
          <w:bCs w:val="1"/>
          <w:i w:val="1"/>
          <w:iCs w:val="1"/>
          <w:color w:val="auto"/>
        </w:rPr>
        <w:t>Repurchase Shares</w:t>
      </w:r>
      <w:r>
        <w:rPr>
          <w:rFonts w:ascii="Arial" w:cs="Arial" w:eastAsia="Arial" w:hAnsi="Arial"/>
          <w:sz w:val="17"/>
          <w:szCs w:val="17"/>
          <w:color w:val="auto"/>
        </w:rPr>
        <w:t>”), by electing to purchase all or any portion of the Repurchase Shares any time during a time period of nine (9) months after the Forfeiture Event 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573" w:right="239" w:bottom="337" w:gutter="0" w:footer="0" w:header="0"/>
        </w:sectPr>
      </w:pPr>
    </w:p>
    <w:bookmarkStart w:id="316" w:name="page317"/>
    <w:bookmarkEnd w:id="316"/>
    <w:p>
      <w:pPr>
        <w:ind w:right="20"/>
        <w:spacing w:after="0" w:line="262" w:lineRule="auto"/>
        <w:rPr>
          <w:sz w:val="20"/>
          <w:szCs w:val="20"/>
          <w:color w:val="auto"/>
        </w:rPr>
      </w:pPr>
      <w:r>
        <w:rPr>
          <w:rFonts w:ascii="Arial" w:cs="Arial" w:eastAsia="Arial" w:hAnsi="Arial"/>
          <w:sz w:val="17"/>
          <w:szCs w:val="17"/>
          <w:color w:val="auto"/>
        </w:rPr>
        <w:t>termination of Participant’s Service, whichever is later, by giving written notice of such exercise to the Employee. The purchase price per share of the Repurchase Shares shall be the Fair Market Value of such shares. If the Company elects to purchase any or all of such Repurchase Shares, it shall be obligated to purchase, and the Employee shall be obligated to sell to the Company, such Repurchase Shares and said sale and purchase shall be closed within 30 days thereafter at the offices of the Company. Such sale shall be effected by the Employee’s (or heirs’ or legal representatives’) delivery to the Company and/or other purchasing shareholders of a certificate or certificates evidencing the Repurchased Shares, duly endorsed for transfer to the Company and/or other purchasing shareholders, against payment to the Employee (or his or her heirs or legal representatives) by the Company and/or other purchasing shareholders of the Purchase Price for each Repurchased Share.</w:t>
      </w:r>
    </w:p>
    <w:p>
      <w:pPr>
        <w:spacing w:after="0" w:line="184" w:lineRule="exact"/>
        <w:rPr>
          <w:sz w:val="20"/>
          <w:szCs w:val="20"/>
          <w:color w:val="auto"/>
        </w:rPr>
      </w:pPr>
    </w:p>
    <w:p>
      <w:pPr>
        <w:ind w:left="640" w:right="100" w:hanging="635"/>
        <w:spacing w:after="0" w:line="273" w:lineRule="auto"/>
        <w:tabs>
          <w:tab w:leader="none" w:pos="635" w:val="left"/>
        </w:tabs>
        <w:numPr>
          <w:ilvl w:val="0"/>
          <w:numId w:val="422"/>
        </w:numPr>
        <w:rPr>
          <w:rFonts w:ascii="Arial" w:cs="Arial" w:eastAsia="Arial" w:hAnsi="Arial"/>
          <w:sz w:val="17"/>
          <w:szCs w:val="17"/>
          <w:color w:val="auto"/>
        </w:rPr>
      </w:pPr>
      <w:r>
        <w:rPr>
          <w:rFonts w:ascii="Arial" w:cs="Arial" w:eastAsia="Arial" w:hAnsi="Arial"/>
          <w:sz w:val="17"/>
          <w:szCs w:val="17"/>
          <w:color w:val="auto"/>
        </w:rPr>
        <w:t>NOTICES. Any notices provided for in this Agreement or the Plan shall be given in writing and shall be deemed effectively given upon receipt or, in the case of notices delivered by mail by the Company to you, five days after deposit in the United States mail, postage prepaid, addressed to you at the last address you provided to the Company.</w:t>
      </w:r>
    </w:p>
    <w:p>
      <w:pPr>
        <w:spacing w:after="0" w:line="171" w:lineRule="exact"/>
        <w:rPr>
          <w:rFonts w:ascii="Arial" w:cs="Arial" w:eastAsia="Arial" w:hAnsi="Arial"/>
          <w:sz w:val="17"/>
          <w:szCs w:val="17"/>
          <w:color w:val="auto"/>
        </w:rPr>
      </w:pPr>
    </w:p>
    <w:p>
      <w:pPr>
        <w:ind w:left="640" w:hanging="635"/>
        <w:spacing w:after="0" w:line="298" w:lineRule="auto"/>
        <w:tabs>
          <w:tab w:leader="none" w:pos="635" w:val="left"/>
        </w:tabs>
        <w:numPr>
          <w:ilvl w:val="0"/>
          <w:numId w:val="422"/>
        </w:numPr>
        <w:rPr>
          <w:rFonts w:ascii="Arial" w:cs="Arial" w:eastAsia="Arial" w:hAnsi="Arial"/>
          <w:sz w:val="16"/>
          <w:szCs w:val="16"/>
          <w:color w:val="auto"/>
        </w:rPr>
      </w:pPr>
      <w:r>
        <w:rPr>
          <w:rFonts w:ascii="Arial" w:cs="Arial" w:eastAsia="Arial" w:hAnsi="Arial"/>
          <w:sz w:val="16"/>
          <w:szCs w:val="16"/>
          <w:color w:val="auto"/>
        </w:rPr>
        <w:t>GOVERNING PLAN DOCUMENT. Your Option is subject to all the provisions of the Plan, the provisions of which are hereby made a part of your Option, and is further subject to all interpretations, amendments, rules and regulations which may from time to time be promulgated and adopted pursuant to the Plan. If there is any conflict between the provisions of this Agreement and those of the Plan, the provisions of the Plan shall control.</w:t>
      </w:r>
    </w:p>
    <w:p>
      <w:pPr>
        <w:spacing w:after="0" w:line="153"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IN WITNESS WHEREOF, the parties hereto have executed this Agreement as of the Grant Date.</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APPLIED OPTOELECTRONICS, INC.</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-123190</wp:posOffset>
            </wp:positionV>
            <wp:extent cx="314642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9525</wp:posOffset>
            </wp:positionV>
            <wp:extent cx="314642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146425" cy="8255"/>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-123190</wp:posOffset>
            </wp:positionV>
            <wp:extent cx="314642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ACCEPTED AND AGREED TO:</w:t>
      </w:r>
    </w:p>
    <w:p>
      <w:pPr>
        <w:spacing w:after="0" w:line="224"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314642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By executing this Agreement, you acknowledge receipt of a copy of the Plan.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17" w:name="page318"/>
    <w:bookmarkEnd w:id="317"/>
    <w:p>
      <w:pPr>
        <w:jc w:val="right"/>
        <w:spacing w:after="0"/>
        <w:rPr>
          <w:sz w:val="20"/>
          <w:szCs w:val="20"/>
          <w:color w:val="auto"/>
        </w:rPr>
      </w:pPr>
      <w:r>
        <w:rPr>
          <w:rFonts w:ascii="Arial" w:cs="Arial" w:eastAsia="Arial" w:hAnsi="Arial"/>
          <w:sz w:val="17"/>
          <w:szCs w:val="17"/>
          <w:b w:val="1"/>
          <w:bCs w:val="1"/>
          <w:color w:val="auto"/>
        </w:rPr>
        <w:t>Exhibit 10.5</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2006 INCENTIVE SHARE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220345</wp:posOffset>
            </wp:positionV>
            <wp:extent cx="182308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ARTICLE 1</w:t>
      </w:r>
    </w:p>
    <w:p>
      <w:pPr>
        <w:spacing w:after="0" w:line="32" w:lineRule="exact"/>
        <w:rPr>
          <w:sz w:val="20"/>
          <w:szCs w:val="20"/>
          <w:color w:val="auto"/>
        </w:rPr>
      </w:pPr>
    </w:p>
    <w:p>
      <w:pPr>
        <w:ind w:left="5300"/>
        <w:spacing w:after="0"/>
        <w:rPr>
          <w:sz w:val="20"/>
          <w:szCs w:val="20"/>
          <w:color w:val="auto"/>
        </w:rPr>
      </w:pPr>
      <w:r>
        <w:rPr>
          <w:rFonts w:ascii="Arial" w:cs="Arial" w:eastAsia="Arial" w:hAnsi="Arial"/>
          <w:sz w:val="17"/>
          <w:szCs w:val="17"/>
          <w:b w:val="1"/>
          <w:bCs w:val="1"/>
          <w:color w:val="auto"/>
        </w:rPr>
        <w:t>PURPOSE</w:t>
      </w:r>
    </w:p>
    <w:p>
      <w:pPr>
        <w:spacing w:after="0" w:line="212" w:lineRule="exact"/>
        <w:rPr>
          <w:sz w:val="20"/>
          <w:szCs w:val="20"/>
          <w:color w:val="auto"/>
        </w:rPr>
      </w:pPr>
    </w:p>
    <w:p>
      <w:pPr>
        <w:ind w:right="120" w:firstLine="629"/>
        <w:spacing w:after="0" w:line="265" w:lineRule="auto"/>
        <w:rPr>
          <w:sz w:val="20"/>
          <w:szCs w:val="20"/>
          <w:color w:val="auto"/>
        </w:rPr>
      </w:pPr>
      <w:r>
        <w:rPr>
          <w:rFonts w:ascii="Arial" w:cs="Arial" w:eastAsia="Arial" w:hAnsi="Arial"/>
          <w:sz w:val="17"/>
          <w:szCs w:val="17"/>
          <w:color w:val="auto"/>
        </w:rPr>
        <w:t>The purpose of the Applied Optoelectronics, Inc. 2006 Incentive Share Plan (the “</w:t>
      </w:r>
      <w:r>
        <w:rPr>
          <w:rFonts w:ascii="Arial" w:cs="Arial" w:eastAsia="Arial" w:hAnsi="Arial"/>
          <w:sz w:val="17"/>
          <w:szCs w:val="17"/>
          <w:i w:val="1"/>
          <w:iCs w:val="1"/>
          <w:color w:val="auto"/>
        </w:rPr>
        <w:t>Plan</w:t>
      </w:r>
      <w:r>
        <w:rPr>
          <w:rFonts w:ascii="Arial" w:cs="Arial" w:eastAsia="Arial" w:hAnsi="Arial"/>
          <w:sz w:val="17"/>
          <w:szCs w:val="17"/>
          <w:color w:val="auto"/>
        </w:rPr>
        <w:t>”) is to advance the interests of Applied Optoelectronics, Inc. (the “</w:t>
      </w:r>
      <w:r>
        <w:rPr>
          <w:rFonts w:ascii="Arial" w:cs="Arial" w:eastAsia="Arial" w:hAnsi="Arial"/>
          <w:sz w:val="17"/>
          <w:szCs w:val="17"/>
          <w:i w:val="1"/>
          <w:iCs w:val="1"/>
          <w:color w:val="auto"/>
        </w:rPr>
        <w:t>Company</w:t>
      </w:r>
      <w:r>
        <w:rPr>
          <w:rFonts w:ascii="Arial" w:cs="Arial" w:eastAsia="Arial" w:hAnsi="Arial"/>
          <w:sz w:val="17"/>
          <w:szCs w:val="17"/>
          <w:color w:val="auto"/>
        </w:rPr>
        <w:t>”) and its shareholders by enabling the Company and each of its Subsidiaries (as hereinafter defined) to (A) provide share ownership opportunities to certain of their key employees to participate in the Company’s growth and (B) enhance their ability to attract and retain individuals of superior managerial or technical ability and to motivate employees, consultants, independent contractors, agents, and other persons to exert their best efforts towards future progress and profitability of the Company.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used in this Plan, the following terms shall have the meanings set forth below unless the context otherwise requires:</w:t>
      </w:r>
    </w:p>
    <w:p>
      <w:pPr>
        <w:spacing w:after="0" w:line="224"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i w:val="1"/>
          <w:iCs w:val="1"/>
          <w:color w:val="auto"/>
        </w:rPr>
        <w:t>“Award”</w:t>
      </w:r>
      <w:r>
        <w:rPr>
          <w:rFonts w:ascii="Arial" w:cs="Arial" w:eastAsia="Arial" w:hAnsi="Arial"/>
          <w:sz w:val="17"/>
          <w:szCs w:val="17"/>
          <w:color w:val="auto"/>
        </w:rPr>
        <w:t xml:space="preserve"> shall mean the grant of a Stock Option, a Stock Appreciation Right, Restricted Stock, a Performance Award, or any other grant of incentive compensation pursuant to this Plan.</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6"/>
          <w:szCs w:val="16"/>
          <w:i w:val="1"/>
          <w:iCs w:val="1"/>
          <w:color w:val="auto"/>
        </w:rPr>
        <w:t xml:space="preserve">“Board” </w:t>
      </w:r>
      <w:r>
        <w:rPr>
          <w:rFonts w:ascii="Arial" w:cs="Arial" w:eastAsia="Arial" w:hAnsi="Arial"/>
          <w:sz w:val="16"/>
          <w:szCs w:val="16"/>
          <w:color w:val="auto"/>
        </w:rPr>
        <w:t>shall mean the Board of Directors of the Company, as the same may be constituted from time to time.</w:t>
      </w:r>
    </w:p>
    <w:p>
      <w:pPr>
        <w:spacing w:after="0" w:line="224"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i w:val="1"/>
          <w:iCs w:val="1"/>
          <w:color w:val="auto"/>
        </w:rPr>
        <w:t>“Cause”</w:t>
      </w:r>
      <w:r>
        <w:rPr>
          <w:rFonts w:ascii="Arial" w:cs="Arial" w:eastAsia="Arial" w:hAnsi="Arial"/>
          <w:sz w:val="17"/>
          <w:szCs w:val="17"/>
          <w:color w:val="auto"/>
        </w:rPr>
        <w:t xml:space="preserve"> shall mean (i) “Cause” as that term may be defined in any written employment agreement between a participant and the company or a subsidiary which may at any time be in effect, (ii) in the absence of such a definition in a then-effective written employment agreement (in the determination of the Board), “Cause” as that term may be defined in any Award agreement under this Plan, or (iii) in the absence of such a definition in a then-effective written employment agreement (in the determination of the Board) or in an award agreement under the plan, termination of a Participant’s employment with the Company or a Subsidiary upon the occurrence of one or more of the following events:</w:t>
      </w:r>
    </w:p>
    <w:p>
      <w:pPr>
        <w:spacing w:after="0" w:line="179" w:lineRule="exact"/>
        <w:rPr>
          <w:sz w:val="20"/>
          <w:szCs w:val="20"/>
          <w:color w:val="auto"/>
        </w:rPr>
      </w:pPr>
    </w:p>
    <w:p>
      <w:pPr>
        <w:ind w:left="640" w:right="620"/>
        <w:spacing w:after="0" w:line="289" w:lineRule="auto"/>
        <w:rPr>
          <w:sz w:val="20"/>
          <w:szCs w:val="20"/>
          <w:color w:val="auto"/>
        </w:rPr>
      </w:pPr>
      <w:r>
        <w:rPr>
          <w:rFonts w:ascii="Arial" w:cs="Arial" w:eastAsia="Arial" w:hAnsi="Arial"/>
          <w:sz w:val="17"/>
          <w:szCs w:val="17"/>
          <w:color w:val="auto"/>
        </w:rPr>
        <w:t>The Participant’s failure to substantially perform such Participant’s duties with the Company or any Subsidiary as determined by the Board or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120"/>
        <w:spacing w:after="0" w:line="289" w:lineRule="auto"/>
        <w:rPr>
          <w:sz w:val="20"/>
          <w:szCs w:val="20"/>
          <w:color w:val="auto"/>
        </w:rPr>
      </w:pPr>
      <w:r>
        <w:rPr>
          <w:rFonts w:ascii="Arial" w:cs="Arial" w:eastAsia="Arial" w:hAnsi="Arial"/>
          <w:sz w:val="17"/>
          <w:szCs w:val="17"/>
          <w:color w:val="auto"/>
        </w:rPr>
        <w:t>The Participant’s willful failure or refusal to perform specific directives of the Board or the Company, which directives are consistent with the scope and nature of the Participant’s duties and responsibilities;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Participant’s conviction of a felony; or</w:t>
      </w:r>
    </w:p>
    <w:p>
      <w:pPr>
        <w:spacing w:after="0" w:line="224" w:lineRule="exact"/>
        <w:rPr>
          <w:sz w:val="20"/>
          <w:szCs w:val="20"/>
          <w:color w:val="auto"/>
        </w:rPr>
      </w:pPr>
    </w:p>
    <w:p>
      <w:pPr>
        <w:ind w:left="640" w:right="120"/>
        <w:spacing w:after="0" w:line="268" w:lineRule="auto"/>
        <w:rPr>
          <w:sz w:val="20"/>
          <w:szCs w:val="20"/>
          <w:color w:val="auto"/>
        </w:rPr>
      </w:pPr>
      <w:r>
        <w:rPr>
          <w:rFonts w:ascii="Arial" w:cs="Arial" w:eastAsia="Arial" w:hAnsi="Arial"/>
          <w:sz w:val="17"/>
          <w:szCs w:val="17"/>
          <w:color w:val="auto"/>
        </w:rPr>
        <w:t>A breach of the Participant’s fiduciary duty to the Company or any Subsidiary or willful violation in the course of performing the Participant’s duties for the Company or any Subsidiary of any policy, rule, or directive of the Company or any Subsidiary, or of any law, rule or regulation (other than traffic violations or other minor offenses). No act or failure to act on the Participant’s part shall be considered willful unless done or omitted to be done in bad faith and without reasonable belief that the action or omission was in the best interest of the Company.</w:t>
      </w:r>
    </w:p>
    <w:p>
      <w:pPr>
        <w:spacing w:after="0" w:line="176" w:lineRule="exact"/>
        <w:rPr>
          <w:sz w:val="20"/>
          <w:szCs w:val="20"/>
          <w:color w:val="auto"/>
        </w:rPr>
      </w:pPr>
    </w:p>
    <w:p>
      <w:pPr>
        <w:ind w:firstLine="629"/>
        <w:spacing w:after="0" w:line="293"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i w:val="1"/>
          <w:iCs w:val="1"/>
          <w:color w:val="auto"/>
        </w:rPr>
        <w:t>“Change in Control”</w:t>
      </w:r>
      <w:r>
        <w:rPr>
          <w:rFonts w:ascii="Arial" w:cs="Arial" w:eastAsia="Arial" w:hAnsi="Arial"/>
          <w:sz w:val="15"/>
          <w:szCs w:val="15"/>
          <w:color w:val="auto"/>
        </w:rPr>
        <w:t xml:space="preserve"> has the meaning given such term in the applicable Award agreement or, if not defined therein, shall as of the Effective Date mean, after the effective date of this Plan stated in </w:t>
      </w:r>
      <w:r>
        <w:rPr>
          <w:rFonts w:ascii="Arial" w:cs="Arial" w:eastAsia="Arial" w:hAnsi="Arial"/>
          <w:sz w:val="15"/>
          <w:szCs w:val="15"/>
          <w:u w:val="single" w:color="auto"/>
          <w:color w:val="auto"/>
        </w:rPr>
        <w:t>Subsection 1.2</w:t>
      </w:r>
      <w:r>
        <w:rPr>
          <w:rFonts w:ascii="Arial" w:cs="Arial" w:eastAsia="Arial" w:hAnsi="Arial"/>
          <w:sz w:val="15"/>
          <w:szCs w:val="15"/>
          <w:color w:val="auto"/>
        </w:rPr>
        <w:t>, (i) the occurrence of an event of a nature that would be required to be reported by the Company in response to Item 1 of a Current Report on Form 8-K (or any successor to such form), whether or not the Company is, in fact, required to report on such form, promulgated pursuant to the Exchange Act; provided that, without limitation, such a Change in Control shall be deemed to have occurred if (a) any Person or group (as defined in the Exchange Act), other than (A) the Company, (B) a wholly-owned Subsidiary, (C) any employee benefit plan (including, without limitation, an employee stock ownership plan) adopted by the Company or any wholly-owned Subsidiary or (D) any trustee or other fiduciary holding securities under any employee benefit plan adopted by the Company or any Subsidiary, becomes the “beneficial owner” (as defined in Rule 13d-3 (or any successor to such rule) promulgated under the Exchange Act), directly or indirectly, of securities of the Company representing fifty percent (50%) or more of the combined voting power of the Company’s then outstanding securities or (b) during any period of twenty-four (24) months, individuals who at the beginning of such period constitute the Board cease for any reason to constitute at least a majority thereof, unless the election by the Board or the nomination for election by the Company’s shareholders was approved by a vote of at least two-thirds (2/3) of the directors then still in office who either were directors at the beginning of such twenty-four</w:t>
      </w:r>
    </w:p>
    <w:p>
      <w:pPr>
        <w:spacing w:after="0" w:line="3" w:lineRule="exact"/>
        <w:rPr>
          <w:sz w:val="20"/>
          <w:szCs w:val="20"/>
          <w:color w:val="auto"/>
        </w:rPr>
      </w:pPr>
    </w:p>
    <w:p>
      <w:pPr>
        <w:ind w:right="20" w:firstLine="5"/>
        <w:spacing w:after="0" w:line="260" w:lineRule="auto"/>
        <w:tabs>
          <w:tab w:leader="none" w:pos="335" w:val="left"/>
        </w:tabs>
        <w:numPr>
          <w:ilvl w:val="0"/>
          <w:numId w:val="423"/>
        </w:numPr>
        <w:rPr>
          <w:rFonts w:ascii="Arial" w:cs="Arial" w:eastAsia="Arial" w:hAnsi="Arial"/>
          <w:sz w:val="17"/>
          <w:szCs w:val="17"/>
          <w:color w:val="auto"/>
        </w:rPr>
      </w:pPr>
      <w:r>
        <w:rPr>
          <w:rFonts w:ascii="Arial" w:cs="Arial" w:eastAsia="Arial" w:hAnsi="Arial"/>
          <w:sz w:val="17"/>
          <w:szCs w:val="17"/>
          <w:color w:val="auto"/>
        </w:rPr>
        <w:t>month period or whose election or nomination for election was previously so approved; (ii) a Corporate Transaction is consummated, other than a Corporate Transaction that would result in substantially all of the holders of voting securities of the Company outstanding immediately prior thereto owning (directly or indirectly and in substantially the same proportions relative to each other) not less than fifty percent (50%) of the combined voting power of the voting securities of the issuing/surviving/resulting entity outstanding immediately after such Corporate Transaction; or (iii) an agreement for the sale or other disposition of all or substantially all of the Company’s assets (evaluated on a consolidated basis, without regard to whether the sale or disposition is effected via a sale or disposition of assets of the Company, the sale or disposition of the securities of one or more Subsidiaries or the sale or disposition of the assets of one or more Subsidiaries) is consummated.</w:t>
      </w:r>
    </w:p>
    <w:p>
      <w:pPr>
        <w:spacing w:after="0" w:line="18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i w:val="1"/>
          <w:iCs w:val="1"/>
          <w:color w:val="auto"/>
        </w:rPr>
        <w:t xml:space="preserve">“Code” </w:t>
      </w:r>
      <w:r>
        <w:rPr>
          <w:rFonts w:ascii="Arial" w:cs="Arial" w:eastAsia="Arial" w:hAnsi="Arial"/>
          <w:sz w:val="15"/>
          <w:szCs w:val="15"/>
          <w:color w:val="auto"/>
        </w:rPr>
        <w:t>shall mean the Internal Revenue Code of 1986, as amended from time to time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(or any successor to such legislation).</w:t>
      </w:r>
    </w:p>
    <w:p>
      <w:pPr>
        <w:sectPr>
          <w:pgSz w:w="11900" w:h="16838" w:orient="portrait"/>
          <w:cols w:equalWidth="0" w:num="1">
            <w:col w:w="11420"/>
          </w:cols>
          <w:pgMar w:left="240" w:top="357" w:right="239" w:bottom="0" w:gutter="0" w:footer="0" w:header="0"/>
        </w:sectPr>
      </w:pPr>
    </w:p>
    <w:bookmarkStart w:id="318" w:name="page319"/>
    <w:bookmarkEnd w:id="318"/>
    <w:p>
      <w:pPr>
        <w:spacing w:after="0" w:line="32"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shall mean the Compensation Committee of the Board as such Compensation Committee may be constituted from time to time pursuant to the terms of the Compensation Committee Charter of the Board which may at any time be in effect, of if no such charter is in effect, pursuant to such policies and procedures as the Board may from time to time establish. While the common stock of the Company is publicly traded, membership on the Committee shall be limited to Directors who (i) meet the independence requirements of the exchange upon which such Shares are traded and any other regulatory requirements, (ii) qualify as “Non-Employee Directors” (as that term is defined in Rule 16b-3 (or any successor to such rule) promulgated under the Exchange Act), and (iii) satisfy the requirements of an “outside director,” for purposes of Section 162(m) of the Code and such Treasury regulations as may be promulgated thereunder. Once appointed by the Board, members of the Committee, shall, except for any period of suspension, hold office until their successors are duly elected and qualified or until their earlier resignation, removal or death. Membership in the Committee shall be subject to the rotation policy set forth in the Company’s corporate governance guidelines. All members of the Committee will serve at the pleasure of the Board. Notwithstanding the foregoing, if the composition of the Committee does not comply with the foregoing provisions of this Subsection, the entire Board shall constitute the Committee until such time as a proper Committee is appointed in accordance with the foregoing provisions of this Subsection.</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6"/>
          <w:szCs w:val="16"/>
          <w:i w:val="1"/>
          <w:iCs w:val="1"/>
          <w:color w:val="auto"/>
        </w:rPr>
        <w:t xml:space="preserve">“Company” </w:t>
      </w:r>
      <w:r>
        <w:rPr>
          <w:rFonts w:ascii="Arial" w:cs="Arial" w:eastAsia="Arial" w:hAnsi="Arial"/>
          <w:sz w:val="16"/>
          <w:szCs w:val="16"/>
          <w:color w:val="auto"/>
        </w:rPr>
        <w:t>shall mean Applied Optoelectronics, Inc., a Texas corporation.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5"/>
          <w:szCs w:val="15"/>
          <w:i w:val="1"/>
          <w:iCs w:val="1"/>
          <w:color w:val="auto"/>
        </w:rPr>
        <w:t xml:space="preserve">“Consultant” </w:t>
      </w:r>
      <w:r>
        <w:rPr>
          <w:rFonts w:ascii="Arial" w:cs="Arial" w:eastAsia="Arial" w:hAnsi="Arial"/>
          <w:sz w:val="15"/>
          <w:szCs w:val="15"/>
          <w:color w:val="auto"/>
        </w:rPr>
        <w:t>shall mean any Person who or which is engaged by the Company or any Subsidiary to render services as a consultant or advisor.</w:t>
      </w:r>
    </w:p>
    <w:p>
      <w:pPr>
        <w:spacing w:after="0" w:line="224" w:lineRule="exact"/>
        <w:rPr>
          <w:sz w:val="20"/>
          <w:szCs w:val="20"/>
          <w:color w:val="auto"/>
        </w:rPr>
      </w:pPr>
    </w:p>
    <w:p>
      <w:pPr>
        <w:ind w:right="540" w:firstLine="629"/>
        <w:spacing w:after="0" w:line="289"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i w:val="1"/>
          <w:iCs w:val="1"/>
          <w:color w:val="auto"/>
        </w:rPr>
        <w:t>“Corporate Transaction”</w:t>
      </w:r>
      <w:r>
        <w:rPr>
          <w:rFonts w:ascii="Arial" w:cs="Arial" w:eastAsia="Arial" w:hAnsi="Arial"/>
          <w:sz w:val="17"/>
          <w:szCs w:val="17"/>
          <w:color w:val="auto"/>
        </w:rPr>
        <w:t xml:space="preserve"> shall mean any reorganization, merger, consolidation or conversion involving the Company or any exchange of securities involving Shares, other than a Recapitalization.</w:t>
      </w:r>
    </w:p>
    <w:p>
      <w:pPr>
        <w:spacing w:after="0" w:line="158" w:lineRule="exact"/>
        <w:rPr>
          <w:sz w:val="20"/>
          <w:szCs w:val="20"/>
          <w:color w:val="auto"/>
        </w:rPr>
      </w:pPr>
    </w:p>
    <w:p>
      <w:pPr>
        <w:ind w:right="380" w:firstLine="629"/>
        <w:spacing w:after="0" w:line="273"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i w:val="1"/>
          <w:iCs w:val="1"/>
          <w:color w:val="auto"/>
        </w:rPr>
        <w:t>“Designated Beneficiary”</w:t>
      </w:r>
      <w:r>
        <w:rPr>
          <w:rFonts w:ascii="Arial" w:cs="Arial" w:eastAsia="Arial" w:hAnsi="Arial"/>
          <w:sz w:val="17"/>
          <w:szCs w:val="17"/>
          <w:color w:val="auto"/>
        </w:rPr>
        <w:t xml:space="preserve"> shall mean the beneficiary designated by a Participant, in a manner authorized by the Committee or the Board, to exercise the rights of such Participant in the event of such Participant’s death. In the absence of an effective designation by a Participant, the Designated Beneficiary shall be such Participant’s estate.</w:t>
      </w:r>
    </w:p>
    <w:p>
      <w:pPr>
        <w:spacing w:after="0" w:line="172" w:lineRule="exact"/>
        <w:rPr>
          <w:sz w:val="20"/>
          <w:szCs w:val="20"/>
          <w:color w:val="auto"/>
        </w:rPr>
      </w:pPr>
    </w:p>
    <w:p>
      <w:pPr>
        <w:ind w:right="40" w:firstLine="629"/>
        <w:spacing w:after="0" w:line="262"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i w:val="1"/>
          <w:iCs w:val="1"/>
          <w:color w:val="auto"/>
        </w:rPr>
        <w:t>“Disability”</w:t>
      </w:r>
      <w:r>
        <w:rPr>
          <w:rFonts w:ascii="Arial" w:cs="Arial" w:eastAsia="Arial" w:hAnsi="Arial"/>
          <w:sz w:val="17"/>
          <w:szCs w:val="17"/>
          <w:color w:val="auto"/>
        </w:rPr>
        <w:t xml:space="preserve"> shall mean the “disability” of a person as defined in a then effective long-term disability plan maintained by the Company that covers such person, or if such a plan does not exist at any relevant time, “Disability” means the permanent and total disability of a person within the meaning of Section 22(e)(3) of the Code. For purposes of determining the time during which an Incentive Stock Option may be exercised under the terms of an Award Agreement, “Disability” means the permanent and total disability of a person within the meaning of Section 22(e)(3) of the Code. Section 22(e)(3) of the Code provides that an individual is totally and permanently disabled if he is unable to engage in any substantial gainful activity by reason of any medically determinable physical or mental impairment which can be expected to result in death or which has lasted or can be expected to last for a continuous period of not less than twelve (12) months.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Effective Date</w:t>
      </w:r>
      <w:r>
        <w:rPr>
          <w:rFonts w:ascii="Arial" w:cs="Arial" w:eastAsia="Arial" w:hAnsi="Arial"/>
          <w:sz w:val="15"/>
          <w:szCs w:val="15"/>
          <w:color w:val="auto"/>
        </w:rPr>
        <w:t>” shall mean September 15, 2006</w:t>
      </w:r>
      <w:r>
        <w:rPr>
          <w:rFonts w:ascii="Arial" w:cs="Arial" w:eastAsia="Arial" w:hAnsi="Arial"/>
          <w:sz w:val="15"/>
          <w:szCs w:val="15"/>
          <w:b w:val="1"/>
          <w:bCs w:val="1"/>
          <w:color w:val="auto"/>
        </w:rPr>
        <w:t>.</w:t>
      </w:r>
    </w:p>
    <w:p>
      <w:pPr>
        <w:spacing w:after="0" w:line="230"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i w:val="1"/>
          <w:iCs w:val="1"/>
          <w:color w:val="auto"/>
        </w:rPr>
        <w:t>“Employee</w:t>
      </w:r>
      <w:r>
        <w:rPr>
          <w:rFonts w:ascii="Arial" w:cs="Arial" w:eastAsia="Arial" w:hAnsi="Arial"/>
          <w:sz w:val="17"/>
          <w:szCs w:val="17"/>
          <w:color w:val="auto"/>
        </w:rPr>
        <w:t>” shall mean any person, including an officer of the Company or a Subsidiary, within the meaning of Section 16 of the Exchange Act (whether or not the Company is subject to the Exchange Act), or Director, who is employed, within the meaning of Section 3401 of the Code, by the Company or a Subsidiary. The provision of compensation by the Company or a Subsidiary to a Director solely with respect to such individual rendering services in the capacity of a Director, however, shall not be sufficient to constitute “employment” by the Company or that Subsidiary.</w:t>
      </w:r>
    </w:p>
    <w:p>
      <w:pPr>
        <w:spacing w:after="0" w:line="17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2.14</w:t>
      </w:r>
      <w:r>
        <w:rPr>
          <w:sz w:val="20"/>
          <w:szCs w:val="20"/>
          <w:color w:val="auto"/>
        </w:rPr>
        <w:tab/>
      </w:r>
      <w:r>
        <w:rPr>
          <w:rFonts w:ascii="Arial" w:cs="Arial" w:eastAsia="Arial" w:hAnsi="Arial"/>
          <w:sz w:val="15"/>
          <w:szCs w:val="15"/>
          <w:i w:val="1"/>
          <w:iCs w:val="1"/>
          <w:color w:val="auto"/>
        </w:rPr>
        <w:t xml:space="preserve">“Exchange Act” </w:t>
      </w:r>
      <w:r>
        <w:rPr>
          <w:rFonts w:ascii="Arial" w:cs="Arial" w:eastAsia="Arial" w:hAnsi="Arial"/>
          <w:sz w:val="15"/>
          <w:szCs w:val="15"/>
          <w:color w:val="auto"/>
        </w:rPr>
        <w:t>shall mean the Securities Exchange Act of 1934, as amended from time to time (or any successor to such legislation).</w:t>
      </w:r>
    </w:p>
    <w:p>
      <w:pPr>
        <w:spacing w:after="0" w:line="224" w:lineRule="exact"/>
        <w:rPr>
          <w:sz w:val="20"/>
          <w:szCs w:val="20"/>
          <w:color w:val="auto"/>
        </w:rPr>
      </w:pPr>
    </w:p>
    <w:p>
      <w:pPr>
        <w:jc w:val="both"/>
        <w:ind w:right="60" w:firstLine="629"/>
        <w:spacing w:after="0" w:line="295" w:lineRule="auto"/>
        <w:rPr>
          <w:sz w:val="20"/>
          <w:szCs w:val="20"/>
          <w:color w:val="auto"/>
        </w:rPr>
      </w:pPr>
      <w:r>
        <w:rPr>
          <w:rFonts w:ascii="Arial" w:cs="Arial" w:eastAsia="Arial" w:hAnsi="Arial"/>
          <w:sz w:val="15"/>
          <w:szCs w:val="15"/>
          <w:color w:val="auto"/>
        </w:rPr>
        <w:t xml:space="preserve">2.15 </w:t>
      </w:r>
      <w:r>
        <w:rPr>
          <w:rFonts w:ascii="Arial" w:cs="Arial" w:eastAsia="Arial" w:hAnsi="Arial"/>
          <w:sz w:val="15"/>
          <w:szCs w:val="15"/>
          <w:i w:val="1"/>
          <w:iCs w:val="1"/>
          <w:color w:val="auto"/>
        </w:rPr>
        <w:t>“Fair Market Value”</w:t>
      </w:r>
      <w:r>
        <w:rPr>
          <w:rFonts w:ascii="Arial" w:cs="Arial" w:eastAsia="Arial" w:hAnsi="Arial"/>
          <w:sz w:val="15"/>
          <w:szCs w:val="15"/>
          <w:color w:val="auto"/>
        </w:rPr>
        <w:t xml:space="preserve"> shall mean with respect to the Shares, as of any date, (i) if the Shares are listed or admitted to trade on a national securities exchange, the closing price of the Shares on the composite tape, as published in the </w:t>
      </w:r>
      <w:r>
        <w:rPr>
          <w:rFonts w:ascii="Arial" w:cs="Arial" w:eastAsia="Arial" w:hAnsi="Arial"/>
          <w:sz w:val="15"/>
          <w:szCs w:val="15"/>
          <w:i w:val="1"/>
          <w:iCs w:val="1"/>
          <w:color w:val="auto"/>
        </w:rPr>
        <w:t>Wall Street Journal</w:t>
      </w:r>
      <w:r>
        <w:rPr>
          <w:rFonts w:ascii="Arial" w:cs="Arial" w:eastAsia="Arial" w:hAnsi="Arial"/>
          <w:sz w:val="15"/>
          <w:szCs w:val="15"/>
          <w:color w:val="auto"/>
        </w:rPr>
        <w:t xml:space="preserve"> or such other source as the Committee or the Board deems reliable, of the principal national securities exchange on which the Shares are so listed or admitted to trade, on such date or, if there is no trading in Shares on such date, then the closing price of the Shares as quoted on such composite tape on the next preceding date on which there was trading in such Shares; (ii) if the Shares are not listed or admitted to trade on a national securities exchange, then the closing price of the Shares as quoted on the National Market System of the NASD;</w:t>
      </w:r>
    </w:p>
    <w:p>
      <w:pPr>
        <w:spacing w:after="0" w:line="1" w:lineRule="exact"/>
        <w:rPr>
          <w:sz w:val="20"/>
          <w:szCs w:val="20"/>
          <w:color w:val="auto"/>
        </w:rPr>
      </w:pPr>
    </w:p>
    <w:p>
      <w:pPr>
        <w:ind w:right="180" w:firstLine="5"/>
        <w:spacing w:after="0" w:line="261" w:lineRule="auto"/>
        <w:tabs>
          <w:tab w:leader="none" w:pos="306" w:val="left"/>
        </w:tabs>
        <w:numPr>
          <w:ilvl w:val="0"/>
          <w:numId w:val="424"/>
        </w:numPr>
        <w:rPr>
          <w:rFonts w:ascii="Arial" w:cs="Arial" w:eastAsia="Arial" w:hAnsi="Arial"/>
          <w:sz w:val="17"/>
          <w:szCs w:val="17"/>
          <w:color w:val="auto"/>
        </w:rPr>
      </w:pPr>
      <w:r>
        <w:rPr>
          <w:rFonts w:ascii="Arial" w:cs="Arial" w:eastAsia="Arial" w:hAnsi="Arial"/>
          <w:sz w:val="17"/>
          <w:szCs w:val="17"/>
          <w:color w:val="auto"/>
        </w:rPr>
        <w:t>if the Shares are not listed or admitted to trade on a national securities exchange or the National Market System of the NASD, the mean between the bid and asked price for the Shares on such date, as furnished by the NASD through NASDAQ or a similar organization if NASDAQ is no longer reporting such information; or (iv) if the Shares are not listed or admitted to trade on a national securities exchange or the National Market System of the NASD and if bid and asked prices for the Shares are not so furnished by the NASD or a similar organization, the value established by the Board, determined without regard to any restriction other than a restriction which, by its terms, will never lapse.</w:t>
      </w:r>
    </w:p>
    <w:p>
      <w:pPr>
        <w:spacing w:after="0" w:line="184"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i w:val="1"/>
          <w:iCs w:val="1"/>
          <w:color w:val="auto"/>
        </w:rPr>
        <w:t>“Incentive Stock Option”</w:t>
      </w:r>
      <w:r>
        <w:rPr>
          <w:rFonts w:ascii="Arial" w:cs="Arial" w:eastAsia="Arial" w:hAnsi="Arial"/>
          <w:sz w:val="17"/>
          <w:szCs w:val="17"/>
          <w:color w:val="auto"/>
        </w:rPr>
        <w:t xml:space="preserve"> shall mean any option to purchase Shares awarded pursuant to this Plan which qualifies as an “Incentive Stock Option” pursuant to Section 422 of the Code.</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2.17</w:t>
      </w:r>
      <w:r>
        <w:rPr>
          <w:sz w:val="20"/>
          <w:szCs w:val="20"/>
          <w:color w:val="auto"/>
        </w:rPr>
        <w:tab/>
      </w:r>
      <w:r>
        <w:rPr>
          <w:rFonts w:ascii="Arial" w:cs="Arial" w:eastAsia="Arial" w:hAnsi="Arial"/>
          <w:sz w:val="16"/>
          <w:szCs w:val="16"/>
          <w:i w:val="1"/>
          <w:iCs w:val="1"/>
          <w:color w:val="auto"/>
        </w:rPr>
        <w:t xml:space="preserve">“NASD” </w:t>
      </w:r>
      <w:r>
        <w:rPr>
          <w:rFonts w:ascii="Arial" w:cs="Arial" w:eastAsia="Arial" w:hAnsi="Arial"/>
          <w:sz w:val="16"/>
          <w:szCs w:val="16"/>
          <w:color w:val="auto"/>
        </w:rPr>
        <w:t>shall mean the National Association of Securities Dealers, Inc.</w:t>
      </w:r>
    </w:p>
    <w:p>
      <w:pPr>
        <w:spacing w:after="0" w:line="224"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i w:val="1"/>
          <w:iCs w:val="1"/>
          <w:color w:val="auto"/>
        </w:rPr>
        <w:t>“Non-Qualified Stock Option”</w:t>
      </w:r>
      <w:r>
        <w:rPr>
          <w:rFonts w:ascii="Arial" w:cs="Arial" w:eastAsia="Arial" w:hAnsi="Arial"/>
          <w:sz w:val="17"/>
          <w:szCs w:val="17"/>
          <w:color w:val="auto"/>
        </w:rPr>
        <w:t xml:space="preserve"> shall mean any option to purchase Shares awarded pursuant to this Plan that does not qualify as an Incentive Stock Option (including, without limitation, any option to purchase Shares originally designated as or intended to qualify as an Incentive Stock Option but which does not (for whatever reason) qualify as an Incentive Stock Option).</w:t>
      </w:r>
    </w:p>
    <w:p>
      <w:pPr>
        <w:spacing w:after="0" w:line="17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2.19</w:t>
      </w:r>
      <w:r>
        <w:rPr>
          <w:sz w:val="20"/>
          <w:szCs w:val="20"/>
          <w:color w:val="auto"/>
        </w:rPr>
        <w:tab/>
      </w:r>
      <w:r>
        <w:rPr>
          <w:rFonts w:ascii="Arial" w:cs="Arial" w:eastAsia="Arial" w:hAnsi="Arial"/>
          <w:sz w:val="15"/>
          <w:szCs w:val="15"/>
          <w:i w:val="1"/>
          <w:iCs w:val="1"/>
          <w:color w:val="auto"/>
        </w:rPr>
        <w:t xml:space="preserve">“Optionee” </w:t>
      </w:r>
      <w:r>
        <w:rPr>
          <w:rFonts w:ascii="Arial" w:cs="Arial" w:eastAsia="Arial" w:hAnsi="Arial"/>
          <w:sz w:val="15"/>
          <w:szCs w:val="15"/>
          <w:color w:val="auto"/>
        </w:rPr>
        <w:t>shall mean any Participant who has been granted and holds a Stock Option awarded pursuant to this Plan.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2.20</w:t>
      </w:r>
      <w:r>
        <w:rPr>
          <w:sz w:val="20"/>
          <w:szCs w:val="20"/>
          <w:color w:val="auto"/>
        </w:rPr>
        <w:tab/>
      </w:r>
      <w:r>
        <w:rPr>
          <w:rFonts w:ascii="Arial" w:cs="Arial" w:eastAsia="Arial" w:hAnsi="Arial"/>
          <w:sz w:val="15"/>
          <w:szCs w:val="15"/>
          <w:i w:val="1"/>
          <w:iCs w:val="1"/>
          <w:color w:val="auto"/>
        </w:rPr>
        <w:t xml:space="preserve">“Participant” </w:t>
      </w:r>
      <w:r>
        <w:rPr>
          <w:rFonts w:ascii="Arial" w:cs="Arial" w:eastAsia="Arial" w:hAnsi="Arial"/>
          <w:sz w:val="15"/>
          <w:szCs w:val="15"/>
          <w:color w:val="auto"/>
        </w:rPr>
        <w:t>shall mean any Person who has been granted and holds an Award granted pursuant to this Plan.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firstLine="629"/>
        <w:spacing w:after="0" w:line="273"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i w:val="1"/>
          <w:iCs w:val="1"/>
          <w:color w:val="auto"/>
        </w:rPr>
        <w:t>“Performance Award”</w:t>
      </w:r>
      <w:r>
        <w:rPr>
          <w:rFonts w:ascii="Arial" w:cs="Arial" w:eastAsia="Arial" w:hAnsi="Arial"/>
          <w:sz w:val="17"/>
          <w:szCs w:val="17"/>
          <w:color w:val="auto"/>
        </w:rPr>
        <w:t xml:space="preserve"> shall mean any Award granted pursuant to this Plan of Shares, rights based upon, payable in or otherwise related to Shares (including Restricted Stock) or cash, as the Committee may determine, at the end of a specified Performance Period established by the Committee or the Board and may include without limitation performance shares, performance units or cash awards.</w:t>
      </w:r>
    </w:p>
    <w:p>
      <w:pPr>
        <w:spacing w:after="0" w:line="172"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i w:val="1"/>
          <w:iCs w:val="1"/>
          <w:color w:val="auto"/>
        </w:rPr>
        <w:t>“Performance Goals”</w:t>
      </w:r>
      <w:r>
        <w:rPr>
          <w:rFonts w:ascii="Arial" w:cs="Arial" w:eastAsia="Arial" w:hAnsi="Arial"/>
          <w:sz w:val="17"/>
          <w:szCs w:val="17"/>
          <w:color w:val="auto"/>
        </w:rPr>
        <w:t xml:space="preserve"> shall mean with respect to a Performance Measure selected by the Committee, the specific target that must be met before a Performance Award subject to section 162(m) of the Code will be payable to the recipient of the Award.</w:t>
      </w:r>
    </w:p>
    <w:p>
      <w:pPr>
        <w:sectPr>
          <w:pgSz w:w="11900" w:h="16871" w:orient="portrait"/>
          <w:cols w:equalWidth="0" w:num="1">
            <w:col w:w="11420"/>
          </w:cols>
          <w:pgMar w:left="240" w:top="127" w:right="239" w:bottom="0" w:gutter="0" w:footer="0" w:header="0"/>
        </w:sectPr>
      </w:pPr>
    </w:p>
    <w:bookmarkStart w:id="319" w:name="page320"/>
    <w:bookmarkEnd w:id="319"/>
    <w:p>
      <w:pPr>
        <w:ind w:right="40" w:firstLine="629"/>
        <w:spacing w:after="0" w:line="273"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i w:val="1"/>
          <w:iCs w:val="1"/>
          <w:color w:val="auto"/>
        </w:rPr>
        <w:t>“Performance Measures”</w:t>
      </w:r>
      <w:r>
        <w:rPr>
          <w:rFonts w:ascii="Arial" w:cs="Arial" w:eastAsia="Arial" w:hAnsi="Arial"/>
          <w:sz w:val="17"/>
          <w:szCs w:val="17"/>
          <w:color w:val="auto"/>
        </w:rPr>
        <w:t xml:space="preserve"> shall mean each of the business criteria the Company may use in establishing a Performance Goal. For purposes of the Plan, Performance Measures are limited to earnings per share; return on assets; return on equity; return on capital; net profit after taxes; net profit before taxes; operating profits; stock price; sales or expenses; or other business criteria established by the Board.</w:t>
      </w:r>
    </w:p>
    <w:p>
      <w:pPr>
        <w:spacing w:after="0" w:line="172"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 xml:space="preserve">2.24 </w:t>
      </w:r>
      <w:r>
        <w:rPr>
          <w:rFonts w:ascii="Arial" w:cs="Arial" w:eastAsia="Arial" w:hAnsi="Arial"/>
          <w:sz w:val="17"/>
          <w:szCs w:val="17"/>
          <w:i w:val="1"/>
          <w:iCs w:val="1"/>
          <w:color w:val="auto"/>
        </w:rPr>
        <w:t>“Performance Period”</w:t>
      </w:r>
      <w:r>
        <w:rPr>
          <w:rFonts w:ascii="Arial" w:cs="Arial" w:eastAsia="Arial" w:hAnsi="Arial"/>
          <w:sz w:val="17"/>
          <w:szCs w:val="17"/>
          <w:color w:val="auto"/>
        </w:rPr>
        <w:t xml:space="preserve"> shall mean the period established by the Committee at the time any Award is granted or at any time thereafter over which a Performance Goal specified by the Committee with respect to such Award will be measured.</w:t>
      </w:r>
    </w:p>
    <w:p>
      <w:pPr>
        <w:spacing w:after="0" w:line="158" w:lineRule="exact"/>
        <w:rPr>
          <w:sz w:val="20"/>
          <w:szCs w:val="20"/>
          <w:color w:val="auto"/>
        </w:rPr>
      </w:pPr>
    </w:p>
    <w:p>
      <w:pPr>
        <w:ind w:right="20" w:firstLine="629"/>
        <w:spacing w:after="0" w:line="279" w:lineRule="auto"/>
        <w:rPr>
          <w:sz w:val="20"/>
          <w:szCs w:val="20"/>
          <w:color w:val="auto"/>
        </w:rPr>
      </w:pPr>
      <w:r>
        <w:rPr>
          <w:rFonts w:ascii="Arial" w:cs="Arial" w:eastAsia="Arial" w:hAnsi="Arial"/>
          <w:sz w:val="16"/>
          <w:szCs w:val="16"/>
          <w:color w:val="auto"/>
        </w:rPr>
        <w:t>2.25 “</w:t>
      </w:r>
      <w:r>
        <w:rPr>
          <w:rFonts w:ascii="Arial" w:cs="Arial" w:eastAsia="Arial" w:hAnsi="Arial"/>
          <w:sz w:val="16"/>
          <w:szCs w:val="16"/>
          <w:i w:val="1"/>
          <w:iCs w:val="1"/>
          <w:color w:val="auto"/>
        </w:rPr>
        <w:t>Permitted Modification</w:t>
      </w:r>
      <w:r>
        <w:rPr>
          <w:rFonts w:ascii="Arial" w:cs="Arial" w:eastAsia="Arial" w:hAnsi="Arial"/>
          <w:sz w:val="16"/>
          <w:szCs w:val="16"/>
          <w:color w:val="auto"/>
        </w:rPr>
        <w:t>” shall be deemed to be any modification of an Award which is made in connection with a Corporate Transaction and which provides (i) in connection with a Stock Option, that subsequent to the consummation of the Corporate Transaction (A) the exercise price of such Stock Option will be proportionately adjusted to reflect the exchange ratio applicable to the particular Corporate Transaction and/or (B) the nature and amount of consideration to be received upon exercise of the Stock Option will be the same (on a per share basis) as was received by Persons who were holders of Shares immediately prior to the consummation of the Corporate Transaction, (ii) in connection with a Stock Appreciation Right, that subsequent to the consummation of the Corporate Transaction (A) the base price of such Stock Appreciation Right will be proportionately adjusted to reflect the exchange ratio applicable to the particular Corporate Transaction and/or (B) the benefits to be received by the holder of such Stock Appreciation Right will be measured based upon the nature and amount of consideration received (on a per share basis) by Persons who were holders of Shares immediately prior to the consummation of the Corporate Transaction, or (iii) for a modification expressly provided for in this Plan or in an Award agreement.</w:t>
      </w:r>
    </w:p>
    <w:p>
      <w:pPr>
        <w:spacing w:after="0" w:line="173" w:lineRule="exact"/>
        <w:rPr>
          <w:sz w:val="20"/>
          <w:szCs w:val="20"/>
          <w:color w:val="auto"/>
        </w:rPr>
      </w:pPr>
    </w:p>
    <w:p>
      <w:pPr>
        <w:ind w:right="740" w:firstLine="629"/>
        <w:spacing w:after="0" w:line="289" w:lineRule="auto"/>
        <w:rPr>
          <w:sz w:val="20"/>
          <w:szCs w:val="20"/>
          <w:color w:val="auto"/>
        </w:rPr>
      </w:pPr>
      <w:r>
        <w:rPr>
          <w:rFonts w:ascii="Arial" w:cs="Arial" w:eastAsia="Arial" w:hAnsi="Arial"/>
          <w:sz w:val="17"/>
          <w:szCs w:val="17"/>
          <w:color w:val="auto"/>
        </w:rPr>
        <w:t>2.26 “</w:t>
      </w:r>
      <w:r>
        <w:rPr>
          <w:rFonts w:ascii="Arial" w:cs="Arial" w:eastAsia="Arial" w:hAnsi="Arial"/>
          <w:sz w:val="17"/>
          <w:szCs w:val="17"/>
          <w:i w:val="1"/>
          <w:iCs w:val="1"/>
          <w:color w:val="auto"/>
        </w:rPr>
        <w:t>Person</w:t>
      </w:r>
      <w:r>
        <w:rPr>
          <w:rFonts w:ascii="Arial" w:cs="Arial" w:eastAsia="Arial" w:hAnsi="Arial"/>
          <w:sz w:val="17"/>
          <w:szCs w:val="17"/>
          <w:color w:val="auto"/>
        </w:rPr>
        <w:t>” shall mean an individual, partnership, limited liability company, corporation, joint stock company, trust, estate, joint venture, association or unincorporated organization or any other form of business organization.</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2.27</w:t>
      </w:r>
      <w:r>
        <w:rPr>
          <w:sz w:val="20"/>
          <w:szCs w:val="20"/>
          <w:color w:val="auto"/>
        </w:rPr>
        <w:tab/>
      </w:r>
      <w:r>
        <w:rPr>
          <w:rFonts w:ascii="Arial" w:cs="Arial" w:eastAsia="Arial" w:hAnsi="Arial"/>
          <w:sz w:val="15"/>
          <w:szCs w:val="15"/>
          <w:i w:val="1"/>
          <w:iCs w:val="1"/>
          <w:color w:val="auto"/>
        </w:rPr>
        <w:t xml:space="preserve">“Plan” </w:t>
      </w:r>
      <w:r>
        <w:rPr>
          <w:rFonts w:ascii="Arial" w:cs="Arial" w:eastAsia="Arial" w:hAnsi="Arial"/>
          <w:sz w:val="15"/>
          <w:szCs w:val="15"/>
          <w:color w:val="auto"/>
        </w:rPr>
        <w:t>shall mean this Applied Optoelectronics, Inc. 2006 Incentive Share Plan as set out in this document and as it may be amended from time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to time.</w:t>
      </w:r>
    </w:p>
    <w:p>
      <w:pPr>
        <w:spacing w:after="0" w:line="21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2.28</w:t>
      </w:r>
      <w:r>
        <w:rPr>
          <w:sz w:val="20"/>
          <w:szCs w:val="20"/>
          <w:color w:val="auto"/>
        </w:rPr>
        <w:tab/>
      </w:r>
      <w:r>
        <w:rPr>
          <w:rFonts w:ascii="Arial" w:cs="Arial" w:eastAsia="Arial" w:hAnsi="Arial"/>
          <w:sz w:val="16"/>
          <w:szCs w:val="16"/>
          <w:i w:val="1"/>
          <w:iCs w:val="1"/>
          <w:color w:val="auto"/>
        </w:rPr>
        <w:t xml:space="preserve">“Reload Option” </w:t>
      </w:r>
      <w:r>
        <w:rPr>
          <w:rFonts w:ascii="Arial" w:cs="Arial" w:eastAsia="Arial" w:hAnsi="Arial"/>
          <w:sz w:val="16"/>
          <w:szCs w:val="16"/>
          <w:color w:val="auto"/>
        </w:rPr>
        <w:t>shall mean a Stock Option as defined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Subsection 6.6(b)</w:t>
      </w:r>
      <w:r>
        <w:rPr>
          <w:rFonts w:ascii="Arial" w:cs="Arial" w:eastAsia="Arial" w:hAnsi="Arial"/>
          <w:sz w:val="16"/>
          <w:szCs w:val="16"/>
          <w:i w:val="1"/>
          <w:iCs w:val="1"/>
          <w:color w:val="auto"/>
        </w:rPr>
        <w:t xml:space="preserve"> </w:t>
      </w:r>
      <w:r>
        <w:rPr>
          <w:rFonts w:ascii="Arial" w:cs="Arial" w:eastAsia="Arial" w:hAnsi="Arial"/>
          <w:sz w:val="16"/>
          <w:szCs w:val="16"/>
          <w:color w:val="auto"/>
        </w:rPr>
        <w:t>of this Plan.</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2.29 “</w:t>
      </w:r>
      <w:r>
        <w:rPr>
          <w:rFonts w:ascii="Arial" w:cs="Arial" w:eastAsia="Arial" w:hAnsi="Arial"/>
          <w:sz w:val="17"/>
          <w:szCs w:val="17"/>
          <w:i w:val="1"/>
          <w:iCs w:val="1"/>
          <w:color w:val="auto"/>
        </w:rPr>
        <w:t>Recapitalization</w:t>
      </w:r>
      <w:r>
        <w:rPr>
          <w:rFonts w:ascii="Arial" w:cs="Arial" w:eastAsia="Arial" w:hAnsi="Arial"/>
          <w:sz w:val="17"/>
          <w:szCs w:val="17"/>
          <w:color w:val="auto"/>
        </w:rPr>
        <w:t>” shall mean any stock split, stock dividend, reverse stock split, combination or subdivision of Shares or any other similar increase or decrease in the number of Shares issued and outstanding, without the Company receiving consideration therefor in money, services, or property (other than securities issued by the Company).</w:t>
      </w:r>
    </w:p>
    <w:p>
      <w:pPr>
        <w:spacing w:after="0" w:line="17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2.30</w:t>
      </w:r>
      <w:r>
        <w:rPr>
          <w:sz w:val="20"/>
          <w:szCs w:val="20"/>
          <w:color w:val="auto"/>
        </w:rPr>
        <w:tab/>
      </w:r>
      <w:r>
        <w:rPr>
          <w:rFonts w:ascii="Arial" w:cs="Arial" w:eastAsia="Arial" w:hAnsi="Arial"/>
          <w:sz w:val="15"/>
          <w:szCs w:val="15"/>
          <w:i w:val="1"/>
          <w:iCs w:val="1"/>
          <w:color w:val="auto"/>
        </w:rPr>
        <w:t xml:space="preserve">“Restricted Stock” </w:t>
      </w:r>
      <w:r>
        <w:rPr>
          <w:rFonts w:ascii="Arial" w:cs="Arial" w:eastAsia="Arial" w:hAnsi="Arial"/>
          <w:sz w:val="15"/>
          <w:szCs w:val="15"/>
          <w:color w:val="auto"/>
        </w:rPr>
        <w:t>shall mean any Shares granted pursuant to this Plan that are subject to restrictions or substantial risk of forfeiture.</w:t>
      </w:r>
    </w:p>
    <w:p>
      <w:pPr>
        <w:spacing w:after="0" w:line="224" w:lineRule="exact"/>
        <w:rPr>
          <w:sz w:val="20"/>
          <w:szCs w:val="20"/>
          <w:color w:val="auto"/>
        </w:rPr>
      </w:pPr>
    </w:p>
    <w:p>
      <w:pPr>
        <w:ind w:right="580" w:firstLine="629"/>
        <w:spacing w:after="0" w:line="289"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i w:val="1"/>
          <w:iCs w:val="1"/>
          <w:color w:val="auto"/>
        </w:rPr>
        <w:t>“Retirement”</w:t>
      </w:r>
      <w:r>
        <w:rPr>
          <w:rFonts w:ascii="Arial" w:cs="Arial" w:eastAsia="Arial" w:hAnsi="Arial"/>
          <w:sz w:val="17"/>
          <w:szCs w:val="17"/>
          <w:color w:val="auto"/>
        </w:rPr>
        <w:t xml:space="preserve"> shall mean the termination of employment of an Employee of the Company or any Subsidiary pursuant to the terms of any retirement plan or policy maintained by the Company or any Subsidiary in which such Employee participates.</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5"/>
          <w:szCs w:val="15"/>
          <w:i w:val="1"/>
          <w:iCs w:val="1"/>
          <w:color w:val="auto"/>
        </w:rPr>
        <w:t xml:space="preserve">“Securities Act” </w:t>
      </w:r>
      <w:r>
        <w:rPr>
          <w:rFonts w:ascii="Arial" w:cs="Arial" w:eastAsia="Arial" w:hAnsi="Arial"/>
          <w:sz w:val="15"/>
          <w:szCs w:val="15"/>
          <w:color w:val="auto"/>
        </w:rPr>
        <w:t>shall mean the Securities Act of 1933, as amended from time to time (or any successor to such legislation).</w:t>
      </w:r>
    </w:p>
    <w:p>
      <w:pPr>
        <w:spacing w:after="0" w:line="224"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i w:val="1"/>
          <w:iCs w:val="1"/>
          <w:color w:val="auto"/>
        </w:rPr>
        <w:t>“Shares”</w:t>
      </w:r>
      <w:r>
        <w:rPr>
          <w:rFonts w:ascii="Arial" w:cs="Arial" w:eastAsia="Arial" w:hAnsi="Arial"/>
          <w:sz w:val="17"/>
          <w:szCs w:val="17"/>
          <w:color w:val="auto"/>
        </w:rPr>
        <w:t xml:space="preserve"> shall mean shares of the common stock of the Company and any shares of capital stock or other securities hereafter issued or issuable upon, in respect of or in substitution or exchange for shares of common stock of the Company.</w:t>
      </w:r>
    </w:p>
    <w:p>
      <w:pPr>
        <w:spacing w:after="0" w:line="158" w:lineRule="exact"/>
        <w:rPr>
          <w:sz w:val="20"/>
          <w:szCs w:val="20"/>
          <w:color w:val="auto"/>
        </w:rPr>
      </w:pPr>
    </w:p>
    <w:p>
      <w:pPr>
        <w:ind w:right="120" w:firstLine="629"/>
        <w:spacing w:after="0" w:line="268" w:lineRule="auto"/>
        <w:rPr>
          <w:sz w:val="20"/>
          <w:szCs w:val="20"/>
          <w:color w:val="auto"/>
        </w:rPr>
      </w:pPr>
      <w:r>
        <w:rPr>
          <w:rFonts w:ascii="Arial" w:cs="Arial" w:eastAsia="Arial" w:hAnsi="Arial"/>
          <w:sz w:val="17"/>
          <w:szCs w:val="17"/>
          <w:color w:val="auto"/>
        </w:rPr>
        <w:t xml:space="preserve">2.34 </w:t>
      </w:r>
      <w:r>
        <w:rPr>
          <w:rFonts w:ascii="Arial" w:cs="Arial" w:eastAsia="Arial" w:hAnsi="Arial"/>
          <w:sz w:val="17"/>
          <w:szCs w:val="17"/>
          <w:i w:val="1"/>
          <w:iCs w:val="1"/>
          <w:color w:val="auto"/>
        </w:rPr>
        <w:t>“Stock Appreciation Right”</w:t>
      </w:r>
      <w:r>
        <w:rPr>
          <w:rFonts w:ascii="Arial" w:cs="Arial" w:eastAsia="Arial" w:hAnsi="Arial"/>
          <w:sz w:val="17"/>
          <w:szCs w:val="17"/>
          <w:color w:val="auto"/>
        </w:rPr>
        <w:t xml:space="preserve"> shall mean the right of the holder thereof to receive property or Shares with a Fair Market Value equal to or cash in an amount equal to the excess of the Fair Market Value of the aggregate number of Shares subject to such Stock Appreciation Right on the date of exercise over the Fair Market Value of the aggregate number of Shares subject to such Stock Appreciation Right on the date of the grant of such Stock Appreciation Right (or such other value as may be specified in the agreement granting such Stock Appreciation Right).</w:t>
      </w:r>
    </w:p>
    <w:p>
      <w:pPr>
        <w:spacing w:after="0" w:line="17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2.35</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Stock Option</w:t>
      </w:r>
      <w:r>
        <w:rPr>
          <w:rFonts w:ascii="Arial" w:cs="Arial" w:eastAsia="Arial" w:hAnsi="Arial"/>
          <w:sz w:val="16"/>
          <w:szCs w:val="16"/>
          <w:color w:val="auto"/>
        </w:rPr>
        <w:t>” shall mean any Incentive Stock Option or Non-Qualified Stock Option.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2.36</w:t>
      </w:r>
      <w:r>
        <w:rPr>
          <w:sz w:val="20"/>
          <w:szCs w:val="20"/>
          <w:color w:val="auto"/>
        </w:rPr>
        <w:tab/>
      </w:r>
      <w:r>
        <w:rPr>
          <w:rFonts w:ascii="Arial" w:cs="Arial" w:eastAsia="Arial" w:hAnsi="Arial"/>
          <w:sz w:val="16"/>
          <w:szCs w:val="16"/>
          <w:i w:val="1"/>
          <w:iCs w:val="1"/>
          <w:color w:val="auto"/>
        </w:rPr>
        <w:t xml:space="preserve">“Subsidiary” </w:t>
      </w:r>
      <w:r>
        <w:rPr>
          <w:rFonts w:ascii="Arial" w:cs="Arial" w:eastAsia="Arial" w:hAnsi="Arial"/>
          <w:sz w:val="16"/>
          <w:szCs w:val="16"/>
          <w:color w:val="auto"/>
        </w:rPr>
        <w:t>shall mean a subsidiary corporation of the Company, as defined in Section 424(f) of the Code.</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2.37</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Transactional Consideration</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Subsection 12.2</w:t>
      </w:r>
      <w:r>
        <w:rPr>
          <w:rFonts w:ascii="Arial" w:cs="Arial" w:eastAsia="Arial" w:hAnsi="Arial"/>
          <w:sz w:val="16"/>
          <w:szCs w:val="16"/>
          <w:color w:val="auto"/>
        </w:rPr>
        <w:t xml:space="preserve"> of this Plan.</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3</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ADMINISTRATION OF THIS PLAN</w:t>
      </w:r>
    </w:p>
    <w:p>
      <w:pPr>
        <w:spacing w:after="0" w:line="21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i w:val="1"/>
          <w:iCs w:val="1"/>
          <w:u w:val="single" w:color="auto"/>
          <w:color w:val="auto"/>
        </w:rPr>
        <w:t xml:space="preserve">Committee. </w:t>
      </w:r>
      <w:r>
        <w:rPr>
          <w:rFonts w:ascii="Arial" w:cs="Arial" w:eastAsia="Arial" w:hAnsi="Arial"/>
          <w:sz w:val="15"/>
          <w:szCs w:val="15"/>
          <w:color w:val="auto"/>
        </w:rPr>
        <w:t>This Plan shall be administered and interpreted by the Committee.</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6"/>
          <w:szCs w:val="16"/>
          <w:color w:val="auto"/>
        </w:rPr>
        <w:t>Administration.</w:t>
      </w:r>
    </w:p>
    <w:p>
      <w:pPr>
        <w:spacing w:after="0" w:line="224" w:lineRule="exact"/>
        <w:rPr>
          <w:sz w:val="20"/>
          <w:szCs w:val="20"/>
          <w:color w:val="auto"/>
        </w:rPr>
      </w:pPr>
    </w:p>
    <w:p>
      <w:pPr>
        <w:ind w:left="1880" w:hanging="617"/>
        <w:spacing w:after="0"/>
        <w:tabs>
          <w:tab w:leader="none" w:pos="188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Subject to the provisions of this Plan and directions from the Board, the Committee is authorized to:</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1"/>
          <w:numId w:val="425"/>
        </w:numPr>
        <w:rPr>
          <w:rFonts w:ascii="Arial" w:cs="Arial" w:eastAsia="Arial" w:hAnsi="Arial"/>
          <w:sz w:val="17"/>
          <w:szCs w:val="17"/>
          <w:color w:val="auto"/>
        </w:rPr>
      </w:pPr>
      <w:r>
        <w:rPr>
          <w:rFonts w:ascii="Arial" w:cs="Arial" w:eastAsia="Arial" w:hAnsi="Arial"/>
          <w:sz w:val="17"/>
          <w:szCs w:val="17"/>
          <w:color w:val="auto"/>
        </w:rPr>
        <w:t>determine the Persons to whom Awards are to be granted;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60" w:firstLine="633"/>
        <w:spacing w:after="0" w:line="268" w:lineRule="auto"/>
        <w:tabs>
          <w:tab w:leader="none" w:pos="2548" w:val="left"/>
        </w:tabs>
        <w:numPr>
          <w:ilvl w:val="0"/>
          <w:numId w:val="426"/>
        </w:numPr>
        <w:rPr>
          <w:rFonts w:ascii="Arial" w:cs="Arial" w:eastAsia="Arial" w:hAnsi="Arial"/>
          <w:sz w:val="17"/>
          <w:szCs w:val="17"/>
          <w:color w:val="auto"/>
        </w:rPr>
      </w:pPr>
      <w:r>
        <w:rPr>
          <w:rFonts w:ascii="Arial" w:cs="Arial" w:eastAsia="Arial" w:hAnsi="Arial"/>
          <w:sz w:val="17"/>
          <w:szCs w:val="17"/>
          <w:color w:val="auto"/>
        </w:rPr>
        <w:t>determine the types and combinations of Awards to be granted; the number of Shares to be covered by an Award; the exercise price of an Award; the time or times when an Award shall be granted and may be exercised; the terms, performance criteria or other conditions, vesting periods or any restrictions for an Award; any restrictions on Shares acquired pursuant to the exercise of an Award; and any other terms and conditions of an Award;</w:t>
      </w:r>
    </w:p>
    <w:p>
      <w:pPr>
        <w:spacing w:after="0" w:line="175" w:lineRule="exact"/>
        <w:rPr>
          <w:rFonts w:ascii="Arial" w:cs="Arial" w:eastAsia="Arial" w:hAnsi="Arial"/>
          <w:sz w:val="17"/>
          <w:szCs w:val="17"/>
          <w:color w:val="auto"/>
        </w:rPr>
      </w:pPr>
    </w:p>
    <w:p>
      <w:pPr>
        <w:ind w:left="1260" w:right="100" w:firstLine="633"/>
        <w:spacing w:after="0" w:line="289" w:lineRule="auto"/>
        <w:tabs>
          <w:tab w:leader="none" w:pos="2558" w:val="left"/>
        </w:tabs>
        <w:numPr>
          <w:ilvl w:val="0"/>
          <w:numId w:val="426"/>
        </w:numPr>
        <w:rPr>
          <w:rFonts w:ascii="Arial" w:cs="Arial" w:eastAsia="Arial" w:hAnsi="Arial"/>
          <w:sz w:val="17"/>
          <w:szCs w:val="17"/>
          <w:color w:val="auto"/>
        </w:rPr>
      </w:pPr>
      <w:r>
        <w:rPr>
          <w:rFonts w:ascii="Arial" w:cs="Arial" w:eastAsia="Arial" w:hAnsi="Arial"/>
          <w:sz w:val="17"/>
          <w:szCs w:val="17"/>
          <w:color w:val="auto"/>
        </w:rPr>
        <w:t>conclusively interpret the provisions of this Plan and any Award agreement, such interpretation to be final and binding on the Company and each other affected Person or party;</w:t>
      </w:r>
    </w:p>
    <w:p>
      <w:pPr>
        <w:sectPr>
          <w:pgSz w:w="11900" w:h="16838" w:orient="portrait"/>
          <w:cols w:equalWidth="0" w:num="1">
            <w:col w:w="11400"/>
          </w:cols>
          <w:pgMar w:left="240" w:top="337" w:right="259" w:bottom="0" w:gutter="0" w:footer="0" w:header="0"/>
        </w:sectPr>
      </w:pPr>
    </w:p>
    <w:bookmarkStart w:id="320" w:name="page321"/>
    <w:bookmarkEnd w:id="320"/>
    <w:p>
      <w:pPr>
        <w:spacing w:after="0" w:line="52" w:lineRule="exact"/>
        <w:rPr>
          <w:sz w:val="20"/>
          <w:szCs w:val="20"/>
          <w:color w:val="auto"/>
        </w:rPr>
      </w:pPr>
    </w:p>
    <w:p>
      <w:pPr>
        <w:ind w:left="2540" w:hanging="647"/>
        <w:spacing w:after="0"/>
        <w:tabs>
          <w:tab w:leader="none" w:pos="254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prescribe, amend and rescind rules and regulations relating to this Plan;</w:t>
      </w:r>
    </w:p>
    <w:p>
      <w:pPr>
        <w:spacing w:after="0" w:line="224" w:lineRule="exact"/>
        <w:rPr>
          <w:rFonts w:ascii="Arial" w:cs="Arial" w:eastAsia="Arial" w:hAnsi="Arial"/>
          <w:sz w:val="17"/>
          <w:szCs w:val="17"/>
          <w:color w:val="auto"/>
        </w:rPr>
      </w:pPr>
    </w:p>
    <w:p>
      <w:pPr>
        <w:ind w:left="1260" w:right="500" w:firstLine="633"/>
        <w:spacing w:after="0" w:line="289" w:lineRule="auto"/>
        <w:tabs>
          <w:tab w:leader="none" w:pos="2525" w:val="left"/>
        </w:tabs>
        <w:numPr>
          <w:ilvl w:val="0"/>
          <w:numId w:val="427"/>
        </w:numPr>
        <w:rPr>
          <w:rFonts w:ascii="Arial" w:cs="Arial" w:eastAsia="Arial" w:hAnsi="Arial"/>
          <w:sz w:val="17"/>
          <w:szCs w:val="17"/>
          <w:color w:val="auto"/>
        </w:rPr>
      </w:pPr>
      <w:r>
        <w:rPr>
          <w:rFonts w:ascii="Arial" w:cs="Arial" w:eastAsia="Arial" w:hAnsi="Arial"/>
          <w:sz w:val="17"/>
          <w:szCs w:val="17"/>
          <w:color w:val="auto"/>
        </w:rPr>
        <w:t>rely upon Employees of the Company or outside service providers for such clerical and record keeping duties as may be necessary in connection with the administration of this Plan;</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accelerate or defer (with the consent of the Participant) the vesting of any rights pursuant to an Award; and</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make all other determinations and take all other actions necessary or advisable for the administration of this Plan; and</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Loans for exercise.</w:t>
      </w:r>
    </w:p>
    <w:p>
      <w:pPr>
        <w:spacing w:after="0" w:line="224" w:lineRule="exact"/>
        <w:rPr>
          <w:sz w:val="20"/>
          <w:szCs w:val="20"/>
          <w:color w:val="auto"/>
        </w:rPr>
      </w:pPr>
    </w:p>
    <w:p>
      <w:pPr>
        <w:ind w:left="640" w:right="40"/>
        <w:spacing w:after="0" w:line="281" w:lineRule="auto"/>
        <w:rPr>
          <w:sz w:val="20"/>
          <w:szCs w:val="20"/>
          <w:color w:val="auto"/>
        </w:rPr>
      </w:pPr>
      <w:r>
        <w:rPr>
          <w:rFonts w:ascii="Arial" w:cs="Arial" w:eastAsia="Arial" w:hAnsi="Arial"/>
          <w:sz w:val="16"/>
          <w:szCs w:val="16"/>
          <w:color w:val="auto"/>
        </w:rPr>
        <w:t>The President of the Company shall also be authorized, subject to the provisions of this Plan and directions from the Board and the Committee, to determine the types and combinations of Awards to be granted; the number of Shares to be covered by an Award; the exercise price of an Award; the time or times when an Award shall be granted and may be exercised; the terms, performance criteria or other conditions, vesting periods or any restrictions for an Award; any restrictions on Shares acquired pursuant to the exercise of an Award; and any other terms and conditions of an Award; provided, however, that the President of the Company may not (1) grant any Award to any executive officer or himself or herself (2) grant Awards to any one person with respect to more than 100,000 Shares in the aggregate (which number shall be adjusted pro rata in the event of any adjustment to the limitation set forth in ARTICLE 4.1 hereof), or (3) modify any Award made by the Committee or Board.</w:t>
      </w:r>
    </w:p>
    <w:p>
      <w:pPr>
        <w:spacing w:after="0" w:line="170" w:lineRule="exact"/>
        <w:rPr>
          <w:sz w:val="20"/>
          <w:szCs w:val="20"/>
          <w:color w:val="auto"/>
        </w:rPr>
      </w:pPr>
    </w:p>
    <w:p>
      <w:pPr>
        <w:jc w:val="both"/>
        <w:ind w:left="640" w:right="100" w:firstLine="623"/>
        <w:spacing w:after="0" w:line="268" w:lineRule="auto"/>
        <w:tabs>
          <w:tab w:leader="none" w:pos="1905" w:val="left"/>
        </w:tabs>
        <w:numPr>
          <w:ilvl w:val="0"/>
          <w:numId w:val="428"/>
        </w:numPr>
        <w:rPr>
          <w:rFonts w:ascii="Arial" w:cs="Arial" w:eastAsia="Arial" w:hAnsi="Arial"/>
          <w:sz w:val="17"/>
          <w:szCs w:val="17"/>
          <w:color w:val="auto"/>
        </w:rPr>
      </w:pPr>
      <w:r>
        <w:rPr>
          <w:rFonts w:ascii="Arial" w:cs="Arial" w:eastAsia="Arial" w:hAnsi="Arial"/>
          <w:sz w:val="17"/>
          <w:szCs w:val="17"/>
          <w:color w:val="auto"/>
        </w:rPr>
        <w:t xml:space="preserve">Without limiting the Board’s right to amend this Plan pursuant to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the Board may take all actions authorized by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3.2(a)</w:t>
      </w:r>
      <w:r>
        <w:rPr>
          <w:rFonts w:ascii="Arial" w:cs="Arial" w:eastAsia="Arial" w:hAnsi="Arial"/>
          <w:sz w:val="17"/>
          <w:szCs w:val="17"/>
          <w:color w:val="auto"/>
        </w:rPr>
        <w:t xml:space="preserve"> of this Plan, including, without limitation, granting such Awards pursuant to this Plan as the Board, to the extent such Award by the Board would not implicate any applicable securities laws, the rules of any exchange upon which the Company’s securities are traded, or any other applicable law, may deem necessary or appropriate.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140" w:firstLine="623"/>
        <w:spacing w:after="0" w:line="268" w:lineRule="auto"/>
        <w:tabs>
          <w:tab w:leader="none" w:pos="1909" w:val="left"/>
        </w:tabs>
        <w:numPr>
          <w:ilvl w:val="0"/>
          <w:numId w:val="429"/>
        </w:numPr>
        <w:rPr>
          <w:rFonts w:ascii="Arial" w:cs="Arial" w:eastAsia="Arial" w:hAnsi="Arial"/>
          <w:sz w:val="17"/>
          <w:szCs w:val="17"/>
          <w:color w:val="auto"/>
        </w:rPr>
      </w:pPr>
      <w:r>
        <w:rPr>
          <w:rFonts w:ascii="Arial" w:cs="Arial" w:eastAsia="Arial" w:hAnsi="Arial"/>
          <w:sz w:val="17"/>
          <w:szCs w:val="17"/>
          <w:color w:val="auto"/>
        </w:rPr>
        <w:t>A majority of the Committee members shall constitute a quorum for action by the Committee. All determinations of the Committee in connection with the Plan shall be made by not less than a majority of its members. All questions of interpretation and application of this Plan or pertaining to any question of fact or Award granted hereunder will be decided by the Committee, whose decision will be final, conclusive and binding upon the Company and each other affected party.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4</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SHARES SUBJECT TO PLAN</w:t>
      </w:r>
    </w:p>
    <w:p>
      <w:pPr>
        <w:spacing w:after="0" w:line="212"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i w:val="1"/>
          <w:iCs w:val="1"/>
          <w:color w:val="auto"/>
        </w:rPr>
        <w:t>Limitations</w:t>
      </w:r>
      <w:r>
        <w:rPr>
          <w:rFonts w:ascii="Arial" w:cs="Arial" w:eastAsia="Arial" w:hAnsi="Arial"/>
          <w:sz w:val="17"/>
          <w:szCs w:val="17"/>
          <w:color w:val="auto"/>
        </w:rPr>
        <w:t>. the maximum number of shares of Common Stock that may be delivered pursuant to Awards granted under the Plan is 30,000,000 shares. Awards will not reduce the number of Shares that may be issued pursuant to this Plan if the settlement of the Award will not require the issuance of Shares, as, for example, a Stock Appreciation Right that can be satisfied only by the payment of cash. The following shares of Common Stock related to Awards will be available for issuance again under the Plan:</w:t>
      </w:r>
    </w:p>
    <w:p>
      <w:pPr>
        <w:spacing w:after="0" w:line="176" w:lineRule="exact"/>
        <w:rPr>
          <w:sz w:val="20"/>
          <w:szCs w:val="20"/>
          <w:color w:val="auto"/>
        </w:rPr>
      </w:pPr>
    </w:p>
    <w:p>
      <w:pPr>
        <w:ind w:left="1880" w:hanging="617"/>
        <w:spacing w:after="0"/>
        <w:tabs>
          <w:tab w:leader="none" w:pos="188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Common Stock related to Awards settled in cash;</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Common Stock related to Awards that expire, are forfeited or cancelled or terminate for any other reason without the issuance of the</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Common Stock;</w:t>
      </w:r>
    </w:p>
    <w:p>
      <w:pPr>
        <w:spacing w:after="0" w:line="212" w:lineRule="exact"/>
        <w:rPr>
          <w:rFonts w:ascii="Arial" w:cs="Arial" w:eastAsia="Arial" w:hAnsi="Arial"/>
          <w:sz w:val="16"/>
          <w:szCs w:val="16"/>
          <w:color w:val="auto"/>
        </w:rPr>
      </w:pPr>
    </w:p>
    <w:p>
      <w:pPr>
        <w:ind w:left="1900" w:hanging="637"/>
        <w:spacing w:after="0"/>
        <w:tabs>
          <w:tab w:leader="none" w:pos="190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Common Stock equal in number to the shares of Common Stock surrendered in payment of the exercise price of an Option; and</w:t>
      </w:r>
    </w:p>
    <w:p>
      <w:pPr>
        <w:spacing w:after="0" w:line="235" w:lineRule="exact"/>
        <w:rPr>
          <w:rFonts w:ascii="Arial" w:cs="Arial" w:eastAsia="Arial" w:hAnsi="Arial"/>
          <w:sz w:val="16"/>
          <w:szCs w:val="16"/>
          <w:color w:val="auto"/>
        </w:rPr>
      </w:pPr>
    </w:p>
    <w:p>
      <w:pPr>
        <w:ind w:left="1900" w:hanging="637"/>
        <w:spacing w:after="0"/>
        <w:tabs>
          <w:tab w:leader="none" w:pos="190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Common Stock tendered or withheld in order to satisfy withholding tax obligations.</w:t>
      </w:r>
    </w:p>
    <w:p>
      <w:pPr>
        <w:spacing w:after="0" w:line="224"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Shares to be issued may be made available from authorized but unissued Common Stock, Common Stock held by the Company in its treasury, or Common Stock purchased by the Company on the open market or otherwise. During the term of this Plan, the Company will at all times reserve and keep available the number of shares of Common Stock that shall be sufficient to satisfy the requirements of this Plan.</w:t>
      </w:r>
    </w:p>
    <w:p>
      <w:pPr>
        <w:spacing w:after="0" w:line="17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6"/>
          <w:szCs w:val="16"/>
          <w:i w:val="1"/>
          <w:iCs w:val="1"/>
          <w:color w:val="auto"/>
        </w:rPr>
        <w:t>Maximum Individual Grants</w:t>
      </w:r>
      <w:r>
        <w:rPr>
          <w:rFonts w:ascii="Arial" w:cs="Arial" w:eastAsia="Arial" w:hAnsi="Arial"/>
          <w:sz w:val="16"/>
          <w:szCs w:val="16"/>
          <w:color w:val="auto"/>
        </w:rPr>
        <w:t>. No Participant may receive during any fiscal year of the Company Awards covering an aggregate of more than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411,000 shares of Common Stock.</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5</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ELIGIBILITY</w:t>
      </w:r>
    </w:p>
    <w:p>
      <w:pPr>
        <w:spacing w:after="0" w:line="212" w:lineRule="exact"/>
        <w:rPr>
          <w:sz w:val="20"/>
          <w:szCs w:val="20"/>
          <w:color w:val="auto"/>
        </w:rPr>
      </w:pPr>
    </w:p>
    <w:p>
      <w:pPr>
        <w:ind w:right="220" w:firstLine="629"/>
        <w:spacing w:after="0" w:line="26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Eligibility</w:t>
      </w:r>
      <w:r>
        <w:rPr>
          <w:rFonts w:ascii="Arial" w:cs="Arial" w:eastAsia="Arial" w:hAnsi="Arial"/>
          <w:sz w:val="17"/>
          <w:szCs w:val="17"/>
          <w:color w:val="auto"/>
        </w:rPr>
        <w:t>. Any Employee, non-employee Director whose judgment, initiative, and efforts contributed or may be expected to contribute to the successful performance of the Company, or a Consultant is eligible to participate in the Plan; provided that only Employees shall be eligible to receive Incentive Stock Options. The Committee, upon its own action, may grant, but shall not be required to grant, an Award to any Employee, non-employee Director or Consultant.</w:t>
      </w:r>
    </w:p>
    <w:p>
      <w:pPr>
        <w:spacing w:after="0" w:line="176" w:lineRule="exact"/>
        <w:rPr>
          <w:sz w:val="20"/>
          <w:szCs w:val="20"/>
          <w:color w:val="auto"/>
        </w:rPr>
      </w:pPr>
    </w:p>
    <w:p>
      <w:pPr>
        <w:ind w:right="40" w:firstLine="629"/>
        <w:spacing w:after="0" w:line="281" w:lineRule="auto"/>
        <w:rPr>
          <w:sz w:val="20"/>
          <w:szCs w:val="20"/>
          <w:color w:val="auto"/>
        </w:rPr>
      </w:pPr>
      <w:r>
        <w:rPr>
          <w:rFonts w:ascii="Arial" w:cs="Arial" w:eastAsia="Arial" w:hAnsi="Arial"/>
          <w:sz w:val="16"/>
          <w:szCs w:val="16"/>
          <w:color w:val="auto"/>
        </w:rPr>
        <w:t>A Participant may be granted more than one Award and Awards may be granted by the Committee at any time and from time to time to new Participants, or to then Participants, or to a greater or lesser number of Participants, and may include or exclude previous Participants, as the Committee shall determine. The grant of an Award to a Participant shall not be deemed either to entitle the Participant to, or to disqualify the Participant from, receipt of any other Award under the Plan. Except as required by this Plan, Awards granted at different times need not contain similar provisions. The Committee’s determinations under the Plan (including without limitation determinations of which Employees, non-employee Directors, or Consultants, if any, are to receive Awards, the form, amount and timing of such Awards, the terms and provisions of such Awards and the agreements evidencing same) need not be uniform and may be made by it selectively among Employees, non-employee Directors and Consultants who receive, or are eligible to receive, Awards under the Plan.</w:t>
      </w:r>
    </w:p>
    <w:p>
      <w:pPr>
        <w:spacing w:after="0" w:line="170" w:lineRule="exact"/>
        <w:rPr>
          <w:sz w:val="20"/>
          <w:szCs w:val="20"/>
          <w:color w:val="auto"/>
        </w:rPr>
      </w:pPr>
    </w:p>
    <w:p>
      <w:pPr>
        <w:ind w:right="180" w:firstLine="629"/>
        <w:spacing w:after="0" w:line="360"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i w:val="1"/>
          <w:iCs w:val="1"/>
          <w:color w:val="auto"/>
        </w:rPr>
        <w:t>Grant of Awards</w:t>
      </w:r>
      <w:r>
        <w:rPr>
          <w:rFonts w:ascii="Arial" w:cs="Arial" w:eastAsia="Arial" w:hAnsi="Arial"/>
          <w:sz w:val="15"/>
          <w:szCs w:val="15"/>
          <w:color w:val="auto"/>
        </w:rPr>
        <w:t>. The grant of an Award shall be authorized by the Committee or the Board and shall be evidenced by an Award agreement setting forth the type of Award or Awards being granted, the total number of Shares subject to the Award(s), the Stock Option price (if applicable), the restriction</w:t>
      </w:r>
    </w:p>
    <w:p>
      <w:pPr>
        <w:sectPr>
          <w:pgSz w:w="11900" w:h="16891" w:orient="portrait"/>
          <w:cols w:equalWidth="0" w:num="1">
            <w:col w:w="11420"/>
          </w:cols>
          <w:pgMar w:left="240" w:top="127" w:right="239" w:bottom="0" w:gutter="0" w:footer="0" w:header="0"/>
        </w:sectPr>
      </w:pPr>
    </w:p>
    <w:bookmarkStart w:id="321" w:name="page322"/>
    <w:bookmarkEnd w:id="321"/>
    <w:p>
      <w:pPr>
        <w:ind w:right="420"/>
        <w:spacing w:after="0" w:line="273" w:lineRule="auto"/>
        <w:rPr>
          <w:sz w:val="20"/>
          <w:szCs w:val="20"/>
          <w:color w:val="auto"/>
        </w:rPr>
      </w:pPr>
      <w:r>
        <w:rPr>
          <w:rFonts w:ascii="Arial" w:cs="Arial" w:eastAsia="Arial" w:hAnsi="Arial"/>
          <w:sz w:val="17"/>
          <w:szCs w:val="17"/>
          <w:color w:val="auto"/>
        </w:rPr>
        <w:t>period (if applicable), the term of the Award, the date of the grant of the Award, and such other terms, provisions, limitations, and, if applicable, Performance Goals, as are approved by the Committee, but not inconsistent with the Plan. The Company shall execute an Award agreement with a Participant after the Committee approves the issuance of an Award.</w:t>
      </w:r>
    </w:p>
    <w:p>
      <w:pPr>
        <w:spacing w:after="0" w:line="172"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If the Committee establishes a purchase price, if any, for an Award of Restricted Stock, the Participant must accept such Award within a period of 30 days (or such shorter period as the Committee may specify) after the date of the grant of the Award by executing the applicable Award agreement and paying such purchase price.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6</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STOCK OPTIONS</w:t>
      </w:r>
    </w:p>
    <w:p>
      <w:pPr>
        <w:spacing w:after="0" w:line="212" w:lineRule="exact"/>
        <w:rPr>
          <w:sz w:val="20"/>
          <w:szCs w:val="20"/>
          <w:color w:val="auto"/>
        </w:rPr>
      </w:pPr>
    </w:p>
    <w:p>
      <w:pPr>
        <w:ind w:right="20" w:firstLine="629"/>
        <w:spacing w:after="0" w:line="285"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u w:val="single" w:color="auto"/>
          <w:color w:val="auto"/>
        </w:rPr>
        <w:t>Grants</w:t>
      </w:r>
      <w:r>
        <w:rPr>
          <w:rFonts w:ascii="Arial" w:cs="Arial" w:eastAsia="Arial" w:hAnsi="Arial"/>
          <w:sz w:val="16"/>
          <w:szCs w:val="16"/>
          <w:u w:val="single" w:color="auto"/>
          <w:color w:val="auto"/>
        </w:rPr>
        <w:t>.</w:t>
      </w:r>
      <w:r>
        <w:rPr>
          <w:rFonts w:ascii="Arial" w:cs="Arial" w:eastAsia="Arial" w:hAnsi="Arial"/>
          <w:sz w:val="16"/>
          <w:szCs w:val="16"/>
          <w:color w:val="auto"/>
        </w:rPr>
        <w:t xml:space="preserve"> The Committee may grant Stock Options alone or in addition to other Awards granted pursuant to this Plan to any eligible Person. Each Person so selected shall be offered a Stock Option to purchase the number of Shares determined by the Committee. The Committee shall specify whether such Stock Option is an Incentive Stock Option or Non-Qualified Stock Option and any other terms or conditions relating to such Award; provided, however only Employees of the Company or a Subsidiary may be granted Incentive Stock Options. To the extent that any Stock Option designated as an Incentive Stock Option does not qualify as an Incentive Stock Option (whether because of its provisions, the failure of the shareholders of the Company to authorize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issuance of Incentive Stock Options, the time or manner of its exercise or otherwise), such Stock Option or the portion thereof which does not qualify shall be deemed to constitute a Non-Qualified Stock Option. Each Person to be granted a Stock Option shall enter into a written agreement with the Company, in such form as the Committee may prescribe, setting forth the terms and conditions (including, without limitation, the exercise price and vesting schedule) of the Stock Option. At any time and from time to time, the Optionee and the Committee may agree to modify an option agreement in such respects as they may deem appropriate, including, without limitation, the conversion of an Incentive Stock Option into a Non-Qualified Stock Option. The Committee may require that an Optionee meet certain conditions before the Stock Option or a portion thereof may vest or be exercised, as, for example, that the Optionee remain in the employ of the Company or a Subsidiary for a stated period or periods of time.</w:t>
      </w:r>
    </w:p>
    <w:p>
      <w:pPr>
        <w:spacing w:after="0" w:line="18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6"/>
          <w:szCs w:val="16"/>
          <w:color w:val="auto"/>
        </w:rPr>
        <w:t>Incentive Stock Options Limitations.</w:t>
      </w:r>
    </w:p>
    <w:p>
      <w:pPr>
        <w:spacing w:after="0" w:line="224" w:lineRule="exact"/>
        <w:rPr>
          <w:sz w:val="20"/>
          <w:szCs w:val="20"/>
          <w:color w:val="auto"/>
        </w:rPr>
      </w:pPr>
    </w:p>
    <w:p>
      <w:pPr>
        <w:ind w:left="640" w:right="20" w:firstLine="623"/>
        <w:spacing w:after="0" w:line="308" w:lineRule="auto"/>
        <w:tabs>
          <w:tab w:leader="none" w:pos="1896" w:val="left"/>
        </w:tabs>
        <w:numPr>
          <w:ilvl w:val="0"/>
          <w:numId w:val="431"/>
        </w:numPr>
        <w:rPr>
          <w:rFonts w:ascii="Arial" w:cs="Arial" w:eastAsia="Arial" w:hAnsi="Arial"/>
          <w:sz w:val="15"/>
          <w:szCs w:val="15"/>
          <w:color w:val="auto"/>
        </w:rPr>
      </w:pPr>
      <w:r>
        <w:rPr>
          <w:rFonts w:ascii="Arial" w:cs="Arial" w:eastAsia="Arial" w:hAnsi="Arial"/>
          <w:sz w:val="15"/>
          <w:szCs w:val="15"/>
          <w:color w:val="auto"/>
        </w:rPr>
        <w:t xml:space="preserve">In no event shall any individual be granted Incentive Stock Options to the extent that the Shares covered by any Incentive Stock Options (and any incentive stock options granted pursuant to any other plans of the Company or its Subsidiaries) that may be exercised for the first time by such individual in any calendar year have an aggregate Fair Market Value in excess of $100,000. For this purpose, the Fair Market Value of the Shares shall be determined as of the date(s) on which the Incentive Stock Options are granted. It is intended that the limitation on Incentive Stock Options provided in this </w:t>
      </w:r>
      <w:r>
        <w:rPr>
          <w:rFonts w:ascii="Arial" w:cs="Arial" w:eastAsia="Arial" w:hAnsi="Arial"/>
          <w:sz w:val="15"/>
          <w:szCs w:val="15"/>
          <w:u w:val="single" w:color="auto"/>
          <w:color w:val="auto"/>
        </w:rPr>
        <w:t>Subsection 6.2(a)</w:t>
      </w:r>
      <w:r>
        <w:rPr>
          <w:rFonts w:ascii="Arial" w:cs="Arial" w:eastAsia="Arial" w:hAnsi="Arial"/>
          <w:sz w:val="15"/>
          <w:szCs w:val="15"/>
          <w:color w:val="auto"/>
        </w:rPr>
        <w:t xml:space="preserve"> be the maximum limitation on Stock Options which may be considered Incentive Stock Options pursuant to the Code.</w:t>
      </w:r>
    </w:p>
    <w:p>
      <w:pPr>
        <w:spacing w:after="0" w:line="151" w:lineRule="exact"/>
        <w:rPr>
          <w:rFonts w:ascii="Arial" w:cs="Arial" w:eastAsia="Arial" w:hAnsi="Arial"/>
          <w:sz w:val="15"/>
          <w:szCs w:val="15"/>
          <w:color w:val="auto"/>
        </w:rPr>
      </w:pPr>
    </w:p>
    <w:p>
      <w:pPr>
        <w:ind w:left="640" w:right="200" w:firstLine="623"/>
        <w:spacing w:after="0" w:line="289" w:lineRule="auto"/>
        <w:tabs>
          <w:tab w:leader="none" w:pos="1905" w:val="left"/>
        </w:tabs>
        <w:numPr>
          <w:ilvl w:val="0"/>
          <w:numId w:val="431"/>
        </w:numPr>
        <w:rPr>
          <w:rFonts w:ascii="Arial" w:cs="Arial" w:eastAsia="Arial" w:hAnsi="Arial"/>
          <w:sz w:val="17"/>
          <w:szCs w:val="17"/>
          <w:color w:val="auto"/>
        </w:rPr>
      </w:pPr>
      <w:r>
        <w:rPr>
          <w:rFonts w:ascii="Arial" w:cs="Arial" w:eastAsia="Arial" w:hAnsi="Arial"/>
          <w:sz w:val="17"/>
          <w:szCs w:val="17"/>
          <w:color w:val="auto"/>
        </w:rPr>
        <w:t>The option exercise price of an Incentive Stock Option shall not be less than one hundred percent (100%) of the Fair Market Value of the Shares subject to such Incentive Stock Option on the date of the grant of such Incentive Stock Option.</w:t>
      </w:r>
    </w:p>
    <w:p>
      <w:pPr>
        <w:spacing w:after="0" w:line="158" w:lineRule="exact"/>
        <w:rPr>
          <w:rFonts w:ascii="Arial" w:cs="Arial" w:eastAsia="Arial" w:hAnsi="Arial"/>
          <w:sz w:val="17"/>
          <w:szCs w:val="17"/>
          <w:color w:val="auto"/>
        </w:rPr>
      </w:pPr>
    </w:p>
    <w:p>
      <w:pPr>
        <w:ind w:left="640" w:right="100" w:firstLine="623"/>
        <w:spacing w:after="0" w:line="268" w:lineRule="auto"/>
        <w:tabs>
          <w:tab w:leader="none" w:pos="1909" w:val="left"/>
        </w:tabs>
        <w:numPr>
          <w:ilvl w:val="0"/>
          <w:numId w:val="431"/>
        </w:numPr>
        <w:rPr>
          <w:rFonts w:ascii="Arial" w:cs="Arial" w:eastAsia="Arial" w:hAnsi="Arial"/>
          <w:sz w:val="17"/>
          <w:szCs w:val="17"/>
          <w:color w:val="auto"/>
        </w:rPr>
      </w:pPr>
      <w:r>
        <w:rPr>
          <w:rFonts w:ascii="Arial" w:cs="Arial" w:eastAsia="Arial" w:hAnsi="Arial"/>
          <w:sz w:val="17"/>
          <w:szCs w:val="17"/>
          <w:color w:val="auto"/>
        </w:rPr>
        <w:t>Notwithstanding anything herein to the contrary, in no event shall any Employee owning more than ten percent (10%) of the total combined voting power of the Company or any Subsidiary be granted an Incentive Stock Option unless the option exercise price of such Incentive Stock Option shall be at least one hundred ten percent (110%) of the Fair Market Value of the Shares subject to such Incentive Stock Option on the date of the grant of such Incentive Stock Option.</w:t>
      </w:r>
    </w:p>
    <w:p>
      <w:pPr>
        <w:spacing w:after="0" w:line="175" w:lineRule="exact"/>
        <w:rPr>
          <w:rFonts w:ascii="Arial" w:cs="Arial" w:eastAsia="Arial" w:hAnsi="Arial"/>
          <w:sz w:val="17"/>
          <w:szCs w:val="17"/>
          <w:color w:val="auto"/>
        </w:rPr>
      </w:pPr>
    </w:p>
    <w:p>
      <w:pPr>
        <w:ind w:left="640" w:right="320" w:firstLine="623"/>
        <w:spacing w:after="0" w:line="360" w:lineRule="auto"/>
        <w:tabs>
          <w:tab w:leader="none" w:pos="1905" w:val="left"/>
        </w:tabs>
        <w:numPr>
          <w:ilvl w:val="0"/>
          <w:numId w:val="431"/>
        </w:numPr>
        <w:rPr>
          <w:rFonts w:ascii="Arial" w:cs="Arial" w:eastAsia="Arial" w:hAnsi="Arial"/>
          <w:sz w:val="15"/>
          <w:szCs w:val="15"/>
          <w:color w:val="auto"/>
        </w:rPr>
      </w:pPr>
      <w:r>
        <w:rPr>
          <w:rFonts w:ascii="Arial" w:cs="Arial" w:eastAsia="Arial" w:hAnsi="Arial"/>
          <w:sz w:val="15"/>
          <w:szCs w:val="15"/>
          <w:color w:val="auto"/>
        </w:rPr>
        <w:t>In no event shall any individual be granted an Incentive Stock Option after the expiration of ten (10) years from the date this Plan is adopted or is approved by the shareholders of the Company (if shareholder approval is required by Section 422 of the Code), whichever is earlier.</w:t>
      </w:r>
    </w:p>
    <w:p>
      <w:pPr>
        <w:spacing w:after="0" w:line="111" w:lineRule="exact"/>
        <w:rPr>
          <w:rFonts w:ascii="Arial" w:cs="Arial" w:eastAsia="Arial" w:hAnsi="Arial"/>
          <w:sz w:val="15"/>
          <w:szCs w:val="15"/>
          <w:color w:val="auto"/>
        </w:rPr>
      </w:pPr>
    </w:p>
    <w:p>
      <w:pPr>
        <w:ind w:left="640" w:firstLine="623"/>
        <w:spacing w:after="0" w:line="268" w:lineRule="auto"/>
        <w:tabs>
          <w:tab w:leader="none" w:pos="1909" w:val="left"/>
        </w:tabs>
        <w:numPr>
          <w:ilvl w:val="0"/>
          <w:numId w:val="431"/>
        </w:numPr>
        <w:rPr>
          <w:rFonts w:ascii="Arial" w:cs="Arial" w:eastAsia="Arial" w:hAnsi="Arial"/>
          <w:sz w:val="17"/>
          <w:szCs w:val="17"/>
          <w:color w:val="auto"/>
        </w:rPr>
      </w:pPr>
      <w:r>
        <w:rPr>
          <w:rFonts w:ascii="Arial" w:cs="Arial" w:eastAsia="Arial" w:hAnsi="Arial"/>
          <w:sz w:val="17"/>
          <w:szCs w:val="17"/>
          <w:color w:val="auto"/>
        </w:rPr>
        <w:t>To the extent shareholder approval of this Plan is required by Section 422 of the Code, no individual shall be granted an Incentive Stock Option unless this Plan is approved by the shareholders of the Company within twelve (12) months before or after the date this Plan is initially adopted. In the event this Plan is amended to increase the number of Shares subject to issuance upon the exercise of Incentive Stock Options or to change the class of Employees eligible to receive Incentive Stock Options, no individual shall be granted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520"/>
        <w:spacing w:after="0" w:line="289" w:lineRule="auto"/>
        <w:rPr>
          <w:sz w:val="20"/>
          <w:szCs w:val="20"/>
          <w:color w:val="auto"/>
        </w:rPr>
      </w:pPr>
      <w:r>
        <w:rPr>
          <w:rFonts w:ascii="Arial" w:cs="Arial" w:eastAsia="Arial" w:hAnsi="Arial"/>
          <w:sz w:val="17"/>
          <w:szCs w:val="17"/>
          <w:color w:val="auto"/>
        </w:rPr>
        <w:t>an Incentive Stock Option unless such amendment is approved by the shareholders of the Company within twelve (12) months before or after such amendment.</w:t>
      </w:r>
    </w:p>
    <w:p>
      <w:pPr>
        <w:spacing w:after="0" w:line="158" w:lineRule="exact"/>
        <w:rPr>
          <w:sz w:val="20"/>
          <w:szCs w:val="20"/>
          <w:color w:val="auto"/>
        </w:rPr>
      </w:pPr>
    </w:p>
    <w:p>
      <w:pPr>
        <w:jc w:val="both"/>
        <w:ind w:left="640" w:right="120" w:firstLine="623"/>
        <w:spacing w:after="0" w:line="273" w:lineRule="auto"/>
        <w:tabs>
          <w:tab w:leader="none" w:pos="1903" w:val="left"/>
        </w:tabs>
        <w:numPr>
          <w:ilvl w:val="0"/>
          <w:numId w:val="432"/>
        </w:numPr>
        <w:rPr>
          <w:rFonts w:ascii="Arial" w:cs="Arial" w:eastAsia="Arial" w:hAnsi="Arial"/>
          <w:sz w:val="17"/>
          <w:szCs w:val="17"/>
          <w:color w:val="auto"/>
        </w:rPr>
      </w:pPr>
      <w:r>
        <w:rPr>
          <w:rFonts w:ascii="Arial" w:cs="Arial" w:eastAsia="Arial" w:hAnsi="Arial"/>
          <w:sz w:val="17"/>
          <w:szCs w:val="17"/>
          <w:color w:val="auto"/>
        </w:rPr>
        <w:t>No Incentive Stock Option shall be granted to any Employee owning more than ten percent (10%) of the total combined voting power of the Company or any Subsidiary unless the term of such Incentive Stock Option is equal to or less than five (5) years measured from the date on which such Incentive Stock Option is granted.</w:t>
      </w:r>
    </w:p>
    <w:p>
      <w:pPr>
        <w:spacing w:after="0" w:line="171" w:lineRule="exact"/>
        <w:rPr>
          <w:rFonts w:ascii="Arial" w:cs="Arial" w:eastAsia="Arial" w:hAnsi="Arial"/>
          <w:sz w:val="17"/>
          <w:szCs w:val="17"/>
          <w:color w:val="auto"/>
        </w:rPr>
      </w:pPr>
    </w:p>
    <w:p>
      <w:pPr>
        <w:ind w:left="640" w:right="220" w:firstLine="623"/>
        <w:spacing w:after="0" w:line="289" w:lineRule="auto"/>
        <w:tabs>
          <w:tab w:leader="none" w:pos="1918" w:val="left"/>
        </w:tabs>
        <w:numPr>
          <w:ilvl w:val="0"/>
          <w:numId w:val="432"/>
        </w:numPr>
        <w:rPr>
          <w:rFonts w:ascii="Arial" w:cs="Arial" w:eastAsia="Arial" w:hAnsi="Arial"/>
          <w:sz w:val="17"/>
          <w:szCs w:val="17"/>
          <w:color w:val="auto"/>
        </w:rPr>
      </w:pPr>
      <w:r>
        <w:rPr>
          <w:rFonts w:ascii="Arial" w:cs="Arial" w:eastAsia="Arial" w:hAnsi="Arial"/>
          <w:sz w:val="17"/>
          <w:szCs w:val="17"/>
          <w:color w:val="auto"/>
        </w:rPr>
        <w:t>No Incentive Stock Option granted pursuant to this Plan shall be transferable other than by will or the laws of decent and distribution and it shall be exercisable only by the Optionee during his or her lifetime.</w:t>
      </w:r>
    </w:p>
    <w:p>
      <w:pPr>
        <w:spacing w:after="0" w:line="158" w:lineRule="exact"/>
        <w:rPr>
          <w:sz w:val="20"/>
          <w:szCs w:val="20"/>
          <w:color w:val="auto"/>
        </w:rPr>
      </w:pPr>
    </w:p>
    <w:p>
      <w:pPr>
        <w:ind w:right="320" w:firstLine="629"/>
        <w:spacing w:after="0" w:line="28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i w:val="1"/>
          <w:iCs w:val="1"/>
          <w:u w:val="single" w:color="auto"/>
          <w:color w:val="auto"/>
        </w:rPr>
        <w:t>Option Term.</w:t>
      </w:r>
      <w:r>
        <w:rPr>
          <w:rFonts w:ascii="Arial" w:cs="Arial" w:eastAsia="Arial" w:hAnsi="Arial"/>
          <w:sz w:val="17"/>
          <w:szCs w:val="17"/>
          <w:color w:val="auto"/>
        </w:rPr>
        <w:t xml:space="preserve"> The term of a Stock Option shall be for such period of time from the date of its grant as may be determined by the Committee; provided, however, that no Incentive Stock Option shall be exercisable after the expiration of ten (10) years from the date of its grant.</w:t>
      </w:r>
    </w:p>
    <w:p>
      <w:pPr>
        <w:spacing w:after="0" w:line="158" w:lineRule="exact"/>
        <w:rPr>
          <w:sz w:val="20"/>
          <w:szCs w:val="20"/>
          <w:color w:val="auto"/>
        </w:rPr>
      </w:pPr>
    </w:p>
    <w:p>
      <w:pPr>
        <w:ind w:right="160" w:firstLine="629"/>
        <w:spacing w:after="0" w:line="273"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i w:val="1"/>
          <w:iCs w:val="1"/>
          <w:u w:val="single" w:color="auto"/>
          <w:color w:val="auto"/>
        </w:rPr>
        <w:t>Time of Exercise.</w:t>
      </w:r>
      <w:r>
        <w:rPr>
          <w:rFonts w:ascii="Arial" w:cs="Arial" w:eastAsia="Arial" w:hAnsi="Arial"/>
          <w:sz w:val="17"/>
          <w:szCs w:val="17"/>
          <w:color w:val="auto"/>
        </w:rPr>
        <w:t xml:space="preserve"> No Stock Option may be exercised unless it is exercised prior to the expiration of its stated term and, in connection with options granted to Employees of the Company or its Subsidiaries, at the time of such exercise, the Optionee is, and has been continuously since the date of grant of such Stock Option, employed by the Company or a Subsidiary, except that:</w:t>
      </w:r>
    </w:p>
    <w:p>
      <w:pPr>
        <w:spacing w:after="0" w:line="172" w:lineRule="exact"/>
        <w:rPr>
          <w:sz w:val="20"/>
          <w:szCs w:val="20"/>
          <w:color w:val="auto"/>
        </w:rPr>
      </w:pPr>
    </w:p>
    <w:p>
      <w:pPr>
        <w:ind w:left="640" w:right="20" w:firstLine="623"/>
        <w:spacing w:after="0" w:line="326" w:lineRule="auto"/>
        <w:tabs>
          <w:tab w:leader="none" w:pos="1896" w:val="left"/>
        </w:tabs>
        <w:numPr>
          <w:ilvl w:val="0"/>
          <w:numId w:val="433"/>
        </w:numPr>
        <w:rPr>
          <w:rFonts w:ascii="Arial" w:cs="Arial" w:eastAsia="Arial" w:hAnsi="Arial"/>
          <w:sz w:val="15"/>
          <w:szCs w:val="15"/>
          <w:color w:val="auto"/>
        </w:rPr>
      </w:pPr>
      <w:r>
        <w:rPr>
          <w:rFonts w:ascii="Arial" w:cs="Arial" w:eastAsia="Arial" w:hAnsi="Arial"/>
          <w:sz w:val="15"/>
          <w:szCs w:val="15"/>
          <w:color w:val="auto"/>
        </w:rPr>
        <w:t>A Stock Option may, to the extent vested as of the date the Optionee ceases to be an Employee of the Company or a Subsidiary, be exercised during the three-month period immediately following the date the Optionee ceases (for any reason other than death, Disability or Retirement) to be an Employee of the Company or a Subsidiary (or within such other period as may be specified in the applicable option agreement), provided that, if</w:t>
      </w:r>
    </w:p>
    <w:p>
      <w:pPr>
        <w:sectPr>
          <w:pgSz w:w="11900" w:h="16838" w:orient="portrait"/>
          <w:cols w:equalWidth="0" w:num="1">
            <w:col w:w="11420"/>
          </w:cols>
          <w:pgMar w:left="240" w:top="127" w:right="239" w:bottom="0" w:gutter="0" w:footer="0" w:header="0"/>
        </w:sectPr>
      </w:pPr>
    </w:p>
    <w:bookmarkStart w:id="322" w:name="page323"/>
    <w:bookmarkEnd w:id="322"/>
    <w:p>
      <w:pPr>
        <w:spacing w:after="0" w:line="32"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the Stock Option has been designated as an Incentive Stock Option and the option agreement provides for a longer exercise period, the exercise of such Stock Option after such three-month period shall be treated as the exercise of a Non-Qualified Stock Option;</w:t>
      </w:r>
    </w:p>
    <w:p>
      <w:pPr>
        <w:spacing w:after="0" w:line="158" w:lineRule="exact"/>
        <w:rPr>
          <w:sz w:val="20"/>
          <w:szCs w:val="20"/>
          <w:color w:val="auto"/>
        </w:rPr>
      </w:pPr>
    </w:p>
    <w:p>
      <w:pPr>
        <w:ind w:right="60" w:firstLine="623"/>
        <w:spacing w:after="0" w:line="265" w:lineRule="auto"/>
        <w:tabs>
          <w:tab w:leader="none" w:pos="1265" w:val="left"/>
        </w:tabs>
        <w:numPr>
          <w:ilvl w:val="0"/>
          <w:numId w:val="434"/>
        </w:numPr>
        <w:rPr>
          <w:rFonts w:ascii="Arial" w:cs="Arial" w:eastAsia="Arial" w:hAnsi="Arial"/>
          <w:sz w:val="17"/>
          <w:szCs w:val="17"/>
          <w:color w:val="auto"/>
        </w:rPr>
      </w:pPr>
      <w:r>
        <w:rPr>
          <w:rFonts w:ascii="Arial" w:cs="Arial" w:eastAsia="Arial" w:hAnsi="Arial"/>
          <w:sz w:val="17"/>
          <w:szCs w:val="17"/>
          <w:color w:val="auto"/>
        </w:rPr>
        <w:t>If the Optionee dies while entitled to exercise a Stock Option, such Stock Option may, to the extent vested as of the date of the Optionee’s death, be exercised by the Optionee’s Designated Beneficiary during the three year period immediately following the date of the Optionee’s death (or within such other period as may be specified in the applicable option agreement); provided that, if the Stock Option has been designated as an Incentive Stock Option and the option agreement provides for a longer exercise period, the exercise of such Stock Option after such one-year period shall be treated as the exercise of a Non-Qualified Stock Option;</w:t>
      </w:r>
    </w:p>
    <w:p>
      <w:pPr>
        <w:spacing w:after="0" w:line="179" w:lineRule="exact"/>
        <w:rPr>
          <w:rFonts w:ascii="Arial" w:cs="Arial" w:eastAsia="Arial" w:hAnsi="Arial"/>
          <w:sz w:val="17"/>
          <w:szCs w:val="17"/>
          <w:color w:val="auto"/>
        </w:rPr>
      </w:pPr>
    </w:p>
    <w:p>
      <w:pPr>
        <w:ind w:right="40" w:firstLine="623"/>
        <w:spacing w:after="0" w:line="265" w:lineRule="auto"/>
        <w:tabs>
          <w:tab w:leader="none" w:pos="1269" w:val="left"/>
        </w:tabs>
        <w:numPr>
          <w:ilvl w:val="0"/>
          <w:numId w:val="434"/>
        </w:numPr>
        <w:rPr>
          <w:rFonts w:ascii="Arial" w:cs="Arial" w:eastAsia="Arial" w:hAnsi="Arial"/>
          <w:sz w:val="17"/>
          <w:szCs w:val="17"/>
          <w:color w:val="auto"/>
        </w:rPr>
      </w:pPr>
      <w:r>
        <w:rPr>
          <w:rFonts w:ascii="Arial" w:cs="Arial" w:eastAsia="Arial" w:hAnsi="Arial"/>
          <w:sz w:val="17"/>
          <w:szCs w:val="17"/>
          <w:color w:val="auto"/>
        </w:rPr>
        <w:t>If the Optionee ceases to be an Employee of the Company or a Subsidiary by reason of the Optionee’s Disability or Retirement, a Stock Option, to the extent vested as of the date the Optionee ceases to be an Employee of the Company or a Subsidiary, may be exercised during the three year period immediately following the date of such cessation of employment (or within such other period as may be specified in the applicable option agreement); provided that, if the Stock Option has been designated as an Incentive Stock Option and the option agreement provides for a longer exercise period, the exercise of such</w:t>
      </w:r>
    </w:p>
    <w:p>
      <w:pPr>
        <w:spacing w:after="0" w:line="179"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Stock Option after such one-year period shall be treated as the exercise of a Non-Qualified Stock Option; and</w:t>
      </w:r>
    </w:p>
    <w:p>
      <w:pPr>
        <w:spacing w:after="0" w:line="224" w:lineRule="exact"/>
        <w:rPr>
          <w:sz w:val="20"/>
          <w:szCs w:val="20"/>
          <w:color w:val="auto"/>
        </w:rPr>
      </w:pPr>
    </w:p>
    <w:p>
      <w:pPr>
        <w:ind w:right="60" w:firstLine="623"/>
        <w:spacing w:after="0" w:line="289" w:lineRule="auto"/>
        <w:tabs>
          <w:tab w:leader="none" w:pos="1265" w:val="left"/>
        </w:tabs>
        <w:numPr>
          <w:ilvl w:val="0"/>
          <w:numId w:val="435"/>
        </w:numPr>
        <w:rPr>
          <w:rFonts w:ascii="Arial" w:cs="Arial" w:eastAsia="Arial" w:hAnsi="Arial"/>
          <w:sz w:val="17"/>
          <w:szCs w:val="17"/>
          <w:color w:val="auto"/>
        </w:rPr>
      </w:pPr>
      <w:r>
        <w:rPr>
          <w:rFonts w:ascii="Arial" w:cs="Arial" w:eastAsia="Arial" w:hAnsi="Arial"/>
          <w:sz w:val="17"/>
          <w:szCs w:val="17"/>
          <w:color w:val="auto"/>
        </w:rPr>
        <w:t>If the Optionee’s employment is terminated for Cause, all Stock Options held by such Optionee shall simultaneously terminate and will no longer be exercisable.</w:t>
      </w:r>
    </w:p>
    <w:p>
      <w:pPr>
        <w:spacing w:after="0" w:line="158"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 xml:space="preserve">Nothing contained in this </w:t>
      </w:r>
      <w:r>
        <w:rPr>
          <w:rFonts w:ascii="Arial" w:cs="Arial" w:eastAsia="Arial" w:hAnsi="Arial"/>
          <w:sz w:val="17"/>
          <w:szCs w:val="17"/>
          <w:u w:val="single" w:color="auto"/>
          <w:color w:val="auto"/>
        </w:rPr>
        <w:t>Subsection 6.4</w:t>
      </w:r>
      <w:r>
        <w:rPr>
          <w:rFonts w:ascii="Arial" w:cs="Arial" w:eastAsia="Arial" w:hAnsi="Arial"/>
          <w:sz w:val="17"/>
          <w:szCs w:val="17"/>
          <w:color w:val="auto"/>
        </w:rPr>
        <w:t xml:space="preserve"> will be deemed to extend the term of a Stock Option or to revive any Stock Option which has previously lapsed or been canceled, terminated or surrendered. Stock Options granted under this Plan to Consultants or non-employee Directors will contain such terms and conditions with respect to the death or disability of a Consultant or non-employee Director or termination of a Consultant’s or non-employee Director’s relationship with the Company as the Committee deems necessary or appropriate. Such terms and conditions will be set forth in the option agreements evidencing the grant of such Stock Options.</w:t>
      </w:r>
    </w:p>
    <w:p>
      <w:pPr>
        <w:spacing w:after="0" w:line="17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6"/>
          <w:szCs w:val="16"/>
          <w:color w:val="auto"/>
        </w:rPr>
        <w:t>Vesting of Stock Options.</w:t>
      </w:r>
    </w:p>
    <w:p>
      <w:pPr>
        <w:spacing w:after="0" w:line="224" w:lineRule="exact"/>
        <w:rPr>
          <w:sz w:val="20"/>
          <w:szCs w:val="20"/>
          <w:color w:val="auto"/>
        </w:rPr>
      </w:pPr>
    </w:p>
    <w:p>
      <w:pPr>
        <w:ind w:right="200" w:firstLine="623"/>
        <w:spacing w:after="0" w:line="265" w:lineRule="auto"/>
        <w:tabs>
          <w:tab w:leader="none" w:pos="1256" w:val="left"/>
        </w:tabs>
        <w:numPr>
          <w:ilvl w:val="0"/>
          <w:numId w:val="436"/>
        </w:numPr>
        <w:rPr>
          <w:rFonts w:ascii="Arial" w:cs="Arial" w:eastAsia="Arial" w:hAnsi="Arial"/>
          <w:sz w:val="17"/>
          <w:szCs w:val="17"/>
          <w:color w:val="auto"/>
        </w:rPr>
      </w:pPr>
      <w:r>
        <w:rPr>
          <w:rFonts w:ascii="Arial" w:cs="Arial" w:eastAsia="Arial" w:hAnsi="Arial"/>
          <w:sz w:val="17"/>
          <w:szCs w:val="17"/>
          <w:color w:val="auto"/>
        </w:rPr>
        <w:t>Each Stock Option granted pursuant to this Plan may only be exercised to the extent that the Optionee is vested in such Stock Option, except as specified below with respect to Early Exercise. Each Stock Option shall vest separately in accordance with the option vesting schedule determined by the Committee, which will be incorporated in the option agreement entered into between the Company and such Optionee. The option vesting schedule may be accelerated if, in the sole discretion of the Committee, the acceleration of the option vesting schedule would be in the best interests the Company.</w:t>
      </w:r>
    </w:p>
    <w:p>
      <w:pPr>
        <w:spacing w:after="0" w:line="179" w:lineRule="exact"/>
        <w:rPr>
          <w:sz w:val="20"/>
          <w:szCs w:val="20"/>
          <w:color w:val="auto"/>
        </w:rPr>
      </w:pPr>
    </w:p>
    <w:p>
      <w:pPr>
        <w:ind w:right="160" w:firstLine="62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Early Exercise”</w:t>
      </w:r>
      <w:r>
        <w:rPr>
          <w:rFonts w:ascii="Arial" w:cs="Arial" w:eastAsia="Arial" w:hAnsi="Arial"/>
          <w:sz w:val="17"/>
          <w:szCs w:val="17"/>
          <w:color w:val="auto"/>
        </w:rPr>
        <w:t xml:space="preserve"> means the exercise of a Stock Option prior to vesting in accordance with the applicable provisions of this Plan and the Award agreement evidencing the Stock Option. “</w:t>
      </w:r>
      <w:r>
        <w:rPr>
          <w:rFonts w:ascii="Arial" w:cs="Arial" w:eastAsia="Arial" w:hAnsi="Arial"/>
          <w:sz w:val="17"/>
          <w:szCs w:val="17"/>
          <w:i w:val="1"/>
          <w:iCs w:val="1"/>
          <w:color w:val="auto"/>
        </w:rPr>
        <w:t>Repurchase Rights</w:t>
      </w:r>
      <w:r>
        <w:rPr>
          <w:rFonts w:ascii="Arial" w:cs="Arial" w:eastAsia="Arial" w:hAnsi="Arial"/>
          <w:sz w:val="17"/>
          <w:szCs w:val="17"/>
          <w:color w:val="auto"/>
        </w:rPr>
        <w:t>” means the right the Company may have pursuant to this Plan or an Award agreement to repurchase unvested shares of Common Stock that the applicable Participant may have received through Early Exercise of a Stock Option or through an Award of Restricted Stock at the same price that such Participant paid (if any).</w:t>
      </w:r>
    </w:p>
    <w:p>
      <w:pPr>
        <w:spacing w:after="0" w:line="176" w:lineRule="exact"/>
        <w:rPr>
          <w:sz w:val="20"/>
          <w:szCs w:val="20"/>
          <w:color w:val="auto"/>
        </w:rPr>
      </w:pPr>
    </w:p>
    <w:p>
      <w:pPr>
        <w:ind w:right="60" w:firstLine="629"/>
        <w:spacing w:after="0" w:line="268" w:lineRule="auto"/>
        <w:rPr>
          <w:sz w:val="20"/>
          <w:szCs w:val="20"/>
          <w:color w:val="auto"/>
        </w:rPr>
      </w:pPr>
      <w:r>
        <w:rPr>
          <w:rFonts w:ascii="Arial" w:cs="Arial" w:eastAsia="Arial" w:hAnsi="Arial"/>
          <w:sz w:val="17"/>
          <w:szCs w:val="17"/>
          <w:color w:val="auto"/>
        </w:rPr>
        <w:t>An Award agreement covering a Non-Qualified Stock Option may (in the Committee’s sole discretion) permit the Early Exercise of all or a portion of such Stock Option prior to the vesting of such Stock Option, but only prior to an Initial Public Offering. Shares purchased through the Early Exercise of such Option will be restricted and will be subject to the same vesting schedule as set forth in the Stock Option, and will also be subject to any repurchase rights if provided in the Award agreement.</w:t>
      </w:r>
    </w:p>
    <w:p>
      <w:pPr>
        <w:spacing w:after="0" w:line="176" w:lineRule="exact"/>
        <w:rPr>
          <w:sz w:val="20"/>
          <w:szCs w:val="20"/>
          <w:color w:val="auto"/>
        </w:rPr>
      </w:pPr>
    </w:p>
    <w:p>
      <w:pPr>
        <w:ind w:firstLine="623"/>
        <w:spacing w:after="0" w:line="265" w:lineRule="auto"/>
        <w:tabs>
          <w:tab w:leader="none" w:pos="1265" w:val="left"/>
        </w:tabs>
        <w:numPr>
          <w:ilvl w:val="0"/>
          <w:numId w:val="437"/>
        </w:numPr>
        <w:rPr>
          <w:rFonts w:ascii="Arial" w:cs="Arial" w:eastAsia="Arial" w:hAnsi="Arial"/>
          <w:sz w:val="17"/>
          <w:szCs w:val="17"/>
          <w:color w:val="auto"/>
        </w:rPr>
      </w:pPr>
      <w:r>
        <w:rPr>
          <w:rFonts w:ascii="Arial" w:cs="Arial" w:eastAsia="Arial" w:hAnsi="Arial"/>
          <w:sz w:val="17"/>
          <w:szCs w:val="17"/>
          <w:color w:val="auto"/>
        </w:rPr>
        <w:t xml:space="preserve">In the event of the dissolution or liquidation of the Company, each Stock Option granted pursuant to this Plan shall terminate as of a date to be fixed by the Committee; provided, however, that not less than thirty (30) days’ written notice of the date so fixed shall be given to each Optionee. During such period all Stock Options which have not previously been terminated, exercised or surrendered will (subject to the provisions of </w:t>
      </w:r>
      <w:r>
        <w:rPr>
          <w:rFonts w:ascii="Arial" w:cs="Arial" w:eastAsia="Arial" w:hAnsi="Arial"/>
          <w:sz w:val="17"/>
          <w:szCs w:val="17"/>
          <w:u w:val="single" w:color="auto"/>
          <w:color w:val="auto"/>
        </w:rPr>
        <w:t>Subsections 6.3 and 6.4</w:t>
      </w:r>
      <w:r>
        <w:rPr>
          <w:rFonts w:ascii="Arial" w:cs="Arial" w:eastAsia="Arial" w:hAnsi="Arial"/>
          <w:sz w:val="17"/>
          <w:szCs w:val="17"/>
          <w:color w:val="auto"/>
        </w:rPr>
        <w:t>) fully vest and become exercisable, notwithstanding the vesting schedule set forth in the option agreement evidencing the grant of such Stock Option. Upon</w:t>
      </w:r>
    </w:p>
    <w:p>
      <w:pPr>
        <w:spacing w:after="0" w:line="179"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the date fixed by the Committee, any unexercised Stock Options shall terminate and be of no further effect.</w:t>
      </w:r>
    </w:p>
    <w:p>
      <w:pPr>
        <w:spacing w:after="0" w:line="224" w:lineRule="exact"/>
        <w:rPr>
          <w:sz w:val="20"/>
          <w:szCs w:val="20"/>
          <w:color w:val="auto"/>
        </w:rPr>
      </w:pPr>
    </w:p>
    <w:p>
      <w:pPr>
        <w:ind w:right="340" w:firstLine="623"/>
        <w:spacing w:after="0" w:line="285" w:lineRule="auto"/>
        <w:tabs>
          <w:tab w:leader="none" w:pos="1269" w:val="left"/>
        </w:tabs>
        <w:numPr>
          <w:ilvl w:val="0"/>
          <w:numId w:val="438"/>
        </w:numPr>
        <w:rPr>
          <w:rFonts w:ascii="Arial" w:cs="Arial" w:eastAsia="Arial" w:hAnsi="Arial"/>
          <w:sz w:val="16"/>
          <w:szCs w:val="16"/>
          <w:color w:val="auto"/>
        </w:rPr>
      </w:pPr>
      <w:r>
        <w:rPr>
          <w:rFonts w:ascii="Arial" w:cs="Arial" w:eastAsia="Arial" w:hAnsi="Arial"/>
          <w:sz w:val="16"/>
          <w:szCs w:val="16"/>
          <w:color w:val="auto"/>
        </w:rPr>
        <w:t>Upon a Change in Control, all Stock Options and any associated Stock Appreciation Rights will be treated in accordance with the applicable Award agreements. An Award agreement granting an Award pursuant to this Plan may be amended, with the written consent of the parties thereto, to modify the treatment of any Stock Options or Stock Appreciation Rights upon Change in Control as specified in the associated Award agreement. In particular, an Award agreement granting an Award pursuant to this Plan may be amended to eliminate any provision in the associated Award agreement providing for immediate exercisability of Stock Options or Stock Appreciation Rights upon Change in Control.</w:t>
      </w:r>
    </w:p>
    <w:p>
      <w:pPr>
        <w:spacing w:after="0" w:line="16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5"/>
          <w:szCs w:val="15"/>
          <w:color w:val="auto"/>
        </w:rPr>
        <w:t>Manner of Exercise of Stock Options.</w:t>
      </w:r>
    </w:p>
    <w:p>
      <w:pPr>
        <w:spacing w:after="0" w:line="224" w:lineRule="exact"/>
        <w:rPr>
          <w:sz w:val="20"/>
          <w:szCs w:val="20"/>
          <w:color w:val="auto"/>
        </w:rPr>
      </w:pPr>
    </w:p>
    <w:p>
      <w:pPr>
        <w:ind w:right="120" w:firstLine="623"/>
        <w:spacing w:after="0" w:line="299" w:lineRule="auto"/>
        <w:tabs>
          <w:tab w:leader="none" w:pos="1256" w:val="left"/>
        </w:tabs>
        <w:numPr>
          <w:ilvl w:val="0"/>
          <w:numId w:val="439"/>
        </w:numPr>
        <w:rPr>
          <w:rFonts w:ascii="Arial" w:cs="Arial" w:eastAsia="Arial" w:hAnsi="Arial"/>
          <w:sz w:val="15"/>
          <w:szCs w:val="15"/>
          <w:color w:val="auto"/>
        </w:rPr>
      </w:pPr>
      <w:r>
        <w:rPr>
          <w:rFonts w:ascii="Arial" w:cs="Arial" w:eastAsia="Arial" w:hAnsi="Arial"/>
          <w:sz w:val="15"/>
          <w:szCs w:val="15"/>
          <w:color w:val="auto"/>
        </w:rPr>
        <w:t>Except as otherwise provided in this Plan, Stock Options may be exercised as to Shares only in amounts and at intervals of time specified in the written option agreement between the Company and the Optionee. Each exercise of a Stock Option, or any part thereof, will, unless otherwise provided in a specific Award agreement, be pursuant to the administrative procedures established by the Company or its authorized designee. Payment for the Shares to be purchased upon exercise of a Stock Option may be made in cash (by check) or in one or more of the following methods as may be stated in the Award agreement (at the Date of Grant with respect to any Stock Option granted as an Incentive Stock Option), approved by the Company and where permitted by law: (i) if a public market for the Common Stock exists, in a cashless exercise through a “same day sale” arrangement between the Optionee and a broker-dealer that is a member of the NASD (an “</w:t>
      </w:r>
      <w:r>
        <w:rPr>
          <w:rFonts w:ascii="Arial" w:cs="Arial" w:eastAsia="Arial" w:hAnsi="Arial"/>
          <w:sz w:val="15"/>
          <w:szCs w:val="15"/>
          <w:u w:val="single" w:color="auto"/>
          <w:color w:val="auto"/>
        </w:rPr>
        <w:t>NASD Dealer</w:t>
      </w:r>
      <w:r>
        <w:rPr>
          <w:rFonts w:ascii="Arial" w:cs="Arial" w:eastAsia="Arial" w:hAnsi="Arial"/>
          <w:sz w:val="15"/>
          <w:szCs w:val="15"/>
          <w:color w:val="auto"/>
        </w:rPr>
        <w:t>”) whereby the Optionee elects to exercise the Stock Option and to sell a portion of the shares of Common Stock so purchased to pay for the exercise price and whereby the NASD Dealer commits upon receipt of such shares of Common Stock from the Company in order to complete the Optionee’s trade, to forward the exercise price, received by the NASD Dealer as a result of the trade executed on the same-day as the receipt of the Shares from the Company, directly to the Company; (ii) if a public market for that</w:t>
      </w:r>
    </w:p>
    <w:p>
      <w:pPr>
        <w:sectPr>
          <w:pgSz w:w="11900" w:h="16871" w:orient="portrait"/>
          <w:cols w:equalWidth="0" w:num="1">
            <w:col w:w="10780"/>
          </w:cols>
          <w:pgMar w:left="880" w:top="127" w:right="239" w:bottom="0" w:gutter="0" w:footer="0" w:header="0"/>
        </w:sectPr>
      </w:pPr>
    </w:p>
    <w:bookmarkStart w:id="323" w:name="page324"/>
    <w:bookmarkEnd w:id="323"/>
    <w:p>
      <w:pPr>
        <w:ind w:left="640"/>
        <w:spacing w:after="0" w:line="279" w:lineRule="auto"/>
        <w:rPr>
          <w:sz w:val="20"/>
          <w:szCs w:val="20"/>
          <w:color w:val="auto"/>
        </w:rPr>
      </w:pPr>
      <w:r>
        <w:rPr>
          <w:rFonts w:ascii="Arial" w:cs="Arial" w:eastAsia="Arial" w:hAnsi="Arial"/>
          <w:sz w:val="16"/>
          <w:szCs w:val="16"/>
          <w:color w:val="auto"/>
        </w:rPr>
        <w:t>class of Common Stock exists, through a “margin” commitment from the Optionee and an NASD Dealer whereby the Optionee elects to exercise the Stock Option and to pledge the shares of Common Stock so purchased to the NASD Dealer in a margin account as security for a loan from the NASD Dealer in the amount of the exercise price, and whereby the NASD Dealer commits upon receipt of such shares of Common Stock to forward the exercise price directly to the Company; (iii) by surrender for cancellation of Qualifying Shares at the Fair Market Value per share at the time of exercise (provided that such surrender does not result in an accounting charge for the Company); (iv) where approved by the Committee at the time of exercise, pursuant to Section 3.2(v) of the Plan, by delivery of the Optionee’s promissory note with such recourse, interest, security, redemption and other provisions as the Committee may require, provided that the par value of each of the shares of Common Stock to be purchased is paid for in cash; or (v) in any other form of valid consideration that is acceptable to the Committee in its sole discretion. No shares of Common Stock may be issued until arrangements for the full payment of the purchase price therefor has been made.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520"/>
        <w:spacing w:after="0" w:line="322" w:lineRule="auto"/>
        <w:rPr>
          <w:sz w:val="20"/>
          <w:szCs w:val="20"/>
          <w:color w:val="auto"/>
        </w:rPr>
      </w:pPr>
      <w:r>
        <w:rPr>
          <w:rFonts w:ascii="Arial" w:cs="Arial" w:eastAsia="Arial" w:hAnsi="Arial"/>
          <w:sz w:val="16"/>
          <w:szCs w:val="16"/>
          <w:color w:val="auto"/>
        </w:rPr>
        <w:t>payment options provided in Section 6.6(a)(i), (ii), or (iv) above shall not be available to any Optionee who is a Director or executive officer of the Company or any Affiliate if such payment option would be treated as a personal loan prohibited under Section 13(k) of the Exchange Act.</w:t>
      </w:r>
    </w:p>
    <w:p>
      <w:pPr>
        <w:spacing w:after="0" w:line="136" w:lineRule="exact"/>
        <w:rPr>
          <w:sz w:val="20"/>
          <w:szCs w:val="20"/>
          <w:color w:val="auto"/>
        </w:rPr>
      </w:pPr>
    </w:p>
    <w:p>
      <w:pPr>
        <w:ind w:left="640" w:right="20" w:firstLine="623"/>
        <w:spacing w:after="0" w:line="279" w:lineRule="auto"/>
        <w:tabs>
          <w:tab w:leader="none" w:pos="1905" w:val="left"/>
        </w:tabs>
        <w:numPr>
          <w:ilvl w:val="0"/>
          <w:numId w:val="440"/>
        </w:numPr>
        <w:rPr>
          <w:rFonts w:ascii="Arial" w:cs="Arial" w:eastAsia="Arial" w:hAnsi="Arial"/>
          <w:sz w:val="16"/>
          <w:szCs w:val="16"/>
          <w:color w:val="auto"/>
        </w:rPr>
      </w:pPr>
      <w:r>
        <w:rPr>
          <w:rFonts w:ascii="Arial" w:cs="Arial" w:eastAsia="Arial" w:hAnsi="Arial"/>
          <w:sz w:val="16"/>
          <w:szCs w:val="16"/>
          <w:color w:val="auto"/>
        </w:rPr>
        <w:t>If, as permitted in the option agreement or by the Committee, an Optionee delivers Shares already owned by the Optionee in full or partial payment of the exercise price for any Stock Option or the Optionee elects to have the Company retain that number of Shares out of the Shares being acquired through the exercise of the Stock Option having a Fair Market Value equal to the exercise price of the Stock Option being exercised, the Committee may, in its sole discretion, authorize the grant of a new Stock Option (a “</w:t>
      </w:r>
      <w:r>
        <w:rPr>
          <w:rFonts w:ascii="Arial" w:cs="Arial" w:eastAsia="Arial" w:hAnsi="Arial"/>
          <w:sz w:val="16"/>
          <w:szCs w:val="16"/>
          <w:u w:val="single" w:color="auto"/>
          <w:color w:val="auto"/>
        </w:rPr>
        <w:t>Reload Option</w:t>
      </w:r>
      <w:r>
        <w:rPr>
          <w:rFonts w:ascii="Arial" w:cs="Arial" w:eastAsia="Arial" w:hAnsi="Arial"/>
          <w:sz w:val="16"/>
          <w:szCs w:val="16"/>
          <w:color w:val="auto"/>
        </w:rPr>
        <w:t>”) for that number of Shares equal to the number of already owned Shares surrendered or newly acquired Shares being retained by the Company in payment of the option exercise price of the underlying Stock Option being exercised. The grant of a Reload Option will become effective upon the exercise of the underlying Stock Option. The option exercise price of the Reload Option shall be the Fair Market Value of a Share on the effective date of the grant of the Reload Option. Each Reload Option shall be exercisable no later than the time when the underlying stock option being exercised could be last exercised. The Committee may also specify additional terms, conditions and restrictions for the Reload Option and the Shares to be acquired upon the exercise thereof.</w:t>
      </w:r>
    </w:p>
    <w:p>
      <w:pPr>
        <w:spacing w:after="0" w:line="172" w:lineRule="exact"/>
        <w:rPr>
          <w:rFonts w:ascii="Arial" w:cs="Arial" w:eastAsia="Arial" w:hAnsi="Arial"/>
          <w:sz w:val="16"/>
          <w:szCs w:val="16"/>
          <w:color w:val="auto"/>
        </w:rPr>
      </w:pPr>
    </w:p>
    <w:p>
      <w:pPr>
        <w:ind w:left="640" w:right="160" w:firstLine="623"/>
        <w:spacing w:after="0" w:line="360" w:lineRule="auto"/>
        <w:tabs>
          <w:tab w:leader="none" w:pos="1909" w:val="left"/>
        </w:tabs>
        <w:numPr>
          <w:ilvl w:val="0"/>
          <w:numId w:val="440"/>
        </w:numPr>
        <w:rPr>
          <w:rFonts w:ascii="Arial" w:cs="Arial" w:eastAsia="Arial" w:hAnsi="Arial"/>
          <w:sz w:val="15"/>
          <w:szCs w:val="15"/>
          <w:color w:val="auto"/>
        </w:rPr>
      </w:pPr>
      <w:r>
        <w:rPr>
          <w:rFonts w:ascii="Arial" w:cs="Arial" w:eastAsia="Arial" w:hAnsi="Arial"/>
          <w:sz w:val="15"/>
          <w:szCs w:val="15"/>
          <w:color w:val="auto"/>
        </w:rPr>
        <w:t>An Optionee shall not have any of the rights of a shareholder of the Company with respect to the Shares subject to a Stock Option except to the extent that such Stock Option is exercised and one or more certificates representing such Shares shall have been delivered to the Optionee.</w:t>
      </w:r>
    </w:p>
    <w:p>
      <w:pPr>
        <w:spacing w:after="0" w:line="112"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i w:val="1"/>
          <w:iCs w:val="1"/>
          <w:u w:val="single" w:color="auto"/>
          <w:color w:val="auto"/>
        </w:rPr>
        <w:t>First Refusal Rights</w:t>
      </w:r>
      <w:r>
        <w:rPr>
          <w:rFonts w:ascii="Arial" w:cs="Arial" w:eastAsia="Arial" w:hAnsi="Arial"/>
          <w:sz w:val="17"/>
          <w:szCs w:val="17"/>
          <w:color w:val="auto"/>
        </w:rPr>
        <w:t>. Until such time as the Common Stock is first registered under Section 12 of the Exchange Act, the Company shall have the right of first refusal with respect to any proposed disposition by the Optionee (or any successor in interest) of any Shares issued under the Plan. Such right of first refusal shall be exercisable in accordance with the terms established by the Committee.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7</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APPRECIATION RIGHTS</w:t>
      </w:r>
    </w:p>
    <w:p>
      <w:pPr>
        <w:spacing w:after="0" w:line="212"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i w:val="1"/>
          <w:iCs w:val="1"/>
          <w:color w:val="auto"/>
        </w:rPr>
        <w:t>Grants.</w:t>
      </w:r>
      <w:r>
        <w:rPr>
          <w:rFonts w:ascii="Arial" w:cs="Arial" w:eastAsia="Arial" w:hAnsi="Arial"/>
          <w:sz w:val="17"/>
          <w:szCs w:val="17"/>
          <w:color w:val="auto"/>
        </w:rPr>
        <w:t xml:space="preserve"> The Committee or the Board may grant to any eligible Consultant, non-employee Director or Employee of the Company or a Subsidiary a stand-alone Stock Appreciation Right or a Stock Appreciation Right issued in tandem with a Stock Option. Stock Appreciation Rights shall be subject to such terms and conditions as the Committee or the Board shall impose. The grant of the Stock Appreciation Right may provide that the holder will be paid for the value of the Stock Appreciation Right either in cash or in Shares, or a combination thereof, at the sole discretion of the Committee or the Board. In the event of the exercise of a Stock Appreciation Right payable in Shares, the holder of the Stock Appreciation Right shall receive that number of whole Shares having an aggregate Fair Market Value on the date of exercise equal to the value obtained by multiplying (i) either (a) in the case of a Stock Appreciation Right issued in tandem with a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Option, the difference between the Fair Market Value of a Share on the date of exercise over the exercise price per share of the related Stock Option, or (b) in the case of a stand-alone Stock Appreciation Right, the difference between the Fair Market Value of a Share on the date of exercise over the Fair Market Value of a Share on the date of the grant of the Stock Appreciation Right by (ii) the number of Shares with respect to which the Stock Appreciation Right is exercised. However, notwithstanding the foregoing, the Committee or the Board, in its sole discretion, may place a ceiling on the amount payable upon exercise of a Stock Appreciation Right, but any such limitation shall be specified at the time that the Stock Appreciation Right is granted.</w:t>
      </w:r>
    </w:p>
    <w:p>
      <w:pPr>
        <w:spacing w:after="0" w:line="166" w:lineRule="exact"/>
        <w:rPr>
          <w:sz w:val="20"/>
          <w:szCs w:val="20"/>
          <w:color w:val="auto"/>
        </w:rPr>
      </w:pPr>
    </w:p>
    <w:p>
      <w:pPr>
        <w:ind w:right="20" w:firstLine="629"/>
        <w:spacing w:after="0" w:line="279"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Exercisability.</w:t>
      </w:r>
      <w:r>
        <w:rPr>
          <w:rFonts w:ascii="Arial" w:cs="Arial" w:eastAsia="Arial" w:hAnsi="Arial"/>
          <w:sz w:val="16"/>
          <w:szCs w:val="16"/>
          <w:color w:val="auto"/>
        </w:rPr>
        <w:t xml:space="preserve"> A Stock Appreciation Right granted in tandem with an Incentive Stock Option (i) may be exercised at, and only at, the times and to the extent the related Incentive Stock Option is exercisable, (ii) will expire upon the termination or expiration of the related Incentive Stock Option, (iii) may not result in a Participant realizing more than 100% of the difference between the exercise price of the related Incentive Stock Option and the Fair Market Value of the Shares subject to the related Incentive Stock Option at the time the Stock Appreciation Right is exercised, and (iv) may be exercised at, and only at, such times as the Fair Market Value of the Shares subject to the related Incentive Stock Option exceeds the exercise price of the related Incentive Stock Option. A Stock Appreciation Right granted in tandem with a Non-Qualified Stock Option will be exercisable as provided by the Committee or the Board and will have such other terms and conditions as the Committee or the Board may determine. A Stock Appreciation Right may be transferred at, and only at, the times and to the extent the related Stock Option is transferable. If a Stock Appreciation Right is granted in tandem with a Stock Option, there shall be surrendered and cancelled from the related Stock Option at the time of exercise of the Stock Appreciation Right, in lieu of exercise pursuant to the related Stock Option, that number of Shares as shall equal the number of Shares as to which the tandem Stock Appreciation Right shall have been exercised.</w:t>
      </w:r>
    </w:p>
    <w:p>
      <w:pPr>
        <w:spacing w:after="0" w:line="168" w:lineRule="exact"/>
        <w:rPr>
          <w:sz w:val="20"/>
          <w:szCs w:val="20"/>
          <w:color w:val="auto"/>
        </w:rPr>
      </w:pPr>
    </w:p>
    <w:p>
      <w:pPr>
        <w:ind w:right="100" w:firstLine="629"/>
        <w:spacing w:after="0" w:line="26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i w:val="1"/>
          <w:iCs w:val="1"/>
          <w:color w:val="auto"/>
        </w:rPr>
        <w:t>Certain Limitations on Non-Tandem Stock Appreciation Rights.</w:t>
      </w:r>
      <w:r>
        <w:rPr>
          <w:rFonts w:ascii="Arial" w:cs="Arial" w:eastAsia="Arial" w:hAnsi="Arial"/>
          <w:sz w:val="17"/>
          <w:szCs w:val="17"/>
          <w:color w:val="auto"/>
        </w:rPr>
        <w:t xml:space="preserve"> A stand-alone Stock Appreciation Right will be exercisable as provided by the Committee or the Board and will have such other terms and conditions as the Committee or the Board may determine. A stand-alone Stock Appreciation Right is subject to acceleration of vesting or immediate termination in certain circumstances in the same manner as Stock Options pursuant to </w:t>
      </w:r>
      <w:r>
        <w:rPr>
          <w:rFonts w:ascii="Arial" w:cs="Arial" w:eastAsia="Arial" w:hAnsi="Arial"/>
          <w:sz w:val="17"/>
          <w:szCs w:val="17"/>
          <w:u w:val="single" w:color="auto"/>
          <w:color w:val="auto"/>
        </w:rPr>
        <w:t>Subsections 6.4 and 6.5</w:t>
      </w:r>
      <w:r>
        <w:rPr>
          <w:rFonts w:ascii="Arial" w:cs="Arial" w:eastAsia="Arial" w:hAnsi="Arial"/>
          <w:sz w:val="17"/>
          <w:szCs w:val="17"/>
          <w:color w:val="auto"/>
        </w:rPr>
        <w:t xml:space="preserve"> of this Plan.</w:t>
      </w:r>
    </w:p>
    <w:p>
      <w:pPr>
        <w:spacing w:after="0" w:line="176" w:lineRule="exact"/>
        <w:rPr>
          <w:sz w:val="20"/>
          <w:szCs w:val="20"/>
          <w:color w:val="auto"/>
        </w:rPr>
      </w:pPr>
    </w:p>
    <w:p>
      <w:pPr>
        <w:ind w:right="320" w:firstLine="629"/>
        <w:spacing w:after="0" w:line="273"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i w:val="1"/>
          <w:iCs w:val="1"/>
          <w:color w:val="auto"/>
        </w:rPr>
        <w:t>Limited Stock Appreciation Rights.</w:t>
      </w:r>
      <w:r>
        <w:rPr>
          <w:rFonts w:ascii="Arial" w:cs="Arial" w:eastAsia="Arial" w:hAnsi="Arial"/>
          <w:sz w:val="17"/>
          <w:szCs w:val="17"/>
          <w:color w:val="auto"/>
        </w:rPr>
        <w:t xml:space="preserve"> The Committee and the Board may grant Stock Appreciation Rights which will become exercisable only upon the occurrence of a Change in Control or such other event as the Committee or the Board may designate at the time of grant or thereafter. Such a Stock Appreciation Right may be issued either as a stand-alone Stock Appreciation Right or in tandem with a Stock Option.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8</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STOCK</w:t>
      </w:r>
    </w:p>
    <w:p>
      <w:pPr>
        <w:sectPr>
          <w:pgSz w:w="11900" w:h="16838" w:orient="portrait"/>
          <w:cols w:equalWidth="0" w:num="1">
            <w:col w:w="11420"/>
          </w:cols>
          <w:pgMar w:left="240" w:top="127" w:right="239" w:bottom="0" w:gutter="0" w:footer="0" w:header="0"/>
        </w:sectPr>
      </w:pPr>
    </w:p>
    <w:bookmarkStart w:id="324" w:name="page325"/>
    <w:bookmarkEnd w:id="324"/>
    <w:p>
      <w:pPr>
        <w:ind w:right="100" w:firstLine="629"/>
        <w:spacing w:after="0" w:line="273"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i w:val="1"/>
          <w:iCs w:val="1"/>
          <w:u w:val="single" w:color="auto"/>
          <w:color w:val="auto"/>
        </w:rPr>
        <w:t>Grants.</w:t>
      </w:r>
      <w:r>
        <w:rPr>
          <w:rFonts w:ascii="Arial" w:cs="Arial" w:eastAsia="Arial" w:hAnsi="Arial"/>
          <w:sz w:val="17"/>
          <w:szCs w:val="17"/>
          <w:color w:val="auto"/>
        </w:rPr>
        <w:t xml:space="preserve"> The Committee may grant Awards of Restricted Stock to any eligible Consultant, non-employee Director or employee of the Company or a Subsidiary for such minimum consideration, if any, as may be required by applicable law or such greater consideration as may be determined by the Committee, in its sole discretion. The terms and conditions of the Restricted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 xml:space="preserve">Stock shall be specified by the grant agreement. The Committee, in its sole discretion, may specify any particular rights which the Participant to whom a grant of Restricted Stock is made shall have in the Restricted Stock during the restriction period and the restrictions applicable to the particular Award, the vesting schedule (which may be based on service, performance or other factors) and rights to acceleration of vesting (including, without limitation, whether non-vested Shares are forfeited or vested upon termination of employment). Further, the Committee may grant performance-based Awards consisting of Restricted Stock by conditioning the grant, or vesting or such other factors, such as the release, expiration or lapse of restrictions upon any such Award (including the acceleration of any such conditions or terms) of such Restricted Stock upon the attainment of specified performance goals or such other factors as the Committee may determine. The Committee shall also determine when the restrictions shall lapse or expire and the conditions, if any, pursuant to which the Restricted Stock will be forfeited or sold back to the Company. Each Award of Restricted Stock may have different restrictions and conditions. Unless otherwise set forth in the grant agreement, Restricted Stock may not be sold, pledged, encumbered or otherwise disposed of by the recipient until the restrictions specified in the Award expire. Awards of Restricted Stock are subject to acceleration of vesting, termination of restrictions and termination in the same manner as Stock Options pursuant to </w:t>
      </w:r>
      <w:r>
        <w:rPr>
          <w:rFonts w:ascii="Arial" w:cs="Arial" w:eastAsia="Arial" w:hAnsi="Arial"/>
          <w:sz w:val="17"/>
          <w:szCs w:val="17"/>
          <w:u w:val="single" w:color="auto"/>
          <w:color w:val="auto"/>
        </w:rPr>
        <w:t>Subsections 6.4</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 6.5</w:t>
      </w:r>
      <w:r>
        <w:rPr>
          <w:rFonts w:ascii="Arial" w:cs="Arial" w:eastAsia="Arial" w:hAnsi="Arial"/>
          <w:sz w:val="17"/>
          <w:szCs w:val="17"/>
          <w:color w:val="auto"/>
        </w:rPr>
        <w:t xml:space="preserve"> of this Plan.</w:t>
      </w:r>
    </w:p>
    <w:p>
      <w:pPr>
        <w:spacing w:after="0" w:line="188" w:lineRule="exact"/>
        <w:rPr>
          <w:sz w:val="20"/>
          <w:szCs w:val="20"/>
          <w:color w:val="auto"/>
        </w:rPr>
      </w:pPr>
    </w:p>
    <w:p>
      <w:pPr>
        <w:ind w:right="20" w:firstLine="629"/>
        <w:spacing w:after="0" w:line="308"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i w:val="1"/>
          <w:iCs w:val="1"/>
          <w:u w:val="single" w:color="auto"/>
          <w:color w:val="auto"/>
        </w:rPr>
        <w:t>Awards and Certificates.</w:t>
      </w:r>
      <w:r>
        <w:rPr>
          <w:rFonts w:ascii="Arial" w:cs="Arial" w:eastAsia="Arial" w:hAnsi="Arial"/>
          <w:sz w:val="15"/>
          <w:szCs w:val="15"/>
          <w:color w:val="auto"/>
        </w:rPr>
        <w:t xml:space="preserve"> Any Restricted Stock issued hereunder may be evidenced in such manner as the Committee, in its sole discretion, shall deem appropriate including, without limitation, book-entry registration or issuance of a stock certificate or certificates. In the event any stock certificate is issued in respect of Shares of Restricted Stock, such certificate shall bear an appropriate legend with respect to the restrictions applicable to such Award. The Company may retain, at its option, the physical custody of any stock certificate representing any awards of Restricted Stock during the restriction period or require that the certificates evidencing Restricted Stock be placed in escrow or trust, along with a stock power endorsed in blank, until all restrictions are removed or expire.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9</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PERFORMANCE AWARDS</w:t>
      </w:r>
    </w:p>
    <w:p>
      <w:pPr>
        <w:spacing w:after="0" w:line="212" w:lineRule="exact"/>
        <w:rPr>
          <w:sz w:val="20"/>
          <w:szCs w:val="20"/>
          <w:color w:val="auto"/>
        </w:rPr>
      </w:pPr>
    </w:p>
    <w:p>
      <w:pPr>
        <w:ind w:right="60" w:firstLine="629"/>
        <w:spacing w:after="0" w:line="280"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u w:val="single" w:color="auto"/>
          <w:color w:val="auto"/>
        </w:rPr>
        <w:t>Grants</w:t>
      </w:r>
      <w:r>
        <w:rPr>
          <w:rFonts w:ascii="Arial" w:cs="Arial" w:eastAsia="Arial" w:hAnsi="Arial"/>
          <w:sz w:val="16"/>
          <w:szCs w:val="16"/>
          <w:u w:val="single" w:color="auto"/>
          <w:color w:val="auto"/>
        </w:rPr>
        <w:t>.</w:t>
      </w:r>
      <w:r>
        <w:rPr>
          <w:rFonts w:ascii="Arial" w:cs="Arial" w:eastAsia="Arial" w:hAnsi="Arial"/>
          <w:sz w:val="16"/>
          <w:szCs w:val="16"/>
          <w:color w:val="auto"/>
        </w:rPr>
        <w:t xml:space="preserve"> A Performance Award may consist of either or both, as the Committee may determine, of (i) the right to receive Shares or Restricted Stock, or any combination thereof as the Committee may determine or (ii) the right to receive a fixed dollar amount payable in Shares, Restricted Stock, cash or any combination thereof, as the Committee may determine. The Committee may grant Performance Awards to any eligible Consultant, non-employee Director or employee of the Company or a Subsidiary, for such minimum consideration, if any, as may be required by applicable law or such greater consideration as may be determined by the Committee, in its sole discretion. The terms and conditions of Performance Awards shall be specified at the time of the grant and may include provisions establishing the performance period, the performance criteria to be achieved during a performance period, the criteria used to determine vesting (including the acceleration thereof), whether Performance Awards are forfeited or vest upon termination of employment during a performance period and the maximum or minimum settlement values. Each Performance Award shall have its own terms and conditions, which shall be determined in the sole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 xml:space="preserve">discretion of the Committee. If the Committee determines, in its sole discretion, that the established performance measures or objectives are no longer suitable because of a change in the Company’s business, operations, corporate structure or for other reasons that the Committee deems satisfactory, the Committee may modify the performance measures or objectives and/or the performance period. Performance Awards are subject to acceleration of vesting, termination of restrictions and termination in the same manner as Stock Options pursuant to </w:t>
      </w:r>
      <w:r>
        <w:rPr>
          <w:rFonts w:ascii="Arial" w:cs="Arial" w:eastAsia="Arial" w:hAnsi="Arial"/>
          <w:sz w:val="16"/>
          <w:szCs w:val="16"/>
          <w:u w:val="single" w:color="auto"/>
          <w:color w:val="auto"/>
        </w:rPr>
        <w:t>Subsections 6.4 and 6.5</w:t>
      </w:r>
      <w:r>
        <w:rPr>
          <w:rFonts w:ascii="Arial" w:cs="Arial" w:eastAsia="Arial" w:hAnsi="Arial"/>
          <w:sz w:val="16"/>
          <w:szCs w:val="16"/>
          <w:color w:val="auto"/>
        </w:rPr>
        <w:t xml:space="preserve"> of this Plan.</w:t>
      </w:r>
    </w:p>
    <w:p>
      <w:pPr>
        <w:spacing w:after="0" w:line="159" w:lineRule="exact"/>
        <w:rPr>
          <w:sz w:val="20"/>
          <w:szCs w:val="20"/>
          <w:color w:val="auto"/>
        </w:rPr>
      </w:pPr>
    </w:p>
    <w:p>
      <w:pPr>
        <w:ind w:right="60" w:firstLine="629"/>
        <w:spacing w:after="0" w:line="280"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u w:val="single" w:color="auto"/>
          <w:color w:val="auto"/>
        </w:rPr>
        <w:t>Terms and Conditions.</w:t>
      </w:r>
      <w:r>
        <w:rPr>
          <w:rFonts w:ascii="Arial" w:cs="Arial" w:eastAsia="Arial" w:hAnsi="Arial"/>
          <w:sz w:val="16"/>
          <w:szCs w:val="16"/>
          <w:color w:val="auto"/>
        </w:rPr>
        <w:t xml:space="preserve"> Performance Awards may be valued by reference to the Fair Market Value of a Share or according to any other formula or method deemed appropriate by the Committee, in its sole discretion, including, but not limited to, achievement of specific financial, production, sales, cost or earnings performance objectives that the Committee believes to be relevant or the Company’s performance or the performance of the Shares measured against the performance of the market, the Company’s industry segment or its direct competitors. Performance Awards may also be conditioned upon the applicable Participant remaining in the employ of the Company or one of its Subsidiaries for a specified period. Performance Awards may be paid in cash, Shares (including Restricted Stock) or other consideration, or any combination thereof. Performance Awards may be payable in a single payment or in installments and may be payable at a specified date or dates or upon attaining the performance objective or objectives, all at the sole discretion of the Committee. The extent to which any applicable performance objective has been achieved shall be conclusively determined by the Committee in its sole discretion.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10</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OTHER AWARDS</w:t>
      </w:r>
    </w:p>
    <w:p>
      <w:pPr>
        <w:spacing w:after="0" w:line="212"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The Committee may grant to any eligible Consultant, non-employee Director or Employee of the Company or a Subsidiary other forms of Awards based upon, payable in or otherwise related to, in whole or in part, Shares, if the Committee, in its sole discretion, determines that such other form of Award is consistent with the purposes of this Plan. The terms and conditions of such other form of Award shall be specified in a written agreement which sets forth the terms and conditions of such Award, including, but not limited to, the price, if any, and the vesting schedule, if any, of such Award. Such Awards may be granted for such minimum consideration, if any, as may be required by applicable law or for such other greater consideration as may be determined by the Committee, in its sole discretion.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11</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COMPLIANCE WITH SECURITIES AND OTHER LAWS</w:t>
      </w:r>
    </w:p>
    <w:p>
      <w:pPr>
        <w:spacing w:after="0" w:line="212" w:lineRule="exact"/>
        <w:rPr>
          <w:sz w:val="20"/>
          <w:szCs w:val="20"/>
          <w:color w:val="auto"/>
        </w:rPr>
      </w:pPr>
    </w:p>
    <w:p>
      <w:pPr>
        <w:ind w:right="80" w:firstLine="629"/>
        <w:spacing w:after="0" w:line="308" w:lineRule="auto"/>
        <w:rPr>
          <w:sz w:val="20"/>
          <w:szCs w:val="20"/>
          <w:color w:val="auto"/>
        </w:rPr>
      </w:pPr>
      <w:r>
        <w:rPr>
          <w:rFonts w:ascii="Arial" w:cs="Arial" w:eastAsia="Arial" w:hAnsi="Arial"/>
          <w:sz w:val="15"/>
          <w:szCs w:val="15"/>
          <w:color w:val="auto"/>
        </w:rPr>
        <w:t>As a condition to the issuance or transfer of any Award or any security issuable in connection with such Award, the Company may require an opinion of counsel, satisfactory to the Company, to the effect that (i) such issuance and/or transfer will not be in violation of the Securities Act or any other applicable securities laws and (ii) such issuance and/or transfer will not be in violation of the rules and regulations of any securities exchange or automated quotation system on which the Shares are listed or admitted to trading. Further, the Company may refrain from issuing, delivering or transferring any Award or any security issuable in connection with such Award until the Committee has determined that such issuance, delivery or transfer will not violate such securities laws or rules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7" w:right="259" w:bottom="88" w:gutter="0" w:footer="0" w:header="0"/>
        </w:sectPr>
      </w:pPr>
    </w:p>
    <w:bookmarkStart w:id="325" w:name="page326"/>
    <w:bookmarkEnd w:id="325"/>
    <w:p>
      <w:pPr>
        <w:ind w:right="20"/>
        <w:spacing w:after="0" w:line="277" w:lineRule="auto"/>
        <w:rPr>
          <w:sz w:val="20"/>
          <w:szCs w:val="20"/>
          <w:color w:val="auto"/>
        </w:rPr>
      </w:pPr>
      <w:r>
        <w:rPr>
          <w:rFonts w:ascii="Arial" w:cs="Arial" w:eastAsia="Arial" w:hAnsi="Arial"/>
          <w:sz w:val="16"/>
          <w:szCs w:val="16"/>
          <w:color w:val="auto"/>
        </w:rPr>
        <w:t xml:space="preserve">and regulations and that either the recipient has tendered to the Company, or the Company or a Subsidiary has withheld, any federal, state or local tax owed as a result of such issuance, delivery or transfer, when the Company has a legal liability to satisfy such tax. The Company shall not be liable for damages due to delay in the issuance, delivery or transfer of any Award or any security issuable in connection with such Award or any agreement, instrument or certificate evidencing such Award or security for any reason whatsoever, including, but not limited to, a delay caused by the listing requirements of any securities exchange or automated quotation system or any registration requirements under the Securities Act, the Exchange Act, or under any other state or federal law, rule or regulation. The Company is under no obligation to take any action or incur any expense to register or qualify the issuance, delivery or transfer of any Award or any security issuable in connection with such Award under applicable securities laws or to perfect any exemption from such registration or qualification or to list any security on any securities exchange or automated quotation system. Furthermore, the Company will have no liability to any person for refusing to issue, deliver or transfer any Award or any security issuable in connection with such Award if such refusal is based upon the foregoing provisions of this </w:t>
      </w:r>
      <w:r>
        <w:rPr>
          <w:rFonts w:ascii="Arial" w:cs="Arial" w:eastAsia="Arial" w:hAnsi="Arial"/>
          <w:sz w:val="16"/>
          <w:szCs w:val="16"/>
          <w:u w:val="single" w:color="auto"/>
          <w:color w:val="auto"/>
        </w:rPr>
        <w:t>ARTICLE 11</w:t>
      </w:r>
      <w:r>
        <w:rPr>
          <w:rFonts w:ascii="Arial" w:cs="Arial" w:eastAsia="Arial" w:hAnsi="Arial"/>
          <w:sz w:val="16"/>
          <w:szCs w:val="16"/>
          <w:color w:val="auto"/>
        </w:rPr>
        <w:t>. As a condition to any issuance, delivery or transfer of any Award or any security issuable in connection with such Award, the Company may place legends on any agreement, instrument or certificate evidencing such Award or security, issue stop transfer orders with respect thereto and require such agreements or undertakings as the Company may deem necessary or advisable to assure compliance with applicable laws or regulations, including, if the Company or its counsel deems it appropriate, representations from the recipient of such Award or security to the effect that such recipient is acquiring such Award or security solely for investment and not with a view to distribution and that no distribution of the Award or the security will be made unless registered pursuant to applicable federal and state securities laws, or in the opinion of counsel to the Company, such registration is unnecessary.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ADJUSTMENTS UPON THE OCCURRENCE OF A RECAPITALIZATION OR CORPORATE TRANSACTION</w:t>
      </w:r>
    </w:p>
    <w:p>
      <w:pPr>
        <w:spacing w:after="0" w:line="212"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12.1 In the event of a Recapitalization, the number and class of Shares subject to this Plan and to each outstanding Award, and the exercise price of each Award which is based upon Shares, shall (to the extent deemed appropriate by the Committee) be proportionately adjusted (as determined by the Committee in its sole discretion) to account for any increase or decrease in the number, or change in the class, of issued and outstanding Shares of the Company resulting from such Recapitalization.</w:t>
      </w:r>
    </w:p>
    <w:p>
      <w:pPr>
        <w:spacing w:after="0" w:line="176" w:lineRule="exact"/>
        <w:rPr>
          <w:sz w:val="20"/>
          <w:szCs w:val="20"/>
          <w:color w:val="auto"/>
        </w:rPr>
      </w:pPr>
    </w:p>
    <w:p>
      <w:pPr>
        <w:ind w:right="140" w:firstLine="629"/>
        <w:spacing w:after="0" w:line="285" w:lineRule="auto"/>
        <w:rPr>
          <w:sz w:val="20"/>
          <w:szCs w:val="20"/>
          <w:color w:val="auto"/>
        </w:rPr>
      </w:pPr>
      <w:r>
        <w:rPr>
          <w:rFonts w:ascii="Arial" w:cs="Arial" w:eastAsia="Arial" w:hAnsi="Arial"/>
          <w:sz w:val="16"/>
          <w:szCs w:val="16"/>
          <w:color w:val="auto"/>
        </w:rPr>
        <w:t>12.2 If a Corporate Transaction is consummated and immediately following the consummation of such Corporate Transaction the Persons who were holders of Shares immediately prior to the consummation of such Corporate Transaction do not receive any securities or other property (hereinafter collectively referred to as “</w:t>
      </w:r>
      <w:r>
        <w:rPr>
          <w:rFonts w:ascii="Arial" w:cs="Arial" w:eastAsia="Arial" w:hAnsi="Arial"/>
          <w:sz w:val="16"/>
          <w:szCs w:val="16"/>
          <w:u w:val="single" w:color="auto"/>
          <w:color w:val="auto"/>
        </w:rPr>
        <w:t>Transactional Consideration</w:t>
      </w:r>
      <w:r>
        <w:rPr>
          <w:rFonts w:ascii="Arial" w:cs="Arial" w:eastAsia="Arial" w:hAnsi="Arial"/>
          <w:sz w:val="16"/>
          <w:szCs w:val="16"/>
          <w:color w:val="auto"/>
        </w:rPr>
        <w:t>”) as a result of such Corporate Transaction and substantially all of such Persons continue to hold the Shares held by them immediately prior to the consummation of such Corporate Transaction (in substantially the same proportions relative to each other), the Awards will remain outstanding and will (subject to, and except as provided in, the other provisions of this Plan and the Award agreement) continue in full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force and effect in accordance with its terms (without any modification) following the consummation of the Corporate Transaction.</w:t>
      </w:r>
    </w:p>
    <w:p>
      <w:pPr>
        <w:spacing w:after="0" w:line="224" w:lineRule="exact"/>
        <w:rPr>
          <w:sz w:val="20"/>
          <w:szCs w:val="20"/>
          <w:color w:val="auto"/>
        </w:rPr>
      </w:pPr>
    </w:p>
    <w:p>
      <w:pPr>
        <w:ind w:right="160" w:firstLine="629"/>
        <w:spacing w:after="0" w:line="290" w:lineRule="auto"/>
        <w:rPr>
          <w:sz w:val="20"/>
          <w:szCs w:val="20"/>
          <w:color w:val="auto"/>
        </w:rPr>
      </w:pPr>
      <w:r>
        <w:rPr>
          <w:rFonts w:ascii="Arial" w:cs="Arial" w:eastAsia="Arial" w:hAnsi="Arial"/>
          <w:sz w:val="16"/>
          <w:szCs w:val="16"/>
          <w:color w:val="auto"/>
        </w:rPr>
        <w:t>12.3 If a Corporate Transaction is consummated and immediately following the consummation of such Corporate Transaction the Persons who were holders of Shares immediately prior to the consummation of such Corporate Transaction do receive Transactional Consideration as a result of such Corporate Transaction or substantially all of such Persons do not continue to hold the Shares held by them immediately prior to the consummation of such Corporate Transaction (in substantially the same proportions relative to each other), the terms and conditions of the Awards will be modified as follows:</w:t>
      </w:r>
    </w:p>
    <w:p>
      <w:pPr>
        <w:spacing w:after="0" w:line="159" w:lineRule="exact"/>
        <w:rPr>
          <w:sz w:val="20"/>
          <w:szCs w:val="20"/>
          <w:color w:val="auto"/>
        </w:rPr>
      </w:pPr>
    </w:p>
    <w:p>
      <w:pPr>
        <w:ind w:left="640" w:right="20" w:firstLine="623"/>
        <w:spacing w:after="0" w:line="265" w:lineRule="auto"/>
        <w:tabs>
          <w:tab w:leader="none" w:pos="1896" w:val="left"/>
        </w:tabs>
        <w:numPr>
          <w:ilvl w:val="0"/>
          <w:numId w:val="441"/>
        </w:numPr>
        <w:rPr>
          <w:rFonts w:ascii="Arial" w:cs="Arial" w:eastAsia="Arial" w:hAnsi="Arial"/>
          <w:sz w:val="17"/>
          <w:szCs w:val="17"/>
          <w:color w:val="auto"/>
        </w:rPr>
      </w:pPr>
      <w:r>
        <w:rPr>
          <w:rFonts w:ascii="Arial" w:cs="Arial" w:eastAsia="Arial" w:hAnsi="Arial"/>
          <w:sz w:val="17"/>
          <w:szCs w:val="17"/>
          <w:color w:val="auto"/>
        </w:rPr>
        <w:t>If the documentation pursuant to which a Corporate Transaction will be consummated provides for the assumption (by the entity issuing Transactional Consideration to the Persons who were the holders of Shares immediately prior to the consummation of such Corporate Transaction) of the Awards granted pursuant to this Plan without any modification or amendment (other than Permitted Modifications), such Awards will remain outstanding and will continue in full force and effect in accordance with its terms following the consummation of such Corporate Transaction (subject to such Permitted Modifications).</w:t>
      </w:r>
    </w:p>
    <w:p>
      <w:pPr>
        <w:spacing w:after="0" w:line="179" w:lineRule="exact"/>
        <w:rPr>
          <w:rFonts w:ascii="Arial" w:cs="Arial" w:eastAsia="Arial" w:hAnsi="Arial"/>
          <w:sz w:val="17"/>
          <w:szCs w:val="17"/>
          <w:color w:val="auto"/>
        </w:rPr>
      </w:pPr>
    </w:p>
    <w:p>
      <w:pPr>
        <w:ind w:left="640" w:right="40" w:firstLine="623"/>
        <w:spacing w:after="0" w:line="279" w:lineRule="auto"/>
        <w:tabs>
          <w:tab w:leader="none" w:pos="1905" w:val="left"/>
        </w:tabs>
        <w:numPr>
          <w:ilvl w:val="0"/>
          <w:numId w:val="441"/>
        </w:numPr>
        <w:rPr>
          <w:rFonts w:ascii="Arial" w:cs="Arial" w:eastAsia="Arial" w:hAnsi="Arial"/>
          <w:sz w:val="16"/>
          <w:szCs w:val="16"/>
          <w:color w:val="auto"/>
        </w:rPr>
      </w:pPr>
      <w:r>
        <w:rPr>
          <w:rFonts w:ascii="Arial" w:cs="Arial" w:eastAsia="Arial" w:hAnsi="Arial"/>
          <w:sz w:val="16"/>
          <w:szCs w:val="16"/>
          <w:color w:val="auto"/>
        </w:rPr>
        <w:t>If the documentation pursuant to which a Corporate Transaction will be consummated does not provide for the assumption by the entity issuing Transactional Consideration to the Persons who were the holders of Shares immediately prior to the consummation of such Corporate Transaction of the Awards granted pursuant to this Plan without any modification or amendment (other than Permitted Modifications), all vesting restrictions (performance based or otherwise) applicable to Awards which will not be so assumed will accelerate and the holders of such Awards may (subject to the expiration of the term of such Awards) exercise/receive the benefits of such Awards without regard to such vesting restrictions during the ten (10) day period immediately preceding the consummation of such Corporate Transaction. For purposes of the immediately preceding sentence, all performance based goals will be deemed to have been satisfied in full. The Company will provide each Participant holding Awards which will not be so assumed with reasonable notice of the termination of such vesting restrictions and the impending termination of such Awards. Upon the consummation of such a Corporate Transaction, all unexercised Awards which are not to be so assumed will automatically terminate and cease to be outstanding.</w:t>
      </w:r>
    </w:p>
    <w:p>
      <w:pPr>
        <w:spacing w:after="0" w:line="173"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12.4 Upon the implementation of any reverse stock split in connection with the initial public offering of the Company’s common stock, the maximum number of shares that may be issued with respect to awards granted or to be granted pursuant to the Plan shall remain at 1,500,000 following such reverse stock split, notwithstanding adjustments following such implementation to the number of shares of the Company then outstanding or subject to issuance upon exercise of outstanding options.</w:t>
      </w:r>
    </w:p>
    <w:p>
      <w:pPr>
        <w:spacing w:after="0" w:line="176"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 xml:space="preserve">Nothing contained in this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will be deemed to extend the term of an Award or to revive any Award which has previously lapsed or been canceled, terminated or surrendered.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13</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OR TERMINATION OF THIS PLAN</w:t>
      </w:r>
    </w:p>
    <w:p>
      <w:pPr>
        <w:spacing w:after="0" w:line="212" w:lineRule="exact"/>
        <w:rPr>
          <w:sz w:val="20"/>
          <w:szCs w:val="20"/>
          <w:color w:val="auto"/>
        </w:rPr>
      </w:pPr>
    </w:p>
    <w:p>
      <w:pPr>
        <w:ind w:right="100" w:firstLine="629"/>
        <w:spacing w:after="0" w:line="268"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i w:val="1"/>
          <w:iCs w:val="1"/>
          <w:u w:val="single" w:color="auto"/>
          <w:color w:val="auto"/>
        </w:rPr>
        <w:t>Amendment of This Plan.</w:t>
      </w:r>
      <w:r>
        <w:rPr>
          <w:rFonts w:ascii="Arial" w:cs="Arial" w:eastAsia="Arial" w:hAnsi="Arial"/>
          <w:sz w:val="17"/>
          <w:szCs w:val="17"/>
          <w:color w:val="auto"/>
        </w:rPr>
        <w:t xml:space="preserve"> Notwithstanding anything contained in this Plan to the contrary, all provisions of this Plan (including, without limitation, the maximum number of Shares that may be issued with respect to Awards to be granted pursuant to this Plan) may at any time or from time to time be modified or amended by the Board; provided, however, that no Award at any time outstanding pursuant to this Plan may be modified, impaired or canceled adversely to the holder of the Award without the consent of such holder.</w:t>
      </w:r>
    </w:p>
    <w:p>
      <w:pPr>
        <w:sectPr>
          <w:pgSz w:w="11900" w:h="16838" w:orient="portrait"/>
          <w:cols w:equalWidth="0" w:num="1">
            <w:col w:w="11420"/>
          </w:cols>
          <w:pgMar w:left="240" w:top="127" w:right="239" w:bottom="40" w:gutter="0" w:footer="0" w:header="0"/>
        </w:sectPr>
      </w:pPr>
    </w:p>
    <w:bookmarkStart w:id="326" w:name="page327"/>
    <w:bookmarkEnd w:id="326"/>
    <w:p>
      <w:pPr>
        <w:spacing w:after="0" w:line="44" w:lineRule="exact"/>
        <w:rPr>
          <w:sz w:val="20"/>
          <w:szCs w:val="20"/>
          <w:color w:val="auto"/>
        </w:rPr>
      </w:pPr>
    </w:p>
    <w:p>
      <w:pPr>
        <w:jc w:val="both"/>
        <w:ind w:right="140" w:firstLine="629"/>
        <w:spacing w:after="0" w:line="298"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i w:val="1"/>
          <w:iCs w:val="1"/>
          <w:u w:val="single" w:color="auto"/>
          <w:color w:val="auto"/>
        </w:rPr>
        <w:t>Termination of This Plan.</w:t>
      </w:r>
      <w:r>
        <w:rPr>
          <w:rFonts w:ascii="Arial" w:cs="Arial" w:eastAsia="Arial" w:hAnsi="Arial"/>
          <w:sz w:val="16"/>
          <w:szCs w:val="16"/>
          <w:color w:val="auto"/>
        </w:rPr>
        <w:t xml:space="preserve"> The Board may suspend or terminate this Plan at any time, and such suspension or termination may be retroactive or prospective. Termination of this Plan shall not impair or affect any Award previously granted hereunder and the rights of the holder of the Award shall remain in effect until the Award has been exercised in its entirety or has expired or otherwise has been terminated by the terms of such Award.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14</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AMENDMENTS AND ADJUSTMENTS TO AWARDS</w:t>
      </w:r>
    </w:p>
    <w:p>
      <w:pPr>
        <w:spacing w:after="0" w:line="212" w:lineRule="exact"/>
        <w:rPr>
          <w:sz w:val="20"/>
          <w:szCs w:val="20"/>
          <w:color w:val="auto"/>
        </w:rPr>
      </w:pPr>
    </w:p>
    <w:p>
      <w:pPr>
        <w:ind w:right="220" w:firstLine="629"/>
        <w:spacing w:after="0" w:line="279" w:lineRule="auto"/>
        <w:rPr>
          <w:sz w:val="20"/>
          <w:szCs w:val="20"/>
          <w:color w:val="auto"/>
        </w:rPr>
      </w:pPr>
      <w:r>
        <w:rPr>
          <w:rFonts w:ascii="Arial" w:cs="Arial" w:eastAsia="Arial" w:hAnsi="Arial"/>
          <w:sz w:val="16"/>
          <w:szCs w:val="16"/>
          <w:color w:val="auto"/>
        </w:rPr>
        <w:t xml:space="preserve">The Committee may amend, modify or terminate any outstanding Award with the Participant’s consent at any time prior to payment or exercise in any manner not inconsistent with the terms of this Plan, including, without limitation, (i) to change the date or dates as of which and/or the terms and conditions pursuant to which (A) a Stock Option becomes exercisable or (B) a Performance Award is deemed earned, (ii) to amend the terms of any outstanding Award to provide an exercise price per share which is higher or lower than the then current exercise price per share of such outstanding Award or (iii) to cancel an Award and grant a new Award in substitution therefor under such different terms and conditions as the Committee determines in its sole discretion to be appropriate including, but not limited to, having an exercise price per share which may be higher or lower than the exercise price per share of the canceled Award. The Committee may also make adjustments in the terms and conditions of, and the criteria included in agreements evidencing Awards in recognition of unusual or nonrecurring events (including, without limitation, the events described in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hereof) affecting the Company, or the financial statements of the Company or any Affiliate, or of changes in applicable laws, regulations or accounting principles, whenever the Committee determines that such adjustments are appropriate to prevent reduction or enlargement of the benefits or potential benefits intended to be made available pursuant to this Plan.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15</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PROVISIONS</w:t>
      </w:r>
    </w:p>
    <w:p>
      <w:pPr>
        <w:spacing w:after="0" w:line="212" w:lineRule="exact"/>
        <w:rPr>
          <w:sz w:val="20"/>
          <w:szCs w:val="20"/>
          <w:color w:val="auto"/>
        </w:rPr>
      </w:pPr>
    </w:p>
    <w:p>
      <w:pPr>
        <w:ind w:right="120" w:firstLine="629"/>
        <w:spacing w:after="0" w:line="298"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i w:val="1"/>
          <w:iCs w:val="1"/>
          <w:u w:val="single" w:color="auto"/>
          <w:color w:val="auto"/>
        </w:rPr>
        <w:t>No Limit on Other Compensation Arrangements.</w:t>
      </w:r>
      <w:r>
        <w:rPr>
          <w:rFonts w:ascii="Arial" w:cs="Arial" w:eastAsia="Arial" w:hAnsi="Arial"/>
          <w:sz w:val="16"/>
          <w:szCs w:val="16"/>
          <w:color w:val="auto"/>
        </w:rPr>
        <w:t xml:space="preserve"> Nothing contained in this Plan shall prevent the Company from adopting or continuing in effect other compensation arrangements, and such arrangements may be either generally applicable or applicable only in specific cases. This Plan shall not affect any other stock option, incentive, or other compensation or benefit plan of the Company or any Subsidiary, except as may be expressly provided therein.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0" w:firstLine="629"/>
        <w:spacing w:after="0" w:line="273"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i w:val="1"/>
          <w:iCs w:val="1"/>
          <w:u w:val="single" w:color="auto"/>
          <w:color w:val="auto"/>
        </w:rPr>
        <w:t>Other Awards.</w:t>
      </w:r>
      <w:r>
        <w:rPr>
          <w:rFonts w:ascii="Arial" w:cs="Arial" w:eastAsia="Arial" w:hAnsi="Arial"/>
          <w:sz w:val="17"/>
          <w:szCs w:val="17"/>
          <w:color w:val="auto"/>
        </w:rPr>
        <w:t xml:space="preserve"> The grant of an Award shall not confer upon the recipient the right to receive any future or other Awards under this Plan or any other plans of the Company or any Subsidiary, whether or not any awards may be granted to similarly situated Employees, or the right to receive future Awards upon the same terms or conditions as previously granted.</w:t>
      </w:r>
    </w:p>
    <w:p>
      <w:pPr>
        <w:spacing w:after="0" w:line="172"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i w:val="1"/>
          <w:iCs w:val="1"/>
          <w:u w:val="single" w:color="auto"/>
          <w:color w:val="auto"/>
        </w:rPr>
        <w:t>No Right to Employment or Continuation of Relationship.</w:t>
      </w:r>
      <w:r>
        <w:rPr>
          <w:rFonts w:ascii="Arial" w:cs="Arial" w:eastAsia="Arial" w:hAnsi="Arial"/>
          <w:sz w:val="17"/>
          <w:szCs w:val="17"/>
          <w:color w:val="auto"/>
        </w:rPr>
        <w:t xml:space="preserve"> Nothing in this Plan or in any Award, nor the grant of any Award, shall confer upon or be construed as giving any Participant any right to remain in the employ of the Company or a Subsidiary or to continue as a Consultant or non-employee Director. Further, the Company or a Subsidiary may at any time dismiss a Participant from emp1oyment or terminate the relationship of any Consultant or non-employee Director with the Company or any Subsidiary, free from any liability or any claim pursuant to this Plan. No Consultant, non-employee Director or Employee of the Company or any Subsidiary shall have any claim to be granted any Award, and there is no obligation for uniformity of treatment of any Consultant, non-employee Director or Employee of the Company or any Subsidiary or of any Participants.</w:t>
      </w:r>
    </w:p>
    <w:p>
      <w:pPr>
        <w:spacing w:after="0" w:line="183" w:lineRule="exact"/>
        <w:rPr>
          <w:sz w:val="20"/>
          <w:szCs w:val="20"/>
          <w:color w:val="auto"/>
        </w:rPr>
      </w:pPr>
    </w:p>
    <w:p>
      <w:pPr>
        <w:ind w:right="500" w:firstLine="629"/>
        <w:spacing w:after="0" w:line="289" w:lineRule="auto"/>
        <w:rPr>
          <w:sz w:val="20"/>
          <w:szCs w:val="20"/>
          <w:color w:val="auto"/>
        </w:rPr>
      </w:pPr>
      <w:r>
        <w:rPr>
          <w:rFonts w:ascii="Arial" w:cs="Arial" w:eastAsia="Arial" w:hAnsi="Arial"/>
          <w:sz w:val="17"/>
          <w:szCs w:val="17"/>
          <w:color w:val="auto"/>
        </w:rPr>
        <w:t xml:space="preserve">15.4 </w:t>
      </w:r>
      <w:r>
        <w:rPr>
          <w:rFonts w:ascii="Arial" w:cs="Arial" w:eastAsia="Arial" w:hAnsi="Arial"/>
          <w:sz w:val="17"/>
          <w:szCs w:val="17"/>
          <w:i w:val="1"/>
          <w:iCs w:val="1"/>
          <w:u w:val="single" w:color="auto"/>
          <w:color w:val="auto"/>
        </w:rPr>
        <w:t>Governing Law</w:t>
      </w:r>
      <w:r>
        <w:rPr>
          <w:rFonts w:ascii="Arial" w:cs="Arial" w:eastAsia="Arial" w:hAnsi="Arial"/>
          <w:sz w:val="17"/>
          <w:szCs w:val="17"/>
          <w:i w:val="1"/>
          <w:iCs w:val="1"/>
          <w:color w:val="auto"/>
        </w:rPr>
        <w:t>.</w:t>
      </w:r>
      <w:r>
        <w:rPr>
          <w:rFonts w:ascii="Arial" w:cs="Arial" w:eastAsia="Arial" w:hAnsi="Arial"/>
          <w:sz w:val="17"/>
          <w:szCs w:val="17"/>
          <w:color w:val="auto"/>
        </w:rPr>
        <w:t xml:space="preserve"> The validity, construction and effect of this Plan and any rules and regulations relating to this Plan shall be determined in accordance with the laws of the State of Texas, without giving effect to the conflict of laws principles thereof.</w:t>
      </w:r>
    </w:p>
    <w:p>
      <w:pPr>
        <w:spacing w:after="0" w:line="158"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 xml:space="preserve">15.5 </w:t>
      </w:r>
      <w:r>
        <w:rPr>
          <w:rFonts w:ascii="Arial" w:cs="Arial" w:eastAsia="Arial" w:hAnsi="Arial"/>
          <w:sz w:val="17"/>
          <w:szCs w:val="17"/>
          <w:i w:val="1"/>
          <w:iCs w:val="1"/>
          <w:u w:val="single" w:color="auto"/>
          <w:color w:val="auto"/>
        </w:rPr>
        <w:t>Severability.</w:t>
      </w:r>
      <w:r>
        <w:rPr>
          <w:rFonts w:ascii="Arial" w:cs="Arial" w:eastAsia="Arial" w:hAnsi="Arial"/>
          <w:sz w:val="17"/>
          <w:szCs w:val="17"/>
          <w:color w:val="auto"/>
        </w:rPr>
        <w:t xml:space="preserve"> If any provision of this Plan or any Award is or becomes or is deemed to be invalid, illegal or unenforceable in any jurisdiction or as to any individual or Award, or would disqualify this Plan or any Award under any law deemed applicable by the Committee, such provision shall be construed or deemed amended to conform to applicable law, or if it cannot be construed or deemed amended without, in the sole determination of the Committee, materially altering the intent of this Plan or the Award, such provision shall be stricken as to such jurisdiction, individual or Award and the remainder of this Plan and any such Award shall remain in full force and effect.</w:t>
      </w:r>
    </w:p>
    <w:p>
      <w:pPr>
        <w:spacing w:after="0" w:line="179" w:lineRule="exact"/>
        <w:rPr>
          <w:sz w:val="20"/>
          <w:szCs w:val="20"/>
          <w:color w:val="auto"/>
        </w:rPr>
      </w:pPr>
    </w:p>
    <w:p>
      <w:pPr>
        <w:jc w:val="both"/>
        <w:ind w:right="100" w:firstLine="629"/>
        <w:spacing w:after="0" w:line="273" w:lineRule="auto"/>
        <w:rPr>
          <w:sz w:val="20"/>
          <w:szCs w:val="20"/>
          <w:color w:val="auto"/>
        </w:rPr>
      </w:pPr>
      <w:r>
        <w:rPr>
          <w:rFonts w:ascii="Arial" w:cs="Arial" w:eastAsia="Arial" w:hAnsi="Arial"/>
          <w:sz w:val="17"/>
          <w:szCs w:val="17"/>
          <w:color w:val="auto"/>
        </w:rPr>
        <w:t xml:space="preserve">15.6 </w:t>
      </w:r>
      <w:r>
        <w:rPr>
          <w:rFonts w:ascii="Arial" w:cs="Arial" w:eastAsia="Arial" w:hAnsi="Arial"/>
          <w:sz w:val="17"/>
          <w:szCs w:val="17"/>
          <w:i w:val="1"/>
          <w:iCs w:val="1"/>
          <w:u w:val="single" w:color="auto"/>
          <w:color w:val="auto"/>
        </w:rPr>
        <w:t>No Fractional Shares.</w:t>
      </w:r>
      <w:r>
        <w:rPr>
          <w:rFonts w:ascii="Arial" w:cs="Arial" w:eastAsia="Arial" w:hAnsi="Arial"/>
          <w:sz w:val="17"/>
          <w:szCs w:val="17"/>
          <w:color w:val="auto"/>
        </w:rPr>
        <w:t xml:space="preserve"> No fractional Shares shall be issued or delivered pursuant to this Plan or any Award, and the Committee shall determine, in its sole discretion, whether cash, other securities or other property shall be paid or transferred in lieu of any fractional Shares or whether such fractional Shares or any rights thereto shall be canceled, terminated or otherwise eliminated.</w:t>
      </w:r>
    </w:p>
    <w:p>
      <w:pPr>
        <w:spacing w:after="0" w:line="172" w:lineRule="exact"/>
        <w:rPr>
          <w:sz w:val="20"/>
          <w:szCs w:val="20"/>
          <w:color w:val="auto"/>
        </w:rPr>
      </w:pPr>
    </w:p>
    <w:p>
      <w:pPr>
        <w:ind w:right="360" w:firstLine="629"/>
        <w:spacing w:after="0" w:line="289" w:lineRule="auto"/>
        <w:rPr>
          <w:sz w:val="20"/>
          <w:szCs w:val="20"/>
          <w:color w:val="auto"/>
        </w:rPr>
      </w:pPr>
      <w:r>
        <w:rPr>
          <w:rFonts w:ascii="Arial" w:cs="Arial" w:eastAsia="Arial" w:hAnsi="Arial"/>
          <w:sz w:val="17"/>
          <w:szCs w:val="17"/>
          <w:color w:val="auto"/>
        </w:rPr>
        <w:t xml:space="preserve">15.7 </w:t>
      </w:r>
      <w:r>
        <w:rPr>
          <w:rFonts w:ascii="Arial" w:cs="Arial" w:eastAsia="Arial" w:hAnsi="Arial"/>
          <w:sz w:val="17"/>
          <w:szCs w:val="17"/>
          <w:i w:val="1"/>
          <w:iCs w:val="1"/>
          <w:u w:val="single" w:color="auto"/>
          <w:color w:val="auto"/>
        </w:rPr>
        <w:t>Headings.</w:t>
      </w:r>
      <w:r>
        <w:rPr>
          <w:rFonts w:ascii="Arial" w:cs="Arial" w:eastAsia="Arial" w:hAnsi="Arial"/>
          <w:sz w:val="17"/>
          <w:szCs w:val="17"/>
          <w:color w:val="auto"/>
        </w:rPr>
        <w:t xml:space="preserve"> Headings are given to the ARTICLEs and Subsections of this Plan solely as a convenience to facilitate reference. Such headings shall not be deemed in any way material or relevant to the construction or interpretation of this Plan or any provision thereof.</w:t>
      </w:r>
    </w:p>
    <w:p>
      <w:pPr>
        <w:spacing w:after="0" w:line="158"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 xml:space="preserve">15.8 </w:t>
      </w:r>
      <w:r>
        <w:rPr>
          <w:rFonts w:ascii="Arial" w:cs="Arial" w:eastAsia="Arial" w:hAnsi="Arial"/>
          <w:sz w:val="17"/>
          <w:szCs w:val="17"/>
          <w:i w:val="1"/>
          <w:iCs w:val="1"/>
          <w:u w:val="single" w:color="auto"/>
          <w:color w:val="auto"/>
        </w:rPr>
        <w:t>Gender.</w:t>
      </w:r>
      <w:r>
        <w:rPr>
          <w:rFonts w:ascii="Arial" w:cs="Arial" w:eastAsia="Arial" w:hAnsi="Arial"/>
          <w:sz w:val="17"/>
          <w:szCs w:val="17"/>
          <w:color w:val="auto"/>
        </w:rPr>
        <w:t xml:space="preserve"> If the context requires, words of one gender when used in this Plan shall include the others and words used in the singular shall include the plural, and vice versa.</w:t>
      </w:r>
    </w:p>
    <w:p>
      <w:pPr>
        <w:spacing w:after="0" w:line="158"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 xml:space="preserve">15.9 </w:t>
      </w:r>
      <w:r>
        <w:rPr>
          <w:rFonts w:ascii="Arial" w:cs="Arial" w:eastAsia="Arial" w:hAnsi="Arial"/>
          <w:sz w:val="17"/>
          <w:szCs w:val="17"/>
          <w:i w:val="1"/>
          <w:iCs w:val="1"/>
          <w:u w:val="single" w:color="auto"/>
          <w:color w:val="auto"/>
        </w:rPr>
        <w:t>Transferability of Awards.</w:t>
      </w:r>
      <w:r>
        <w:rPr>
          <w:rFonts w:ascii="Arial" w:cs="Arial" w:eastAsia="Arial" w:hAnsi="Arial"/>
          <w:sz w:val="17"/>
          <w:szCs w:val="17"/>
          <w:color w:val="auto"/>
        </w:rPr>
        <w:t xml:space="preserve"> Awards shall not be transferable otherwise than by will or the laws of descent and distribution without the written consent of the Committee (which may be granted or withheld at the sole discretion of the Committee). Awards may be exercised, during the lifetime of the holder, only by the holder. Any attempted assignment, transfer, pledge, hypothecation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spacing w:after="0" w:line="289" w:lineRule="auto"/>
        <w:rPr>
          <w:sz w:val="20"/>
          <w:szCs w:val="20"/>
          <w:color w:val="auto"/>
        </w:rPr>
      </w:pPr>
      <w:r>
        <w:rPr>
          <w:rFonts w:ascii="Arial" w:cs="Arial" w:eastAsia="Arial" w:hAnsi="Arial"/>
          <w:sz w:val="17"/>
          <w:szCs w:val="17"/>
          <w:color w:val="auto"/>
        </w:rPr>
        <w:t>or other disposition of an Award contrary to the provisions hereof, or the levy of any execution, attachment or similar process upon an Award shall be null and void and without effect.</w:t>
      </w:r>
    </w:p>
    <w:p>
      <w:pPr>
        <w:spacing w:after="0" w:line="158" w:lineRule="exact"/>
        <w:rPr>
          <w:sz w:val="20"/>
          <w:szCs w:val="20"/>
          <w:color w:val="auto"/>
        </w:rPr>
      </w:pPr>
    </w:p>
    <w:p>
      <w:pPr>
        <w:ind w:firstLine="629"/>
        <w:spacing w:after="0" w:line="298" w:lineRule="auto"/>
        <w:rPr>
          <w:sz w:val="20"/>
          <w:szCs w:val="20"/>
          <w:color w:val="auto"/>
        </w:rPr>
      </w:pPr>
      <w:r>
        <w:rPr>
          <w:rFonts w:ascii="Arial" w:cs="Arial" w:eastAsia="Arial" w:hAnsi="Arial"/>
          <w:sz w:val="16"/>
          <w:szCs w:val="16"/>
          <w:color w:val="auto"/>
        </w:rPr>
        <w:t xml:space="preserve">15.10 </w:t>
      </w:r>
      <w:r>
        <w:rPr>
          <w:rFonts w:ascii="Arial" w:cs="Arial" w:eastAsia="Arial" w:hAnsi="Arial"/>
          <w:sz w:val="16"/>
          <w:szCs w:val="16"/>
          <w:i w:val="1"/>
          <w:iCs w:val="1"/>
          <w:color w:val="auto"/>
        </w:rPr>
        <w:t>Code Section 83(b) Elections</w:t>
      </w:r>
      <w:r>
        <w:rPr>
          <w:rFonts w:ascii="Arial" w:cs="Arial" w:eastAsia="Arial" w:hAnsi="Arial"/>
          <w:sz w:val="16"/>
          <w:szCs w:val="16"/>
          <w:color w:val="auto"/>
        </w:rPr>
        <w:t>. The Company, its Subsidiaries and Affiliated Entities have no responsibility for a Participant’s election, attempt to elect or failure to elect to include the value of an Award subject to Section 83 in the Participant’s gross income for the year of grant pursuant to Section 83(b) of the Code. Any Participant who makes an election pursuant to Section 83(b) will promptly provide the Committee with a copy of the election form.</w:t>
      </w:r>
    </w:p>
    <w:p>
      <w:pPr>
        <w:spacing w:after="0" w:line="154" w:lineRule="exact"/>
        <w:rPr>
          <w:sz w:val="20"/>
          <w:szCs w:val="20"/>
          <w:color w:val="auto"/>
        </w:rPr>
      </w:pPr>
    </w:p>
    <w:p>
      <w:pPr>
        <w:ind w:right="120" w:firstLine="629"/>
        <w:spacing w:after="0" w:line="314" w:lineRule="auto"/>
        <w:rPr>
          <w:sz w:val="20"/>
          <w:szCs w:val="20"/>
          <w:color w:val="auto"/>
        </w:rPr>
      </w:pPr>
      <w:r>
        <w:rPr>
          <w:rFonts w:ascii="Arial" w:cs="Arial" w:eastAsia="Arial" w:hAnsi="Arial"/>
          <w:sz w:val="15"/>
          <w:szCs w:val="15"/>
          <w:color w:val="auto"/>
        </w:rPr>
        <w:t xml:space="preserve">15.11 </w:t>
      </w:r>
      <w:r>
        <w:rPr>
          <w:rFonts w:ascii="Arial" w:cs="Arial" w:eastAsia="Arial" w:hAnsi="Arial"/>
          <w:sz w:val="15"/>
          <w:szCs w:val="15"/>
          <w:i w:val="1"/>
          <w:iCs w:val="1"/>
          <w:color w:val="auto"/>
        </w:rPr>
        <w:t>Code Section 162(m)</w:t>
      </w:r>
      <w:r>
        <w:rPr>
          <w:rFonts w:ascii="Arial" w:cs="Arial" w:eastAsia="Arial" w:hAnsi="Arial"/>
          <w:sz w:val="15"/>
          <w:szCs w:val="15"/>
          <w:color w:val="auto"/>
        </w:rPr>
        <w:t>. It is the intent of the Company that the Plan comply in all respects with Section 162(m) of the Code and that any ambiguities or inconsistencies in construction of the Plan be interpreted to give effect to such intention. If the Committee intends for a Performance Award or the Award of Restricted Stock Award to be granted and administered in a manner designed to preserve the deductibility of the resulting compensation in accordance with Section 162(m) of the Code, then the Performance Measure selected, the Performance Goal in terms of an objective formula or standard pursuant to which a</w:t>
      </w:r>
    </w:p>
    <w:p>
      <w:pPr>
        <w:sectPr>
          <w:pgSz w:w="11900" w:h="16883" w:orient="portrait"/>
          <w:cols w:equalWidth="0" w:num="1">
            <w:col w:w="11420"/>
          </w:cols>
          <w:pgMar w:left="240" w:top="127" w:right="239" w:bottom="0" w:gutter="0" w:footer="0" w:header="0"/>
        </w:sectPr>
      </w:pPr>
    </w:p>
    <w:bookmarkStart w:id="327" w:name="page328"/>
    <w:bookmarkEnd w:id="327"/>
    <w:p>
      <w:pPr>
        <w:ind w:right="20"/>
        <w:spacing w:after="0" w:line="285" w:lineRule="auto"/>
        <w:rPr>
          <w:sz w:val="20"/>
          <w:szCs w:val="20"/>
          <w:color w:val="auto"/>
        </w:rPr>
      </w:pPr>
      <w:r>
        <w:rPr>
          <w:rFonts w:ascii="Arial" w:cs="Arial" w:eastAsia="Arial" w:hAnsi="Arial"/>
          <w:sz w:val="16"/>
          <w:szCs w:val="16"/>
          <w:color w:val="auto"/>
        </w:rPr>
        <w:t>third party with knowledge of the relevant performance results could calculate the amount to be paid, the maximum number of Shares that may be awarded, within the limit described in Section 4.2 hereof, and the Performance Period applicable to such Award shall be established in writing by the Committee no later than the earlier of (i) 90 days after the commencement of the relevant Performance Period and (ii) the date as of which 25% of the Performance Period has elapsed. At the time a Performance Goal is established, its outcome must be substantially uncertain. The Committee’s discretion to modify or waive the Performance Goal related to the vesting of the Award may be restricted in order to comply with Section 162(m) of the Code.</w:t>
      </w:r>
    </w:p>
    <w:p>
      <w:pPr>
        <w:spacing w:after="0" w:line="166"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 xml:space="preserve">15.12 </w:t>
      </w:r>
      <w:r>
        <w:rPr>
          <w:rFonts w:ascii="Arial" w:cs="Arial" w:eastAsia="Arial" w:hAnsi="Arial"/>
          <w:sz w:val="17"/>
          <w:szCs w:val="17"/>
          <w:i w:val="1"/>
          <w:iCs w:val="1"/>
          <w:color w:val="auto"/>
        </w:rPr>
        <w:t>Code Section 409A</w:t>
      </w:r>
      <w:r>
        <w:rPr>
          <w:rFonts w:ascii="Arial" w:cs="Arial" w:eastAsia="Arial" w:hAnsi="Arial"/>
          <w:sz w:val="17"/>
          <w:szCs w:val="17"/>
          <w:color w:val="auto"/>
        </w:rPr>
        <w:t>. It is the intent of the Company that no Award under the Plan be subject to Section 409A of the Code. The Committee shall design and administer the Awards under the Plan so that they are not subject to Section 409A of the Code.</w:t>
      </w:r>
    </w:p>
    <w:p>
      <w:pPr>
        <w:spacing w:after="0" w:line="158"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 xml:space="preserve">15.13 </w:t>
      </w:r>
      <w:r>
        <w:rPr>
          <w:rFonts w:ascii="Arial" w:cs="Arial" w:eastAsia="Arial" w:hAnsi="Arial"/>
          <w:sz w:val="17"/>
          <w:szCs w:val="17"/>
          <w:i w:val="1"/>
          <w:iCs w:val="1"/>
          <w:color w:val="auto"/>
        </w:rPr>
        <w:t>Compliance With Other Laws and Regulations</w:t>
      </w:r>
      <w:r>
        <w:rPr>
          <w:rFonts w:ascii="Arial" w:cs="Arial" w:eastAsia="Arial" w:hAnsi="Arial"/>
          <w:sz w:val="17"/>
          <w:szCs w:val="17"/>
          <w:color w:val="auto"/>
        </w:rPr>
        <w:t>. Notwithstanding anything contained herein to the contrary, the Company shall not be required to sell or issue shares of Common Stock under any Award if the issuance thereof would constitute a violation by the Participant or the Company of any provisions of any law or regulation of any governmental authority or any national securities exchange or inter-dealer quotation system or other forum in which shares of Common Stock are quoted or traded (including without limitation Section 16 of the 1934 Act and Section 162(m) of the Code); and, as a condition of any sale or issuance of Shares under an Award, the Committee may require such agreements or undertakings, if any, as the Committee may deem necessary or advisable to assure compliance with any such law or regulation. The Plan, the grant and exercise of an Award hereunder, and the obligation of the Company to sell and deliver Shares, shall be subject to all applicable federal and state laws, rules and regulations and to such approvals by any government or regulatory agency as may be required.</w:t>
      </w:r>
    </w:p>
    <w:p>
      <w:pPr>
        <w:spacing w:after="0" w:line="18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15.14</w:t>
      </w:r>
      <w:r>
        <w:rPr>
          <w:sz w:val="20"/>
          <w:szCs w:val="20"/>
          <w:color w:val="auto"/>
        </w:rPr>
        <w:tab/>
      </w:r>
      <w:r>
        <w:rPr>
          <w:rFonts w:ascii="Arial" w:cs="Arial" w:eastAsia="Arial" w:hAnsi="Arial"/>
          <w:sz w:val="15"/>
          <w:szCs w:val="15"/>
          <w:color w:val="auto"/>
        </w:rPr>
        <w:t>Tax Requirements.</w:t>
      </w:r>
    </w:p>
    <w:p>
      <w:pPr>
        <w:spacing w:after="0" w:line="224" w:lineRule="exact"/>
        <w:rPr>
          <w:sz w:val="20"/>
          <w:szCs w:val="20"/>
          <w:color w:val="auto"/>
        </w:rPr>
      </w:pPr>
    </w:p>
    <w:p>
      <w:pPr>
        <w:ind w:left="640" w:right="200" w:firstLine="623"/>
        <w:spacing w:after="0" w:line="289" w:lineRule="auto"/>
        <w:tabs>
          <w:tab w:leader="none" w:pos="1896" w:val="left"/>
        </w:tabs>
        <w:numPr>
          <w:ilvl w:val="0"/>
          <w:numId w:val="442"/>
        </w:numPr>
        <w:rPr>
          <w:rFonts w:ascii="Arial" w:cs="Arial" w:eastAsia="Arial" w:hAnsi="Arial"/>
          <w:sz w:val="17"/>
          <w:szCs w:val="17"/>
          <w:color w:val="auto"/>
        </w:rPr>
      </w:pPr>
      <w:r>
        <w:rPr>
          <w:rFonts w:ascii="Arial" w:cs="Arial" w:eastAsia="Arial" w:hAnsi="Arial"/>
          <w:sz w:val="17"/>
          <w:szCs w:val="17"/>
          <w:color w:val="auto"/>
        </w:rPr>
        <w:t>Whenever Shares are to be issued under an Award of Restricted Stock or a Performance Award, or pursuant to the exercise of a Stock Option or Stock Appreciation Right, or other Award or cash is to be paid pursuant to the terms of the Plan, under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100"/>
        <w:spacing w:after="0" w:line="300" w:lineRule="auto"/>
        <w:rPr>
          <w:sz w:val="20"/>
          <w:szCs w:val="20"/>
          <w:color w:val="auto"/>
        </w:rPr>
      </w:pPr>
      <w:r>
        <w:rPr>
          <w:rFonts w:ascii="Arial" w:cs="Arial" w:eastAsia="Arial" w:hAnsi="Arial"/>
          <w:sz w:val="15"/>
          <w:szCs w:val="15"/>
          <w:color w:val="auto"/>
        </w:rPr>
        <w:t>circumstances in which the Company, or its designee, believes that any federal, state or local tax withholding may be imposed, the Company or Subsidiary, as the case may be, shall have the right to require the Participant to remit to the Company or Subsidiary, as the case may be, an amount sufficient to satisfy the minimum federal, state and local tax withholding requirements prior to the electronic transfer of ownership, the delivery of any certificate for Shares, if applicable, or any proceeds; provided, however, that in the case of a Participant who receives an Award of Restricted Stock or a Performance Award under the Plan which remains subject to forfeiture restrictions or is not fully vested, the Participant shall remit such amount on the first business day following the Tax Date. The “Tax Date” for purposes of this Section 15.14 shall be the date on which the amount of tax to be withheld is determined. If a Participant makes a disposition of Common Stock acquired upon the exercise of an Incentive Stock Option within either two years after the Stock Option was granted or one year after its exercise by the Participant, the Participant shall promptly notify the Company and the Company shall have the right to require the Participant to pay to the Company an amount sufficient to satisfy federal, state and local tax withholding requirements.</w:t>
      </w:r>
    </w:p>
    <w:p>
      <w:pPr>
        <w:spacing w:after="0" w:line="157" w:lineRule="exact"/>
        <w:rPr>
          <w:sz w:val="20"/>
          <w:szCs w:val="20"/>
          <w:color w:val="auto"/>
        </w:rPr>
      </w:pPr>
    </w:p>
    <w:p>
      <w:pPr>
        <w:ind w:left="640" w:firstLine="623"/>
        <w:spacing w:after="0" w:line="262" w:lineRule="auto"/>
        <w:tabs>
          <w:tab w:leader="none" w:pos="1905" w:val="left"/>
        </w:tabs>
        <w:numPr>
          <w:ilvl w:val="0"/>
          <w:numId w:val="443"/>
        </w:numPr>
        <w:rPr>
          <w:rFonts w:ascii="Arial" w:cs="Arial" w:eastAsia="Arial" w:hAnsi="Arial"/>
          <w:sz w:val="17"/>
          <w:szCs w:val="17"/>
          <w:color w:val="auto"/>
        </w:rPr>
      </w:pPr>
      <w:r>
        <w:rPr>
          <w:rFonts w:ascii="Arial" w:cs="Arial" w:eastAsia="Arial" w:hAnsi="Arial"/>
          <w:sz w:val="17"/>
          <w:szCs w:val="17"/>
          <w:color w:val="auto"/>
        </w:rPr>
        <w:t>A Participant who is obligated to pay the Company an amount required to be withheld under applicable tax withholding requirements may pay such amount (i) in cash; (ii) in the discretion of the Committee, or its designee, through the delivery to the Company of previously-owned Shares having an aggregate Fair Market Value on the Tax Date equal to the tax obligation provided that the previously owned Shares delivered in satisfaction of the withholding obligations must have been held by the Participant for at least six (6) months; (iii) in the discretion of the Company, or its designee, through the Company’s withholding Shares otherwise issuable to the Participant having a Fair Market Value on the Tax Date equal to the amount of tax required to be withheld, or (iv) in the discretion of the Committee, or its designee, through a combination of the procedures set forth in subsections (i), (ii) and (iii) of this Section 15.14(b).</w:t>
      </w:r>
    </w:p>
    <w:p>
      <w:pPr>
        <w:spacing w:after="0" w:line="18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15.15</w:t>
      </w:r>
      <w:r>
        <w:rPr>
          <w:sz w:val="20"/>
          <w:szCs w:val="20"/>
          <w:color w:val="auto"/>
        </w:rPr>
        <w:tab/>
      </w:r>
      <w:r>
        <w:rPr>
          <w:rFonts w:ascii="Arial" w:cs="Arial" w:eastAsia="Arial" w:hAnsi="Arial"/>
          <w:sz w:val="15"/>
          <w:szCs w:val="15"/>
          <w:b w:val="1"/>
          <w:bCs w:val="1"/>
          <w:i w:val="1"/>
          <w:iCs w:val="1"/>
          <w:color w:val="auto"/>
        </w:rPr>
        <w:t>Transferability of Awards.</w:t>
      </w:r>
    </w:p>
    <w:p>
      <w:pPr>
        <w:spacing w:after="0" w:line="224" w:lineRule="exact"/>
        <w:rPr>
          <w:sz w:val="20"/>
          <w:szCs w:val="20"/>
          <w:color w:val="auto"/>
        </w:rPr>
      </w:pPr>
    </w:p>
    <w:p>
      <w:pPr>
        <w:ind w:left="640" w:firstLine="623"/>
        <w:spacing w:after="0" w:line="279" w:lineRule="auto"/>
        <w:tabs>
          <w:tab w:leader="none" w:pos="1896" w:val="left"/>
        </w:tabs>
        <w:numPr>
          <w:ilvl w:val="0"/>
          <w:numId w:val="444"/>
        </w:numPr>
        <w:rPr>
          <w:rFonts w:ascii="Arial" w:cs="Arial" w:eastAsia="Arial" w:hAnsi="Arial"/>
          <w:sz w:val="16"/>
          <w:szCs w:val="16"/>
          <w:color w:val="auto"/>
        </w:rPr>
      </w:pPr>
      <w:r>
        <w:rPr>
          <w:rFonts w:ascii="Arial" w:cs="Arial" w:eastAsia="Arial" w:hAnsi="Arial"/>
          <w:sz w:val="16"/>
          <w:szCs w:val="16"/>
          <w:color w:val="auto"/>
        </w:rPr>
        <w:t>Other than pursuant to a valid qualified domestic relations order as defined in section 414(p) of the Code or Title I of the Employee Retirement Income Security Act of 1974, as amended (“ERISA”), as provided in paragraph (b) of this Section 16.13, below, Incentive Stock Options may not be transferred or assigned other than by will or the laws of descent and distribution and may be exercised during the lifetime of the Participant only by the Participant or the Participant’s legally authorized representative, and each Award agreement in respect of an Incentive Stock Option shall so provide. The designation by a Participant of a Beneficiary will not constitute a transfer of the Stock Option. The Committee may waive or modify any limitation contained in the preceding sentences of this Section 15.14 that is not required for compliance with Section 422 of the Code. The Committee may, in its discretion, authorize all or a portion of a Non-Qualified Stock Option or SAR to be granted to a Participant to be on terms which permit transfer by such Participant to (i) the spouse, children or grandchildren of the Participant (“Immediate Family Members”), (ii) a trust or trusts for the exclusive benefit of such Immediate Family Members, or (iii) a partnership in which such Immediate Family Members are the only partners, (iv) an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60"/>
        <w:spacing w:after="0" w:line="277" w:lineRule="auto"/>
        <w:rPr>
          <w:sz w:val="20"/>
          <w:szCs w:val="20"/>
          <w:color w:val="auto"/>
        </w:rPr>
      </w:pPr>
      <w:r>
        <w:rPr>
          <w:rFonts w:ascii="Arial" w:cs="Arial" w:eastAsia="Arial" w:hAnsi="Arial"/>
          <w:sz w:val="16"/>
          <w:szCs w:val="16"/>
          <w:color w:val="auto"/>
        </w:rPr>
        <w:t xml:space="preserve">entity exempt from federal income tax pursuant to Section 501(c)(3) of the Code or any successor provision, or (v) a split interest trust or pooled income fund described in Section 2522(c)(2) of the Code or any successor provision,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(w) there shall be no consideration for any such transfer, (x) the Award Agreement pursuant to which such Non-Qualified Stock Option or SAR is granted must be approved by the Committee and must expressly provided for transferability in a manner consistent with this Section, (y) no such transfer shall be permitted if the Common Stock issuable under such transferred Stock Option would not be eligible to be registered on Form S-8 promulgated under the Securities Act, and (z) subsequent transfers of transferred Non-Qualified Stock Options or Stock Appreciation Rights shall be prohibited except those by will or the laws of descent and distribution or pursuant to a qualified domestic relations order as defined in the Code or Title I of the Employee Retirement Income Security Act of 1974, as amended. Following transfer, any such Non-Qualified Stock Option and SAR shall continue to be subject to the same terms and conditions as were applicable immediately prior to transfer, provided that for purposes of Section 6.6 or Section 7, as applicable, and Articles 12, 13, 14, and 15 hereof the term “Participant” shall be deemed to include the transferee. The events of a termination of service shall continue to be applied with respect to the original Participant, following which the Non-Qualified Stock Options and Stock Appreciation Rights shall be exercisable by the transferee only to the extent and for the periods specified in the original Award agreement and applicable to the Participant. The Committee and the Company shall have no obligation to inform any transferee of a Non-Qualified Stock Option or SAR of any expiration, termination, lapse or acceleration of such Option. The Company shall have no obligation to register with any federal or state securities commission or agency any Common Stock issuable or issued under a Non-Qualified Stock Option or SAR that has been transferred by a Participant under this Section 15.15.</w:t>
      </w:r>
    </w:p>
    <w:p>
      <w:pPr>
        <w:sectPr>
          <w:pgSz w:w="11900" w:h="16838" w:orient="portrait"/>
          <w:cols w:equalWidth="0" w:num="1">
            <w:col w:w="11420"/>
          </w:cols>
          <w:pgMar w:left="240" w:top="127" w:right="239" w:bottom="35" w:gutter="0" w:footer="0" w:header="0"/>
        </w:sectPr>
      </w:pPr>
    </w:p>
    <w:bookmarkStart w:id="328" w:name="page329"/>
    <w:bookmarkEnd w:id="328"/>
    <w:p>
      <w:pPr>
        <w:ind w:left="640" w:firstLine="623"/>
        <w:spacing w:after="0" w:line="298" w:lineRule="auto"/>
        <w:tabs>
          <w:tab w:leader="none" w:pos="1905" w:val="left"/>
        </w:tabs>
        <w:numPr>
          <w:ilvl w:val="0"/>
          <w:numId w:val="445"/>
        </w:numPr>
        <w:rPr>
          <w:rFonts w:ascii="Arial" w:cs="Arial" w:eastAsia="Arial" w:hAnsi="Arial"/>
          <w:sz w:val="15"/>
          <w:szCs w:val="15"/>
          <w:color w:val="auto"/>
        </w:rPr>
      </w:pPr>
      <w:r>
        <w:rPr>
          <w:rFonts w:ascii="Arial" w:cs="Arial" w:eastAsia="Arial" w:hAnsi="Arial"/>
          <w:sz w:val="15"/>
          <w:szCs w:val="15"/>
          <w:color w:val="auto"/>
        </w:rPr>
        <w:t>Notwithstanding the foregoing, Options and such other Awards as the Committee may determine may be transferred pursuant to a valid qualified domestic relations order as defined in section 414(p) of the Code or Title I of ERISA pursuant to which a court has determined, in connection with a divorce proceeding, that a spouse or former spouse of a Participant has an interest in the Participant’s Award under the Plan. Any Incentive Stock Option transferred pursuant to this Section 16.13 shall cease to be an Incentive Stock Option on the date of such transfer and shall be treated for all purposes as a Non-Qualified Stock Option in the hands of the transferee. Following any such transfer each Award transferred shall continue to be subject to the same terms and conditions of the Plan and the Award agreement applicable to the Award immediately prior to transfer, provided that for all purposes under the Plan the term “Participant” shall be deemed to include the transferee. The effect a termination of Service shall have on the exercisability of an Award with respect to the original Participant shall continue to apply to a transferee after a transfer pursuant to this Section 6(e), so that the Award transferred shall be exercisable by the transferee only to the extent and for the periods specified in the Plan, unless different periods are otherwise provided in a Participant’s original Award agreement. The Committee and the Company shall have no obligation to inform any transferee of an Award of any expiration, termination, lapse or acceleration of such Award. The Company shall have no obligation to register with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any federal or state securities commission or agency any Stock issuable or issued under an Award that has been transferred pursuant to this Section 15.15.</w:t>
      </w:r>
    </w:p>
    <w:p>
      <w:pPr>
        <w:spacing w:after="0" w:line="247" w:lineRule="exact"/>
        <w:rPr>
          <w:sz w:val="20"/>
          <w:szCs w:val="20"/>
          <w:color w:val="auto"/>
        </w:rPr>
      </w:pPr>
    </w:p>
    <w:p>
      <w:pPr>
        <w:jc w:val="both"/>
        <w:ind w:right="20" w:firstLine="629"/>
        <w:spacing w:after="0" w:line="265" w:lineRule="auto"/>
        <w:rPr>
          <w:sz w:val="20"/>
          <w:szCs w:val="20"/>
          <w:color w:val="auto"/>
        </w:rPr>
      </w:pPr>
      <w:r>
        <w:rPr>
          <w:rFonts w:ascii="Arial" w:cs="Arial" w:eastAsia="Arial" w:hAnsi="Arial"/>
          <w:sz w:val="17"/>
          <w:szCs w:val="17"/>
          <w:color w:val="auto"/>
        </w:rPr>
        <w:t xml:space="preserve">15.16 </w:t>
      </w:r>
      <w:r>
        <w:rPr>
          <w:rFonts w:ascii="Arial" w:cs="Arial" w:eastAsia="Arial" w:hAnsi="Arial"/>
          <w:sz w:val="17"/>
          <w:szCs w:val="17"/>
          <w:i w:val="1"/>
          <w:iCs w:val="1"/>
          <w:u w:val="single" w:color="auto"/>
          <w:color w:val="auto"/>
        </w:rPr>
        <w:t>Rights of Participants.</w:t>
      </w:r>
      <w:r>
        <w:rPr>
          <w:rFonts w:ascii="Arial" w:cs="Arial" w:eastAsia="Arial" w:hAnsi="Arial"/>
          <w:sz w:val="17"/>
          <w:szCs w:val="17"/>
          <w:color w:val="auto"/>
        </w:rPr>
        <w:t xml:space="preserve"> Except as hereinbefore expressly provided in this Plan, any Person to whom an Award is granted shall have no rights by reason of any subdivision or consolidation of stock of any class or the payment of any stock dividend or any other increase or decrease in the number of shares of stock of any class or by reason of any dissolution, liquidation, reorganization, merger or consolidation or spinoff of assets or stock of another corporation, and any issue by the Company of shares of stock of any class or securities convertible into shares of stock of any class shall not affect, and no adjustment by reason thereof shall be made with respect to, the number or exercise price of Shares subject to an Award.</w:t>
      </w:r>
    </w:p>
    <w:p>
      <w:pPr>
        <w:spacing w:after="0" w:line="179" w:lineRule="exact"/>
        <w:rPr>
          <w:sz w:val="20"/>
          <w:szCs w:val="20"/>
          <w:color w:val="auto"/>
        </w:rPr>
      </w:pPr>
    </w:p>
    <w:p>
      <w:pPr>
        <w:jc w:val="both"/>
        <w:ind w:right="40" w:firstLine="629"/>
        <w:spacing w:after="0" w:line="273" w:lineRule="auto"/>
        <w:rPr>
          <w:sz w:val="20"/>
          <w:szCs w:val="20"/>
          <w:color w:val="auto"/>
        </w:rPr>
      </w:pPr>
      <w:r>
        <w:rPr>
          <w:rFonts w:ascii="Arial" w:cs="Arial" w:eastAsia="Arial" w:hAnsi="Arial"/>
          <w:sz w:val="17"/>
          <w:szCs w:val="17"/>
          <w:color w:val="auto"/>
        </w:rPr>
        <w:t xml:space="preserve">15.17 </w:t>
      </w:r>
      <w:r>
        <w:rPr>
          <w:rFonts w:ascii="Arial" w:cs="Arial" w:eastAsia="Arial" w:hAnsi="Arial"/>
          <w:sz w:val="17"/>
          <w:szCs w:val="17"/>
          <w:i w:val="1"/>
          <w:iCs w:val="1"/>
          <w:u w:val="single" w:color="auto"/>
          <w:color w:val="auto"/>
        </w:rPr>
        <w:t>No Limitation Upon the Rights of the Company.</w:t>
      </w:r>
      <w:r>
        <w:rPr>
          <w:rFonts w:ascii="Arial" w:cs="Arial" w:eastAsia="Arial" w:hAnsi="Arial"/>
          <w:sz w:val="17"/>
          <w:szCs w:val="17"/>
          <w:color w:val="auto"/>
        </w:rPr>
        <w:t xml:space="preserve"> The grant of an Award pursuant to this Plan shall not affect in any way the right or power of the Company to make adjustments, reclassifications, or changes of its capital or business structure; to merge, convert or consolidate; to dissolve or liquidate; or sell or transfer all or any part of its business or assets.</w:t>
      </w:r>
    </w:p>
    <w:p>
      <w:pPr>
        <w:spacing w:after="0" w:line="172" w:lineRule="exact"/>
        <w:rPr>
          <w:sz w:val="20"/>
          <w:szCs w:val="20"/>
          <w:color w:val="auto"/>
        </w:rPr>
      </w:pPr>
    </w:p>
    <w:p>
      <w:pPr>
        <w:ind w:right="20" w:firstLine="629"/>
        <w:spacing w:after="0" w:line="285" w:lineRule="auto"/>
        <w:rPr>
          <w:sz w:val="20"/>
          <w:szCs w:val="20"/>
          <w:color w:val="auto"/>
        </w:rPr>
      </w:pPr>
      <w:r>
        <w:rPr>
          <w:rFonts w:ascii="Arial" w:cs="Arial" w:eastAsia="Arial" w:hAnsi="Arial"/>
          <w:sz w:val="16"/>
          <w:szCs w:val="16"/>
          <w:color w:val="auto"/>
        </w:rPr>
        <w:t xml:space="preserve">15.18 </w:t>
      </w:r>
      <w:r>
        <w:rPr>
          <w:rFonts w:ascii="Arial" w:cs="Arial" w:eastAsia="Arial" w:hAnsi="Arial"/>
          <w:sz w:val="16"/>
          <w:szCs w:val="16"/>
          <w:i w:val="1"/>
          <w:iCs w:val="1"/>
          <w:u w:val="single" w:color="auto"/>
          <w:color w:val="auto"/>
        </w:rPr>
        <w:t>Date of Grant of an Award.</w:t>
      </w:r>
      <w:r>
        <w:rPr>
          <w:rFonts w:ascii="Arial" w:cs="Arial" w:eastAsia="Arial" w:hAnsi="Arial"/>
          <w:sz w:val="16"/>
          <w:szCs w:val="16"/>
          <w:color w:val="auto"/>
        </w:rPr>
        <w:t xml:space="preserve"> Except as noted in this </w:t>
      </w:r>
      <w:r>
        <w:rPr>
          <w:rFonts w:ascii="Arial" w:cs="Arial" w:eastAsia="Arial" w:hAnsi="Arial"/>
          <w:sz w:val="16"/>
          <w:szCs w:val="16"/>
          <w:u w:val="single" w:color="auto"/>
          <w:color w:val="auto"/>
        </w:rPr>
        <w:t>ARTICLE 15.18</w:t>
      </w:r>
      <w:r>
        <w:rPr>
          <w:rFonts w:ascii="Arial" w:cs="Arial" w:eastAsia="Arial" w:hAnsi="Arial"/>
          <w:sz w:val="16"/>
          <w:szCs w:val="16"/>
          <w:color w:val="auto"/>
        </w:rPr>
        <w:t>, the granting of an Award shall take place only upon the execution and delivery by the Company and the Participant of a written agreement and neither any other action taken by the Committee nor anything contained in this Plan or in any resolution adopted or to be adopted by the Committee, the Board or the shareholders of the Company shall constitute the granting of an Award pursuant to this Plan. Solely for purposes of determining the Fair Market Value of the Shares subject to an Award, such Award will be deemed to have been granted as of the date specified by the Committee notwithstanding any delay which may elapse in executing and delivering the applicable agreement.</w:t>
      </w:r>
    </w:p>
    <w:p>
      <w:pPr>
        <w:spacing w:after="0" w:line="166"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 xml:space="preserve">15.19 </w:t>
      </w:r>
      <w:r>
        <w:rPr>
          <w:rFonts w:ascii="Arial" w:cs="Arial" w:eastAsia="Arial" w:hAnsi="Arial"/>
          <w:sz w:val="17"/>
          <w:szCs w:val="17"/>
          <w:i w:val="1"/>
          <w:iCs w:val="1"/>
          <w:u w:val="single" w:color="auto"/>
          <w:color w:val="auto"/>
        </w:rPr>
        <w:t>Effective Date</w:t>
      </w:r>
      <w:r>
        <w:rPr>
          <w:rFonts w:ascii="Arial" w:cs="Arial" w:eastAsia="Arial" w:hAnsi="Arial"/>
          <w:sz w:val="17"/>
          <w:szCs w:val="17"/>
          <w:i w:val="1"/>
          <w:iCs w:val="1"/>
          <w:color w:val="auto"/>
        </w:rPr>
        <w:t>.</w:t>
      </w:r>
      <w:r>
        <w:rPr>
          <w:rFonts w:ascii="Arial" w:cs="Arial" w:eastAsia="Arial" w:hAnsi="Arial"/>
          <w:sz w:val="17"/>
          <w:szCs w:val="17"/>
          <w:color w:val="auto"/>
        </w:rPr>
        <w:t xml:space="preserve"> The provisions of this Plan that relate to the grant of Incentive Stock Options shall be effective as of the date of the approval of this Plan by the shareholders of the Company. All other provisions of this Plan shall be effective as of the Effective Date.</w:t>
      </w:r>
    </w:p>
    <w:p>
      <w:pPr>
        <w:spacing w:after="0" w:line="158"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 xml:space="preserve">15.20 </w:t>
      </w:r>
      <w:r>
        <w:rPr>
          <w:rFonts w:ascii="Arial" w:cs="Arial" w:eastAsia="Arial" w:hAnsi="Arial"/>
          <w:sz w:val="17"/>
          <w:szCs w:val="17"/>
          <w:i w:val="1"/>
          <w:iCs w:val="1"/>
          <w:u w:val="single" w:color="auto"/>
          <w:color w:val="auto"/>
        </w:rPr>
        <w:t>Other Laws.</w:t>
      </w:r>
      <w:r>
        <w:rPr>
          <w:rFonts w:ascii="Arial" w:cs="Arial" w:eastAsia="Arial" w:hAnsi="Arial"/>
          <w:sz w:val="17"/>
          <w:szCs w:val="17"/>
          <w:color w:val="auto"/>
        </w:rPr>
        <w:t xml:space="preserve"> The Company shall not be obligated to issue any Shares pursuant to any Award granted under the Plan at any time when the offering of the Shares covered by such Award is not either (I) registered under the Securities Act of 1933 and such other state and federal laws, rules or regulations as the Company or the Committee deems applicable or (ii) exempt from the registration requirements of such laws, rules or regulations available for the issuance and sale of such shares.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29" w:name="page330"/>
    <w:bookmarkEnd w:id="329"/>
    <w:p>
      <w:pPr>
        <w:jc w:val="right"/>
        <w:spacing w:after="0"/>
        <w:rPr>
          <w:sz w:val="20"/>
          <w:szCs w:val="20"/>
          <w:color w:val="auto"/>
        </w:rPr>
      </w:pPr>
      <w:r>
        <w:rPr>
          <w:rFonts w:ascii="Arial" w:cs="Arial" w:eastAsia="Arial" w:hAnsi="Arial"/>
          <w:sz w:val="17"/>
          <w:szCs w:val="17"/>
          <w:b w:val="1"/>
          <w:bCs w:val="1"/>
          <w:color w:val="auto"/>
        </w:rPr>
        <w:t>Exhibit 10.5.2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 2006 INCENTIVE SHARE PLAN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STOCK OPTION AGREEMENT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Optionee: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Employee ID / Participant Code: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Grant Number: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Total Shares Subject to Option: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Exercise Price Per Share: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Date of Grant: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Vesting Commencement Date: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Post-Termination Exercise Period: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Expiration Date:</w:t>
      </w:r>
    </w:p>
    <w:p>
      <w:pPr>
        <w:spacing w:after="0" w:line="224" w:lineRule="exact"/>
        <w:rPr>
          <w:sz w:val="20"/>
          <w:szCs w:val="20"/>
          <w:color w:val="auto"/>
        </w:rPr>
      </w:pPr>
    </w:p>
    <w:p>
      <w:pPr>
        <w:spacing w:after="0"/>
        <w:tabs>
          <w:tab w:leader="none" w:pos="4120" w:val="left"/>
          <w:tab w:leader="none" w:pos="4460" w:val="left"/>
        </w:tabs>
        <w:rPr>
          <w:sz w:val="20"/>
          <w:szCs w:val="20"/>
          <w:color w:val="auto"/>
        </w:rPr>
      </w:pPr>
      <w:r>
        <w:rPr>
          <w:rFonts w:ascii="Arial" w:cs="Arial" w:eastAsia="Arial" w:hAnsi="Arial"/>
          <w:sz w:val="17"/>
          <w:szCs w:val="17"/>
          <w:color w:val="auto"/>
        </w:rPr>
        <w:t>Type of Stock Option:</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6"/>
          <w:szCs w:val="16"/>
          <w:color w:val="auto"/>
        </w:rPr>
        <w:t>Incentive Stock Option</w:t>
      </w:r>
    </w:p>
    <w:p>
      <w:pPr>
        <w:spacing w:after="0" w:line="26" w:lineRule="exact"/>
        <w:rPr>
          <w:sz w:val="20"/>
          <w:szCs w:val="20"/>
          <w:color w:val="auto"/>
        </w:rPr>
      </w:pPr>
    </w:p>
    <w:p>
      <w:pPr>
        <w:ind w:left="4480" w:hanging="346"/>
        <w:spacing w:after="0"/>
        <w:tabs>
          <w:tab w:leader="none" w:pos="4480" w:val="left"/>
        </w:tabs>
        <w:numPr>
          <w:ilvl w:val="1"/>
          <w:numId w:val="446"/>
        </w:numPr>
        <w:rPr>
          <w:rFonts w:ascii="Arial" w:cs="Arial" w:eastAsia="Arial" w:hAnsi="Arial"/>
          <w:sz w:val="17"/>
          <w:szCs w:val="17"/>
          <w:color w:val="auto"/>
        </w:rPr>
      </w:pPr>
      <w:r>
        <w:rPr>
          <w:rFonts w:ascii="Arial" w:cs="Arial" w:eastAsia="Arial" w:hAnsi="Arial"/>
          <w:sz w:val="17"/>
          <w:szCs w:val="17"/>
          <w:color w:val="auto"/>
        </w:rPr>
        <w:t>Non-Qualified Stock Option</w:t>
      </w:r>
    </w:p>
    <w:p>
      <w:pPr>
        <w:spacing w:after="0" w:line="212" w:lineRule="exact"/>
        <w:rPr>
          <w:rFonts w:ascii="Arial" w:cs="Arial" w:eastAsia="Arial" w:hAnsi="Arial"/>
          <w:sz w:val="17"/>
          <w:szCs w:val="17"/>
          <w:color w:val="auto"/>
        </w:rPr>
      </w:pPr>
    </w:p>
    <w:p>
      <w:pPr>
        <w:ind w:right="200" w:firstLine="634"/>
        <w:spacing w:after="0" w:line="263" w:lineRule="auto"/>
        <w:tabs>
          <w:tab w:leader="none" w:pos="1258" w:val="left"/>
        </w:tabs>
        <w:numPr>
          <w:ilvl w:val="0"/>
          <w:numId w:val="446"/>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Applied Optoelectronics, Inc., a Texas corporation (the “Company”), hereby grants to the Optionee named above an option (the “Option”) to purchase the total number of shares of Common Stock set forth above (the “Shares”) at the exercise price per Share set forth above (the “Exercise Price”), in accordance with this Stock Option Agreement (“Option Agreement”) and subject to the terms and conditions of the Applied Optoelectronics, Inc. 2006 Incentive Share Plan, as amended from time to time (the “Plan”), which are incorporated herein by reference. If designated as an Incentive Stock Option above, the Option is intended to qualify as an “incentive stock option” within the meaning of Section 422 of the Code. Unless otherwise defined herein, capitalized terms used herein shall have the same meanings ascribed to them in the Plan.</w:t>
      </w:r>
    </w:p>
    <w:p>
      <w:pPr>
        <w:spacing w:after="0" w:line="183" w:lineRule="exact"/>
        <w:rPr>
          <w:rFonts w:ascii="Arial" w:cs="Arial" w:eastAsia="Arial" w:hAnsi="Arial"/>
          <w:sz w:val="17"/>
          <w:szCs w:val="17"/>
          <w:color w:val="auto"/>
        </w:rPr>
      </w:pPr>
    </w:p>
    <w:p>
      <w:pPr>
        <w:ind w:right="600" w:firstLine="634"/>
        <w:spacing w:after="0" w:line="289" w:lineRule="auto"/>
        <w:tabs>
          <w:tab w:leader="none" w:pos="1258" w:val="left"/>
        </w:tabs>
        <w:numPr>
          <w:ilvl w:val="0"/>
          <w:numId w:val="446"/>
        </w:numPr>
        <w:rPr>
          <w:rFonts w:ascii="Arial" w:cs="Arial" w:eastAsia="Arial" w:hAnsi="Arial"/>
          <w:sz w:val="17"/>
          <w:szCs w:val="17"/>
          <w:color w:val="auto"/>
        </w:rPr>
      </w:pPr>
      <w:r>
        <w:rPr>
          <w:rFonts w:ascii="Arial" w:cs="Arial" w:eastAsia="Arial" w:hAnsi="Arial"/>
          <w:sz w:val="17"/>
          <w:szCs w:val="17"/>
          <w:u w:val="single" w:color="auto"/>
          <w:color w:val="auto"/>
        </w:rPr>
        <w:t>Vesting; Time of Exercise</w:t>
      </w:r>
      <w:r>
        <w:rPr>
          <w:rFonts w:ascii="Arial" w:cs="Arial" w:eastAsia="Arial" w:hAnsi="Arial"/>
          <w:sz w:val="17"/>
          <w:szCs w:val="17"/>
          <w:color w:val="auto"/>
        </w:rPr>
        <w:t>. Subject to the terms and conditions of the Plan and this Option Agreement, the Option shall vest and become exercisable in the following cumulative installments, as follows:</w:t>
      </w:r>
    </w:p>
    <w:p>
      <w:pPr>
        <w:spacing w:after="0" w:line="158"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(a) The Option shall vest and become exercisable with respect to percent ( %) of the Shares as of the anniversary of the vesting commencement date set forth above (the “Vesting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40"/>
        <w:spacing w:after="0"/>
        <w:tabs>
          <w:tab w:leader="none" w:pos="1260" w:val="left"/>
          <w:tab w:leader="none" w:pos="6500" w:val="left"/>
          <w:tab w:leader="none" w:pos="6820" w:val="left"/>
          <w:tab w:leader="none" w:pos="9780"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7"/>
          <w:szCs w:val="17"/>
          <w:color w:val="auto"/>
        </w:rPr>
        <w:t>The Option shall vest and become exercisable with respect to</w:t>
      </w:r>
      <w:r>
        <w:rPr>
          <w:sz w:val="20"/>
          <w:szCs w:val="20"/>
          <w:color w:val="auto"/>
        </w:rPr>
        <w:tab/>
      </w:r>
      <w:r>
        <w:rPr>
          <w:rFonts w:ascii="Arial" w:cs="Arial" w:eastAsia="Arial" w:hAnsi="Arial"/>
          <w:sz w:val="17"/>
          <w:szCs w:val="17"/>
          <w:color w:val="auto"/>
        </w:rPr>
        <w:t>(</w:t>
        <w:tab/>
        <w:t>) of the remaining Shares as of the</w:t>
      </w:r>
      <w:r>
        <w:rPr>
          <w:sz w:val="20"/>
          <w:szCs w:val="20"/>
          <w:color w:val="auto"/>
        </w:rPr>
        <w:tab/>
      </w:r>
      <w:r>
        <w:rPr>
          <w:rFonts w:ascii="Arial" w:cs="Arial" w:eastAsia="Arial" w:hAnsi="Arial"/>
          <w:sz w:val="15"/>
          <w:szCs w:val="15"/>
          <w:color w:val="auto"/>
        </w:rPr>
        <w:t>day of the</w:t>
      </w:r>
    </w:p>
    <w:p>
      <w:pPr>
        <w:spacing w:after="0" w:line="26" w:lineRule="exact"/>
        <w:rPr>
          <w:sz w:val="20"/>
          <w:szCs w:val="20"/>
          <w:color w:val="auto"/>
        </w:rPr>
      </w:pPr>
    </w:p>
    <w:p>
      <w:pPr>
        <w:spacing w:after="0"/>
        <w:tabs>
          <w:tab w:leader="none" w:pos="2160" w:val="left"/>
          <w:tab w:leader="none" w:pos="8160" w:val="left"/>
        </w:tabs>
        <w:rPr>
          <w:sz w:val="20"/>
          <w:szCs w:val="20"/>
          <w:color w:val="auto"/>
        </w:rPr>
      </w:pPr>
      <w:r>
        <w:rPr>
          <w:rFonts w:ascii="Arial" w:cs="Arial" w:eastAsia="Arial" w:hAnsi="Arial"/>
          <w:sz w:val="17"/>
          <w:szCs w:val="17"/>
          <w:color w:val="auto"/>
        </w:rPr>
        <w:t>month following the</w:t>
      </w:r>
      <w:r>
        <w:rPr>
          <w:sz w:val="20"/>
          <w:szCs w:val="20"/>
          <w:color w:val="auto"/>
        </w:rPr>
        <w:tab/>
      </w:r>
      <w:r>
        <w:rPr>
          <w:rFonts w:ascii="Arial" w:cs="Arial" w:eastAsia="Arial" w:hAnsi="Arial"/>
          <w:sz w:val="17"/>
          <w:szCs w:val="17"/>
          <w:color w:val="auto"/>
        </w:rPr>
        <w:t>anniversary of the Vesting Commencement Date and each succeeding</w:t>
      </w:r>
      <w:r>
        <w:rPr>
          <w:sz w:val="20"/>
          <w:szCs w:val="20"/>
          <w:color w:val="auto"/>
        </w:rPr>
        <w:tab/>
      </w:r>
      <w:r>
        <w:rPr>
          <w:rFonts w:ascii="Arial" w:cs="Arial" w:eastAsia="Arial" w:hAnsi="Arial"/>
          <w:sz w:val="15"/>
          <w:szCs w:val="15"/>
          <w:color w:val="auto"/>
        </w:rPr>
        <w:t>calendar month(s), until the Option is vested</w:t>
      </w:r>
    </w:p>
    <w:p>
      <w:pPr>
        <w:spacing w:after="0" w:line="14" w:lineRule="exact"/>
        <w:rPr>
          <w:sz w:val="20"/>
          <w:szCs w:val="20"/>
          <w:color w:val="auto"/>
        </w:rPr>
      </w:pPr>
    </w:p>
    <w:p>
      <w:pPr>
        <w:spacing w:after="0"/>
        <w:tabs>
          <w:tab w:leader="none" w:pos="2620" w:val="left"/>
        </w:tabs>
        <w:rPr>
          <w:sz w:val="20"/>
          <w:szCs w:val="20"/>
          <w:color w:val="auto"/>
        </w:rPr>
      </w:pPr>
      <w:r>
        <w:rPr>
          <w:rFonts w:ascii="Arial" w:cs="Arial" w:eastAsia="Arial" w:hAnsi="Arial"/>
          <w:sz w:val="17"/>
          <w:szCs w:val="17"/>
          <w:color w:val="auto"/>
        </w:rPr>
        <w:t>and exercisable with respect to</w:t>
      </w:r>
      <w:r>
        <w:rPr>
          <w:sz w:val="20"/>
          <w:szCs w:val="20"/>
          <w:color w:val="auto"/>
        </w:rPr>
        <w:tab/>
      </w:r>
      <w:r>
        <w:rPr>
          <w:rFonts w:ascii="Arial" w:cs="Arial" w:eastAsia="Arial" w:hAnsi="Arial"/>
          <w:sz w:val="15"/>
          <w:szCs w:val="15"/>
          <w:color w:val="auto"/>
        </w:rPr>
        <w:t>% of the Shares.</w:t>
      </w:r>
    </w:p>
    <w:p>
      <w:pPr>
        <w:spacing w:after="0" w:line="21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If an installment covers a fractional Share, such installment will be rounded to the next highest Share, except the final installment, which will be for the balance of the total Shares; provided, that, absent the occurrence of a Recapitalization or Corporate Transaction as described in Article 12 of the Plan, the Optionee shall in no event be entitled under the Option to purchase a number of shares of the Common Stock greater than the “Total Shares Subject to Option” indicated above.</w:t>
      </w:r>
    </w:p>
    <w:p>
      <w:pPr>
        <w:spacing w:after="0" w:line="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Notwithstanding anything to the contrary herein, the Option shall expire on the Expiration Date set forth above and must be exercised, if at all, on or before the Expiration Date. If the Optionee’s service with the Company or any Subsidiary is terminated, the Option shall be exercisable only to the extent that the Optionee could have exercised it on the date of his or her termination of Continuous Service. Notwithstanding anything to the contrary herein, the Shares shall become fully exercisable upon the occurrence during the term hereof of a Change of Control or the death, Disability or Retirement of the Optionee, and the Optionee may forfeit his or her right to exercise the Option if the Optionee’s service with the Company or any Subsidiary is terminated for Cause.</w:t>
      </w:r>
    </w:p>
    <w:p>
      <w:pPr>
        <w:spacing w:after="0" w:line="166" w:lineRule="exact"/>
        <w:rPr>
          <w:sz w:val="20"/>
          <w:szCs w:val="20"/>
          <w:color w:val="auto"/>
        </w:rPr>
      </w:pPr>
    </w:p>
    <w:p>
      <w:pPr>
        <w:ind w:left="1260" w:hanging="626"/>
        <w:spacing w:after="0"/>
        <w:tabs>
          <w:tab w:leader="none" w:pos="1260" w:val="left"/>
        </w:tabs>
        <w:numPr>
          <w:ilvl w:val="0"/>
          <w:numId w:val="447"/>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224" w:lineRule="exact"/>
        <w:rPr>
          <w:sz w:val="20"/>
          <w:szCs w:val="20"/>
          <w:color w:val="auto"/>
        </w:rPr>
      </w:pPr>
    </w:p>
    <w:p>
      <w:pPr>
        <w:ind w:right="80" w:firstLine="634"/>
        <w:spacing w:after="0" w:line="273" w:lineRule="auto"/>
        <w:tabs>
          <w:tab w:leader="none" w:pos="1256" w:val="left"/>
        </w:tabs>
        <w:numPr>
          <w:ilvl w:val="0"/>
          <w:numId w:val="448"/>
        </w:numPr>
        <w:rPr>
          <w:rFonts w:ascii="Arial" w:cs="Arial" w:eastAsia="Arial" w:hAnsi="Arial"/>
          <w:sz w:val="17"/>
          <w:szCs w:val="17"/>
          <w:color w:val="auto"/>
        </w:rPr>
      </w:pPr>
      <w:r>
        <w:rPr>
          <w:rFonts w:ascii="Arial" w:cs="Arial" w:eastAsia="Arial" w:hAnsi="Arial"/>
          <w:sz w:val="17"/>
          <w:szCs w:val="17"/>
          <w:u w:val="single" w:color="auto"/>
          <w:color w:val="auto"/>
        </w:rPr>
        <w:t>Right to Exercise</w:t>
      </w:r>
      <w:r>
        <w:rPr>
          <w:rFonts w:ascii="Arial" w:cs="Arial" w:eastAsia="Arial" w:hAnsi="Arial"/>
          <w:sz w:val="17"/>
          <w:szCs w:val="17"/>
          <w:color w:val="auto"/>
        </w:rPr>
        <w:t>. The Option shall be exercisable in accordance with the vesting provisions contained in Section 2 of this Option Agreement and with the other applicable provisions of the Plan and this Option Agreement. The Option shall be subject to the provisions of Section 12 of the Plan relating to the exercisability or termination of the Option in the event of a Recapitalization or Corporate Transaction.</w:t>
      </w:r>
    </w:p>
    <w:p>
      <w:pPr>
        <w:spacing w:after="0" w:line="171" w:lineRule="exact"/>
        <w:rPr>
          <w:rFonts w:ascii="Arial" w:cs="Arial" w:eastAsia="Arial" w:hAnsi="Arial"/>
          <w:sz w:val="17"/>
          <w:szCs w:val="17"/>
          <w:color w:val="auto"/>
        </w:rPr>
      </w:pPr>
    </w:p>
    <w:p>
      <w:pPr>
        <w:ind w:firstLine="634"/>
        <w:spacing w:after="0" w:line="281" w:lineRule="auto"/>
        <w:tabs>
          <w:tab w:leader="none" w:pos="1266" w:val="left"/>
        </w:tabs>
        <w:numPr>
          <w:ilvl w:val="0"/>
          <w:numId w:val="448"/>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xml:space="preserve">. The Option shall be exercisable only by delivery to the Company of an executed Stock Option Exercise Notice (the “Exercise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or in such other form approved by the Committee, which shall state the Optionee’s election to exercise the Option, the whole number of Shares in respect of which the Option is being exercised, and such other provisions as may be required by the Committee or necessary to comply with securities and other applicable laws. The Exercise Notice shall be signed by the Optionee and shall be delivered to the Company by such method as may be permitted by the Committee, accompanied (in any case) by payment of, or provision for the payment of, the Exercise Price for each Share covered by the Exercise Notice, as described in Section 4 of this Option Agreement. The Option shall be deemed to be exercised upon receipt by the Company of such written Exercise Notice and the Exercise Price to the extent provided in such Exercise Notice.</w:t>
      </w:r>
    </w:p>
    <w:p>
      <w:pPr>
        <w:spacing w:after="0" w:line="170" w:lineRule="exact"/>
        <w:rPr>
          <w:rFonts w:ascii="Arial" w:cs="Arial" w:eastAsia="Arial" w:hAnsi="Arial"/>
          <w:sz w:val="16"/>
          <w:szCs w:val="16"/>
          <w:color w:val="auto"/>
        </w:rPr>
      </w:pPr>
    </w:p>
    <w:p>
      <w:pPr>
        <w:ind w:right="20" w:firstLine="634"/>
        <w:spacing w:after="0" w:line="273" w:lineRule="auto"/>
        <w:tabs>
          <w:tab w:leader="none" w:pos="1269" w:val="left"/>
        </w:tabs>
        <w:numPr>
          <w:ilvl w:val="0"/>
          <w:numId w:val="448"/>
        </w:numPr>
        <w:rPr>
          <w:rFonts w:ascii="Arial" w:cs="Arial" w:eastAsia="Arial" w:hAnsi="Arial"/>
          <w:sz w:val="17"/>
          <w:szCs w:val="17"/>
          <w:color w:val="auto"/>
        </w:rPr>
      </w:pPr>
      <w:r>
        <w:rPr>
          <w:rFonts w:ascii="Arial" w:cs="Arial" w:eastAsia="Arial" w:hAnsi="Arial"/>
          <w:sz w:val="17"/>
          <w:szCs w:val="17"/>
          <w:u w:val="single" w:color="auto"/>
          <w:color w:val="auto"/>
        </w:rPr>
        <w:t>Issuance of Shares</w:t>
      </w:r>
      <w:r>
        <w:rPr>
          <w:rFonts w:ascii="Arial" w:cs="Arial" w:eastAsia="Arial" w:hAnsi="Arial"/>
          <w:sz w:val="17"/>
          <w:szCs w:val="17"/>
          <w:color w:val="auto"/>
        </w:rPr>
        <w:t>. If the Exercise Notice and payment are in form and substance satisfactory to the Company (or its counsel), and the Optionee or any other person permitted to exercise the Option has complied with Section 5 of this Option Agreement, the Company shall issue or cause the issuance of, in the name of the Optionee or Optionee’s legal representative, the Shares purchased by such exercise of the Option.</w:t>
      </w:r>
    </w:p>
    <w:p>
      <w:pPr>
        <w:sectPr>
          <w:pgSz w:w="11900" w:h="16838" w:orient="portrait"/>
          <w:cols w:equalWidth="0" w:num="1">
            <w:col w:w="11420"/>
          </w:cols>
          <w:pgMar w:left="240" w:top="357" w:right="239" w:bottom="0" w:gutter="0" w:footer="0" w:header="0"/>
        </w:sectPr>
      </w:pPr>
    </w:p>
    <w:bookmarkStart w:id="330" w:name="page331"/>
    <w:bookmarkEnd w:id="330"/>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34"/>
        <w:spacing w:after="0" w:line="276" w:lineRule="auto"/>
        <w:tabs>
          <w:tab w:leader="none" w:pos="1258" w:val="left"/>
        </w:tabs>
        <w:numPr>
          <w:ilvl w:val="0"/>
          <w:numId w:val="449"/>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The Optionee’s delivery of the signed Exercise Notice to exercise the Option (in whole or in part) shall be accompanied by full payment of the Exercise Price for the Shares being purchased. Payment for the Shares may be made in cash (by check) or at the election of the Optionee and where permitted by law in one or more of the following methods: (i) if a public market for the Common Stock exists, through a “same day sale” arrangement between the Optionee and a broker-dealer that is a member of the National Association of Securities Dealers, Inc. (an “</w:t>
      </w:r>
      <w:r>
        <w:rPr>
          <w:rFonts w:ascii="Arial" w:cs="Arial" w:eastAsia="Arial" w:hAnsi="Arial"/>
          <w:sz w:val="16"/>
          <w:szCs w:val="16"/>
          <w:u w:val="single" w:color="auto"/>
          <w:color w:val="auto"/>
        </w:rPr>
        <w:t>NASD Dealer</w:t>
      </w:r>
      <w:r>
        <w:rPr>
          <w:rFonts w:ascii="Arial" w:cs="Arial" w:eastAsia="Arial" w:hAnsi="Arial"/>
          <w:sz w:val="16"/>
          <w:szCs w:val="16"/>
          <w:color w:val="auto"/>
        </w:rPr>
        <w:t>”) whereby the Optionee elects to exercise the Stock Option and to sell a portion of the shares of Common Stock so purchased to pay for the exercise price and whereby the NASD Dealer commits upon receipt of such shares of Common Stock to forward the exercise price directly to the Company; (ii) if a public market for the Common Stock exists, through a “margin” commitment from the Optionee and an NASD Dealer whereby the Optionee elects to exercise the Stock Option and to pledge the shares of Common Stock so purchased to the NASD Dealer in a margin account as security for a loan from the NASD Dealer in the amount of the exercise price, and whereby the NASD Dealer commits upon receipt of such shares of Common Stock to forward the exercise price directly to the Company; (iii) by surrender for cancellation of shares of Common Stock owned by the Optionee at the Fair Market Value per share at the time of exercise (provided that such surrender does not result in an accounting charge for the Company); (iv) where approved by the Committee at the time of exercise, by delivery of the Optionee’s promissory note with such recourse, interest, security, redemption and other provisions as the Committee may require, provided that the par value of each of the shares of Common Stock to be purchased is paid for in cash; or (v) in any other form of valid consideration that is acceptable to the Committee in its sole discretion or (vi) by any combination of the foregoing. Notwithstanding the foregoing, the payment options provided in (i), (ii) or (iv) above shall not be available to any Optionee who is a member of the Board or an executive officer of the Company or a Subsidiary if such payment option would be treated as a personal loan prohibited under Section 13(k) of the Exchange Act.</w:t>
      </w:r>
    </w:p>
    <w:p>
      <w:pPr>
        <w:spacing w:after="0" w:line="180" w:lineRule="exact"/>
        <w:rPr>
          <w:rFonts w:ascii="Arial" w:cs="Arial" w:eastAsia="Arial" w:hAnsi="Arial"/>
          <w:sz w:val="16"/>
          <w:szCs w:val="16"/>
          <w:color w:val="auto"/>
        </w:rPr>
      </w:pPr>
    </w:p>
    <w:p>
      <w:pPr>
        <w:ind w:firstLine="634"/>
        <w:spacing w:after="0" w:line="285" w:lineRule="auto"/>
        <w:tabs>
          <w:tab w:leader="none" w:pos="1258" w:val="left"/>
        </w:tabs>
        <w:numPr>
          <w:ilvl w:val="0"/>
          <w:numId w:val="449"/>
        </w:numPr>
        <w:rPr>
          <w:rFonts w:ascii="Arial" w:cs="Arial" w:eastAsia="Arial" w:hAnsi="Arial"/>
          <w:sz w:val="16"/>
          <w:szCs w:val="16"/>
          <w:color w:val="auto"/>
        </w:rPr>
      </w:pPr>
      <w:r>
        <w:rPr>
          <w:rFonts w:ascii="Arial" w:cs="Arial" w:eastAsia="Arial" w:hAnsi="Arial"/>
          <w:sz w:val="16"/>
          <w:szCs w:val="16"/>
          <w:u w:val="single" w:color="auto"/>
          <w:color w:val="auto"/>
        </w:rPr>
        <w:t>Tax Withholding Obligations</w:t>
      </w:r>
      <w:r>
        <w:rPr>
          <w:rFonts w:ascii="Arial" w:cs="Arial" w:eastAsia="Arial" w:hAnsi="Arial"/>
          <w:sz w:val="16"/>
          <w:szCs w:val="16"/>
          <w:color w:val="auto"/>
        </w:rPr>
        <w:t>. No Shares shall be delivered to the Optionee or any other person permitted to exercise the Option pursuant to the exercise of the Option until the Optionee or such other person has made arrangements acceptable to the Committee for the satisfaction of applicable income tax, employment tax, and social security tax withholding obligations, including obligations incident to the receipt of Shares. Upon exercise of the Option, the Company or the Optionee’s employer may offset or withhold (from any amount owed by the Company or the Optionee’s employer to the Optionee) or collect from the Optionee or such other person an amount sufficient to satisfy such tax obligations and/or the employer’s withholding obligations.</w:t>
      </w:r>
    </w:p>
    <w:p>
      <w:pPr>
        <w:spacing w:after="0" w:line="166" w:lineRule="exact"/>
        <w:rPr>
          <w:rFonts w:ascii="Arial" w:cs="Arial" w:eastAsia="Arial" w:hAnsi="Arial"/>
          <w:sz w:val="16"/>
          <w:szCs w:val="16"/>
          <w:color w:val="auto"/>
        </w:rPr>
      </w:pPr>
    </w:p>
    <w:p>
      <w:pPr>
        <w:ind w:left="1260" w:hanging="626"/>
        <w:spacing w:after="0"/>
        <w:tabs>
          <w:tab w:leader="none" w:pos="1260" w:val="left"/>
        </w:tabs>
        <w:numPr>
          <w:ilvl w:val="0"/>
          <w:numId w:val="449"/>
        </w:numPr>
        <w:rPr>
          <w:rFonts w:ascii="Arial" w:cs="Arial" w:eastAsia="Arial" w:hAnsi="Arial"/>
          <w:sz w:val="17"/>
          <w:szCs w:val="17"/>
          <w:color w:val="auto"/>
        </w:rPr>
      </w:pPr>
      <w:r>
        <w:rPr>
          <w:rFonts w:ascii="Arial" w:cs="Arial" w:eastAsia="Arial" w:hAnsi="Arial"/>
          <w:sz w:val="17"/>
          <w:szCs w:val="17"/>
          <w:u w:val="single" w:color="auto"/>
          <w:color w:val="auto"/>
        </w:rPr>
        <w:t>Termination or Change of Service</w:t>
      </w:r>
      <w:r>
        <w:rPr>
          <w:rFonts w:ascii="Arial" w:cs="Arial" w:eastAsia="Arial" w:hAnsi="Arial"/>
          <w:sz w:val="17"/>
          <w:szCs w:val="17"/>
          <w:color w:val="auto"/>
        </w:rPr>
        <w:t>.</w:t>
      </w:r>
    </w:p>
    <w:p>
      <w:pPr>
        <w:spacing w:after="0" w:line="224" w:lineRule="exact"/>
        <w:rPr>
          <w:sz w:val="20"/>
          <w:szCs w:val="20"/>
          <w:color w:val="auto"/>
        </w:rPr>
      </w:pPr>
    </w:p>
    <w:p>
      <w:pPr>
        <w:ind w:right="80" w:firstLine="634"/>
        <w:spacing w:after="0" w:line="265" w:lineRule="auto"/>
        <w:tabs>
          <w:tab w:leader="none" w:pos="1256" w:val="left"/>
        </w:tabs>
        <w:numPr>
          <w:ilvl w:val="0"/>
          <w:numId w:val="450"/>
        </w:numPr>
        <w:rPr>
          <w:rFonts w:ascii="Arial" w:cs="Arial" w:eastAsia="Arial" w:hAnsi="Arial"/>
          <w:sz w:val="17"/>
          <w:szCs w:val="17"/>
          <w:color w:val="auto"/>
        </w:rPr>
      </w:pPr>
      <w:r>
        <w:rPr>
          <w:rFonts w:ascii="Arial" w:cs="Arial" w:eastAsia="Arial" w:hAnsi="Arial"/>
          <w:sz w:val="17"/>
          <w:szCs w:val="17"/>
          <w:u w:val="single" w:color="auto"/>
          <w:color w:val="auto"/>
        </w:rPr>
        <w:t>Post-Termination Exercise</w:t>
      </w:r>
      <w:r>
        <w:rPr>
          <w:rFonts w:ascii="Arial" w:cs="Arial" w:eastAsia="Arial" w:hAnsi="Arial"/>
          <w:sz w:val="17"/>
          <w:szCs w:val="17"/>
          <w:color w:val="auto"/>
        </w:rPr>
        <w:t>. Subject to the provisions of Sections 7 and 8 of this Option Agreement, if the Optionee’s service with the Company or any Subsidiary terminates, other than as described in Section 6(b) of this Option Agreement, the Optionee may, to the extent otherwise so entitled at the date of Optionee’s termination of service (the “Termination Date”), exercise the Option during the Post-Termination Exercise Period set forth on the first page of this Option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Upon termination of the Optionee’s service with the Company or any Subsidiary as described in Section 6(b) of this Option Agreement, the Optionee’s right to exercise the Option shall, except as otherwise determined by the Committee, terminate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concurrently with the termination of the Optionee’s service with the Company or Subsidiary. In no event may the Option be exercised later than the Expiration Date set forth on the first page of this Option Agreement. In the event of the Optionee’s change in status from Employee, non-employee director or Consultant to any other status of Employee, non-employee director or Consultant, the Option shall remain in effect and, except to the extent otherwise determined by the Committee, continue to vest; provided, however, that with respect to any Incentive Stock Option that shall remain in effect after a change in status from Employee to non-employee director or Consultant, such Incentive Stock Option shall cease to be treated as an Incentive Stock Option and shall be treated as a Non-Qualified Stock Option on the day that is three (3) months and one (1) day following such change in status. Except as provided in Sections 7 and 8 of this Option Agreement, to the extent that the Optionee is not entitled to exercise the Option on the Termination Date, or if the Optionee does not exercise the Option within the Post-Termination Exercise Period, the Option shall terminate.</w:t>
      </w:r>
    </w:p>
    <w:p>
      <w:pPr>
        <w:spacing w:after="0" w:line="181" w:lineRule="exact"/>
        <w:rPr>
          <w:sz w:val="20"/>
          <w:szCs w:val="20"/>
          <w:color w:val="auto"/>
        </w:rPr>
      </w:pPr>
    </w:p>
    <w:p>
      <w:pPr>
        <w:ind w:right="40" w:firstLine="634"/>
        <w:spacing w:after="0" w:line="279" w:lineRule="auto"/>
        <w:tabs>
          <w:tab w:leader="none" w:pos="1266" w:val="left"/>
        </w:tabs>
        <w:numPr>
          <w:ilvl w:val="0"/>
          <w:numId w:val="451"/>
        </w:numPr>
        <w:rPr>
          <w:rFonts w:ascii="Arial" w:cs="Arial" w:eastAsia="Arial" w:hAnsi="Arial"/>
          <w:sz w:val="16"/>
          <w:szCs w:val="16"/>
          <w:color w:val="auto"/>
        </w:rPr>
      </w:pPr>
      <w:r>
        <w:rPr>
          <w:rFonts w:ascii="Arial" w:cs="Arial" w:eastAsia="Arial" w:hAnsi="Arial"/>
          <w:sz w:val="16"/>
          <w:szCs w:val="16"/>
          <w:u w:val="single" w:color="auto"/>
          <w:color w:val="auto"/>
        </w:rPr>
        <w:t>No Post-Termination Exercise</w:t>
      </w:r>
      <w:r>
        <w:rPr>
          <w:rFonts w:ascii="Arial" w:cs="Arial" w:eastAsia="Arial" w:hAnsi="Arial"/>
          <w:sz w:val="16"/>
          <w:szCs w:val="16"/>
          <w:color w:val="auto"/>
        </w:rPr>
        <w:t>. Unless the Committee otherwise determines, if the Optionee’s service with the Company or any Subsidiary is terminated either (i) by the Company or a Subsidiary for Cause, or (ii) if Optionee’s employment is subject to the terms of a then-effective written employment agreement between the Optionee and the Company or an affiliate, by the Optionee without compliance with, or without having any right to do so under, the terms of such employment agreement, then the Optionee’s right to exercise the Option shall immediately terminate. For purposes of this Option Agreement, the term “Cause” for termination by the Company or a Subsidiary of the Optionee’s service with the Company or any Subsidiary shall have the meaning set forth in a then-effective written employment agreement between the Optionee and the Company or such Subsidiary or, in the absence of such a definition in a then-effective written employment agreement (in the determination of the Committee), shall mean Cause as otherwise provided in the Plan. The Committee shall have discretion for the purposes of this Option Agreement to determine whether any termination of service by the Optionee is in compliance with, or is in accordance with any right to terminate, under the terms of a then-effective written employment agreement.</w:t>
      </w:r>
    </w:p>
    <w:p>
      <w:pPr>
        <w:spacing w:after="0" w:line="173" w:lineRule="exact"/>
        <w:rPr>
          <w:sz w:val="20"/>
          <w:szCs w:val="20"/>
          <w:color w:val="auto"/>
        </w:rPr>
      </w:pPr>
    </w:p>
    <w:p>
      <w:pPr>
        <w:ind w:right="140" w:firstLine="634"/>
        <w:spacing w:after="0" w:line="263" w:lineRule="auto"/>
        <w:tabs>
          <w:tab w:leader="none" w:pos="1258" w:val="left"/>
        </w:tabs>
        <w:numPr>
          <w:ilvl w:val="0"/>
          <w:numId w:val="452"/>
        </w:numPr>
        <w:rPr>
          <w:rFonts w:ascii="Arial" w:cs="Arial" w:eastAsia="Arial" w:hAnsi="Arial"/>
          <w:sz w:val="17"/>
          <w:szCs w:val="17"/>
          <w:color w:val="auto"/>
        </w:rPr>
      </w:pPr>
      <w:r>
        <w:rPr>
          <w:rFonts w:ascii="Arial" w:cs="Arial" w:eastAsia="Arial" w:hAnsi="Arial"/>
          <w:sz w:val="17"/>
          <w:szCs w:val="17"/>
          <w:u w:val="single" w:color="auto"/>
          <w:color w:val="auto"/>
        </w:rPr>
        <w:t>Disability or Retirement of Optionee</w:t>
      </w:r>
      <w:r>
        <w:rPr>
          <w:rFonts w:ascii="Arial" w:cs="Arial" w:eastAsia="Arial" w:hAnsi="Arial"/>
          <w:sz w:val="17"/>
          <w:szCs w:val="17"/>
          <w:color w:val="auto"/>
        </w:rPr>
        <w:t>. If the Optionee’s service with the Company or any Subsidiary terminates as a result of his or her Disability or Retirement, the Optionee may exercise the Option, within 36 months from the Termination Date (and in no event later than the Expiration Date), provided, however, that with respect to any Incentive Stock Option that shall remain in effect after an Optionee’s Disability or Retirement, such Incentive Stock Option shall cease to be treated as an Incentive Stock Option and shall be treated as a Non-Qualified Stock Option on the day that is one (1) year and one (1) day following the Optionee’s Disability or three (3) months and one (1) day following the Optionee’s Retirement. If the Option is not exercised to the extent so entitled within the time specified in this Section 7, the Option shall terminate.</w:t>
      </w:r>
    </w:p>
    <w:p>
      <w:pPr>
        <w:spacing w:after="0" w:line="183" w:lineRule="exact"/>
        <w:rPr>
          <w:rFonts w:ascii="Arial" w:cs="Arial" w:eastAsia="Arial" w:hAnsi="Arial"/>
          <w:sz w:val="17"/>
          <w:szCs w:val="17"/>
          <w:color w:val="auto"/>
        </w:rPr>
      </w:pPr>
    </w:p>
    <w:p>
      <w:pPr>
        <w:ind w:firstLine="634"/>
        <w:spacing w:after="0" w:line="268" w:lineRule="auto"/>
        <w:tabs>
          <w:tab w:leader="none" w:pos="1258" w:val="left"/>
        </w:tabs>
        <w:numPr>
          <w:ilvl w:val="0"/>
          <w:numId w:val="452"/>
        </w:numPr>
        <w:rPr>
          <w:rFonts w:ascii="Arial" w:cs="Arial" w:eastAsia="Arial" w:hAnsi="Arial"/>
          <w:sz w:val="17"/>
          <w:szCs w:val="17"/>
          <w:color w:val="auto"/>
        </w:rPr>
      </w:pPr>
      <w:r>
        <w:rPr>
          <w:rFonts w:ascii="Arial" w:cs="Arial" w:eastAsia="Arial" w:hAnsi="Arial"/>
          <w:sz w:val="17"/>
          <w:szCs w:val="17"/>
          <w:u w:val="single" w:color="auto"/>
          <w:color w:val="auto"/>
        </w:rPr>
        <w:t>Death of Optionee</w:t>
      </w:r>
      <w:r>
        <w:rPr>
          <w:rFonts w:ascii="Arial" w:cs="Arial" w:eastAsia="Arial" w:hAnsi="Arial"/>
          <w:sz w:val="17"/>
          <w:szCs w:val="17"/>
          <w:color w:val="auto"/>
        </w:rPr>
        <w:t>. In the event of the termination of the Optionee’s service with the Company or any Affiliate as a result of his or her death, the Optionee’s estate, or a person who acquired the right to exercise the Option by bequest or inheritance, may exercise the Option, within 36 months from the date of death (but in no event later than the Expiration Date), provided, however, that with respect to any Incentive Stock Option that shall remain in effect after an Optionee’s death, such Incentive Stock Option shall cease to be treated as an Incentive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Stock Option and shall be treated as a Non-Qualified Stock Option on the day that is one (1) year and one (1) day following the Optionee’s death. If the Option is not exercised to the extent so entitled within the time specified in this Section 8, the Option shall terminate.</w:t>
      </w:r>
    </w:p>
    <w:p>
      <w:pPr>
        <w:sectPr>
          <w:pgSz w:w="11900" w:h="16838" w:orient="portrait"/>
          <w:cols w:equalWidth="0" w:num="1">
            <w:col w:w="11400"/>
          </w:cols>
          <w:pgMar w:left="240" w:top="127" w:right="259" w:bottom="0" w:gutter="0" w:footer="0" w:header="0"/>
        </w:sectPr>
      </w:pPr>
    </w:p>
    <w:bookmarkStart w:id="331" w:name="page332"/>
    <w:bookmarkEnd w:id="331"/>
    <w:p>
      <w:pPr>
        <w:spacing w:after="0" w:line="29" w:lineRule="exact"/>
        <w:rPr>
          <w:sz w:val="20"/>
          <w:szCs w:val="20"/>
          <w:color w:val="auto"/>
        </w:rPr>
      </w:pPr>
    </w:p>
    <w:p>
      <w:pPr>
        <w:ind w:right="40" w:firstLine="634"/>
        <w:spacing w:after="0" w:line="263" w:lineRule="auto"/>
        <w:tabs>
          <w:tab w:leader="none" w:pos="1258" w:val="left"/>
        </w:tabs>
        <w:numPr>
          <w:ilvl w:val="0"/>
          <w:numId w:val="453"/>
        </w:numPr>
        <w:rPr>
          <w:rFonts w:ascii="Arial" w:cs="Arial" w:eastAsia="Arial" w:hAnsi="Arial"/>
          <w:sz w:val="17"/>
          <w:szCs w:val="17"/>
          <w:color w:val="auto"/>
        </w:rPr>
      </w:pPr>
      <w:r>
        <w:rPr>
          <w:rFonts w:ascii="Arial" w:cs="Arial" w:eastAsia="Arial" w:hAnsi="Arial"/>
          <w:sz w:val="17"/>
          <w:szCs w:val="17"/>
          <w:u w:val="single" w:color="auto"/>
          <w:color w:val="auto"/>
        </w:rPr>
        <w:t>Notice of Disqualifying Disposition</w:t>
      </w:r>
      <w:r>
        <w:rPr>
          <w:rFonts w:ascii="Arial" w:cs="Arial" w:eastAsia="Arial" w:hAnsi="Arial"/>
          <w:sz w:val="17"/>
          <w:szCs w:val="17"/>
          <w:color w:val="auto"/>
        </w:rPr>
        <w:t>. If the Option is an Incentive Stock Option, and if the Optionee sells or otherwise disposes of any of the Shares acquired pursuant to exercise of the Incentive Stock Option on or before the later of (i) the date that is two years after the Date of Grant, or (ii) the date that is one year after exercise of the Incentive Stock Option with respect to the Shares to be sold or disposed of, then the Optionee shall immediately notify the Company in writing of such sale or other disposition. The Optionee acknowledges and agrees that he or she may be subject to income tax withholding by the Company on the compensation income recognized by him or her from any such early sale or other disposition by payment in cash or out of the current wages or other earnings payable to the Optionee.</w:t>
      </w:r>
    </w:p>
    <w:p>
      <w:pPr>
        <w:spacing w:after="0" w:line="183" w:lineRule="exact"/>
        <w:rPr>
          <w:rFonts w:ascii="Arial" w:cs="Arial" w:eastAsia="Arial" w:hAnsi="Arial"/>
          <w:sz w:val="17"/>
          <w:szCs w:val="17"/>
          <w:color w:val="auto"/>
        </w:rPr>
      </w:pPr>
    </w:p>
    <w:p>
      <w:pPr>
        <w:ind w:right="240" w:firstLine="634"/>
        <w:spacing w:after="0" w:line="273" w:lineRule="auto"/>
        <w:tabs>
          <w:tab w:leader="none" w:pos="1254" w:val="left"/>
        </w:tabs>
        <w:numPr>
          <w:ilvl w:val="0"/>
          <w:numId w:val="453"/>
        </w:numPr>
        <w:rPr>
          <w:rFonts w:ascii="Arial" w:cs="Arial" w:eastAsia="Arial" w:hAnsi="Arial"/>
          <w:sz w:val="17"/>
          <w:szCs w:val="17"/>
          <w:color w:val="auto"/>
        </w:rPr>
      </w:pPr>
      <w:r>
        <w:rPr>
          <w:rFonts w:ascii="Arial" w:cs="Arial" w:eastAsia="Arial" w:hAnsi="Arial"/>
          <w:sz w:val="17"/>
          <w:szCs w:val="17"/>
          <w:u w:val="single" w:color="auto"/>
          <w:color w:val="auto"/>
        </w:rPr>
        <w:t>Transferability of Option</w:t>
      </w:r>
      <w:r>
        <w:rPr>
          <w:rFonts w:ascii="Arial" w:cs="Arial" w:eastAsia="Arial" w:hAnsi="Arial"/>
          <w:sz w:val="17"/>
          <w:szCs w:val="17"/>
          <w:color w:val="auto"/>
        </w:rPr>
        <w:t>. Neither the Option nor any of the Optionee’s rights under this Option Agreement may be transferred or assigned in any manner other than by will or by the law of descent and distribution or as may otherwise be permitted by the Committee or by the terms of the Plan. The Option and those rights may be exercised during the lifetime of the Optionee only by the Optionee.</w:t>
      </w:r>
    </w:p>
    <w:p>
      <w:pPr>
        <w:spacing w:after="0" w:line="171" w:lineRule="exact"/>
        <w:rPr>
          <w:rFonts w:ascii="Arial" w:cs="Arial" w:eastAsia="Arial" w:hAnsi="Arial"/>
          <w:sz w:val="17"/>
          <w:szCs w:val="17"/>
          <w:color w:val="auto"/>
        </w:rPr>
      </w:pPr>
    </w:p>
    <w:p>
      <w:pPr>
        <w:ind w:right="220" w:firstLine="634"/>
        <w:spacing w:after="0" w:line="298" w:lineRule="auto"/>
        <w:tabs>
          <w:tab w:leader="none" w:pos="1248" w:val="left"/>
        </w:tabs>
        <w:numPr>
          <w:ilvl w:val="0"/>
          <w:numId w:val="453"/>
        </w:numPr>
        <w:rPr>
          <w:rFonts w:ascii="Arial" w:cs="Arial" w:eastAsia="Arial" w:hAnsi="Arial"/>
          <w:sz w:val="16"/>
          <w:szCs w:val="16"/>
          <w:color w:val="auto"/>
        </w:rPr>
      </w:pPr>
      <w:r>
        <w:rPr>
          <w:rFonts w:ascii="Arial" w:cs="Arial" w:eastAsia="Arial" w:hAnsi="Arial"/>
          <w:sz w:val="16"/>
          <w:szCs w:val="16"/>
          <w:u w:val="single" w:color="auto"/>
          <w:color w:val="auto"/>
        </w:rPr>
        <w:t>Tax Consequences</w:t>
      </w:r>
      <w:r>
        <w:rPr>
          <w:rFonts w:ascii="Arial" w:cs="Arial" w:eastAsia="Arial" w:hAnsi="Arial"/>
          <w:sz w:val="16"/>
          <w:szCs w:val="16"/>
          <w:color w:val="auto"/>
        </w:rPr>
        <w:t>. Set forth below is a brief summary, as of the Date of Grant, of some of the federal tax consequences of exercise of the Option and disposition of the Shares. THIS SUMMARY IS NECESSARILY INCOMPLETE, AND THE TAX LAWS AND REGULATIONS ARE SUBJECT TO CHANGE. THE OPTIONEE SHOULD CONSULT A TAX ADVISOR BEFORE EXERCISING THE OPTION OR DISPOSING OF THE SHARES.</w:t>
      </w:r>
    </w:p>
    <w:p>
      <w:pPr>
        <w:spacing w:after="0" w:line="154" w:lineRule="exact"/>
        <w:rPr>
          <w:sz w:val="20"/>
          <w:szCs w:val="20"/>
          <w:color w:val="auto"/>
        </w:rPr>
      </w:pPr>
    </w:p>
    <w:p>
      <w:pPr>
        <w:ind w:firstLine="634"/>
        <w:spacing w:after="0" w:line="268" w:lineRule="auto"/>
        <w:tabs>
          <w:tab w:leader="none" w:pos="1256" w:val="left"/>
        </w:tabs>
        <w:numPr>
          <w:ilvl w:val="0"/>
          <w:numId w:val="454"/>
        </w:numPr>
        <w:rPr>
          <w:rFonts w:ascii="Arial" w:cs="Arial" w:eastAsia="Arial" w:hAnsi="Arial"/>
          <w:sz w:val="17"/>
          <w:szCs w:val="17"/>
          <w:color w:val="auto"/>
        </w:rPr>
      </w:pPr>
      <w:r>
        <w:rPr>
          <w:rFonts w:ascii="Arial" w:cs="Arial" w:eastAsia="Arial" w:hAnsi="Arial"/>
          <w:sz w:val="17"/>
          <w:szCs w:val="17"/>
          <w:u w:val="single" w:color="auto"/>
          <w:color w:val="auto"/>
        </w:rPr>
        <w:t>Exercise of Incentive Stock Option</w:t>
      </w:r>
      <w:r>
        <w:rPr>
          <w:rFonts w:ascii="Arial" w:cs="Arial" w:eastAsia="Arial" w:hAnsi="Arial"/>
          <w:sz w:val="17"/>
          <w:szCs w:val="17"/>
          <w:color w:val="auto"/>
        </w:rPr>
        <w:t>. If the Option qualifies as an Incentive Stock Option, there will be no regular federal income tax liability upon the exercise of the Option, although the excess, if any, of the Fair Market Value of the Shares on the date of exercise over the Exercise Price will be treated as an adjustment to alternative minimum taxable income for federal income tax purposes and may subject the Optionee to an alternative minimum tax liability in the year of exercise.</w:t>
      </w:r>
    </w:p>
    <w:p>
      <w:pPr>
        <w:spacing w:after="0" w:line="169" w:lineRule="exact"/>
        <w:rPr>
          <w:rFonts w:ascii="Arial" w:cs="Arial" w:eastAsia="Arial" w:hAnsi="Arial"/>
          <w:sz w:val="17"/>
          <w:szCs w:val="17"/>
          <w:color w:val="auto"/>
        </w:rPr>
      </w:pPr>
    </w:p>
    <w:p>
      <w:pPr>
        <w:ind w:firstLine="634"/>
        <w:spacing w:after="0" w:line="267" w:lineRule="auto"/>
        <w:tabs>
          <w:tab w:leader="none" w:pos="1266" w:val="left"/>
        </w:tabs>
        <w:numPr>
          <w:ilvl w:val="0"/>
          <w:numId w:val="454"/>
        </w:numPr>
        <w:rPr>
          <w:rFonts w:ascii="Arial" w:cs="Arial" w:eastAsia="Arial" w:hAnsi="Arial"/>
          <w:sz w:val="17"/>
          <w:szCs w:val="17"/>
          <w:color w:val="auto"/>
        </w:rPr>
      </w:pPr>
      <w:r>
        <w:rPr>
          <w:rFonts w:ascii="Arial" w:cs="Arial" w:eastAsia="Arial" w:hAnsi="Arial"/>
          <w:sz w:val="17"/>
          <w:szCs w:val="17"/>
          <w:u w:val="single" w:color="auto"/>
          <w:color w:val="auto"/>
        </w:rPr>
        <w:t>Exercise of Non-Qualified Stock Option</w:t>
      </w:r>
      <w:r>
        <w:rPr>
          <w:rFonts w:ascii="Arial" w:cs="Arial" w:eastAsia="Arial" w:hAnsi="Arial"/>
          <w:sz w:val="17"/>
          <w:szCs w:val="17"/>
          <w:color w:val="auto"/>
        </w:rPr>
        <w:t>. If the Option does not qualify as an Incentive Stock Option</w:t>
      </w:r>
      <w:r>
        <w:rPr>
          <w:rFonts w:ascii="Arial" w:cs="Arial" w:eastAsia="Arial" w:hAnsi="Arial"/>
          <w:sz w:val="17"/>
          <w:szCs w:val="17"/>
          <w:b w:val="1"/>
          <w:bCs w:val="1"/>
          <w:color w:val="auto"/>
        </w:rPr>
        <w:t>,</w:t>
      </w:r>
      <w:r>
        <w:rPr>
          <w:rFonts w:ascii="Arial" w:cs="Arial" w:eastAsia="Arial" w:hAnsi="Arial"/>
          <w:sz w:val="17"/>
          <w:szCs w:val="17"/>
          <w:color w:val="auto"/>
        </w:rPr>
        <w:t xml:space="preserve"> there may be a regular federal income tax liability upon the exercise of the Option. The Optionee will be treated as having received compensation income (taxable at ordinary income tax rates) equal to the excess, if any, of the Fair Market Value of the Shares on the date of exercise over the Exercise Price. If the Optionee is an Employee or former Employee, the Company will be required to withhold from the Optionee’s compensation or collect from the Optionee and pay to the applicable taxing authorities an amount equal to a percentage of this compensation income at the time of exercise.</w:t>
      </w:r>
    </w:p>
    <w:p>
      <w:pPr>
        <w:spacing w:after="0" w:line="177" w:lineRule="exact"/>
        <w:rPr>
          <w:rFonts w:ascii="Arial" w:cs="Arial" w:eastAsia="Arial" w:hAnsi="Arial"/>
          <w:sz w:val="17"/>
          <w:szCs w:val="17"/>
          <w:color w:val="auto"/>
        </w:rPr>
      </w:pPr>
    </w:p>
    <w:p>
      <w:pPr>
        <w:ind w:right="100" w:firstLine="634"/>
        <w:spacing w:after="0" w:line="298" w:lineRule="auto"/>
        <w:tabs>
          <w:tab w:leader="none" w:pos="1269" w:val="left"/>
        </w:tabs>
        <w:numPr>
          <w:ilvl w:val="0"/>
          <w:numId w:val="454"/>
        </w:numPr>
        <w:rPr>
          <w:rFonts w:ascii="Arial" w:cs="Arial" w:eastAsia="Arial" w:hAnsi="Arial"/>
          <w:sz w:val="16"/>
          <w:szCs w:val="16"/>
          <w:color w:val="auto"/>
        </w:rPr>
      </w:pPr>
      <w:r>
        <w:rPr>
          <w:rFonts w:ascii="Arial" w:cs="Arial" w:eastAsia="Arial" w:hAnsi="Arial"/>
          <w:sz w:val="16"/>
          <w:szCs w:val="16"/>
          <w:u w:val="single" w:color="auto"/>
          <w:color w:val="auto"/>
        </w:rPr>
        <w:t>Disposition of Shares</w:t>
      </w:r>
      <w:r>
        <w:rPr>
          <w:rFonts w:ascii="Arial" w:cs="Arial" w:eastAsia="Arial" w:hAnsi="Arial"/>
          <w:sz w:val="16"/>
          <w:szCs w:val="16"/>
          <w:color w:val="auto"/>
        </w:rPr>
        <w:t>. In the case of a Non-Qualified Stock Option, if the Shares are held for at least one year before disposition, any gain on disposition of the Shares will be treated as long-term capital gain for federal income tax purposes. In the case of an Incentive Stock Option, if Shares are held for at least one year after the date of exercise and at least two years after the Date of Grant, any gain on disposition on the Shares will be treated as long-term</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capital gain for federal income tax purposes. If the Shares acquired pursuant to an Incentive Stock Option are disposed of within such one-year or two-year periods (a “disqualifying disposition”), gain on such disqualifying disposition will be treated as compensation income (taxable at ordinary income rates) to the extent of the excess, if any, of the Fair Market Value of the Shares on the date of exercise over the Exercise Price (the “Spread”), or, if less, the difference between the amount realized on the sale of such Shares and the Exercise Price. Any gain in excess of the Spread shall be treated as capital gain.</w:t>
      </w:r>
    </w:p>
    <w:p>
      <w:pPr>
        <w:spacing w:after="0" w:line="159" w:lineRule="exact"/>
        <w:rPr>
          <w:sz w:val="20"/>
          <w:szCs w:val="20"/>
          <w:color w:val="auto"/>
        </w:rPr>
      </w:pPr>
    </w:p>
    <w:p>
      <w:pPr>
        <w:ind w:left="1260" w:hanging="626"/>
        <w:spacing w:after="0"/>
        <w:tabs>
          <w:tab w:leader="none" w:pos="1260" w:val="left"/>
        </w:tabs>
        <w:numPr>
          <w:ilvl w:val="0"/>
          <w:numId w:val="455"/>
        </w:numPr>
        <w:rPr>
          <w:rFonts w:ascii="Arial" w:cs="Arial" w:eastAsia="Arial" w:hAnsi="Arial"/>
          <w:sz w:val="16"/>
          <w:szCs w:val="16"/>
          <w:color w:val="auto"/>
        </w:rPr>
      </w:pPr>
      <w:r>
        <w:rPr>
          <w:rFonts w:ascii="Arial" w:cs="Arial" w:eastAsia="Arial" w:hAnsi="Arial"/>
          <w:sz w:val="16"/>
          <w:szCs w:val="16"/>
          <w:u w:val="single" w:color="auto"/>
          <w:color w:val="auto"/>
        </w:rPr>
        <w:t>Term of Option</w:t>
      </w:r>
      <w:r>
        <w:rPr>
          <w:rFonts w:ascii="Arial" w:cs="Arial" w:eastAsia="Arial" w:hAnsi="Arial"/>
          <w:sz w:val="16"/>
          <w:szCs w:val="16"/>
          <w:color w:val="auto"/>
        </w:rPr>
        <w:t>. The Option may be exercised no later than the Expiration Date or such earlier date as otherwise provided in this Option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212" w:lineRule="exact"/>
        <w:rPr>
          <w:rFonts w:ascii="Arial" w:cs="Arial" w:eastAsia="Arial" w:hAnsi="Arial"/>
          <w:sz w:val="16"/>
          <w:szCs w:val="16"/>
          <w:color w:val="auto"/>
        </w:rPr>
      </w:pPr>
    </w:p>
    <w:p>
      <w:pPr>
        <w:ind w:firstLine="634"/>
        <w:spacing w:after="0" w:line="261" w:lineRule="auto"/>
        <w:tabs>
          <w:tab w:leader="none" w:pos="1254" w:val="left"/>
        </w:tabs>
        <w:numPr>
          <w:ilvl w:val="0"/>
          <w:numId w:val="455"/>
        </w:numPr>
        <w:rPr>
          <w:rFonts w:ascii="Arial" w:cs="Arial" w:eastAsia="Arial" w:hAnsi="Arial"/>
          <w:sz w:val="17"/>
          <w:szCs w:val="17"/>
          <w:color w:val="auto"/>
        </w:rPr>
      </w:pPr>
      <w:r>
        <w:rPr>
          <w:rFonts w:ascii="Arial" w:cs="Arial" w:eastAsia="Arial" w:hAnsi="Arial"/>
          <w:sz w:val="17"/>
          <w:szCs w:val="17"/>
          <w:u w:val="single" w:color="auto"/>
          <w:color w:val="auto"/>
        </w:rPr>
        <w:t>Entire Agreement; Governing Law</w:t>
      </w:r>
      <w:r>
        <w:rPr>
          <w:rFonts w:ascii="Arial" w:cs="Arial" w:eastAsia="Arial" w:hAnsi="Arial"/>
          <w:sz w:val="17"/>
          <w:szCs w:val="17"/>
          <w:color w:val="auto"/>
        </w:rPr>
        <w:t>. The Plan and this Option Agreement (with the Exercise Notice, if the Option is exercised) constitute the entire agreement of the Company and the Optionee (collectively the “Parties”) with respect to the subject matter hereof and supersede in their entirety all prior undertakings and agreements of the Parties with respect to the subject matter hereof, and may not be modified adversely to the Optionee’s interest except by means of a writing signed by the Parties. Nothing in the Plan and this Option Agreement (except as expressly provided therein or herein) is intended to confer any rights or remedies on any person other than the Parties. The Plan and this Option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Should any provision of the Plan or this Option Agreement be determined by a court of law to be illegal or unenforceable, such provision shall be enforced to the fullest extent allowed by law and the other provisions shall nevertheless remain effective and shall remain enforceable.</w:t>
      </w:r>
    </w:p>
    <w:p>
      <w:pPr>
        <w:spacing w:after="0" w:line="184" w:lineRule="exact"/>
        <w:rPr>
          <w:rFonts w:ascii="Arial" w:cs="Arial" w:eastAsia="Arial" w:hAnsi="Arial"/>
          <w:sz w:val="17"/>
          <w:szCs w:val="17"/>
          <w:color w:val="auto"/>
        </w:rPr>
      </w:pPr>
    </w:p>
    <w:p>
      <w:pPr>
        <w:ind w:right="40" w:firstLine="634"/>
        <w:spacing w:after="0" w:line="268" w:lineRule="auto"/>
        <w:tabs>
          <w:tab w:leader="none" w:pos="1254" w:val="left"/>
        </w:tabs>
        <w:numPr>
          <w:ilvl w:val="0"/>
          <w:numId w:val="455"/>
        </w:numPr>
        <w:rPr>
          <w:rFonts w:ascii="Arial" w:cs="Arial" w:eastAsia="Arial" w:hAnsi="Arial"/>
          <w:sz w:val="17"/>
          <w:szCs w:val="17"/>
          <w:color w:val="auto"/>
        </w:rPr>
      </w:pPr>
      <w:r>
        <w:rPr>
          <w:rFonts w:ascii="Arial" w:cs="Arial" w:eastAsia="Arial" w:hAnsi="Arial"/>
          <w:sz w:val="17"/>
          <w:szCs w:val="17"/>
          <w:u w:val="single" w:color="auto"/>
          <w:color w:val="auto"/>
        </w:rPr>
        <w:t>Interpretive Matters</w:t>
      </w:r>
      <w:r>
        <w:rPr>
          <w:rFonts w:ascii="Arial" w:cs="Arial" w:eastAsia="Arial" w:hAnsi="Arial"/>
          <w:sz w:val="17"/>
          <w:szCs w:val="17"/>
          <w:color w:val="auto"/>
        </w:rPr>
        <w:t>. Whenever required by the context, pronouns and any variation thereof shall be deemed to refer to the masculine, feminine, or neuter, and the singular shall include the plural, and vice versa. The term “include” or “including” does not denote or imply any limitation. The captions and headings used in this Option Agreement are inserted for convenience and shall not be deemed a part of the Option or this Option Agreement for construction or interpretation.</w:t>
      </w:r>
    </w:p>
    <w:p>
      <w:pPr>
        <w:spacing w:after="0" w:line="175" w:lineRule="exact"/>
        <w:rPr>
          <w:rFonts w:ascii="Arial" w:cs="Arial" w:eastAsia="Arial" w:hAnsi="Arial"/>
          <w:sz w:val="17"/>
          <w:szCs w:val="17"/>
          <w:color w:val="auto"/>
        </w:rPr>
      </w:pPr>
    </w:p>
    <w:p>
      <w:pPr>
        <w:ind w:right="80" w:firstLine="634"/>
        <w:spacing w:after="0" w:line="261" w:lineRule="auto"/>
        <w:tabs>
          <w:tab w:leader="none" w:pos="1254" w:val="left"/>
        </w:tabs>
        <w:numPr>
          <w:ilvl w:val="0"/>
          <w:numId w:val="455"/>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The provisions of this Section 15 shall be the exclusive means of resolving disputes of the Parties (including any other persons claiming any rights or having any obligations through the Company or the Optionee) arising out of or relating to the Plan and this Option Agreement (including the Exercise Notice, if the Option is exercised). The Parties shall attempt in good faith to resolve any disputes arising out of or relating to the Plan and this Option Agreement (including the Exercise Notice, if the Option is exercised) by negotiation between individuals who have authority to settle the controversy. Negotiations shall be commenced by either Party by a written statement of the Party’s position and the name and title of the individual who will represent the Party. Within thirty (30) days of the written notification, the Parties shall meet at a mutually acceptable time and place, and thereafter as often as they reasonably deem necessary, to resolve the dispute. If the dispute has not been resolved by negotiation, the Parties agree that any suit, action, or proceeding arising out of or relating to the Plan or this Option Agreement shall be brought in the United States District Court for the Southern District of Texas (or should such court lack jurisdiction to hear such action, suit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or proceeding, in a Texas state court in Harris County, Texas) and that the Parties shall submit to the jurisdiction of such court. The Parties irrevocably waive, to the fullest extent permitted by law, any objection a Party may have to the laying of venue for any such suit, action or proceeding brought in such court. THE PARTIES ALSO EXPRESSLY WAIVE ANY RIGHT THEY HAVE OR MAY HAVE TO A JURY TRIAL OF ANY SUCH SUIT, ACTION OR PROCEEDING. If any one or more provisions of this Section 15 shall for any reason be held invalid or unenforceable, it is the specific intent of the Parties that such provisions shall be modified to the minimum extent necessary to make it or its application valid and enforceable.</w:t>
      </w:r>
    </w:p>
    <w:p>
      <w:pPr>
        <w:spacing w:after="0" w:line="179" w:lineRule="exact"/>
        <w:rPr>
          <w:sz w:val="20"/>
          <w:szCs w:val="20"/>
          <w:color w:val="auto"/>
        </w:rPr>
      </w:pPr>
    </w:p>
    <w:p>
      <w:pPr>
        <w:ind w:right="100" w:firstLine="634"/>
        <w:spacing w:after="0" w:line="322" w:lineRule="auto"/>
        <w:tabs>
          <w:tab w:leader="none" w:pos="1254" w:val="left"/>
        </w:tabs>
        <w:numPr>
          <w:ilvl w:val="0"/>
          <w:numId w:val="456"/>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Any notice or other communication required or permitted hereunder shall be given in writing and shall be deemed given, effective, and received upon prepaid delivery in person or by courier or upon the earliest of delivery or the third business day after deposit in the United States mail if sent by</w:t>
      </w:r>
    </w:p>
    <w:p>
      <w:pPr>
        <w:sectPr>
          <w:pgSz w:w="11900" w:h="16867" w:orient="portrait"/>
          <w:cols w:equalWidth="0" w:num="1">
            <w:col w:w="11400"/>
          </w:cols>
          <w:pgMar w:left="240" w:top="127" w:right="259" w:bottom="0" w:gutter="0" w:footer="0" w:header="0"/>
        </w:sectPr>
      </w:pPr>
    </w:p>
    <w:bookmarkStart w:id="332" w:name="page333"/>
    <w:bookmarkEnd w:id="332"/>
    <w:p>
      <w:pPr>
        <w:ind w:right="200"/>
        <w:spacing w:after="0" w:line="289" w:lineRule="auto"/>
        <w:rPr>
          <w:sz w:val="20"/>
          <w:szCs w:val="20"/>
          <w:color w:val="auto"/>
        </w:rPr>
      </w:pPr>
      <w:r>
        <w:rPr>
          <w:rFonts w:ascii="Arial" w:cs="Arial" w:eastAsia="Arial" w:hAnsi="Arial"/>
          <w:sz w:val="17"/>
          <w:szCs w:val="17"/>
          <w:color w:val="auto"/>
        </w:rPr>
        <w:t>certified mail, with postage and fees prepaid, addressed to the other Party at its address as shown beneath its signature in this Option Agreement, or to such other address as such Party may designate in writing from time to time by notice to the other Party in accordance with this Section 16.</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APPLIED OPTOELECTRONICS, INC.</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-123190</wp:posOffset>
            </wp:positionV>
            <wp:extent cx="313817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[The remainder of this page is intentionally left blank]</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THE OPTIONEE ACKNOWLEDGES AND AGREES THAT, EXCEPT AS EXPRESSLY PROVIDED OTHERWISE HEREIN, THE SHARES SUBJECT TO THE OPTION SHALL VEST, IF AT ALL, ONLY DURING THE PERIOD OF THE OPTIONEE’S CONTINUOUS SERVICE (NOT THROUGH THE ACT OF BEING HIRED, BEING GRANTED THE OPTION OR ACQUIRING SHARES HEREUNDER). THE OPTIONEE FURTHER ACKNOWLEDGES AND AGREES THAT NOTHING IN THIS OPTION AGREEMENT OR THE PLAN SHALL CONFER UPON THE OPTIONEE ANY RIGHT WITH RESPECT TO FUTURE GRANTS OR CONTINUATION OF THE OPTIONEE’S CONTINUOUS SERVICE, NOR SHALL IT INTERFERE IN ANY WAY WITH THE OPTIONEE’S RIGHT OR THE RIGHT OF THE OPTIONEE’S EMPLOYER TO TERMINATE OPTIONEE’S CONTINUOUS SERVICE, WITH OR WITHOUT CAUSE, AND WITH OR WITHOUT NOTICE. THE OPTIONEE ACKNOWLEDGES THAT UNLESS THE OPTIONEE HAS A WRITTEN EMPLOYMENT AGREEMENT WITH THE COMPANY TO THE CONTRARY, THE OPTIONEE’S STATUS IS AT-WILL.</w:t>
      </w:r>
    </w:p>
    <w:p>
      <w:pPr>
        <w:spacing w:after="0" w:line="181"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The Optionee acknowledges receipt of a copy of the Plan, represents that he or she is familiar with the terms and provisions thereof, and hereby accepts this Option subject to all of the terms and provisions hereof and thereof. The Optionee has reviewed this Option Agreement, the Plan, and the Exercise Notice in their entirety, has had an opportunity to obtain the advice of counsel prior to executing this Option Agreement, and fully understands all provisions of this Option Agreement, the Plan and the Exercise Notice. The Optionee hereby agrees that all disputes arising out of or relating to this Option Agreement, the Plan and the Exercise Notice shall be resolved in accordance with Section 15 of this Option Agreement. The Optionee further agrees to notify the Company upon any change in the residence address indicated in this Option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80" w:type="dxa"/>
            <w:vAlign w:val="bottom"/>
            <w:gridSpan w:val="2"/>
          </w:tcPr>
          <w:p>
            <w:pPr>
              <w:spacing w:after="0"/>
              <w:rPr>
                <w:sz w:val="20"/>
                <w:szCs w:val="20"/>
                <w:color w:val="auto"/>
              </w:rPr>
            </w:pPr>
            <w:r>
              <w:rPr>
                <w:rFonts w:ascii="Arial" w:cs="Arial" w:eastAsia="Arial" w:hAnsi="Arial"/>
                <w:sz w:val="17"/>
                <w:szCs w:val="17"/>
                <w:color w:val="auto"/>
              </w:rPr>
              <w:t>Dated:</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40" w:type="dxa"/>
            <w:vAlign w:val="bottom"/>
            <w:gridSpan w:val="4"/>
          </w:tcPr>
          <w:p>
            <w:pPr>
              <w:ind w:left="500"/>
              <w:spacing w:after="0"/>
              <w:rPr>
                <w:sz w:val="20"/>
                <w:szCs w:val="20"/>
                <w:color w:val="auto"/>
              </w:rPr>
            </w:pPr>
            <w:r>
              <w:rPr>
                <w:rFonts w:ascii="Arial" w:cs="Arial" w:eastAsia="Arial" w:hAnsi="Arial"/>
                <w:sz w:val="17"/>
                <w:szCs w:val="17"/>
                <w:color w:val="auto"/>
              </w:rPr>
              <w:t>Signed:</w:t>
            </w:r>
          </w:p>
        </w:tc>
        <w:tc>
          <w:tcPr>
            <w:tcW w:w="40" w:type="dxa"/>
            <w:vAlign w:val="bottom"/>
          </w:tcPr>
          <w:p>
            <w:pPr>
              <w:spacing w:after="0"/>
              <w:rPr>
                <w:sz w:val="19"/>
                <w:szCs w:val="19"/>
                <w:color w:val="auto"/>
              </w:rPr>
            </w:pPr>
          </w:p>
        </w:tc>
      </w:tr>
      <w:tr>
        <w:trPr>
          <w:trHeight w:val="215"/>
        </w:trPr>
        <w:tc>
          <w:tcPr>
            <w:tcW w:w="700" w:type="dxa"/>
            <w:vAlign w:val="bottom"/>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200" w:type="dxa"/>
            <w:vAlign w:val="bottom"/>
            <w:tcBorders>
              <w:top w:val="single" w:sz="8" w:color="auto"/>
            </w:tcBorders>
          </w:tcPr>
          <w:p>
            <w:pPr>
              <w:ind w:left="1200"/>
              <w:spacing w:after="0"/>
              <w:rPr>
                <w:sz w:val="20"/>
                <w:szCs w:val="20"/>
                <w:color w:val="auto"/>
              </w:rPr>
            </w:pPr>
            <w:r>
              <w:rPr>
                <w:rFonts w:ascii="Arial" w:cs="Arial" w:eastAsia="Arial" w:hAnsi="Arial"/>
                <w:sz w:val="17"/>
                <w:szCs w:val="17"/>
                <w:color w:val="auto"/>
              </w:rPr>
              <w:t>Optionee</w:t>
            </w:r>
          </w:p>
        </w:tc>
        <w:tc>
          <w:tcPr>
            <w:tcW w:w="40" w:type="dxa"/>
            <w:vAlign w:val="bottom"/>
          </w:tcPr>
          <w:p>
            <w:pPr>
              <w:spacing w:after="0"/>
              <w:rPr>
                <w:sz w:val="18"/>
                <w:szCs w:val="18"/>
                <w:color w:val="auto"/>
              </w:rPr>
            </w:pPr>
          </w:p>
        </w:tc>
      </w:tr>
      <w:tr>
        <w:trPr>
          <w:trHeight w:val="394"/>
        </w:trPr>
        <w:tc>
          <w:tcPr>
            <w:tcW w:w="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40" w:type="dxa"/>
            <w:vAlign w:val="bottom"/>
            <w:gridSpan w:val="4"/>
          </w:tcPr>
          <w:p>
            <w:pPr>
              <w:ind w:left="500"/>
              <w:spacing w:after="0"/>
              <w:rPr>
                <w:sz w:val="20"/>
                <w:szCs w:val="20"/>
                <w:color w:val="auto"/>
              </w:rPr>
            </w:pPr>
            <w:r>
              <w:rPr>
                <w:rFonts w:ascii="Arial" w:cs="Arial" w:eastAsia="Arial" w:hAnsi="Arial"/>
                <w:sz w:val="17"/>
                <w:szCs w:val="17"/>
                <w:color w:val="auto"/>
              </w:rPr>
              <w:t>Address:</w:t>
            </w:r>
          </w:p>
        </w:tc>
        <w:tc>
          <w:tcPr>
            <w:tcW w:w="40" w:type="dxa"/>
            <w:vAlign w:val="bottom"/>
          </w:tcPr>
          <w:p>
            <w:pPr>
              <w:spacing w:after="0"/>
              <w:rPr>
                <w:sz w:val="24"/>
                <w:szCs w:val="24"/>
                <w:color w:val="auto"/>
              </w:rPr>
            </w:pPr>
          </w:p>
        </w:tc>
      </w:tr>
      <w:tr>
        <w:trPr>
          <w:trHeight w:val="629"/>
        </w:trPr>
        <w:tc>
          <w:tcPr>
            <w:tcW w:w="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40" w:type="dxa"/>
            <w:vAlign w:val="bottom"/>
            <w:gridSpan w:val="4"/>
          </w:tcPr>
          <w:p>
            <w:pPr>
              <w:jc w:val="center"/>
              <w:ind w:left="1173"/>
              <w:spacing w:after="0"/>
              <w:rPr>
                <w:sz w:val="20"/>
                <w:szCs w:val="20"/>
                <w:color w:val="auto"/>
              </w:rPr>
            </w:pPr>
            <w:r>
              <w:rPr>
                <w:rFonts w:ascii="Arial" w:cs="Arial" w:eastAsia="Arial" w:hAnsi="Arial"/>
                <w:sz w:val="17"/>
                <w:szCs w:val="17"/>
                <w:color w:val="auto"/>
                <w:w w:val="84"/>
              </w:rPr>
              <w:t>8</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700" w:type="dxa"/>
            <w:vAlign w:val="bottom"/>
            <w:tcBorders>
              <w:bottom w:val="single" w:sz="8" w:color="010101"/>
            </w:tcBorders>
          </w:tcPr>
          <w:p>
            <w:pPr>
              <w:spacing w:after="0"/>
              <w:rPr>
                <w:sz w:val="11"/>
                <w:szCs w:val="11"/>
                <w:color w:val="auto"/>
              </w:rPr>
            </w:pPr>
          </w:p>
        </w:tc>
        <w:tc>
          <w:tcPr>
            <w:tcW w:w="24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gridSpan w:val="2"/>
          </w:tcPr>
          <w:p>
            <w:pPr>
              <w:spacing w:after="0"/>
              <w:rPr>
                <w:sz w:val="11"/>
                <w:szCs w:val="11"/>
                <w:color w:val="auto"/>
              </w:rPr>
            </w:pPr>
          </w:p>
        </w:tc>
        <w:tc>
          <w:tcPr>
            <w:tcW w:w="1060" w:type="dxa"/>
            <w:vAlign w:val="bottom"/>
            <w:tcBorders>
              <w:bottom w:val="single" w:sz="8" w:color="010101"/>
            </w:tcBorders>
            <w:gridSpan w:val="2"/>
          </w:tcPr>
          <w:p>
            <w:pPr>
              <w:spacing w:after="0"/>
              <w:rPr>
                <w:sz w:val="11"/>
                <w:szCs w:val="11"/>
                <w:color w:val="auto"/>
              </w:rPr>
            </w:pPr>
          </w:p>
        </w:tc>
        <w:tc>
          <w:tcPr>
            <w:tcW w:w="4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8"/>
        </w:trPr>
        <w:tc>
          <w:tcPr>
            <w:tcW w:w="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160" w:type="dxa"/>
            <w:vAlign w:val="bottom"/>
            <w:gridSpan w:val="5"/>
          </w:tcPr>
          <w:p>
            <w:pPr>
              <w:jc w:val="center"/>
              <w:ind w:right="5173"/>
              <w:spacing w:after="0"/>
              <w:rPr>
                <w:sz w:val="20"/>
                <w:szCs w:val="20"/>
                <w:color w:val="auto"/>
              </w:rPr>
            </w:pPr>
            <w:r>
              <w:rPr>
                <w:rFonts w:ascii="Arial" w:cs="Arial" w:eastAsia="Arial" w:hAnsi="Arial"/>
                <w:sz w:val="17"/>
                <w:szCs w:val="17"/>
                <w:b w:val="1"/>
                <w:bCs w:val="1"/>
                <w:color w:val="auto"/>
              </w:rPr>
              <w:t>EXHIBIT A</w:t>
            </w:r>
          </w:p>
        </w:tc>
        <w:tc>
          <w:tcPr>
            <w:tcW w:w="4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700" w:type="dxa"/>
            <w:vAlign w:val="bottom"/>
          </w:tcPr>
          <w:p>
            <w:pPr>
              <w:spacing w:after="0"/>
              <w:rPr>
                <w:sz w:val="24"/>
                <w:szCs w:val="24"/>
                <w:color w:val="auto"/>
              </w:rPr>
            </w:pPr>
          </w:p>
        </w:tc>
        <w:tc>
          <w:tcPr>
            <w:tcW w:w="10720" w:type="dxa"/>
            <w:vAlign w:val="bottom"/>
            <w:gridSpan w:val="9"/>
          </w:tcPr>
          <w:p>
            <w:pPr>
              <w:jc w:val="center"/>
              <w:ind w:right="613"/>
              <w:spacing w:after="0"/>
              <w:rPr>
                <w:sz w:val="20"/>
                <w:szCs w:val="20"/>
                <w:color w:val="auto"/>
              </w:rPr>
            </w:pPr>
            <w:r>
              <w:rPr>
                <w:rFonts w:ascii="Arial" w:cs="Arial" w:eastAsia="Arial" w:hAnsi="Arial"/>
                <w:sz w:val="17"/>
                <w:szCs w:val="17"/>
                <w:b w:val="1"/>
                <w:bCs w:val="1"/>
                <w:color w:val="auto"/>
              </w:rPr>
              <w:t>APPLIED OPTOELECTRONICS, INC. 2006 INCENTIVE SHARE PLAN</w:t>
            </w:r>
          </w:p>
        </w:tc>
        <w:tc>
          <w:tcPr>
            <w:tcW w:w="40" w:type="dxa"/>
            <w:vAlign w:val="bottom"/>
          </w:tcPr>
          <w:p>
            <w:pPr>
              <w:spacing w:after="0"/>
              <w:rPr>
                <w:sz w:val="24"/>
                <w:szCs w:val="24"/>
                <w:color w:val="auto"/>
              </w:rPr>
            </w:pPr>
          </w:p>
        </w:tc>
      </w:tr>
      <w:tr>
        <w:trPr>
          <w:trHeight w:val="381"/>
        </w:trPr>
        <w:tc>
          <w:tcPr>
            <w:tcW w:w="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rPr>
              <w:t>STOCK OPTION EXERCISE NOTICE</w:t>
            </w:r>
          </w:p>
        </w:tc>
        <w:tc>
          <w:tcPr>
            <w:tcW w:w="4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8"/>
        </w:trPr>
        <w:tc>
          <w:tcPr>
            <w:tcW w:w="3180" w:type="dxa"/>
            <w:vAlign w:val="bottom"/>
            <w:gridSpan w:val="2"/>
          </w:tcPr>
          <w:p>
            <w:pPr>
              <w:ind w:left="640"/>
              <w:spacing w:after="0"/>
              <w:rPr>
                <w:sz w:val="20"/>
                <w:szCs w:val="20"/>
                <w:color w:val="auto"/>
              </w:rPr>
            </w:pPr>
            <w:r>
              <w:rPr>
                <w:rFonts w:ascii="Arial" w:cs="Arial" w:eastAsia="Arial" w:hAnsi="Arial"/>
                <w:sz w:val="17"/>
                <w:szCs w:val="17"/>
                <w:color w:val="auto"/>
              </w:rPr>
              <w:t>This Exercise Notice is made this</w:t>
            </w:r>
          </w:p>
        </w:tc>
        <w:tc>
          <w:tcPr>
            <w:tcW w:w="840" w:type="dxa"/>
            <w:vAlign w:val="bottom"/>
          </w:tcPr>
          <w:p>
            <w:pPr>
              <w:ind w:left="200"/>
              <w:spacing w:after="0"/>
              <w:rPr>
                <w:sz w:val="20"/>
                <w:szCs w:val="20"/>
                <w:color w:val="auto"/>
              </w:rPr>
            </w:pPr>
            <w:r>
              <w:rPr>
                <w:rFonts w:ascii="Arial" w:cs="Arial" w:eastAsia="Arial" w:hAnsi="Arial"/>
                <w:sz w:val="17"/>
                <w:szCs w:val="17"/>
                <w:color w:val="auto"/>
              </w:rPr>
              <w:t>day of</w:t>
            </w:r>
          </w:p>
        </w:tc>
        <w:tc>
          <w:tcPr>
            <w:tcW w:w="180" w:type="dxa"/>
            <w:vAlign w:val="bottom"/>
          </w:tcPr>
          <w:p>
            <w:pPr>
              <w:spacing w:after="0"/>
              <w:rPr>
                <w:sz w:val="24"/>
                <w:szCs w:val="24"/>
                <w:color w:val="auto"/>
              </w:rPr>
            </w:pPr>
          </w:p>
        </w:tc>
        <w:tc>
          <w:tcPr>
            <w:tcW w:w="7220" w:type="dxa"/>
            <w:vAlign w:val="bottom"/>
            <w:gridSpan w:val="6"/>
          </w:tcPr>
          <w:p>
            <w:pPr>
              <w:ind w:left="700"/>
              <w:spacing w:after="0"/>
              <w:rPr>
                <w:sz w:val="20"/>
                <w:szCs w:val="20"/>
                <w:color w:val="auto"/>
              </w:rPr>
            </w:pPr>
            <w:r>
              <w:rPr>
                <w:rFonts w:ascii="Arial" w:cs="Arial" w:eastAsia="Arial" w:hAnsi="Arial"/>
                <w:sz w:val="17"/>
                <w:szCs w:val="17"/>
                <w:color w:val="auto"/>
                <w:w w:val="99"/>
              </w:rPr>
              <w:t>, 20    between Applied Optoelectronics, Inc. (the “Company”), and the optionee named</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-1308100</wp:posOffset>
            </wp:positionV>
            <wp:extent cx="12700" cy="2921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-1308100</wp:posOffset>
            </wp:positionV>
            <wp:extent cx="12700" cy="2921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ind w:right="380"/>
        <w:spacing w:after="0" w:line="307" w:lineRule="auto"/>
        <w:rPr>
          <w:sz w:val="20"/>
          <w:szCs w:val="20"/>
          <w:color w:val="auto"/>
        </w:rPr>
      </w:pPr>
      <w:r>
        <w:rPr>
          <w:rFonts w:ascii="Arial" w:cs="Arial" w:eastAsia="Arial" w:hAnsi="Arial"/>
          <w:sz w:val="16"/>
          <w:szCs w:val="16"/>
          <w:color w:val="auto"/>
        </w:rPr>
        <w:t>below (the “Optionee”) pursuant to the Applied Optoelectronics, Inc. 2006 Incentive Share Plan (the “Plan”). Unless otherwise defined herein, the capitalized terms used in this Exercise Notice shall have the meaning ascribed to them in the Plan and in the Option Agreement to which this Exercise Notice relates.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Award Number: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Optionee: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Social Security Number: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Purchased: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Price Per Share: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Aggregate Purchase Price: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Date of Grant: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Vesting Commencement Date:</w:t>
      </w:r>
    </w:p>
    <w:p>
      <w:pPr>
        <w:spacing w:after="0" w:line="224" w:lineRule="exact"/>
        <w:rPr>
          <w:sz w:val="20"/>
          <w:szCs w:val="20"/>
          <w:color w:val="auto"/>
        </w:rPr>
      </w:pPr>
    </w:p>
    <w:p>
      <w:pPr>
        <w:spacing w:after="0"/>
        <w:tabs>
          <w:tab w:leader="none" w:pos="5220" w:val="left"/>
          <w:tab w:leader="none" w:pos="5700" w:val="left"/>
        </w:tabs>
        <w:rPr>
          <w:sz w:val="20"/>
          <w:szCs w:val="20"/>
          <w:color w:val="auto"/>
        </w:rPr>
      </w:pPr>
      <w:r>
        <w:rPr>
          <w:rFonts w:ascii="Arial" w:cs="Arial" w:eastAsia="Arial" w:hAnsi="Arial"/>
          <w:sz w:val="17"/>
          <w:szCs w:val="17"/>
          <w:color w:val="auto"/>
        </w:rPr>
        <w:t>Type of Stock Option:</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6"/>
          <w:szCs w:val="16"/>
          <w:color w:val="auto"/>
        </w:rPr>
        <w:t>Incentive Stock Option</w:t>
      </w:r>
    </w:p>
    <w:p>
      <w:pPr>
        <w:spacing w:after="0" w:line="26" w:lineRule="exact"/>
        <w:rPr>
          <w:sz w:val="20"/>
          <w:szCs w:val="20"/>
          <w:color w:val="auto"/>
        </w:rPr>
      </w:pPr>
    </w:p>
    <w:p>
      <w:pPr>
        <w:ind w:left="5720" w:hanging="471"/>
        <w:spacing w:after="0"/>
        <w:tabs>
          <w:tab w:leader="none" w:pos="5720" w:val="left"/>
        </w:tabs>
        <w:numPr>
          <w:ilvl w:val="0"/>
          <w:numId w:val="457"/>
        </w:numPr>
        <w:rPr>
          <w:rFonts w:ascii="Arial" w:cs="Arial" w:eastAsia="Arial" w:hAnsi="Arial"/>
          <w:sz w:val="17"/>
          <w:szCs w:val="17"/>
          <w:color w:val="auto"/>
        </w:rPr>
      </w:pPr>
      <w:r>
        <w:rPr>
          <w:rFonts w:ascii="Arial" w:cs="Arial" w:eastAsia="Arial" w:hAnsi="Arial"/>
          <w:sz w:val="17"/>
          <w:szCs w:val="17"/>
          <w:color w:val="auto"/>
        </w:rPr>
        <w:t>Non-Qualified Stock Option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Optionee hereby delivers to the Company the Aggregate Purchase Price set forth above in cash as indicated below or to the extent provided for in the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Option Agreement and approved by the Committee by accepting this Exercise Notice, as follows (as applicable, check and complete):</w:t>
      </w:r>
    </w:p>
    <w:p>
      <w:pPr>
        <w:spacing w:after="0" w:line="212" w:lineRule="exact"/>
        <w:rPr>
          <w:sz w:val="20"/>
          <w:szCs w:val="20"/>
          <w:color w:val="auto"/>
        </w:rPr>
      </w:pPr>
    </w:p>
    <w:p>
      <w:pPr>
        <w:ind w:left="1260"/>
        <w:spacing w:after="0"/>
        <w:tabs>
          <w:tab w:leader="none" w:pos="4100" w:val="left"/>
        </w:tabs>
        <w:rPr>
          <w:sz w:val="20"/>
          <w:szCs w:val="20"/>
          <w:color w:val="auto"/>
        </w:rPr>
      </w:pPr>
      <w:r>
        <w:rPr>
          <w:rFonts w:ascii="Arial" w:cs="Arial" w:eastAsia="Arial" w:hAnsi="Arial"/>
          <w:sz w:val="17"/>
          <w:szCs w:val="17"/>
          <w:color w:val="auto"/>
        </w:rPr>
        <w:t>in cash in the amount of $</w:t>
      </w:r>
      <w:r>
        <w:rPr>
          <w:sz w:val="20"/>
          <w:szCs w:val="20"/>
          <w:color w:val="auto"/>
        </w:rPr>
        <w:tab/>
      </w:r>
      <w:r>
        <w:rPr>
          <w:rFonts w:ascii="Arial" w:cs="Arial" w:eastAsia="Arial" w:hAnsi="Arial"/>
          <w:sz w:val="15"/>
          <w:szCs w:val="15"/>
          <w:color w:val="auto"/>
        </w:rPr>
        <w:t>, receipt of which is acknowledged by the Company;</w:t>
      </w:r>
    </w:p>
    <w:p>
      <w:pPr>
        <w:sectPr>
          <w:pgSz w:w="11900" w:h="16838" w:orient="portrait"/>
          <w:cols w:equalWidth="0" w:num="1">
            <w:col w:w="11460"/>
          </w:cols>
          <w:pgMar w:left="240" w:top="127" w:right="199" w:bottom="0" w:gutter="0" w:footer="0" w:header="0"/>
        </w:sectPr>
      </w:pPr>
    </w:p>
    <w:bookmarkStart w:id="333" w:name="page334"/>
    <w:bookmarkEnd w:id="333"/>
    <w:tbl>
      <w:tblPr>
        <w:tblLayout w:type="fixed"/>
        <w:tblInd w:w="0" w:type="dxa"/>
        <w:tblCellMar>
          <w:top w:w="0" w:type="dxa"/>
          <w:left w:w="0" w:type="dxa"/>
          <w:bottom w:w="0" w:type="dxa"/>
          <w:right w:w="0" w:type="dxa"/>
        </w:tblCellMar>
      </w:tblPr>
      <w:tr>
        <w:trPr>
          <w:trHeight w:val="210"/>
        </w:trPr>
        <w:tc>
          <w:tcPr>
            <w:tcW w:w="1200" w:type="dxa"/>
            <w:vAlign w:val="bottom"/>
          </w:tcPr>
          <w:p>
            <w:pPr>
              <w:ind w:left="700"/>
              <w:spacing w:after="0"/>
              <w:rPr>
                <w:sz w:val="20"/>
                <w:szCs w:val="20"/>
                <w:color w:val="auto"/>
              </w:rPr>
            </w:pPr>
            <w:r>
              <w:rPr>
                <w:rFonts w:ascii="Arial" w:cs="Arial" w:eastAsia="Arial" w:hAnsi="Arial"/>
                <w:sz w:val="17"/>
                <w:szCs w:val="17"/>
                <w:color w:val="auto"/>
              </w:rPr>
              <w:t>[N/A]</w:t>
            </w:r>
          </w:p>
        </w:tc>
        <w:tc>
          <w:tcPr>
            <w:tcW w:w="10260" w:type="dxa"/>
            <w:vAlign w:val="bottom"/>
            <w:gridSpan w:val="3"/>
          </w:tcPr>
          <w:p>
            <w:pPr>
              <w:ind w:left="100"/>
              <w:spacing w:after="0"/>
              <w:rPr>
                <w:sz w:val="20"/>
                <w:szCs w:val="20"/>
                <w:color w:val="auto"/>
              </w:rPr>
            </w:pPr>
            <w:r>
              <w:rPr>
                <w:rFonts w:ascii="Arial" w:cs="Arial" w:eastAsia="Arial" w:hAnsi="Arial"/>
                <w:sz w:val="17"/>
                <w:szCs w:val="17"/>
                <w:color w:val="auto"/>
              </w:rPr>
              <w:t>through a “same-day-sale” commitment, delivered herewith, from the Optionee and the NASD Dealer named therein in the amount of</w:t>
            </w:r>
          </w:p>
        </w:tc>
      </w:tr>
      <w:tr>
        <w:trPr>
          <w:trHeight w:val="222"/>
        </w:trPr>
        <w:tc>
          <w:tcPr>
            <w:tcW w:w="1200" w:type="dxa"/>
            <w:vAlign w:val="bottom"/>
          </w:tcPr>
          <w:p>
            <w:pPr>
              <w:spacing w:after="0"/>
              <w:rPr>
                <w:sz w:val="19"/>
                <w:szCs w:val="19"/>
                <w:color w:val="auto"/>
              </w:rPr>
            </w:pPr>
          </w:p>
        </w:tc>
        <w:tc>
          <w:tcPr>
            <w:tcW w:w="1400" w:type="dxa"/>
            <w:vAlign w:val="bottom"/>
          </w:tcPr>
          <w:p>
            <w:pPr>
              <w:ind w:left="60"/>
              <w:spacing w:after="0"/>
              <w:rPr>
                <w:sz w:val="20"/>
                <w:szCs w:val="20"/>
                <w:color w:val="auto"/>
              </w:rPr>
            </w:pPr>
            <w:r>
              <w:rPr>
                <w:rFonts w:ascii="Arial" w:cs="Arial" w:eastAsia="Arial" w:hAnsi="Arial"/>
                <w:sz w:val="17"/>
                <w:szCs w:val="17"/>
                <w:color w:val="auto"/>
              </w:rPr>
              <w:t>$</w:t>
            </w:r>
          </w:p>
        </w:tc>
        <w:tc>
          <w:tcPr>
            <w:tcW w:w="1660" w:type="dxa"/>
            <w:vAlign w:val="bottom"/>
          </w:tcPr>
          <w:p>
            <w:pPr>
              <w:jc w:val="right"/>
              <w:ind w:right="1113"/>
              <w:spacing w:after="0"/>
              <w:rPr>
                <w:sz w:val="20"/>
                <w:szCs w:val="20"/>
                <w:color w:val="auto"/>
              </w:rPr>
            </w:pPr>
            <w:r>
              <w:rPr>
                <w:rFonts w:ascii="Arial" w:cs="Arial" w:eastAsia="Arial" w:hAnsi="Arial"/>
                <w:sz w:val="17"/>
                <w:szCs w:val="17"/>
                <w:color w:val="auto"/>
              </w:rPr>
              <w:t>;</w:t>
            </w:r>
          </w:p>
        </w:tc>
        <w:tc>
          <w:tcPr>
            <w:tcW w:w="7200" w:type="dxa"/>
            <w:vAlign w:val="bottom"/>
          </w:tcPr>
          <w:p>
            <w:pPr>
              <w:spacing w:after="0"/>
              <w:rPr>
                <w:sz w:val="19"/>
                <w:szCs w:val="19"/>
                <w:color w:val="auto"/>
              </w:rPr>
            </w:pPr>
          </w:p>
        </w:tc>
      </w:tr>
      <w:tr>
        <w:trPr>
          <w:trHeight w:val="419"/>
        </w:trPr>
        <w:tc>
          <w:tcPr>
            <w:tcW w:w="1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200" w:type="dxa"/>
            <w:vAlign w:val="bottom"/>
          </w:tcPr>
          <w:p>
            <w:pPr>
              <w:jc w:val="right"/>
              <w:ind w:right="5613"/>
              <w:spacing w:after="0"/>
              <w:rPr>
                <w:sz w:val="20"/>
                <w:szCs w:val="20"/>
                <w:color w:val="auto"/>
              </w:rPr>
            </w:pPr>
            <w:r>
              <w:rPr>
                <w:rFonts w:ascii="Arial" w:cs="Arial" w:eastAsia="Arial" w:hAnsi="Arial"/>
                <w:sz w:val="17"/>
                <w:szCs w:val="17"/>
                <w:color w:val="auto"/>
              </w:rPr>
              <w:t>9</w:t>
            </w:r>
          </w:p>
        </w:tc>
      </w:tr>
      <w:tr>
        <w:trPr>
          <w:trHeight w:val="128"/>
        </w:trPr>
        <w:tc>
          <w:tcPr>
            <w:tcW w:w="1200" w:type="dxa"/>
            <w:vAlign w:val="bottom"/>
            <w:tcBorders>
              <w:bottom w:val="single" w:sz="8" w:color="010101"/>
            </w:tcBorders>
          </w:tcPr>
          <w:p>
            <w:pPr>
              <w:spacing w:after="0"/>
              <w:rPr>
                <w:sz w:val="11"/>
                <w:szCs w:val="11"/>
                <w:color w:val="auto"/>
              </w:rPr>
            </w:pPr>
          </w:p>
        </w:tc>
        <w:tc>
          <w:tcPr>
            <w:tcW w:w="10260" w:type="dxa"/>
            <w:vAlign w:val="bottom"/>
            <w:tcBorders>
              <w:bottom w:val="single" w:sz="8" w:color="010101"/>
            </w:tcBorders>
            <w:gridSpan w:val="3"/>
          </w:tcPr>
          <w:p>
            <w:pPr>
              <w:spacing w:after="0"/>
              <w:rPr>
                <w:sz w:val="11"/>
                <w:szCs w:val="11"/>
                <w:color w:val="auto"/>
              </w:rPr>
            </w:pPr>
          </w:p>
        </w:tc>
      </w:tr>
      <w:tr>
        <w:trPr>
          <w:trHeight w:val="745"/>
        </w:trPr>
        <w:tc>
          <w:tcPr>
            <w:tcW w:w="1200" w:type="dxa"/>
            <w:vAlign w:val="bottom"/>
          </w:tcPr>
          <w:p>
            <w:pPr>
              <w:ind w:left="700"/>
              <w:spacing w:after="0"/>
              <w:rPr>
                <w:sz w:val="20"/>
                <w:szCs w:val="20"/>
                <w:color w:val="auto"/>
              </w:rPr>
            </w:pPr>
            <w:r>
              <w:rPr>
                <w:rFonts w:ascii="Arial" w:cs="Arial" w:eastAsia="Arial" w:hAnsi="Arial"/>
                <w:sz w:val="17"/>
                <w:szCs w:val="17"/>
                <w:color w:val="auto"/>
              </w:rPr>
              <w:t>[N/A]</w:t>
            </w:r>
          </w:p>
        </w:tc>
        <w:tc>
          <w:tcPr>
            <w:tcW w:w="10260" w:type="dxa"/>
            <w:vAlign w:val="bottom"/>
            <w:gridSpan w:val="3"/>
          </w:tcPr>
          <w:p>
            <w:pPr>
              <w:ind w:left="100"/>
              <w:spacing w:after="0"/>
              <w:rPr>
                <w:sz w:val="20"/>
                <w:szCs w:val="20"/>
                <w:color w:val="auto"/>
              </w:rPr>
            </w:pPr>
            <w:r>
              <w:rPr>
                <w:rFonts w:ascii="Arial" w:cs="Arial" w:eastAsia="Arial" w:hAnsi="Arial"/>
                <w:sz w:val="17"/>
                <w:szCs w:val="17"/>
                <w:color w:val="auto"/>
              </w:rPr>
              <w:t>through a “margin” commitment, delivered herewith, from the Optionee and the NASD Dealer named therein in the amount of</w:t>
            </w:r>
          </w:p>
        </w:tc>
      </w:tr>
      <w:tr>
        <w:trPr>
          <w:trHeight w:val="222"/>
        </w:trPr>
        <w:tc>
          <w:tcPr>
            <w:tcW w:w="1200" w:type="dxa"/>
            <w:vAlign w:val="bottom"/>
          </w:tcPr>
          <w:p>
            <w:pPr>
              <w:spacing w:after="0"/>
              <w:rPr>
                <w:sz w:val="19"/>
                <w:szCs w:val="19"/>
                <w:color w:val="auto"/>
              </w:rPr>
            </w:pPr>
          </w:p>
        </w:tc>
        <w:tc>
          <w:tcPr>
            <w:tcW w:w="1400" w:type="dxa"/>
            <w:vAlign w:val="bottom"/>
          </w:tcPr>
          <w:p>
            <w:pPr>
              <w:ind w:left="60"/>
              <w:spacing w:after="0"/>
              <w:rPr>
                <w:sz w:val="20"/>
                <w:szCs w:val="20"/>
                <w:color w:val="auto"/>
              </w:rPr>
            </w:pPr>
            <w:r>
              <w:rPr>
                <w:rFonts w:ascii="Arial" w:cs="Arial" w:eastAsia="Arial" w:hAnsi="Arial"/>
                <w:sz w:val="17"/>
                <w:szCs w:val="17"/>
                <w:color w:val="auto"/>
              </w:rPr>
              <w:t>$</w:t>
            </w:r>
          </w:p>
        </w:tc>
        <w:tc>
          <w:tcPr>
            <w:tcW w:w="1660" w:type="dxa"/>
            <w:vAlign w:val="bottom"/>
          </w:tcPr>
          <w:p>
            <w:pPr>
              <w:jc w:val="right"/>
              <w:ind w:right="1193"/>
              <w:spacing w:after="0"/>
              <w:rPr>
                <w:sz w:val="20"/>
                <w:szCs w:val="20"/>
                <w:color w:val="auto"/>
              </w:rPr>
            </w:pPr>
            <w:r>
              <w:rPr>
                <w:rFonts w:ascii="Arial" w:cs="Arial" w:eastAsia="Arial" w:hAnsi="Arial"/>
                <w:sz w:val="17"/>
                <w:szCs w:val="17"/>
                <w:color w:val="auto"/>
              </w:rPr>
              <w:t>;</w:t>
            </w:r>
          </w:p>
        </w:tc>
        <w:tc>
          <w:tcPr>
            <w:tcW w:w="7200" w:type="dxa"/>
            <w:vAlign w:val="bottom"/>
          </w:tcPr>
          <w:p>
            <w:pPr>
              <w:spacing w:after="0"/>
              <w:rPr>
                <w:sz w:val="19"/>
                <w:szCs w:val="19"/>
                <w:color w:val="auto"/>
              </w:rPr>
            </w:pPr>
          </w:p>
        </w:tc>
      </w:tr>
      <w:tr>
        <w:trPr>
          <w:trHeight w:val="408"/>
        </w:trPr>
        <w:tc>
          <w:tcPr>
            <w:tcW w:w="1200" w:type="dxa"/>
            <w:vAlign w:val="bottom"/>
          </w:tcPr>
          <w:p>
            <w:pPr>
              <w:ind w:left="700"/>
              <w:spacing w:after="0"/>
              <w:rPr>
                <w:sz w:val="20"/>
                <w:szCs w:val="20"/>
                <w:color w:val="auto"/>
              </w:rPr>
            </w:pPr>
            <w:r>
              <w:rPr>
                <w:rFonts w:ascii="Arial" w:cs="Arial" w:eastAsia="Arial" w:hAnsi="Arial"/>
                <w:sz w:val="17"/>
                <w:szCs w:val="17"/>
                <w:color w:val="auto"/>
              </w:rPr>
              <w:t>[N/A]</w:t>
            </w:r>
          </w:p>
        </w:tc>
        <w:tc>
          <w:tcPr>
            <w:tcW w:w="1400" w:type="dxa"/>
            <w:vAlign w:val="bottom"/>
          </w:tcPr>
          <w:p>
            <w:pPr>
              <w:ind w:left="100"/>
              <w:spacing w:after="0"/>
              <w:rPr>
                <w:sz w:val="20"/>
                <w:szCs w:val="20"/>
                <w:color w:val="auto"/>
              </w:rPr>
            </w:pPr>
            <w:r>
              <w:rPr>
                <w:rFonts w:ascii="Arial" w:cs="Arial" w:eastAsia="Arial" w:hAnsi="Arial"/>
                <w:sz w:val="17"/>
                <w:szCs w:val="17"/>
                <w:color w:val="auto"/>
              </w:rPr>
              <w:t>by delivery of</w:t>
            </w:r>
          </w:p>
        </w:tc>
        <w:tc>
          <w:tcPr>
            <w:tcW w:w="8860" w:type="dxa"/>
            <w:vAlign w:val="bottom"/>
            <w:gridSpan w:val="2"/>
          </w:tcPr>
          <w:p>
            <w:pPr>
              <w:jc w:val="right"/>
              <w:ind w:right="93"/>
              <w:spacing w:after="0"/>
              <w:rPr>
                <w:sz w:val="20"/>
                <w:szCs w:val="20"/>
                <w:color w:val="auto"/>
              </w:rPr>
            </w:pPr>
            <w:r>
              <w:rPr>
                <w:rFonts w:ascii="Arial" w:cs="Arial" w:eastAsia="Arial" w:hAnsi="Arial"/>
                <w:sz w:val="17"/>
                <w:szCs w:val="17"/>
                <w:color w:val="auto"/>
              </w:rPr>
              <w:t>Qualifying Shares, owned free and clear of all liens, claims, encumbrances or security interests, and valued at</w:t>
            </w:r>
          </w:p>
        </w:tc>
      </w:tr>
      <w:tr>
        <w:trPr>
          <w:trHeight w:val="222"/>
        </w:trPr>
        <w:tc>
          <w:tcPr>
            <w:tcW w:w="1200" w:type="dxa"/>
            <w:vAlign w:val="bottom"/>
          </w:tcPr>
          <w:p>
            <w:pPr>
              <w:spacing w:after="0"/>
              <w:rPr>
                <w:sz w:val="19"/>
                <w:szCs w:val="19"/>
                <w:color w:val="auto"/>
              </w:rPr>
            </w:pPr>
          </w:p>
        </w:tc>
        <w:tc>
          <w:tcPr>
            <w:tcW w:w="3060" w:type="dxa"/>
            <w:vAlign w:val="bottom"/>
            <w:gridSpan w:val="2"/>
          </w:tcPr>
          <w:p>
            <w:pPr>
              <w:ind w:left="60"/>
              <w:spacing w:after="0"/>
              <w:rPr>
                <w:sz w:val="20"/>
                <w:szCs w:val="20"/>
                <w:color w:val="auto"/>
              </w:rPr>
            </w:pPr>
            <w:r>
              <w:rPr>
                <w:rFonts w:ascii="Arial" w:cs="Arial" w:eastAsia="Arial" w:hAnsi="Arial"/>
                <w:sz w:val="17"/>
                <w:szCs w:val="17"/>
                <w:color w:val="auto"/>
              </w:rPr>
              <w:t>the current Fair Market Value of $</w:t>
            </w:r>
          </w:p>
        </w:tc>
        <w:tc>
          <w:tcPr>
            <w:tcW w:w="7200" w:type="dxa"/>
            <w:vAlign w:val="bottom"/>
          </w:tcPr>
          <w:p>
            <w:pPr>
              <w:jc w:val="right"/>
              <w:ind w:right="5813"/>
              <w:spacing w:after="0"/>
              <w:rPr>
                <w:sz w:val="20"/>
                <w:szCs w:val="20"/>
                <w:color w:val="auto"/>
              </w:rPr>
            </w:pPr>
            <w:r>
              <w:rPr>
                <w:rFonts w:ascii="Arial" w:cs="Arial" w:eastAsia="Arial" w:hAnsi="Arial"/>
                <w:sz w:val="17"/>
                <w:szCs w:val="17"/>
                <w:color w:val="auto"/>
              </w:rPr>
              <w:t>per share.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-1042035</wp:posOffset>
            </wp:positionV>
            <wp:extent cx="12700" cy="2921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-1042035</wp:posOffset>
            </wp:positionV>
            <wp:extent cx="12700" cy="2921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and the Optionee (the “Parties”) hereby agree as follows:</w:t>
      </w:r>
    </w:p>
    <w:p>
      <w:pPr>
        <w:spacing w:after="0" w:line="224" w:lineRule="exact"/>
        <w:rPr>
          <w:sz w:val="20"/>
          <w:szCs w:val="20"/>
          <w:color w:val="auto"/>
        </w:rPr>
      </w:pPr>
    </w:p>
    <w:p>
      <w:pPr>
        <w:ind w:right="80" w:firstLine="634"/>
        <w:spacing w:after="0" w:line="263" w:lineRule="auto"/>
        <w:tabs>
          <w:tab w:leader="none" w:pos="1254" w:val="left"/>
        </w:tabs>
        <w:numPr>
          <w:ilvl w:val="0"/>
          <w:numId w:val="458"/>
        </w:numPr>
        <w:rPr>
          <w:rFonts w:ascii="Arial" w:cs="Arial" w:eastAsia="Arial" w:hAnsi="Arial"/>
          <w:sz w:val="17"/>
          <w:szCs w:val="17"/>
          <w:color w:val="auto"/>
        </w:rPr>
      </w:pPr>
      <w:r>
        <w:rPr>
          <w:rFonts w:ascii="Arial" w:cs="Arial" w:eastAsia="Arial" w:hAnsi="Arial"/>
          <w:sz w:val="17"/>
          <w:szCs w:val="17"/>
          <w:u w:val="single" w:color="auto"/>
          <w:color w:val="auto"/>
        </w:rPr>
        <w:t>Purchase of Shares</w:t>
      </w:r>
      <w:r>
        <w:rPr>
          <w:rFonts w:ascii="Arial" w:cs="Arial" w:eastAsia="Arial" w:hAnsi="Arial"/>
          <w:sz w:val="17"/>
          <w:szCs w:val="17"/>
          <w:color w:val="auto"/>
        </w:rPr>
        <w:t>. On this date and subject to the terms and conditions of this Exercise Notice, the Optionee hereby exercises the Option granted in the Stock Option Agreement (“Option Agreement”) between the Parties, dated as of the Date of Grant set forth above, with respect to the Number of Shares Purchased set forth above of the Common Stock (the “Shares”) at the Aggregate Purchase Price set forth above (the “Aggregate Purchase Price”) equal to the Price Per Share set forth above (the “Purchase Price Per Share”) multiplied by the Number of Shares Purchased set forth above. The term “Shares” refers to the Shares purchased under this Exercise Notice and includes all securities received (a) in replacement of the Shares, and (b) as a result of stock dividends or stock splits in respect of the Shares.</w:t>
      </w:r>
    </w:p>
    <w:p>
      <w:pPr>
        <w:spacing w:after="0" w:line="183" w:lineRule="exact"/>
        <w:rPr>
          <w:rFonts w:ascii="Arial" w:cs="Arial" w:eastAsia="Arial" w:hAnsi="Arial"/>
          <w:sz w:val="17"/>
          <w:szCs w:val="17"/>
          <w:color w:val="auto"/>
        </w:rPr>
      </w:pPr>
    </w:p>
    <w:p>
      <w:pPr>
        <w:ind w:right="100" w:firstLine="634"/>
        <w:spacing w:after="0" w:line="289" w:lineRule="auto"/>
        <w:tabs>
          <w:tab w:leader="none" w:pos="1254" w:val="left"/>
        </w:tabs>
        <w:numPr>
          <w:ilvl w:val="0"/>
          <w:numId w:val="458"/>
        </w:numPr>
        <w:rPr>
          <w:rFonts w:ascii="Arial" w:cs="Arial" w:eastAsia="Arial" w:hAnsi="Arial"/>
          <w:sz w:val="17"/>
          <w:szCs w:val="17"/>
          <w:color w:val="auto"/>
        </w:rPr>
      </w:pPr>
      <w:r>
        <w:rPr>
          <w:rFonts w:ascii="Arial" w:cs="Arial" w:eastAsia="Arial" w:hAnsi="Arial"/>
          <w:sz w:val="17"/>
          <w:szCs w:val="17"/>
          <w:u w:val="single" w:color="auto"/>
          <w:color w:val="auto"/>
        </w:rPr>
        <w:t>Representations of the Optionee</w:t>
      </w:r>
      <w:r>
        <w:rPr>
          <w:rFonts w:ascii="Arial" w:cs="Arial" w:eastAsia="Arial" w:hAnsi="Arial"/>
          <w:sz w:val="17"/>
          <w:szCs w:val="17"/>
          <w:color w:val="auto"/>
        </w:rPr>
        <w:t>. The Optionee represents and warrants to the Company that the Optionee has received, read and understood the Plan, the Option Agreement and this Exercise Notice and agrees to abide by and be bound by their terms and conditions.</w:t>
      </w:r>
    </w:p>
    <w:p>
      <w:pPr>
        <w:spacing w:after="0" w:line="158" w:lineRule="exact"/>
        <w:rPr>
          <w:rFonts w:ascii="Arial" w:cs="Arial" w:eastAsia="Arial" w:hAnsi="Arial"/>
          <w:sz w:val="17"/>
          <w:szCs w:val="17"/>
          <w:color w:val="auto"/>
        </w:rPr>
      </w:pPr>
    </w:p>
    <w:p>
      <w:pPr>
        <w:ind w:right="160" w:firstLine="634"/>
        <w:spacing w:after="0" w:line="290" w:lineRule="auto"/>
        <w:tabs>
          <w:tab w:leader="none" w:pos="1254" w:val="left"/>
        </w:tabs>
        <w:numPr>
          <w:ilvl w:val="0"/>
          <w:numId w:val="458"/>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Until the stock certificate evidencing the Shares is issued (as evidenced by the appropriate entry on the books of the Company or of a duly authorized transfer agent of the Company), no right to vote or receive dividends or any other rights as a shareholder shall exist with respect to the Shares, notwithstanding the exercise of the Option. The Company shall issue (or cause to be issued) such stock certificate promptly after the Option is exercised. No adjustment will be made for a dividend or other right for which the record date is prior to the date the stock certificate is issued.</w:t>
      </w:r>
    </w:p>
    <w:p>
      <w:pPr>
        <w:spacing w:after="0" w:line="159" w:lineRule="exact"/>
        <w:rPr>
          <w:rFonts w:ascii="Arial" w:cs="Arial" w:eastAsia="Arial" w:hAnsi="Arial"/>
          <w:sz w:val="16"/>
          <w:szCs w:val="16"/>
          <w:color w:val="auto"/>
        </w:rPr>
      </w:pPr>
    </w:p>
    <w:p>
      <w:pPr>
        <w:ind w:right="620" w:firstLine="634"/>
        <w:spacing w:after="0" w:line="273" w:lineRule="auto"/>
        <w:tabs>
          <w:tab w:leader="none" w:pos="1254" w:val="left"/>
        </w:tabs>
        <w:numPr>
          <w:ilvl w:val="0"/>
          <w:numId w:val="458"/>
        </w:numPr>
        <w:rPr>
          <w:rFonts w:ascii="Arial" w:cs="Arial" w:eastAsia="Arial" w:hAnsi="Arial"/>
          <w:sz w:val="17"/>
          <w:szCs w:val="17"/>
          <w:color w:val="auto"/>
        </w:rPr>
      </w:pPr>
      <w:r>
        <w:rPr>
          <w:rFonts w:ascii="Arial" w:cs="Arial" w:eastAsia="Arial" w:hAnsi="Arial"/>
          <w:sz w:val="17"/>
          <w:szCs w:val="17"/>
          <w:u w:val="single" w:color="auto"/>
          <w:color w:val="auto"/>
        </w:rPr>
        <w:t>Tax Withholding Obligations</w:t>
      </w:r>
      <w:r>
        <w:rPr>
          <w:rFonts w:ascii="Arial" w:cs="Arial" w:eastAsia="Arial" w:hAnsi="Arial"/>
          <w:sz w:val="17"/>
          <w:szCs w:val="17"/>
          <w:color w:val="auto"/>
        </w:rPr>
        <w:t>. The Optionee agrees to satisfy all applicable federal, state and local income, employment and other tax withholding obligations and herewith delivers to the Company the amount necessary, or has made arrangements acceptable to the Company, to satisfy such obligations as provided in the Plan and the Option Agreement.</w:t>
      </w:r>
    </w:p>
    <w:p>
      <w:pPr>
        <w:spacing w:after="0" w:line="171" w:lineRule="exact"/>
        <w:rPr>
          <w:rFonts w:ascii="Arial" w:cs="Arial" w:eastAsia="Arial" w:hAnsi="Arial"/>
          <w:sz w:val="17"/>
          <w:szCs w:val="17"/>
          <w:color w:val="auto"/>
        </w:rPr>
      </w:pPr>
    </w:p>
    <w:p>
      <w:pPr>
        <w:ind w:right="340" w:firstLine="634"/>
        <w:spacing w:after="0" w:line="273" w:lineRule="auto"/>
        <w:tabs>
          <w:tab w:leader="none" w:pos="1254" w:val="left"/>
        </w:tabs>
        <w:numPr>
          <w:ilvl w:val="0"/>
          <w:numId w:val="458"/>
        </w:numPr>
        <w:rPr>
          <w:rFonts w:ascii="Arial" w:cs="Arial" w:eastAsia="Arial" w:hAnsi="Arial"/>
          <w:sz w:val="17"/>
          <w:szCs w:val="17"/>
          <w:color w:val="auto"/>
        </w:rPr>
      </w:pPr>
      <w:r>
        <w:rPr>
          <w:rFonts w:ascii="Arial" w:cs="Arial" w:eastAsia="Arial" w:hAnsi="Arial"/>
          <w:sz w:val="17"/>
          <w:szCs w:val="17"/>
          <w:u w:val="single" w:color="auto"/>
          <w:color w:val="auto"/>
        </w:rPr>
        <w:t>Tax Consequences</w:t>
      </w:r>
      <w:r>
        <w:rPr>
          <w:rFonts w:ascii="Arial" w:cs="Arial" w:eastAsia="Arial" w:hAnsi="Arial"/>
          <w:sz w:val="17"/>
          <w:szCs w:val="17"/>
          <w:color w:val="auto"/>
        </w:rPr>
        <w:t>. The Optionee understands that he or she may suffer adverse tax consequences as a result of the Optionee’s purchase or disposition of the Shares. The Optionee represents that the Optionee has consulted with any tax consultant(s) he or she deems advisable in connection with the purchase or disposition of the Shares and that Optionee is not relying on the Company for any tax advice.</w:t>
      </w:r>
    </w:p>
    <w:p>
      <w:pPr>
        <w:spacing w:after="0" w:line="171" w:lineRule="exact"/>
        <w:rPr>
          <w:rFonts w:ascii="Arial" w:cs="Arial" w:eastAsia="Arial" w:hAnsi="Arial"/>
          <w:sz w:val="17"/>
          <w:szCs w:val="17"/>
          <w:color w:val="auto"/>
        </w:rPr>
      </w:pPr>
    </w:p>
    <w:p>
      <w:pPr>
        <w:ind w:right="560" w:firstLine="634"/>
        <w:spacing w:after="0" w:line="273" w:lineRule="auto"/>
        <w:tabs>
          <w:tab w:leader="none" w:pos="1254" w:val="left"/>
        </w:tabs>
        <w:numPr>
          <w:ilvl w:val="0"/>
          <w:numId w:val="458"/>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Exercise Notice, and this Exercise Notice shall inure to the benefit of the successors and assigns of the Company. Subject to the restrictions on transfer herein set forth, this Exercise Notice shall be binding upon the Optionee and his or her heirs, executors, administrators, successors and permitted assigns.</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34"/>
        <w:spacing w:after="0" w:line="326" w:lineRule="auto"/>
        <w:tabs>
          <w:tab w:leader="none" w:pos="1254" w:val="left"/>
        </w:tabs>
        <w:numPr>
          <w:ilvl w:val="0"/>
          <w:numId w:val="459"/>
        </w:numPr>
        <w:rPr>
          <w:rFonts w:ascii="Arial" w:cs="Arial" w:eastAsia="Arial" w:hAnsi="Arial"/>
          <w:sz w:val="15"/>
          <w:szCs w:val="15"/>
          <w:color w:val="auto"/>
        </w:rPr>
      </w:pPr>
      <w:r>
        <w:rPr>
          <w:rFonts w:ascii="Arial" w:cs="Arial" w:eastAsia="Arial" w:hAnsi="Arial"/>
          <w:sz w:val="15"/>
          <w:szCs w:val="15"/>
          <w:u w:val="single" w:color="auto"/>
          <w:color w:val="auto"/>
        </w:rPr>
        <w:t>Interpretive Matters</w:t>
      </w:r>
      <w:r>
        <w:rPr>
          <w:rFonts w:ascii="Arial" w:cs="Arial" w:eastAsia="Arial" w:hAnsi="Arial"/>
          <w:sz w:val="15"/>
          <w:szCs w:val="15"/>
          <w:color w:val="auto"/>
        </w:rPr>
        <w:t>. Whenever required by the context, pronouns and any variation thereof shall be deemed to refer to the masculine, feminine, or neuter, and the singular shall include the plural, and vice versa. The term “include” or “including” does not denote or imply any limitation. The captions and headings used in this Exercise Notice are inserted for convenience and shall not be deemed a part of this Exercise Notice for construction or interpretation.</w:t>
      </w:r>
    </w:p>
    <w:p>
      <w:pPr>
        <w:spacing w:after="0" w:line="136" w:lineRule="exact"/>
        <w:rPr>
          <w:rFonts w:ascii="Arial" w:cs="Arial" w:eastAsia="Arial" w:hAnsi="Arial"/>
          <w:sz w:val="15"/>
          <w:szCs w:val="15"/>
          <w:color w:val="auto"/>
        </w:rPr>
      </w:pPr>
    </w:p>
    <w:p>
      <w:pPr>
        <w:ind w:right="220" w:firstLine="634"/>
        <w:spacing w:after="0" w:line="289" w:lineRule="auto"/>
        <w:tabs>
          <w:tab w:leader="none" w:pos="1254" w:val="left"/>
        </w:tabs>
        <w:numPr>
          <w:ilvl w:val="0"/>
          <w:numId w:val="459"/>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The provisions of Section 15 of the Option Agreement shall be the exclusive means of resolving disputes arising out of or relating to this Exercise Notice.</w:t>
      </w:r>
    </w:p>
    <w:p>
      <w:pPr>
        <w:spacing w:after="0" w:line="158" w:lineRule="exact"/>
        <w:rPr>
          <w:rFonts w:ascii="Arial" w:cs="Arial" w:eastAsia="Arial" w:hAnsi="Arial"/>
          <w:sz w:val="17"/>
          <w:szCs w:val="17"/>
          <w:color w:val="auto"/>
        </w:rPr>
      </w:pPr>
    </w:p>
    <w:p>
      <w:pPr>
        <w:ind w:right="60" w:firstLine="634"/>
        <w:spacing w:after="0" w:line="261" w:lineRule="auto"/>
        <w:tabs>
          <w:tab w:leader="none" w:pos="1254" w:val="left"/>
        </w:tabs>
        <w:numPr>
          <w:ilvl w:val="0"/>
          <w:numId w:val="459"/>
        </w:numPr>
        <w:rPr>
          <w:rFonts w:ascii="Arial" w:cs="Arial" w:eastAsia="Arial" w:hAnsi="Arial"/>
          <w:sz w:val="17"/>
          <w:szCs w:val="17"/>
          <w:color w:val="auto"/>
        </w:rPr>
      </w:pPr>
      <w:r>
        <w:rPr>
          <w:rFonts w:ascii="Arial" w:cs="Arial" w:eastAsia="Arial" w:hAnsi="Arial"/>
          <w:sz w:val="17"/>
          <w:szCs w:val="17"/>
          <w:u w:val="single" w:color="auto"/>
          <w:color w:val="auto"/>
        </w:rPr>
        <w:t>Entire Agreement; Governing Law</w:t>
      </w:r>
      <w:r>
        <w:rPr>
          <w:rFonts w:ascii="Arial" w:cs="Arial" w:eastAsia="Arial" w:hAnsi="Arial"/>
          <w:sz w:val="17"/>
          <w:szCs w:val="17"/>
          <w:color w:val="auto"/>
        </w:rPr>
        <w:t>. This Exercise Notice, with the Plan and the Option Agreement, constitute the entire agreement of the Parties with respect to the subject matter hereof and supersede in their entirety all prior undertakings and agreements of the Parties with respect to the subject matter hereof, and may not be modified adversely to the Optionee’s interest except by means of a writing signed by the Parties. Nothing in this Exercise Notice or in the Plan or the Option Agreement (except as expressly provided herein or therein) is intended to confer any rights or remedies on any person other than the Parties. This Exercise Notice (like the Plan and the Option Agreement) is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Should any provision of the Plan, the Option Agreement, or this Exercise Notice be determined by a court of law to be illegal or unenforceable, such provision shall be enforced to the fullest extent allowed by law, and the other provisions shall nevertheless remain effective and shall remain enforceable.</w:t>
      </w:r>
    </w:p>
    <w:p>
      <w:pPr>
        <w:spacing w:after="0" w:line="184" w:lineRule="exact"/>
        <w:rPr>
          <w:rFonts w:ascii="Arial" w:cs="Arial" w:eastAsia="Arial" w:hAnsi="Arial"/>
          <w:sz w:val="17"/>
          <w:szCs w:val="17"/>
          <w:color w:val="auto"/>
        </w:rPr>
      </w:pPr>
    </w:p>
    <w:p>
      <w:pPr>
        <w:ind w:right="160" w:firstLine="634"/>
        <w:spacing w:after="0" w:line="290" w:lineRule="auto"/>
        <w:tabs>
          <w:tab w:leader="none" w:pos="1254" w:val="left"/>
        </w:tabs>
        <w:numPr>
          <w:ilvl w:val="0"/>
          <w:numId w:val="459"/>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Any notice or other communication required or permitted hereunder shall be given in writing and shall be deemed given, effective, and received upon prepaid delivery in person or by courier or upon the earlier of delivery or the third business day after deposit in the United States mail if sent by certified mail, with postage and fees prepaid, addressed to the other Party at its address as shown beneath its signature in the Option Agreement, or to such other address as such Party may designate in writing from time to time by notice to the other Party in accordance with this Section 10.</w:t>
      </w:r>
    </w:p>
    <w:p>
      <w:pPr>
        <w:spacing w:after="0" w:line="159" w:lineRule="exact"/>
        <w:rPr>
          <w:rFonts w:ascii="Arial" w:cs="Arial" w:eastAsia="Arial" w:hAnsi="Arial"/>
          <w:sz w:val="16"/>
          <w:szCs w:val="16"/>
          <w:color w:val="auto"/>
        </w:rPr>
      </w:pPr>
    </w:p>
    <w:p>
      <w:pPr>
        <w:ind w:right="320" w:firstLine="634"/>
        <w:spacing w:after="0" w:line="289" w:lineRule="auto"/>
        <w:tabs>
          <w:tab w:leader="none" w:pos="1254" w:val="left"/>
        </w:tabs>
        <w:numPr>
          <w:ilvl w:val="0"/>
          <w:numId w:val="459"/>
        </w:numPr>
        <w:rPr>
          <w:rFonts w:ascii="Arial" w:cs="Arial" w:eastAsia="Arial" w:hAnsi="Arial"/>
          <w:sz w:val="17"/>
          <w:szCs w:val="17"/>
          <w:color w:val="auto"/>
        </w:rPr>
      </w:pPr>
      <w:r>
        <w:rPr>
          <w:rFonts w:ascii="Arial" w:cs="Arial" w:eastAsia="Arial" w:hAnsi="Arial"/>
          <w:sz w:val="17"/>
          <w:szCs w:val="17"/>
          <w:u w:val="single" w:color="auto"/>
          <w:color w:val="auto"/>
        </w:rPr>
        <w:t>Further Instruments</w:t>
      </w:r>
      <w:r>
        <w:rPr>
          <w:rFonts w:ascii="Arial" w:cs="Arial" w:eastAsia="Arial" w:hAnsi="Arial"/>
          <w:sz w:val="17"/>
          <w:szCs w:val="17"/>
          <w:color w:val="auto"/>
        </w:rPr>
        <w:t>. Each Party agrees to execute such further instruments and to take such further action as may be necessary or reasonably appropriate to carry out the purposes and intent of this Exercise Notice.</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5720" w:val="left"/>
        </w:tabs>
        <w:rPr>
          <w:sz w:val="20"/>
          <w:szCs w:val="20"/>
          <w:color w:val="auto"/>
        </w:rPr>
      </w:pPr>
      <w:r>
        <w:rPr>
          <w:rFonts w:ascii="Arial" w:cs="Arial" w:eastAsia="Arial" w:hAnsi="Arial"/>
          <w:sz w:val="17"/>
          <w:szCs w:val="17"/>
          <w:color w:val="auto"/>
        </w:rPr>
        <w:t>Submitted by:</w:t>
      </w:r>
      <w:r>
        <w:rPr>
          <w:sz w:val="20"/>
          <w:szCs w:val="20"/>
          <w:color w:val="auto"/>
        </w:rPr>
        <w:tab/>
      </w:r>
      <w:r>
        <w:rPr>
          <w:rFonts w:ascii="Arial" w:cs="Arial" w:eastAsia="Arial" w:hAnsi="Arial"/>
          <w:sz w:val="15"/>
          <w:szCs w:val="15"/>
          <w:color w:val="auto"/>
        </w:rPr>
        <w:t>Accepted by:</w:t>
      </w:r>
    </w:p>
    <w:p>
      <w:pPr>
        <w:sectPr>
          <w:pgSz w:w="11900" w:h="16838" w:orient="portrait"/>
          <w:cols w:equalWidth="0" w:num="1">
            <w:col w:w="11460"/>
          </w:cols>
          <w:pgMar w:left="240" w:top="127" w:right="199" w:bottom="23"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228"/>
        </w:trPr>
        <w:tc>
          <w:tcPr>
            <w:tcW w:w="5360" w:type="dxa"/>
            <w:vAlign w:val="bottom"/>
            <w:gridSpan w:val="3"/>
          </w:tcPr>
          <w:p>
            <w:pPr>
              <w:spacing w:after="0"/>
              <w:rPr>
                <w:sz w:val="20"/>
                <w:szCs w:val="20"/>
                <w:color w:val="auto"/>
              </w:rPr>
            </w:pPr>
            <w:r>
              <w:rPr>
                <w:rFonts w:ascii="Arial" w:cs="Arial" w:eastAsia="Arial" w:hAnsi="Arial"/>
                <w:sz w:val="17"/>
                <w:szCs w:val="17"/>
                <w:b w:val="1"/>
                <w:bCs w:val="1"/>
                <w:color w:val="auto"/>
              </w:rPr>
              <w:t>OPTIONEE</w:t>
            </w:r>
            <w:r>
              <w:rPr>
                <w:rFonts w:ascii="Arial" w:cs="Arial" w:eastAsia="Arial" w:hAnsi="Arial"/>
                <w:sz w:val="17"/>
                <w:szCs w:val="17"/>
                <w:color w:val="auto"/>
              </w:rPr>
              <w:t>:</w:t>
            </w:r>
          </w:p>
        </w:tc>
        <w:tc>
          <w:tcPr>
            <w:tcW w:w="6060" w:type="dxa"/>
            <w:vAlign w:val="bottom"/>
            <w:gridSpan w:val="4"/>
          </w:tcPr>
          <w:p>
            <w:pPr>
              <w:ind w:left="380"/>
              <w:spacing w:after="0"/>
              <w:rPr>
                <w:sz w:val="20"/>
                <w:szCs w:val="20"/>
                <w:color w:val="auto"/>
              </w:rPr>
            </w:pPr>
            <w:r>
              <w:rPr>
                <w:rFonts w:ascii="Arial" w:cs="Arial" w:eastAsia="Arial" w:hAnsi="Arial"/>
                <w:sz w:val="17"/>
                <w:szCs w:val="17"/>
                <w:b w:val="1"/>
                <w:bCs w:val="1"/>
                <w:color w:val="auto"/>
              </w:rPr>
              <w:t>APPLIED OPTOELECTRONICS, INC.</w:t>
            </w:r>
          </w:p>
        </w:tc>
        <w:tc>
          <w:tcPr>
            <w:tcW w:w="40" w:type="dxa"/>
            <w:vAlign w:val="bottom"/>
          </w:tcPr>
          <w:p>
            <w:pPr>
              <w:spacing w:after="0"/>
              <w:rPr>
                <w:sz w:val="19"/>
                <w:szCs w:val="19"/>
                <w:color w:val="auto"/>
              </w:rPr>
            </w:pPr>
          </w:p>
        </w:tc>
      </w:tr>
      <w:tr>
        <w:trPr>
          <w:trHeight w:val="215"/>
        </w:trPr>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60" w:type="dxa"/>
            <w:vAlign w:val="bottom"/>
            <w:tcBorders>
              <w:top w:val="single" w:sz="8" w:color="auto"/>
            </w:tcBorders>
          </w:tcPr>
          <w:p>
            <w:pPr>
              <w:jc w:val="center"/>
              <w:ind w:right="833"/>
              <w:spacing w:after="0"/>
              <w:rPr>
                <w:sz w:val="20"/>
                <w:szCs w:val="20"/>
                <w:color w:val="auto"/>
              </w:rPr>
            </w:pPr>
            <w:r>
              <w:rPr>
                <w:rFonts w:ascii="Arial" w:cs="Arial" w:eastAsia="Arial" w:hAnsi="Arial"/>
                <w:sz w:val="17"/>
                <w:szCs w:val="17"/>
                <w:color w:val="auto"/>
                <w:w w:val="93"/>
              </w:rPr>
              <w:t>(Print Name)</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94"/>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060" w:type="dxa"/>
            <w:vAlign w:val="bottom"/>
            <w:gridSpan w:val="4"/>
          </w:tcPr>
          <w:p>
            <w:pPr>
              <w:ind w:left="380"/>
              <w:spacing w:after="0"/>
              <w:rPr>
                <w:sz w:val="20"/>
                <w:szCs w:val="20"/>
                <w:color w:val="auto"/>
              </w:rPr>
            </w:pPr>
            <w:r>
              <w:rPr>
                <w:rFonts w:ascii="Arial" w:cs="Arial" w:eastAsia="Arial" w:hAnsi="Arial"/>
                <w:sz w:val="17"/>
                <w:szCs w:val="17"/>
                <w:color w:val="auto"/>
              </w:rPr>
              <w:t>By:</w:t>
            </w:r>
          </w:p>
        </w:tc>
        <w:tc>
          <w:tcPr>
            <w:tcW w:w="40" w:type="dxa"/>
            <w:vAlign w:val="bottom"/>
          </w:tcPr>
          <w:p>
            <w:pPr>
              <w:spacing w:after="0"/>
              <w:rPr>
                <w:sz w:val="24"/>
                <w:szCs w:val="24"/>
                <w:color w:val="auto"/>
              </w:rPr>
            </w:pPr>
          </w:p>
        </w:tc>
      </w:tr>
      <w:tr>
        <w:trPr>
          <w:trHeight w:val="203"/>
        </w:trPr>
        <w:tc>
          <w:tcPr>
            <w:tcW w:w="7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060" w:type="dxa"/>
            <w:vAlign w:val="bottom"/>
            <w:tcBorders>
              <w:top w:val="single" w:sz="8" w:color="auto"/>
            </w:tcBorders>
          </w:tcPr>
          <w:p>
            <w:pPr>
              <w:jc w:val="center"/>
              <w:ind w:right="833"/>
              <w:spacing w:after="0"/>
              <w:rPr>
                <w:sz w:val="20"/>
                <w:szCs w:val="20"/>
                <w:color w:val="auto"/>
              </w:rPr>
            </w:pPr>
            <w:r>
              <w:rPr>
                <w:rFonts w:ascii="Arial" w:cs="Arial" w:eastAsia="Arial" w:hAnsi="Arial"/>
                <w:sz w:val="17"/>
                <w:szCs w:val="17"/>
                <w:color w:val="auto"/>
                <w:w w:val="92"/>
              </w:rPr>
              <w:t>(Signature)</w:t>
            </w:r>
          </w:p>
        </w:tc>
        <w:tc>
          <w:tcPr>
            <w:tcW w:w="380" w:type="dxa"/>
            <w:vAlign w:val="bottom"/>
            <w:tcBorders>
              <w:top w:val="single" w:sz="8" w:color="auto"/>
            </w:tcBorders>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Its:</w:t>
            </w:r>
          </w:p>
        </w:tc>
        <w:tc>
          <w:tcPr>
            <w:tcW w:w="5300" w:type="dxa"/>
            <w:vAlign w:val="bottom"/>
            <w:tcBorders>
              <w:top w:val="single" w:sz="8" w:color="auto"/>
              <w:bottom w:val="single" w:sz="8" w:color="auto"/>
            </w:tcBorders>
            <w:gridSpan w:val="2"/>
          </w:tcPr>
          <w:p>
            <w:pPr>
              <w:spacing w:after="0"/>
              <w:rPr>
                <w:sz w:val="17"/>
                <w:szCs w:val="17"/>
                <w:color w:val="auto"/>
              </w:rPr>
            </w:pPr>
          </w:p>
        </w:tc>
        <w:tc>
          <w:tcPr>
            <w:tcW w:w="40" w:type="dxa"/>
            <w:vAlign w:val="bottom"/>
          </w:tcPr>
          <w:p>
            <w:pPr>
              <w:spacing w:after="0"/>
              <w:rPr>
                <w:sz w:val="17"/>
                <w:szCs w:val="17"/>
                <w:color w:val="auto"/>
              </w:rPr>
            </w:pPr>
          </w:p>
        </w:tc>
      </w:tr>
      <w:tr>
        <w:trPr>
          <w:trHeight w:val="399"/>
        </w:trPr>
        <w:tc>
          <w:tcPr>
            <w:tcW w:w="5360" w:type="dxa"/>
            <w:vAlign w:val="bottom"/>
            <w:gridSpan w:val="3"/>
          </w:tcPr>
          <w:p>
            <w:pPr>
              <w:spacing w:after="0"/>
              <w:rPr>
                <w:sz w:val="20"/>
                <w:szCs w:val="20"/>
                <w:color w:val="auto"/>
              </w:rPr>
            </w:pPr>
            <w:r>
              <w:rPr>
                <w:rFonts w:ascii="Arial" w:cs="Arial" w:eastAsia="Arial" w:hAnsi="Arial"/>
                <w:sz w:val="17"/>
                <w:szCs w:val="17"/>
                <w:color w:val="auto"/>
              </w:rPr>
              <w:t>Dated:</w:t>
            </w:r>
          </w:p>
        </w:tc>
        <w:tc>
          <w:tcPr>
            <w:tcW w:w="6060" w:type="dxa"/>
            <w:vAlign w:val="bottom"/>
            <w:gridSpan w:val="4"/>
          </w:tcPr>
          <w:p>
            <w:pPr>
              <w:ind w:left="380"/>
              <w:spacing w:after="0"/>
              <w:rPr>
                <w:sz w:val="20"/>
                <w:szCs w:val="20"/>
                <w:color w:val="auto"/>
              </w:rPr>
            </w:pPr>
            <w:r>
              <w:rPr>
                <w:rFonts w:ascii="Arial" w:cs="Arial" w:eastAsia="Arial" w:hAnsi="Arial"/>
                <w:sz w:val="17"/>
                <w:szCs w:val="17"/>
                <w:color w:val="auto"/>
              </w:rPr>
              <w:t>Dated:</w:t>
            </w:r>
          </w:p>
        </w:tc>
        <w:tc>
          <w:tcPr>
            <w:tcW w:w="40" w:type="dxa"/>
            <w:vAlign w:val="bottom"/>
          </w:tcPr>
          <w:p>
            <w:pPr>
              <w:spacing w:after="0"/>
              <w:rPr>
                <w:sz w:val="24"/>
                <w:szCs w:val="24"/>
                <w:color w:val="auto"/>
              </w:rPr>
            </w:pPr>
          </w:p>
        </w:tc>
      </w:tr>
      <w:tr>
        <w:trPr>
          <w:trHeight w:val="413"/>
        </w:trPr>
        <w:tc>
          <w:tcPr>
            <w:tcW w:w="7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60" w:type="dxa"/>
            <w:vAlign w:val="bottom"/>
            <w:tcBorders>
              <w:top w:val="single" w:sz="8" w:color="auto"/>
            </w:tcBorders>
          </w:tcPr>
          <w:p>
            <w:pPr>
              <w:spacing w:after="0"/>
              <w:rPr>
                <w:sz w:val="24"/>
                <w:szCs w:val="24"/>
                <w:color w:val="auto"/>
              </w:rPr>
            </w:pPr>
          </w:p>
        </w:tc>
        <w:tc>
          <w:tcPr>
            <w:tcW w:w="760" w:type="dxa"/>
            <w:vAlign w:val="bottom"/>
            <w:gridSpan w:val="2"/>
          </w:tcPr>
          <w:p>
            <w:pPr>
              <w:jc w:val="right"/>
              <w:ind w:right="233"/>
              <w:spacing w:after="0"/>
              <w:rPr>
                <w:sz w:val="20"/>
                <w:szCs w:val="20"/>
                <w:color w:val="auto"/>
              </w:rPr>
            </w:pPr>
            <w:r>
              <w:rPr>
                <w:rFonts w:ascii="Arial" w:cs="Arial" w:eastAsia="Arial" w:hAnsi="Arial"/>
                <w:sz w:val="17"/>
                <w:szCs w:val="17"/>
                <w:color w:val="auto"/>
              </w:rPr>
              <w:t>12</w:t>
            </w:r>
          </w:p>
        </w:tc>
        <w:tc>
          <w:tcPr>
            <w:tcW w:w="280" w:type="dxa"/>
            <w:vAlign w:val="bottom"/>
          </w:tcPr>
          <w:p>
            <w:pPr>
              <w:spacing w:after="0"/>
              <w:rPr>
                <w:sz w:val="24"/>
                <w:szCs w:val="24"/>
                <w:color w:val="auto"/>
              </w:rPr>
            </w:pPr>
          </w:p>
        </w:tc>
        <w:tc>
          <w:tcPr>
            <w:tcW w:w="50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70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40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0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35" w:name="page336"/>
    <w:bookmarkEnd w:id="335"/>
    <w:p>
      <w:pPr>
        <w:spacing w:after="0" w:line="4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10.6</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2013 EQUITY INCENTIVE PLAN</w:t>
      </w:r>
    </w:p>
    <w:p>
      <w:pPr>
        <w:spacing w:after="0" w:line="212" w:lineRule="exact"/>
        <w:rPr>
          <w:sz w:val="20"/>
          <w:szCs w:val="20"/>
          <w:color w:val="auto"/>
        </w:rPr>
      </w:pPr>
    </w:p>
    <w:p>
      <w:pPr>
        <w:ind w:left="1260" w:hanging="626"/>
        <w:spacing w:after="0"/>
        <w:tabs>
          <w:tab w:leader="none" w:pos="1260" w:val="left"/>
        </w:tabs>
        <w:numPr>
          <w:ilvl w:val="1"/>
          <w:numId w:val="460"/>
        </w:numPr>
        <w:rPr>
          <w:rFonts w:ascii="Arial" w:cs="Arial" w:eastAsia="Arial" w:hAnsi="Arial"/>
          <w:sz w:val="16"/>
          <w:szCs w:val="16"/>
          <w:color w:val="auto"/>
        </w:rPr>
      </w:pPr>
      <w:r>
        <w:rPr>
          <w:rFonts w:ascii="Arial" w:cs="Arial" w:eastAsia="Arial" w:hAnsi="Arial"/>
          <w:sz w:val="16"/>
          <w:szCs w:val="16"/>
          <w:u w:val="single" w:color="auto"/>
          <w:color w:val="auto"/>
        </w:rPr>
        <w:t>Purpose of the Plan</w:t>
      </w:r>
      <w:r>
        <w:rPr>
          <w:rFonts w:ascii="Arial" w:cs="Arial" w:eastAsia="Arial" w:hAnsi="Arial"/>
          <w:sz w:val="16"/>
          <w:szCs w:val="16"/>
          <w:color w:val="auto"/>
        </w:rPr>
        <w:t>. The purpose of the Plan is to: (i) attract and retain the best available personnel for positions of substantial responsibility,</w:t>
      </w:r>
    </w:p>
    <w:p>
      <w:pPr>
        <w:spacing w:after="0" w:line="37" w:lineRule="exact"/>
        <w:rPr>
          <w:rFonts w:ascii="Arial" w:cs="Arial" w:eastAsia="Arial" w:hAnsi="Arial"/>
          <w:sz w:val="16"/>
          <w:szCs w:val="16"/>
          <w:color w:val="auto"/>
        </w:rPr>
      </w:pPr>
    </w:p>
    <w:p>
      <w:pPr>
        <w:ind w:right="100" w:firstLine="5"/>
        <w:spacing w:after="0" w:line="266" w:lineRule="auto"/>
        <w:tabs>
          <w:tab w:leader="none" w:pos="257" w:val="left"/>
        </w:tabs>
        <w:numPr>
          <w:ilvl w:val="0"/>
          <w:numId w:val="461"/>
        </w:numPr>
        <w:rPr>
          <w:rFonts w:ascii="Arial" w:cs="Arial" w:eastAsia="Arial" w:hAnsi="Arial"/>
          <w:sz w:val="17"/>
          <w:szCs w:val="17"/>
          <w:color w:val="auto"/>
        </w:rPr>
      </w:pPr>
      <w:r>
        <w:rPr>
          <w:rFonts w:ascii="Arial" w:cs="Arial" w:eastAsia="Arial" w:hAnsi="Arial"/>
          <w:sz w:val="17"/>
          <w:szCs w:val="17"/>
          <w:color w:val="auto"/>
        </w:rPr>
        <w:t>provide additional incentive to Employees, Directors and Consultants, and (iii) promote the success of the Company’s business. The Plan permits the grant of Incentive Stock Options, Nonstatutory Stock Options, Stock Appreciation Rights, Restricted Stock, Restricted Stock Units, Performance Units, Performance Shares, and Other Stock Based Awards.</w:t>
      </w:r>
    </w:p>
    <w:p>
      <w:pPr>
        <w:spacing w:after="0" w:line="177" w:lineRule="exact"/>
        <w:rPr>
          <w:rFonts w:ascii="Arial" w:cs="Arial" w:eastAsia="Arial" w:hAnsi="Arial"/>
          <w:sz w:val="17"/>
          <w:szCs w:val="17"/>
          <w:color w:val="auto"/>
        </w:rPr>
      </w:pPr>
    </w:p>
    <w:p>
      <w:pPr>
        <w:ind w:left="1260" w:hanging="626"/>
        <w:spacing w:after="0"/>
        <w:tabs>
          <w:tab w:leader="none" w:pos="1260" w:val="left"/>
        </w:tabs>
        <w:numPr>
          <w:ilvl w:val="1"/>
          <w:numId w:val="461"/>
        </w:numPr>
        <w:rPr>
          <w:rFonts w:ascii="Arial" w:cs="Arial" w:eastAsia="Arial" w:hAnsi="Arial"/>
          <w:sz w:val="17"/>
          <w:szCs w:val="17"/>
          <w:color w:val="auto"/>
        </w:rPr>
      </w:pPr>
      <w:r>
        <w:rPr>
          <w:rFonts w:ascii="Arial" w:cs="Arial" w:eastAsia="Arial" w:hAnsi="Arial"/>
          <w:sz w:val="17"/>
          <w:szCs w:val="17"/>
          <w:u w:val="single" w:color="auto"/>
          <w:color w:val="auto"/>
        </w:rPr>
        <w:t>Definition</w:t>
      </w:r>
      <w:r>
        <w:rPr>
          <w:rFonts w:ascii="Arial" w:cs="Arial" w:eastAsia="Arial" w:hAnsi="Arial"/>
          <w:sz w:val="17"/>
          <w:szCs w:val="17"/>
          <w:color w:val="auto"/>
        </w:rPr>
        <w:t>. As used in this Plan, the following definitions shall apply:</w:t>
      </w:r>
    </w:p>
    <w:p>
      <w:pPr>
        <w:spacing w:after="0" w:line="218" w:lineRule="exact"/>
        <w:rPr>
          <w:rFonts w:ascii="Arial" w:cs="Arial" w:eastAsia="Arial" w:hAnsi="Arial"/>
          <w:sz w:val="17"/>
          <w:szCs w:val="17"/>
          <w:color w:val="auto"/>
        </w:rPr>
      </w:pPr>
    </w:p>
    <w:p>
      <w:pPr>
        <w:ind w:left="1880" w:hanging="617"/>
        <w:spacing w:after="0"/>
        <w:tabs>
          <w:tab w:leader="none" w:pos="1880" w:val="left"/>
        </w:tabs>
        <w:numPr>
          <w:ilvl w:val="2"/>
          <w:numId w:val="4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Administrator</w:t>
      </w:r>
      <w:r>
        <w:rPr>
          <w:rFonts w:ascii="Arial" w:cs="Arial" w:eastAsia="Arial" w:hAnsi="Arial"/>
          <w:sz w:val="16"/>
          <w:szCs w:val="16"/>
          <w:color w:val="auto"/>
        </w:rPr>
        <w:t>” means the Board or any of its Committees that shall be administering the Plan, in accordance with Section 4 of the</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Plan.</w:t>
      </w:r>
    </w:p>
    <w:p>
      <w:pPr>
        <w:spacing w:after="0" w:line="206" w:lineRule="exact"/>
        <w:rPr>
          <w:rFonts w:ascii="Arial" w:cs="Arial" w:eastAsia="Arial" w:hAnsi="Arial"/>
          <w:sz w:val="16"/>
          <w:szCs w:val="16"/>
          <w:color w:val="auto"/>
        </w:rPr>
      </w:pPr>
    </w:p>
    <w:p>
      <w:pPr>
        <w:ind w:right="140" w:firstLine="1263"/>
        <w:spacing w:after="0" w:line="302" w:lineRule="auto"/>
        <w:tabs>
          <w:tab w:leader="none" w:pos="1895" w:val="left"/>
        </w:tabs>
        <w:numPr>
          <w:ilvl w:val="2"/>
          <w:numId w:val="4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Laws</w:t>
      </w:r>
      <w:r>
        <w:rPr>
          <w:rFonts w:ascii="Arial" w:cs="Arial" w:eastAsia="Arial" w:hAnsi="Arial"/>
          <w:sz w:val="16"/>
          <w:szCs w:val="16"/>
          <w:color w:val="auto"/>
        </w:rPr>
        <w:t>” means the requirements relating to the administration of equity-based awards or equity compensation plans under U.S. federal and state corporate laws, U.S. federal and state securities laws, the Code, any stock exchange or quotation system on which the Common Stock is listed or quoted and the applicable laws of any foreign country or jurisdiction where Awards are, or shall be, granted under the Plan.</w:t>
      </w:r>
    </w:p>
    <w:p>
      <w:pPr>
        <w:spacing w:after="0" w:line="144" w:lineRule="exact"/>
        <w:rPr>
          <w:rFonts w:ascii="Arial" w:cs="Arial" w:eastAsia="Arial" w:hAnsi="Arial"/>
          <w:sz w:val="16"/>
          <w:szCs w:val="16"/>
          <w:color w:val="auto"/>
        </w:rPr>
      </w:pPr>
    </w:p>
    <w:p>
      <w:pPr>
        <w:ind w:right="560" w:firstLine="1263"/>
        <w:spacing w:after="0" w:line="297" w:lineRule="auto"/>
        <w:tabs>
          <w:tab w:leader="none" w:pos="1898" w:val="left"/>
        </w:tabs>
        <w:numPr>
          <w:ilvl w:val="2"/>
          <w:numId w:val="4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Award</w:t>
      </w:r>
      <w:r>
        <w:rPr>
          <w:rFonts w:ascii="Arial" w:cs="Arial" w:eastAsia="Arial" w:hAnsi="Arial"/>
          <w:sz w:val="17"/>
          <w:szCs w:val="17"/>
          <w:color w:val="auto"/>
        </w:rPr>
        <w:t>” means, individually or collectively, a grant under the Plan of Options, SARs, Restricted Stock, Restricted Stock Units, Performance Units, Performance Shares or Other Stock Based Awards.</w:t>
      </w:r>
    </w:p>
    <w:p>
      <w:pPr>
        <w:spacing w:after="0" w:line="145" w:lineRule="exact"/>
        <w:rPr>
          <w:rFonts w:ascii="Arial" w:cs="Arial" w:eastAsia="Arial" w:hAnsi="Arial"/>
          <w:sz w:val="17"/>
          <w:szCs w:val="17"/>
          <w:color w:val="auto"/>
        </w:rPr>
      </w:pPr>
    </w:p>
    <w:p>
      <w:pPr>
        <w:ind w:right="560" w:firstLine="1263"/>
        <w:spacing w:after="0" w:line="297" w:lineRule="auto"/>
        <w:tabs>
          <w:tab w:leader="none" w:pos="1895" w:val="left"/>
        </w:tabs>
        <w:numPr>
          <w:ilvl w:val="2"/>
          <w:numId w:val="4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Award Agreement</w:t>
      </w:r>
      <w:r>
        <w:rPr>
          <w:rFonts w:ascii="Arial" w:cs="Arial" w:eastAsia="Arial" w:hAnsi="Arial"/>
          <w:sz w:val="17"/>
          <w:szCs w:val="17"/>
          <w:color w:val="auto"/>
        </w:rPr>
        <w:t>” means the written or electronic agreement setting forth the terms and provisions applicable to each Award granted under the Plan. The Award Agreement is subject to the terms and conditions of the Plan.</w:t>
      </w:r>
    </w:p>
    <w:p>
      <w:pPr>
        <w:spacing w:after="0" w:line="145" w:lineRule="exact"/>
        <w:rPr>
          <w:rFonts w:ascii="Arial" w:cs="Arial" w:eastAsia="Arial" w:hAnsi="Arial"/>
          <w:sz w:val="17"/>
          <w:szCs w:val="17"/>
          <w:color w:val="auto"/>
        </w:rPr>
      </w:pPr>
    </w:p>
    <w:p>
      <w:pPr>
        <w:ind w:left="1900" w:hanging="637"/>
        <w:spacing w:after="0"/>
        <w:tabs>
          <w:tab w:leader="none" w:pos="1900" w:val="left"/>
        </w:tabs>
        <w:numPr>
          <w:ilvl w:val="2"/>
          <w:numId w:val="4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Awarded Stock</w:t>
      </w:r>
      <w:r>
        <w:rPr>
          <w:rFonts w:ascii="Arial" w:cs="Arial" w:eastAsia="Arial" w:hAnsi="Arial"/>
          <w:sz w:val="17"/>
          <w:szCs w:val="17"/>
          <w:color w:val="auto"/>
        </w:rPr>
        <w:t>” means the Common Stock subject to an Award.</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2"/>
          <w:numId w:val="4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means the Board of Directors of the Company.</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2"/>
          <w:numId w:val="4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except as otherwise provided in the Award Agreement, the occurrence of any of the following events:</w:t>
      </w:r>
    </w:p>
    <w:p>
      <w:pPr>
        <w:spacing w:after="0" w:line="241" w:lineRule="exact"/>
        <w:rPr>
          <w:rFonts w:ascii="Arial" w:cs="Arial" w:eastAsia="Arial" w:hAnsi="Arial"/>
          <w:sz w:val="16"/>
          <w:szCs w:val="16"/>
          <w:color w:val="auto"/>
        </w:rPr>
      </w:pPr>
    </w:p>
    <w:p>
      <w:pPr>
        <w:ind w:right="40" w:firstLine="1893"/>
        <w:spacing w:after="0" w:line="273" w:lineRule="auto"/>
        <w:tabs>
          <w:tab w:leader="none" w:pos="2538" w:val="left"/>
        </w:tabs>
        <w:numPr>
          <w:ilvl w:val="3"/>
          <w:numId w:val="461"/>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Exchange Act) becomes the “beneficial owner” (as defined in Rule 13d-3 of the Exchange Act), directly or indirectly, of securities of the Company representing 50% or more of the total voting power represented by the Company’s then outstanding voting securities;</w:t>
      </w:r>
    </w:p>
    <w:p>
      <w:pPr>
        <w:spacing w:after="0" w:line="171" w:lineRule="exact"/>
        <w:rPr>
          <w:rFonts w:ascii="Arial" w:cs="Arial" w:eastAsia="Arial" w:hAnsi="Arial"/>
          <w:sz w:val="17"/>
          <w:szCs w:val="17"/>
          <w:color w:val="auto"/>
        </w:rPr>
      </w:pPr>
    </w:p>
    <w:p>
      <w:pPr>
        <w:ind w:firstLine="1893"/>
        <w:spacing w:after="0" w:line="268" w:lineRule="auto"/>
        <w:tabs>
          <w:tab w:leader="none" w:pos="2547" w:val="left"/>
        </w:tabs>
        <w:numPr>
          <w:ilvl w:val="3"/>
          <w:numId w:val="461"/>
        </w:numPr>
        <w:rPr>
          <w:rFonts w:ascii="Arial" w:cs="Arial" w:eastAsia="Arial" w:hAnsi="Arial"/>
          <w:sz w:val="17"/>
          <w:szCs w:val="17"/>
          <w:color w:val="auto"/>
        </w:rPr>
      </w:pPr>
      <w:r>
        <w:rPr>
          <w:rFonts w:ascii="Arial" w:cs="Arial" w:eastAsia="Arial" w:hAnsi="Arial"/>
          <w:sz w:val="17"/>
          <w:szCs w:val="17"/>
          <w:color w:val="auto"/>
        </w:rPr>
        <w:t>the sale or disposition by the Company of all or substantially all of the Company’s assets other than (A) the sale or disposition of all or substantially all of the assets of the Company to a person or persons who beneficially own, directly or indirectly, at least 50% or more of the combined voting power of the outstanding voting securities of the Company at the time of the sale or (B) pursuant to a spin-off type transaction, directly or indirectly, of such assets to the Company’s stockholders;</w:t>
      </w:r>
    </w:p>
    <w:p>
      <w:pPr>
        <w:spacing w:after="0" w:line="175" w:lineRule="exact"/>
        <w:rPr>
          <w:rFonts w:ascii="Arial" w:cs="Arial" w:eastAsia="Arial" w:hAnsi="Arial"/>
          <w:sz w:val="17"/>
          <w:szCs w:val="17"/>
          <w:color w:val="auto"/>
        </w:rPr>
      </w:pPr>
    </w:p>
    <w:p>
      <w:pPr>
        <w:ind w:right="60" w:firstLine="1893"/>
        <w:spacing w:after="0" w:line="322" w:lineRule="auto"/>
        <w:tabs>
          <w:tab w:leader="none" w:pos="2556" w:val="left"/>
        </w:tabs>
        <w:numPr>
          <w:ilvl w:val="3"/>
          <w:numId w:val="461"/>
        </w:numPr>
        <w:rPr>
          <w:rFonts w:ascii="Arial" w:cs="Arial" w:eastAsia="Arial" w:hAnsi="Arial"/>
          <w:sz w:val="16"/>
          <w:szCs w:val="16"/>
          <w:color w:val="auto"/>
        </w:rPr>
      </w:pPr>
      <w:r>
        <w:rPr>
          <w:rFonts w:ascii="Arial" w:cs="Arial" w:eastAsia="Arial" w:hAnsi="Arial"/>
          <w:sz w:val="16"/>
          <w:szCs w:val="16"/>
          <w:color w:val="auto"/>
        </w:rPr>
        <w:t>A change in the composition of the Board occurring within a two-year period as a result of which fewer than a majority of the directors are Incumbent Directors. “Incumbent Directors” are directors who either (A) are Directors as of the effective date of the Plan, or (B) are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158115</wp:posOffset>
            </wp:positionV>
            <wp:extent cx="7271385" cy="2921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160"/>
        <w:spacing w:after="0" w:line="273" w:lineRule="auto"/>
        <w:rPr>
          <w:sz w:val="20"/>
          <w:szCs w:val="20"/>
          <w:color w:val="auto"/>
        </w:rPr>
      </w:pPr>
      <w:r>
        <w:rPr>
          <w:rFonts w:ascii="Arial" w:cs="Arial" w:eastAsia="Arial" w:hAnsi="Arial"/>
          <w:sz w:val="17"/>
          <w:szCs w:val="17"/>
          <w:color w:val="auto"/>
        </w:rPr>
        <w:t>or nominated for election, to the Board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 or</w:t>
      </w:r>
    </w:p>
    <w:p>
      <w:pPr>
        <w:spacing w:after="0" w:line="172" w:lineRule="exact"/>
        <w:rPr>
          <w:sz w:val="20"/>
          <w:szCs w:val="20"/>
          <w:color w:val="auto"/>
        </w:rPr>
      </w:pPr>
    </w:p>
    <w:p>
      <w:pPr>
        <w:ind w:right="20" w:firstLine="1893"/>
        <w:spacing w:after="0" w:line="268" w:lineRule="auto"/>
        <w:tabs>
          <w:tab w:leader="none" w:pos="2533" w:val="left"/>
        </w:tabs>
        <w:numPr>
          <w:ilvl w:val="1"/>
          <w:numId w:val="462"/>
        </w:numPr>
        <w:rPr>
          <w:rFonts w:ascii="Arial" w:cs="Arial" w:eastAsia="Arial" w:hAnsi="Arial"/>
          <w:sz w:val="17"/>
          <w:szCs w:val="17"/>
          <w:color w:val="auto"/>
        </w:rPr>
      </w:pPr>
      <w:r>
        <w:rPr>
          <w:rFonts w:ascii="Arial" w:cs="Arial" w:eastAsia="Arial" w:hAnsi="Arial"/>
          <w:sz w:val="17"/>
          <w:szCs w:val="17"/>
          <w:color w:val="auto"/>
        </w:rPr>
        <w:t>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50% of the total voting power represented by the voting securities of the Company or such surviving entity or its parent outstanding immediately after such merger or consolidation.</w:t>
      </w:r>
    </w:p>
    <w:p>
      <w:pPr>
        <w:spacing w:after="0" w:line="169" w:lineRule="exact"/>
        <w:rPr>
          <w:rFonts w:ascii="Arial" w:cs="Arial" w:eastAsia="Arial" w:hAnsi="Arial"/>
          <w:sz w:val="17"/>
          <w:szCs w:val="17"/>
          <w:color w:val="auto"/>
        </w:rPr>
      </w:pPr>
    </w:p>
    <w:p>
      <w:pPr>
        <w:ind w:right="520" w:firstLine="1263"/>
        <w:spacing w:after="0" w:line="297" w:lineRule="auto"/>
        <w:tabs>
          <w:tab w:leader="none" w:pos="1895" w:val="left"/>
        </w:tabs>
        <w:numPr>
          <w:ilvl w:val="0"/>
          <w:numId w:val="4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means the Internal Revenue Code of 1986, as amended, and the U.S. Treasury regulations promulgated thereunder. Any reference to a section of the Code shall be a reference to any successor or amended section of the Code.</w:t>
      </w:r>
    </w:p>
    <w:p>
      <w:pPr>
        <w:spacing w:after="0" w:line="145" w:lineRule="exact"/>
        <w:rPr>
          <w:rFonts w:ascii="Arial" w:cs="Arial" w:eastAsia="Arial" w:hAnsi="Arial"/>
          <w:sz w:val="17"/>
          <w:szCs w:val="17"/>
          <w:color w:val="auto"/>
        </w:rPr>
      </w:pPr>
    </w:p>
    <w:p>
      <w:pPr>
        <w:ind w:left="1920" w:hanging="657"/>
        <w:spacing w:after="0"/>
        <w:tabs>
          <w:tab w:leader="none" w:pos="192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a committee of Directors or other individuals satisfying Applicable Laws appointed by the Board in accordance</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with Section 4 of the Plan.</w:t>
      </w:r>
    </w:p>
    <w:p>
      <w:pPr>
        <w:spacing w:after="0" w:line="206" w:lineRule="exact"/>
        <w:rPr>
          <w:rFonts w:ascii="Arial" w:cs="Arial" w:eastAsia="Arial" w:hAnsi="Arial"/>
          <w:sz w:val="16"/>
          <w:szCs w:val="16"/>
          <w:color w:val="auto"/>
        </w:rPr>
      </w:pPr>
    </w:p>
    <w:p>
      <w:pPr>
        <w:ind w:right="100" w:firstLine="1263"/>
        <w:spacing w:after="0" w:line="297" w:lineRule="auto"/>
        <w:tabs>
          <w:tab w:leader="none" w:pos="1895" w:val="left"/>
        </w:tabs>
        <w:numPr>
          <w:ilvl w:val="0"/>
          <w:numId w:val="4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the Common Stock of the Company, or in the case of Performance Units, Restricted Stock Units, and certain Other Stock Based Awards, the cash equivalent thereof, as applicable.</w:t>
      </w:r>
    </w:p>
    <w:p>
      <w:pPr>
        <w:spacing w:after="0" w:line="145" w:lineRule="exact"/>
        <w:rPr>
          <w:rFonts w:ascii="Arial" w:cs="Arial" w:eastAsia="Arial" w:hAnsi="Arial"/>
          <w:sz w:val="17"/>
          <w:szCs w:val="17"/>
          <w:color w:val="auto"/>
        </w:rPr>
      </w:pPr>
    </w:p>
    <w:p>
      <w:pPr>
        <w:ind w:left="1900" w:hanging="637"/>
        <w:spacing w:after="0"/>
        <w:tabs>
          <w:tab w:leader="none" w:pos="1900" w:val="left"/>
        </w:tabs>
        <w:numPr>
          <w:ilvl w:val="0"/>
          <w:numId w:val="4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means Applied Optoelectronics, Inc., a Delaware corporation, and any successor to Applied Optoelectronics, Inc.</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Consultant</w:t>
      </w:r>
      <w:r>
        <w:rPr>
          <w:rFonts w:ascii="Arial" w:cs="Arial" w:eastAsia="Arial" w:hAnsi="Arial"/>
          <w:sz w:val="16"/>
          <w:szCs w:val="16"/>
          <w:color w:val="auto"/>
        </w:rPr>
        <w:t>” means any person, including an advisor, engaged by the Company or a Parent or Subsidiary to render services to such</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entity.</w:t>
      </w:r>
    </w:p>
    <w:p>
      <w:pPr>
        <w:spacing w:after="0" w:line="206" w:lineRule="exact"/>
        <w:rPr>
          <w:rFonts w:ascii="Arial" w:cs="Arial" w:eastAsia="Arial" w:hAnsi="Arial"/>
          <w:sz w:val="16"/>
          <w:szCs w:val="16"/>
          <w:color w:val="auto"/>
        </w:rPr>
      </w:pPr>
    </w:p>
    <w:p>
      <w:pPr>
        <w:ind w:left="1900" w:hanging="637"/>
        <w:spacing w:after="0"/>
        <w:tabs>
          <w:tab w:leader="none" w:pos="1900" w:val="left"/>
        </w:tabs>
        <w:numPr>
          <w:ilvl w:val="0"/>
          <w:numId w:val="4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Director</w:t>
      </w:r>
      <w:r>
        <w:rPr>
          <w:rFonts w:ascii="Arial" w:cs="Arial" w:eastAsia="Arial" w:hAnsi="Arial"/>
          <w:sz w:val="17"/>
          <w:szCs w:val="17"/>
          <w:color w:val="auto"/>
        </w:rPr>
        <w:t>” means a member of the Board.</w:t>
      </w:r>
    </w:p>
    <w:p>
      <w:pPr>
        <w:spacing w:after="0" w:line="224" w:lineRule="exact"/>
        <w:rPr>
          <w:rFonts w:ascii="Arial" w:cs="Arial" w:eastAsia="Arial" w:hAnsi="Arial"/>
          <w:sz w:val="17"/>
          <w:szCs w:val="17"/>
          <w:color w:val="auto"/>
        </w:rPr>
      </w:pPr>
    </w:p>
    <w:p>
      <w:pPr>
        <w:ind w:right="100" w:firstLine="1263"/>
        <w:spacing w:after="0" w:line="277" w:lineRule="auto"/>
        <w:tabs>
          <w:tab w:leader="none" w:pos="1895" w:val="left"/>
        </w:tabs>
        <w:numPr>
          <w:ilvl w:val="0"/>
          <w:numId w:val="4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Disability</w:t>
      </w:r>
      <w:r>
        <w:rPr>
          <w:rFonts w:ascii="Arial" w:cs="Arial" w:eastAsia="Arial" w:hAnsi="Arial"/>
          <w:sz w:val="17"/>
          <w:szCs w:val="17"/>
          <w:color w:val="auto"/>
        </w:rPr>
        <w:t>” means total and permanent disability as defined in Section 22(e)(3) of the Code, provided that in the case of Awards other than Incentive Stock Options, the Administrator in its sole discretion may determine whether a permanent and total disability exists in accordance with uniform and non-discriminatory standards adopted by the Administrator from time to time.</w:t>
      </w:r>
    </w:p>
    <w:p>
      <w:pPr>
        <w:spacing w:after="0" w:line="162" w:lineRule="exact"/>
        <w:rPr>
          <w:rFonts w:ascii="Arial" w:cs="Arial" w:eastAsia="Arial" w:hAnsi="Arial"/>
          <w:sz w:val="17"/>
          <w:szCs w:val="17"/>
          <w:color w:val="auto"/>
        </w:rPr>
      </w:pPr>
    </w:p>
    <w:p>
      <w:pPr>
        <w:ind w:firstLine="1263"/>
        <w:spacing w:after="0" w:line="368" w:lineRule="auto"/>
        <w:tabs>
          <w:tab w:leader="none" w:pos="1895" w:val="left"/>
        </w:tabs>
        <w:numPr>
          <w:ilvl w:val="0"/>
          <w:numId w:val="46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Dividend Equivalent</w:t>
      </w:r>
      <w:r>
        <w:rPr>
          <w:rFonts w:ascii="Arial" w:cs="Arial" w:eastAsia="Arial" w:hAnsi="Arial"/>
          <w:sz w:val="15"/>
          <w:szCs w:val="15"/>
          <w:color w:val="auto"/>
        </w:rPr>
        <w:t>” means a credit, made at the sole discretion of the Administrator, to the account of a Participant in an amount equal to the value of dividends paid on one Share for each Share represented by an Award held by such Participant. Under no circumstances shall the payment of a</w:t>
      </w:r>
    </w:p>
    <w:p>
      <w:pPr>
        <w:sectPr>
          <w:pgSz w:w="11900" w:h="16883" w:orient="portrait"/>
          <w:cols w:equalWidth="0" w:num="1">
            <w:col w:w="11420"/>
          </w:cols>
          <w:pgMar w:left="240" w:top="357" w:right="239" w:bottom="0" w:gutter="0" w:footer="0" w:header="0"/>
        </w:sectPr>
      </w:pPr>
    </w:p>
    <w:bookmarkStart w:id="336" w:name="page337"/>
    <w:bookmarkEnd w:id="336"/>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Dividend Equivalent be made contingent on the exercise of an Option or Stock Appreciation Right.</w:t>
      </w:r>
    </w:p>
    <w:p>
      <w:pPr>
        <w:spacing w:after="0" w:line="218" w:lineRule="exact"/>
        <w:rPr>
          <w:sz w:val="20"/>
          <w:szCs w:val="20"/>
          <w:color w:val="auto"/>
        </w:rPr>
      </w:pPr>
    </w:p>
    <w:p>
      <w:pPr>
        <w:ind w:right="620" w:firstLine="1263"/>
        <w:spacing w:after="0" w:line="368" w:lineRule="auto"/>
        <w:tabs>
          <w:tab w:leader="none" w:pos="1895" w:val="left"/>
        </w:tabs>
        <w:numPr>
          <w:ilvl w:val="0"/>
          <w:numId w:val="46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Employee</w:t>
      </w:r>
      <w:r>
        <w:rPr>
          <w:rFonts w:ascii="Arial" w:cs="Arial" w:eastAsia="Arial" w:hAnsi="Arial"/>
          <w:sz w:val="15"/>
          <w:szCs w:val="15"/>
          <w:color w:val="auto"/>
        </w:rPr>
        <w:t>”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00" w:lineRule="exact"/>
        <w:rPr>
          <w:rFonts w:ascii="Arial" w:cs="Arial" w:eastAsia="Arial" w:hAnsi="Arial"/>
          <w:sz w:val="15"/>
          <w:szCs w:val="15"/>
          <w:color w:val="auto"/>
        </w:rPr>
      </w:pPr>
    </w:p>
    <w:p>
      <w:pPr>
        <w:ind w:left="1900" w:hanging="637"/>
        <w:spacing w:after="0"/>
        <w:tabs>
          <w:tab w:leader="none" w:pos="190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w:t>
      </w:r>
    </w:p>
    <w:p>
      <w:pPr>
        <w:spacing w:after="0" w:line="224" w:lineRule="exact"/>
        <w:rPr>
          <w:rFonts w:ascii="Arial" w:cs="Arial" w:eastAsia="Arial" w:hAnsi="Arial"/>
          <w:sz w:val="17"/>
          <w:szCs w:val="17"/>
          <w:color w:val="auto"/>
        </w:rPr>
      </w:pPr>
    </w:p>
    <w:p>
      <w:pPr>
        <w:ind w:right="200" w:firstLine="1263"/>
        <w:spacing w:after="0" w:line="330" w:lineRule="auto"/>
        <w:tabs>
          <w:tab w:leader="none" w:pos="1905" w:val="left"/>
        </w:tabs>
        <w:numPr>
          <w:ilvl w:val="0"/>
          <w:numId w:val="4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Program</w:t>
      </w:r>
      <w:r>
        <w:rPr>
          <w:rFonts w:ascii="Arial" w:cs="Arial" w:eastAsia="Arial" w:hAnsi="Arial"/>
          <w:sz w:val="16"/>
          <w:szCs w:val="16"/>
          <w:color w:val="auto"/>
        </w:rPr>
        <w:t>” means a program under which (i) outstanding Awards are surrendered or cancelled in exchange for Awards of the same type (which may have lower exercise prices and different terms), Awards of a different type, and/or cash, and/or (ii) the exercise price of 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outstanding Award is reduced. The terms and conditions of any Exchange Program shall be determined by the Administrator in its sole discretion.</w:t>
      </w:r>
    </w:p>
    <w:p>
      <w:pPr>
        <w:spacing w:after="0" w:line="218" w:lineRule="exact"/>
        <w:rPr>
          <w:sz w:val="20"/>
          <w:szCs w:val="20"/>
          <w:color w:val="auto"/>
        </w:rPr>
      </w:pPr>
    </w:p>
    <w:p>
      <w:pPr>
        <w:ind w:left="1900" w:hanging="637"/>
        <w:spacing w:after="0"/>
        <w:tabs>
          <w:tab w:leader="none" w:pos="1900" w:val="left"/>
        </w:tabs>
        <w:numPr>
          <w:ilvl w:val="0"/>
          <w:numId w:val="4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Fair Market Value</w:t>
      </w:r>
      <w:r>
        <w:rPr>
          <w:rFonts w:ascii="Arial" w:cs="Arial" w:eastAsia="Arial" w:hAnsi="Arial"/>
          <w:sz w:val="17"/>
          <w:szCs w:val="17"/>
          <w:color w:val="auto"/>
        </w:rPr>
        <w:t>” means, as of any date, the value of Common Stock determined as follows:</w:t>
      </w:r>
    </w:p>
    <w:p>
      <w:pPr>
        <w:spacing w:after="0" w:line="230" w:lineRule="exact"/>
        <w:rPr>
          <w:rFonts w:ascii="Arial" w:cs="Arial" w:eastAsia="Arial" w:hAnsi="Arial"/>
          <w:sz w:val="17"/>
          <w:szCs w:val="17"/>
          <w:color w:val="auto"/>
        </w:rPr>
      </w:pPr>
    </w:p>
    <w:p>
      <w:pPr>
        <w:ind w:firstLine="1893"/>
        <w:spacing w:after="0" w:line="265" w:lineRule="auto"/>
        <w:tabs>
          <w:tab w:leader="none" w:pos="2538" w:val="left"/>
        </w:tabs>
        <w:numPr>
          <w:ilvl w:val="1"/>
          <w:numId w:val="465"/>
        </w:numPr>
        <w:rPr>
          <w:rFonts w:ascii="Arial" w:cs="Arial" w:eastAsia="Arial" w:hAnsi="Arial"/>
          <w:sz w:val="17"/>
          <w:szCs w:val="17"/>
          <w:color w:val="auto"/>
        </w:rPr>
      </w:pPr>
      <w:r>
        <w:rPr>
          <w:rFonts w:ascii="Arial" w:cs="Arial" w:eastAsia="Arial" w:hAnsi="Arial"/>
          <w:sz w:val="17"/>
          <w:szCs w:val="17"/>
          <w:color w:val="auto"/>
        </w:rPr>
        <w:t>If the Common Stock is listed on any established stock exchange or a national market system, including without limitation the NASDAQ Global Select Market, the NASDAQ Global Market (formerly the NASDAQ National Market) or the NASDAQ Capital Market (formerly the NASDAQ SmallCap Market) of the NASDAQ Stock Market, the Fair Market Value shall be the closing sales price for such stock (or the closing bid, if no sales were reported) as quoted on such exchange or system for the day of determination, as reported in The Wall Street Journal or such other source as the Administrator deems reliable;</w:t>
      </w:r>
    </w:p>
    <w:p>
      <w:pPr>
        <w:spacing w:after="0" w:line="179" w:lineRule="exact"/>
        <w:rPr>
          <w:rFonts w:ascii="Arial" w:cs="Arial" w:eastAsia="Arial" w:hAnsi="Arial"/>
          <w:sz w:val="17"/>
          <w:szCs w:val="17"/>
          <w:color w:val="auto"/>
        </w:rPr>
      </w:pPr>
    </w:p>
    <w:p>
      <w:pPr>
        <w:jc w:val="both"/>
        <w:ind w:right="100" w:firstLine="1893"/>
        <w:spacing w:after="0" w:line="273" w:lineRule="auto"/>
        <w:tabs>
          <w:tab w:leader="none" w:pos="2547" w:val="left"/>
        </w:tabs>
        <w:numPr>
          <w:ilvl w:val="1"/>
          <w:numId w:val="465"/>
        </w:numPr>
        <w:rPr>
          <w:rFonts w:ascii="Arial" w:cs="Arial" w:eastAsia="Arial" w:hAnsi="Arial"/>
          <w:sz w:val="17"/>
          <w:szCs w:val="17"/>
          <w:color w:val="auto"/>
        </w:rPr>
      </w:pPr>
      <w:r>
        <w:rPr>
          <w:rFonts w:ascii="Arial" w:cs="Arial" w:eastAsia="Arial" w:hAnsi="Arial"/>
          <w:sz w:val="17"/>
          <w:szCs w:val="17"/>
          <w:color w:val="auto"/>
        </w:rPr>
        <w:t>If the Common Stock is regularly quoted by a recognized securities dealer but selling prices are not reported, the Fair Market Value of a Share of Common Stock shall be the mean between the high bid and low asked prices for the Common Stock for the day of determination, as reported in The Wall Street Journal or such other source as the Administrator deems reliable; or</w:t>
      </w:r>
    </w:p>
    <w:p>
      <w:pPr>
        <w:spacing w:after="0" w:line="171" w:lineRule="exact"/>
        <w:rPr>
          <w:rFonts w:ascii="Arial" w:cs="Arial" w:eastAsia="Arial" w:hAnsi="Arial"/>
          <w:sz w:val="17"/>
          <w:szCs w:val="17"/>
          <w:color w:val="auto"/>
        </w:rPr>
      </w:pPr>
    </w:p>
    <w:p>
      <w:pPr>
        <w:ind w:left="2560" w:hanging="667"/>
        <w:spacing w:after="0"/>
        <w:tabs>
          <w:tab w:leader="none" w:pos="2560" w:val="left"/>
        </w:tabs>
        <w:numPr>
          <w:ilvl w:val="1"/>
          <w:numId w:val="465"/>
        </w:numPr>
        <w:rPr>
          <w:rFonts w:ascii="Arial" w:cs="Arial" w:eastAsia="Arial" w:hAnsi="Arial"/>
          <w:sz w:val="15"/>
          <w:szCs w:val="15"/>
          <w:color w:val="auto"/>
        </w:rPr>
      </w:pPr>
      <w:r>
        <w:rPr>
          <w:rFonts w:ascii="Arial" w:cs="Arial" w:eastAsia="Arial" w:hAnsi="Arial"/>
          <w:sz w:val="15"/>
          <w:szCs w:val="15"/>
          <w:color w:val="auto"/>
        </w:rPr>
        <w:t>In the absence of an established market for the Common Stock, the Fair Market Value shall be determined in good faith by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Administrator.</w:t>
      </w:r>
    </w:p>
    <w:p>
      <w:pPr>
        <w:spacing w:after="0" w:line="212" w:lineRule="exact"/>
        <w:rPr>
          <w:rFonts w:ascii="Arial" w:cs="Arial" w:eastAsia="Arial" w:hAnsi="Arial"/>
          <w:sz w:val="15"/>
          <w:szCs w:val="15"/>
          <w:color w:val="auto"/>
        </w:rPr>
      </w:pPr>
    </w:p>
    <w:p>
      <w:pPr>
        <w:ind w:right="180" w:firstLine="1893"/>
        <w:spacing w:after="0" w:line="273" w:lineRule="auto"/>
        <w:tabs>
          <w:tab w:leader="none" w:pos="2533" w:val="left"/>
        </w:tabs>
        <w:numPr>
          <w:ilvl w:val="1"/>
          <w:numId w:val="465"/>
        </w:numPr>
        <w:rPr>
          <w:rFonts w:ascii="Arial" w:cs="Arial" w:eastAsia="Arial" w:hAnsi="Arial"/>
          <w:sz w:val="17"/>
          <w:szCs w:val="17"/>
          <w:color w:val="auto"/>
        </w:rPr>
      </w:pPr>
      <w:r>
        <w:rPr>
          <w:rFonts w:ascii="Arial" w:cs="Arial" w:eastAsia="Arial" w:hAnsi="Arial"/>
          <w:sz w:val="17"/>
          <w:szCs w:val="17"/>
          <w:color w:val="auto"/>
        </w:rPr>
        <w:t>Notwithstanding the preceding, for federal, state, and local income tax reporting purposes and for such other purposes as the Administrator deems appropriate, the Fair Market Value shall be determined by the Administrator in accordance with uniform and nondiscriminatory standards adopted by it from time to time.</w:t>
      </w:r>
    </w:p>
    <w:p>
      <w:pPr>
        <w:spacing w:after="0" w:line="165" w:lineRule="exact"/>
        <w:rPr>
          <w:rFonts w:ascii="Arial" w:cs="Arial" w:eastAsia="Arial" w:hAnsi="Arial"/>
          <w:sz w:val="17"/>
          <w:szCs w:val="17"/>
          <w:color w:val="auto"/>
        </w:rPr>
      </w:pPr>
    </w:p>
    <w:p>
      <w:pPr>
        <w:ind w:right="60" w:firstLine="1263"/>
        <w:spacing w:after="0" w:line="297" w:lineRule="auto"/>
        <w:tabs>
          <w:tab w:leader="none" w:pos="1895" w:val="left"/>
        </w:tabs>
        <w:numPr>
          <w:ilvl w:val="0"/>
          <w:numId w:val="4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Incentive Stock Option</w:t>
      </w:r>
      <w:r>
        <w:rPr>
          <w:rFonts w:ascii="Arial" w:cs="Arial" w:eastAsia="Arial" w:hAnsi="Arial"/>
          <w:sz w:val="17"/>
          <w:szCs w:val="17"/>
          <w:color w:val="auto"/>
        </w:rPr>
        <w:t>” means an Option intended to qualify and receive favorable tax treatment as an incentive stock option within the meaning of Section 422 of the Code, as designated in the applicable Award Agreement.</w:t>
      </w:r>
    </w:p>
    <w:p>
      <w:pPr>
        <w:spacing w:after="0" w:line="145" w:lineRule="exact"/>
        <w:rPr>
          <w:rFonts w:ascii="Arial" w:cs="Arial" w:eastAsia="Arial" w:hAnsi="Arial"/>
          <w:sz w:val="17"/>
          <w:szCs w:val="17"/>
          <w:color w:val="auto"/>
        </w:rPr>
      </w:pPr>
    </w:p>
    <w:p>
      <w:pPr>
        <w:ind w:left="1900" w:hanging="637"/>
        <w:spacing w:after="0"/>
        <w:tabs>
          <w:tab w:leader="none" w:pos="1900" w:val="left"/>
        </w:tabs>
        <w:numPr>
          <w:ilvl w:val="0"/>
          <w:numId w:val="4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Nonstatutory Stock Option</w:t>
      </w:r>
      <w:r>
        <w:rPr>
          <w:rFonts w:ascii="Arial" w:cs="Arial" w:eastAsia="Arial" w:hAnsi="Arial"/>
          <w:sz w:val="16"/>
          <w:szCs w:val="16"/>
          <w:color w:val="auto"/>
        </w:rPr>
        <w:t>” means an Option that by its terms does not qualify or is not intended to qualify as an Incentive Stock</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Option.</w:t>
      </w:r>
    </w:p>
    <w:p>
      <w:pPr>
        <w:spacing w:after="0" w:line="206" w:lineRule="exact"/>
        <w:rPr>
          <w:rFonts w:ascii="Arial" w:cs="Arial" w:eastAsia="Arial" w:hAnsi="Arial"/>
          <w:sz w:val="16"/>
          <w:szCs w:val="16"/>
          <w:color w:val="auto"/>
        </w:rPr>
      </w:pPr>
    </w:p>
    <w:p>
      <w:pPr>
        <w:ind w:left="1900" w:hanging="637"/>
        <w:spacing w:after="0"/>
        <w:tabs>
          <w:tab w:leader="none" w:pos="1900" w:val="left"/>
        </w:tabs>
        <w:numPr>
          <w:ilvl w:val="0"/>
          <w:numId w:val="4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w:t>
      </w:r>
      <w:r>
        <w:rPr>
          <w:rFonts w:ascii="Arial" w:cs="Arial" w:eastAsia="Arial" w:hAnsi="Arial"/>
          <w:sz w:val="17"/>
          <w:szCs w:val="17"/>
          <w:color w:val="auto"/>
        </w:rPr>
        <w:t>” means an option to purchase Common Stock granted pursuant to the Plan.</w:t>
      </w:r>
    </w:p>
    <w:p>
      <w:pPr>
        <w:spacing w:after="0" w:line="224" w:lineRule="exact"/>
        <w:rPr>
          <w:rFonts w:ascii="Arial" w:cs="Arial" w:eastAsia="Arial" w:hAnsi="Arial"/>
          <w:sz w:val="17"/>
          <w:szCs w:val="17"/>
          <w:color w:val="auto"/>
        </w:rPr>
      </w:pPr>
    </w:p>
    <w:p>
      <w:pPr>
        <w:ind w:right="340" w:firstLine="1263"/>
        <w:spacing w:after="0" w:line="297" w:lineRule="auto"/>
        <w:tabs>
          <w:tab w:leader="none" w:pos="1907" w:val="left"/>
        </w:tabs>
        <w:numPr>
          <w:ilvl w:val="0"/>
          <w:numId w:val="4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Stock Based Awards</w:t>
      </w:r>
      <w:r>
        <w:rPr>
          <w:rFonts w:ascii="Arial" w:cs="Arial" w:eastAsia="Arial" w:hAnsi="Arial"/>
          <w:sz w:val="17"/>
          <w:szCs w:val="17"/>
          <w:color w:val="auto"/>
        </w:rPr>
        <w:t>” means any other awards not specifically described in the Plan that are valued in whole or in part by reference to, or are otherwise based on, Shares and are created by the Administrator pursuant to Section 12.</w:t>
      </w:r>
    </w:p>
    <w:p>
      <w:pPr>
        <w:spacing w:after="0" w:line="145" w:lineRule="exact"/>
        <w:rPr>
          <w:rFonts w:ascii="Arial" w:cs="Arial" w:eastAsia="Arial" w:hAnsi="Arial"/>
          <w:sz w:val="17"/>
          <w:szCs w:val="17"/>
          <w:color w:val="auto"/>
        </w:rPr>
      </w:pPr>
    </w:p>
    <w:p>
      <w:pPr>
        <w:ind w:left="1900" w:hanging="637"/>
        <w:spacing w:after="0"/>
        <w:tabs>
          <w:tab w:leader="none" w:pos="1900" w:val="left"/>
        </w:tabs>
        <w:numPr>
          <w:ilvl w:val="0"/>
          <w:numId w:val="4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Outside Director</w:t>
      </w:r>
      <w:r>
        <w:rPr>
          <w:rFonts w:ascii="Arial" w:cs="Arial" w:eastAsia="Arial" w:hAnsi="Arial"/>
          <w:sz w:val="17"/>
          <w:szCs w:val="17"/>
          <w:color w:val="auto"/>
        </w:rPr>
        <w:t>” means an “outside director” within the meaning of Section 162(m) of the Code.</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4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w:t>
      </w:r>
      <w:r>
        <w:rPr>
          <w:rFonts w:ascii="Arial" w:cs="Arial" w:eastAsia="Arial" w:hAnsi="Arial"/>
          <w:sz w:val="16"/>
          <w:szCs w:val="16"/>
          <w:color w:val="auto"/>
        </w:rPr>
        <w:t>” means a “parent corporation” with respect to the Company, whether now or hereafter existing, as defined in Section 424(e) of</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the Code.</w:t>
      </w:r>
    </w:p>
    <w:p>
      <w:pPr>
        <w:spacing w:after="0" w:line="206" w:lineRule="exact"/>
        <w:rPr>
          <w:rFonts w:ascii="Arial" w:cs="Arial" w:eastAsia="Arial" w:hAnsi="Arial"/>
          <w:sz w:val="16"/>
          <w:szCs w:val="16"/>
          <w:color w:val="auto"/>
        </w:rPr>
      </w:pPr>
    </w:p>
    <w:p>
      <w:pPr>
        <w:ind w:left="1900" w:hanging="637"/>
        <w:spacing w:after="0"/>
        <w:tabs>
          <w:tab w:leader="none" w:pos="1900" w:val="left"/>
        </w:tabs>
        <w:numPr>
          <w:ilvl w:val="0"/>
          <w:numId w:val="4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Participan</w:t>
      </w:r>
      <w:r>
        <w:rPr>
          <w:rFonts w:ascii="Arial" w:cs="Arial" w:eastAsia="Arial" w:hAnsi="Arial"/>
          <w:sz w:val="17"/>
          <w:szCs w:val="17"/>
          <w:color w:val="auto"/>
        </w:rPr>
        <w:t>t” means a Service Provider who has been granted an Award under the Plan.</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1263"/>
        <w:spacing w:after="0" w:line="261" w:lineRule="auto"/>
        <w:tabs>
          <w:tab w:leader="none" w:pos="1871" w:val="left"/>
        </w:tabs>
        <w:numPr>
          <w:ilvl w:val="0"/>
          <w:numId w:val="4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Performance Goals</w:t>
      </w:r>
      <w:r>
        <w:rPr>
          <w:rFonts w:ascii="Arial" w:cs="Arial" w:eastAsia="Arial" w:hAnsi="Arial"/>
          <w:sz w:val="17"/>
          <w:szCs w:val="17"/>
          <w:color w:val="auto"/>
        </w:rPr>
        <w:t>” means goals which have been established by the Committee in connection with an Award and are based on one or more of the following criteria, as determined by the Committee in its absolute and sole discretion: net income; cash flow; cash flow on investment; pre-tax or post-tax profit levels or earnings; operating income or earnings; return on investment; earned value added; expense reduction levels; free cash flow; free cash flow per share; earnings per share; net earnings per share; net earnings from continuing operations; sales growth; sales volume; economic profit; expense reduction; controlled expenses; return on assets; return on net assets; return on equity; return on capital; return on sales; return on invested capital; organic revenue; growth in managed assets; total shareholder return; stock price; stock price appreciation; EBITA; adjusted EBITA; EBITDA; adjusted EBITDA; return in excess of cost of capital; profit in excess of cost of capital; net operating profit after tax; operating margin; profit margin; adjusted revenue; revenue; net revenue; operating revenue; net cash provided by operating activities; net cash provided by operating activities per share; cash conversion percentage; new sales; net new sales; cancellations; gross margin; gross margin percentage; revenue before deferral; regulatory body approval for commercialization of a product; implementation or completion of critical projects; research; in-licensing; out-licensing; product development; government relations; compliance; mergers; and acquisitions or sales of assets or subsidiaries.</w:t>
      </w:r>
    </w:p>
    <w:p>
      <w:pPr>
        <w:spacing w:after="0" w:line="178" w:lineRule="exact"/>
        <w:rPr>
          <w:rFonts w:ascii="Arial" w:cs="Arial" w:eastAsia="Arial" w:hAnsi="Arial"/>
          <w:sz w:val="17"/>
          <w:szCs w:val="17"/>
          <w:color w:val="auto"/>
        </w:rPr>
      </w:pPr>
    </w:p>
    <w:p>
      <w:pPr>
        <w:ind w:left="1900" w:hanging="637"/>
        <w:spacing w:after="0"/>
        <w:tabs>
          <w:tab w:leader="none" w:pos="1900" w:val="left"/>
        </w:tabs>
        <w:numPr>
          <w:ilvl w:val="0"/>
          <w:numId w:val="4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Performance Period</w:t>
      </w:r>
      <w:r>
        <w:rPr>
          <w:rFonts w:ascii="Arial" w:cs="Arial" w:eastAsia="Arial" w:hAnsi="Arial"/>
          <w:sz w:val="17"/>
          <w:szCs w:val="17"/>
          <w:color w:val="auto"/>
        </w:rPr>
        <w:t>” means the time period during which the Performance Goals or performance objectives must be met.</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4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Performance Share</w:t>
      </w:r>
      <w:r>
        <w:rPr>
          <w:rFonts w:ascii="Arial" w:cs="Arial" w:eastAsia="Arial" w:hAnsi="Arial"/>
          <w:sz w:val="17"/>
          <w:szCs w:val="17"/>
          <w:color w:val="auto"/>
        </w:rPr>
        <w:t>” means Shares issued pursuant to a Performance Share Award under Section 10 of the Plan.</w:t>
      </w:r>
    </w:p>
    <w:p>
      <w:pPr>
        <w:spacing w:after="0" w:line="224" w:lineRule="exact"/>
        <w:rPr>
          <w:rFonts w:ascii="Arial" w:cs="Arial" w:eastAsia="Arial" w:hAnsi="Arial"/>
          <w:sz w:val="17"/>
          <w:szCs w:val="17"/>
          <w:color w:val="auto"/>
        </w:rPr>
      </w:pPr>
    </w:p>
    <w:p>
      <w:pPr>
        <w:ind w:right="240" w:firstLine="1263"/>
        <w:spacing w:after="0" w:line="297" w:lineRule="auto"/>
        <w:tabs>
          <w:tab w:leader="none" w:pos="1890" w:val="left"/>
        </w:tabs>
        <w:numPr>
          <w:ilvl w:val="0"/>
          <w:numId w:val="4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Performance Unit</w:t>
      </w:r>
      <w:r>
        <w:rPr>
          <w:rFonts w:ascii="Arial" w:cs="Arial" w:eastAsia="Arial" w:hAnsi="Arial"/>
          <w:sz w:val="17"/>
          <w:szCs w:val="17"/>
          <w:color w:val="auto"/>
        </w:rPr>
        <w:t>” means, pursuant to Section 10 of the Plan, an unfunded and unsecured promise to deliver Shares, cash or other securities equal to the value set forth in the Award Agreement.</w:t>
      </w:r>
    </w:p>
    <w:p>
      <w:pPr>
        <w:spacing w:after="0" w:line="145" w:lineRule="exact"/>
        <w:rPr>
          <w:rFonts w:ascii="Arial" w:cs="Arial" w:eastAsia="Arial" w:hAnsi="Arial"/>
          <w:sz w:val="17"/>
          <w:szCs w:val="17"/>
          <w:color w:val="auto"/>
        </w:rPr>
      </w:pPr>
    </w:p>
    <w:p>
      <w:pPr>
        <w:ind w:right="160" w:firstLine="1263"/>
        <w:spacing w:after="0" w:line="368" w:lineRule="auto"/>
        <w:tabs>
          <w:tab w:leader="none" w:pos="1897" w:val="left"/>
        </w:tabs>
        <w:numPr>
          <w:ilvl w:val="0"/>
          <w:numId w:val="46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Period of Restriction</w:t>
      </w:r>
      <w:r>
        <w:rPr>
          <w:rFonts w:ascii="Arial" w:cs="Arial" w:eastAsia="Arial" w:hAnsi="Arial"/>
          <w:sz w:val="15"/>
          <w:szCs w:val="15"/>
          <w:color w:val="auto"/>
        </w:rPr>
        <w:t>” means the period during which the transfer of Shares of Restricted Stock are subject to restrictions and therefore, the Shares are subject to a substantial risk of forfeiture. Such restrictions may be based on the passage of time, the achievement of Performance Goals</w:t>
      </w:r>
    </w:p>
    <w:p>
      <w:pPr>
        <w:sectPr>
          <w:pgSz w:w="11900" w:h="16922" w:orient="portrait"/>
          <w:cols w:equalWidth="0" w:num="1">
            <w:col w:w="11400"/>
          </w:cols>
          <w:pgMar w:left="240" w:top="127" w:right="259" w:bottom="0" w:gutter="0" w:footer="0" w:header="0"/>
        </w:sectPr>
      </w:pPr>
    </w:p>
    <w:bookmarkStart w:id="337" w:name="page338"/>
    <w:bookmarkEnd w:id="337"/>
    <w:p>
      <w:pPr>
        <w:spacing w:after="0"/>
        <w:rPr>
          <w:sz w:val="20"/>
          <w:szCs w:val="20"/>
          <w:color w:val="auto"/>
        </w:rPr>
      </w:pPr>
      <w:r>
        <w:rPr>
          <w:rFonts w:ascii="Arial" w:cs="Arial" w:eastAsia="Arial" w:hAnsi="Arial"/>
          <w:sz w:val="17"/>
          <w:szCs w:val="17"/>
          <w:color w:val="auto"/>
        </w:rPr>
        <w:t>or other target levels of performance, or the occurrence of other events as determined by the Administrator.</w:t>
      </w:r>
    </w:p>
    <w:p>
      <w:pPr>
        <w:spacing w:after="0" w:line="218" w:lineRule="exact"/>
        <w:rPr>
          <w:sz w:val="20"/>
          <w:szCs w:val="20"/>
          <w:color w:val="auto"/>
        </w:rPr>
      </w:pPr>
    </w:p>
    <w:p>
      <w:pPr>
        <w:ind w:left="1880" w:hanging="617"/>
        <w:spacing w:after="0"/>
        <w:tabs>
          <w:tab w:leader="none" w:pos="1880" w:val="left"/>
        </w:tabs>
        <w:numPr>
          <w:ilvl w:val="0"/>
          <w:numId w:val="4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Plan</w:t>
      </w:r>
      <w:r>
        <w:rPr>
          <w:rFonts w:ascii="Arial" w:cs="Arial" w:eastAsia="Arial" w:hAnsi="Arial"/>
          <w:sz w:val="17"/>
          <w:szCs w:val="17"/>
          <w:color w:val="auto"/>
        </w:rPr>
        <w:t>” means this 2013 Equity Incentive Plan. The Plan was approved by the Board on April 12, 2013 and by the Company’s</w:t>
      </w:r>
    </w:p>
    <w:p>
      <w:pPr>
        <w:spacing w:after="0" w:line="32" w:lineRule="exact"/>
        <w:rPr>
          <w:sz w:val="20"/>
          <w:szCs w:val="20"/>
          <w:color w:val="auto"/>
        </w:rPr>
      </w:pPr>
    </w:p>
    <w:p>
      <w:pPr>
        <w:spacing w:after="0"/>
        <w:tabs>
          <w:tab w:leader="none" w:pos="2240" w:val="left"/>
        </w:tabs>
        <w:rPr>
          <w:sz w:val="20"/>
          <w:szCs w:val="20"/>
          <w:color w:val="auto"/>
        </w:rPr>
      </w:pPr>
      <w:r>
        <w:rPr>
          <w:rFonts w:ascii="Arial" w:cs="Arial" w:eastAsia="Arial" w:hAnsi="Arial"/>
          <w:sz w:val="17"/>
          <w:szCs w:val="17"/>
          <w:color w:val="auto"/>
        </w:rPr>
        <w:t>stockholders on [</w:t>
      </w:r>
      <w:r>
        <w:rPr>
          <w:sz w:val="20"/>
          <w:szCs w:val="20"/>
          <w:color w:val="auto"/>
        </w:rPr>
        <w:tab/>
      </w:r>
      <w:r>
        <w:rPr>
          <w:rFonts w:ascii="Arial" w:cs="Arial" w:eastAsia="Arial" w:hAnsi="Arial"/>
          <w:sz w:val="17"/>
          <w:szCs w:val="17"/>
          <w:color w:val="auto"/>
        </w:rPr>
        <w:t>].</w:t>
      </w:r>
    </w:p>
    <w:p>
      <w:pPr>
        <w:spacing w:after="0" w:line="206" w:lineRule="exact"/>
        <w:rPr>
          <w:sz w:val="20"/>
          <w:szCs w:val="20"/>
          <w:color w:val="auto"/>
        </w:rPr>
      </w:pPr>
    </w:p>
    <w:p>
      <w:pPr>
        <w:ind w:left="1920" w:hanging="657"/>
        <w:spacing w:after="0"/>
        <w:tabs>
          <w:tab w:leader="none" w:pos="1920" w:val="left"/>
        </w:tabs>
        <w:numPr>
          <w:ilvl w:val="0"/>
          <w:numId w:val="4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Prior Plans</w:t>
      </w:r>
      <w:r>
        <w:rPr>
          <w:rFonts w:ascii="Arial" w:cs="Arial" w:eastAsia="Arial" w:hAnsi="Arial"/>
          <w:sz w:val="16"/>
          <w:szCs w:val="16"/>
          <w:color w:val="auto"/>
        </w:rPr>
        <w:t>” means the Company’s 1998 Share Incentive Plan, 2000 Share Incentive Plan, 2004 Share Incentive Plan and 2006</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Incentive Share Plan.</w:t>
      </w:r>
    </w:p>
    <w:p>
      <w:pPr>
        <w:spacing w:after="0" w:line="206" w:lineRule="exact"/>
        <w:rPr>
          <w:rFonts w:ascii="Arial" w:cs="Arial" w:eastAsia="Arial" w:hAnsi="Arial"/>
          <w:sz w:val="16"/>
          <w:szCs w:val="16"/>
          <w:color w:val="auto"/>
        </w:rPr>
      </w:pPr>
    </w:p>
    <w:p>
      <w:pPr>
        <w:ind w:left="1900" w:hanging="637"/>
        <w:spacing w:after="0"/>
        <w:tabs>
          <w:tab w:leader="none" w:pos="1900" w:val="left"/>
        </w:tabs>
        <w:numPr>
          <w:ilvl w:val="0"/>
          <w:numId w:val="46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Restricted Stock</w:t>
      </w:r>
      <w:r>
        <w:rPr>
          <w:rFonts w:ascii="Arial" w:cs="Arial" w:eastAsia="Arial" w:hAnsi="Arial"/>
          <w:sz w:val="15"/>
          <w:szCs w:val="15"/>
          <w:color w:val="auto"/>
        </w:rPr>
        <w:t>” means Shares issued pursuant to a Restricted Stock Award under Section 8 or issued pursuant to the early exercise</w:t>
      </w:r>
    </w:p>
    <w:p>
      <w:pPr>
        <w:spacing w:after="0" w:line="5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of an Option.</w:t>
      </w:r>
    </w:p>
    <w:p>
      <w:pPr>
        <w:spacing w:after="0" w:line="206" w:lineRule="exact"/>
        <w:rPr>
          <w:rFonts w:ascii="Arial" w:cs="Arial" w:eastAsia="Arial" w:hAnsi="Arial"/>
          <w:sz w:val="15"/>
          <w:szCs w:val="15"/>
          <w:color w:val="auto"/>
        </w:rPr>
      </w:pPr>
    </w:p>
    <w:p>
      <w:pPr>
        <w:jc w:val="both"/>
        <w:ind w:right="80" w:firstLine="1263"/>
        <w:spacing w:after="0" w:line="277" w:lineRule="auto"/>
        <w:tabs>
          <w:tab w:leader="none" w:pos="1918" w:val="left"/>
        </w:tabs>
        <w:numPr>
          <w:ilvl w:val="0"/>
          <w:numId w:val="4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Stock Unit</w:t>
      </w:r>
      <w:r>
        <w:rPr>
          <w:rFonts w:ascii="Arial" w:cs="Arial" w:eastAsia="Arial" w:hAnsi="Arial"/>
          <w:sz w:val="17"/>
          <w:szCs w:val="17"/>
          <w:color w:val="auto"/>
        </w:rPr>
        <w:t>” means, pursuant to Sections 4 and 11 of the Plan, an unfunded and unsecured promise to deliver Shares, cash or other securities equal in value to the Fair Market Value of one Share in the Company on the date of vesting or settlement, or as otherwise set forth in the Award Agreement.</w:t>
      </w:r>
    </w:p>
    <w:p>
      <w:pPr>
        <w:spacing w:after="0" w:line="162" w:lineRule="exact"/>
        <w:rPr>
          <w:rFonts w:ascii="Arial" w:cs="Arial" w:eastAsia="Arial" w:hAnsi="Arial"/>
          <w:sz w:val="17"/>
          <w:szCs w:val="17"/>
          <w:color w:val="auto"/>
        </w:rPr>
      </w:pPr>
    </w:p>
    <w:p>
      <w:pPr>
        <w:ind w:left="1900" w:hanging="637"/>
        <w:spacing w:after="0"/>
        <w:tabs>
          <w:tab w:leader="none" w:pos="1900" w:val="left"/>
        </w:tabs>
        <w:numPr>
          <w:ilvl w:val="0"/>
          <w:numId w:val="4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Rule 16b-3</w:t>
      </w:r>
      <w:r>
        <w:rPr>
          <w:rFonts w:ascii="Arial" w:cs="Arial" w:eastAsia="Arial" w:hAnsi="Arial"/>
          <w:sz w:val="16"/>
          <w:szCs w:val="16"/>
          <w:color w:val="auto"/>
        </w:rPr>
        <w:t>” means Rule 16b-3 of the Exchange Act or any successor to Rule 16b-3, as in effect when discretion is being exercised</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with respect to the Plan.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900" w:hanging="637"/>
        <w:spacing w:after="0"/>
        <w:tabs>
          <w:tab w:leader="none" w:pos="1900" w:val="left"/>
        </w:tabs>
        <w:numPr>
          <w:ilvl w:val="0"/>
          <w:numId w:val="4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16(b)</w:t>
      </w:r>
      <w:r>
        <w:rPr>
          <w:rFonts w:ascii="Arial" w:cs="Arial" w:eastAsia="Arial" w:hAnsi="Arial"/>
          <w:sz w:val="17"/>
          <w:szCs w:val="17"/>
          <w:color w:val="auto"/>
        </w:rPr>
        <w:t>” means Section 16(b) of the Exchange Act.</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0"/>
          <w:numId w:val="4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Service Provider</w:t>
      </w:r>
      <w:r>
        <w:rPr>
          <w:rFonts w:ascii="Arial" w:cs="Arial" w:eastAsia="Arial" w:hAnsi="Arial"/>
          <w:sz w:val="17"/>
          <w:szCs w:val="17"/>
          <w:color w:val="auto"/>
        </w:rPr>
        <w:t>” means an Employee, Director or Consultant.</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0"/>
          <w:numId w:val="4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w:t>
      </w:r>
      <w:r>
        <w:rPr>
          <w:rFonts w:ascii="Arial" w:cs="Arial" w:eastAsia="Arial" w:hAnsi="Arial"/>
          <w:sz w:val="17"/>
          <w:szCs w:val="17"/>
          <w:color w:val="auto"/>
        </w:rPr>
        <w:t>” means a share of Common Stock, as adjusted in accordance with Section 15 of the Plan.</w:t>
      </w:r>
    </w:p>
    <w:p>
      <w:pPr>
        <w:spacing w:after="0" w:line="224" w:lineRule="exact"/>
        <w:rPr>
          <w:rFonts w:ascii="Arial" w:cs="Arial" w:eastAsia="Arial" w:hAnsi="Arial"/>
          <w:sz w:val="17"/>
          <w:szCs w:val="17"/>
          <w:color w:val="auto"/>
        </w:rPr>
      </w:pPr>
    </w:p>
    <w:p>
      <w:pPr>
        <w:ind w:firstLine="1263"/>
        <w:spacing w:after="0" w:line="277" w:lineRule="auto"/>
        <w:tabs>
          <w:tab w:leader="none" w:pos="1890" w:val="left"/>
        </w:tabs>
        <w:numPr>
          <w:ilvl w:val="0"/>
          <w:numId w:val="4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Stock Appreciation Right</w:t>
      </w:r>
      <w:r>
        <w:rPr>
          <w:rFonts w:ascii="Arial" w:cs="Arial" w:eastAsia="Arial" w:hAnsi="Arial"/>
          <w:sz w:val="17"/>
          <w:szCs w:val="17"/>
          <w:color w:val="auto"/>
        </w:rPr>
        <w:t>” or “</w:t>
      </w:r>
      <w:r>
        <w:rPr>
          <w:rFonts w:ascii="Arial" w:cs="Arial" w:eastAsia="Arial" w:hAnsi="Arial"/>
          <w:sz w:val="17"/>
          <w:szCs w:val="17"/>
          <w:b w:val="1"/>
          <w:bCs w:val="1"/>
          <w:color w:val="auto"/>
        </w:rPr>
        <w:t>SAR</w:t>
      </w:r>
      <w:r>
        <w:rPr>
          <w:rFonts w:ascii="Arial" w:cs="Arial" w:eastAsia="Arial" w:hAnsi="Arial"/>
          <w:sz w:val="17"/>
          <w:szCs w:val="17"/>
          <w:color w:val="auto"/>
        </w:rPr>
        <w:t>” means, pursuant to Section 9 of the Plan, an unfunded and unsecured promise to deliver Shares, cash or other securities equal in value to the difference between the Fair Market Value of a Share as of the date such SAR is exercised/settled and the Fair Market Value of a Share as of the date such SAR was granted, or as otherwise set forth in the Award Agreement.</w:t>
      </w:r>
    </w:p>
    <w:p>
      <w:pPr>
        <w:spacing w:after="0" w:line="162" w:lineRule="exact"/>
        <w:rPr>
          <w:rFonts w:ascii="Arial" w:cs="Arial" w:eastAsia="Arial" w:hAnsi="Arial"/>
          <w:sz w:val="17"/>
          <w:szCs w:val="17"/>
          <w:color w:val="auto"/>
        </w:rPr>
      </w:pPr>
    </w:p>
    <w:p>
      <w:pPr>
        <w:ind w:left="1900" w:hanging="637"/>
        <w:spacing w:after="0"/>
        <w:tabs>
          <w:tab w:leader="none" w:pos="1900" w:val="left"/>
        </w:tabs>
        <w:numPr>
          <w:ilvl w:val="0"/>
          <w:numId w:val="4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 “subsidiary corporation” with respect to the Company, whether now or hereafter existing, as defined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Section 424(f) of the Code.</w:t>
      </w:r>
    </w:p>
    <w:p>
      <w:pPr>
        <w:spacing w:after="0" w:line="212" w:lineRule="exact"/>
        <w:rPr>
          <w:sz w:val="20"/>
          <w:szCs w:val="20"/>
          <w:color w:val="auto"/>
        </w:rPr>
      </w:pPr>
    </w:p>
    <w:p>
      <w:pPr>
        <w:ind w:left="1260" w:hanging="626"/>
        <w:spacing w:after="0"/>
        <w:tabs>
          <w:tab w:leader="none" w:pos="1260" w:val="left"/>
        </w:tabs>
        <w:numPr>
          <w:ilvl w:val="0"/>
          <w:numId w:val="470"/>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0" w:firstLine="1263"/>
        <w:spacing w:after="0" w:line="260" w:lineRule="auto"/>
        <w:tabs>
          <w:tab w:leader="none" w:pos="1885" w:val="left"/>
        </w:tabs>
        <w:numPr>
          <w:ilvl w:val="1"/>
          <w:numId w:val="470"/>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w:t>
      </w:r>
      <w:r>
        <w:rPr>
          <w:rFonts w:ascii="Arial" w:cs="Arial" w:eastAsia="Arial" w:hAnsi="Arial"/>
          <w:sz w:val="17"/>
          <w:szCs w:val="17"/>
          <w:color w:val="auto"/>
        </w:rPr>
        <w:t>. Subject to the provisions of Section 15 of the Plan, the maximum aggregate number of Shares that may be issued pursuant to all Awards under the Plan is 24,000,000 Shares, representing the remaining shares available for issuance under the Prior Plans, plus the amount of outstanding Common Stock subject to Lapsed Awards (defined below) under the Prior Plans. The maximum number of Shares that may be subject to Incentive Stock Option treatment is 24,000,000. The maximum aggregate number of Shares that may be issued pursuant to all awards under the Plan shall increase annually on the first day of each fiscal year following the adoption of the Plan by the number of Shares equal to the lesser of (i) two percent of the total issued and outstanding common shares of the Company on the first day of such fiscal year (ii) 10,000,000 Shares or (iii) such lesser amount determined by the Board. Shares shall not be deemed to have been issued pursuant to the Plan with respect to any portion of an Award that is settled in cash. Upon payment in Shares pursuant to the exercise of an Award, the number of Shares available for issuance under the Plan shall be reduced only by the number of Shares actually issued in such payment. If a Participant pays the exercise price (or purchase price, if applicable) of an Award through the tender of Shares, or if Shares are tendered or withheld to satisfy any Company withholding obligations, the number of Shares so tendered or withheld shall again be available for issuance pursuant to future Awards under the Plan.</w:t>
      </w:r>
    </w:p>
    <w:p>
      <w:pPr>
        <w:spacing w:after="0" w:line="187" w:lineRule="exact"/>
        <w:rPr>
          <w:rFonts w:ascii="Arial" w:cs="Arial" w:eastAsia="Arial" w:hAnsi="Arial"/>
          <w:sz w:val="17"/>
          <w:szCs w:val="17"/>
          <w:color w:val="auto"/>
        </w:rPr>
      </w:pPr>
    </w:p>
    <w:p>
      <w:pPr>
        <w:ind w:right="80" w:firstLine="1263"/>
        <w:spacing w:after="0" w:line="290" w:lineRule="auto"/>
        <w:tabs>
          <w:tab w:leader="none" w:pos="1895" w:val="left"/>
        </w:tabs>
        <w:numPr>
          <w:ilvl w:val="1"/>
          <w:numId w:val="470"/>
        </w:numPr>
        <w:rPr>
          <w:rFonts w:ascii="Arial" w:cs="Arial" w:eastAsia="Arial" w:hAnsi="Arial"/>
          <w:sz w:val="16"/>
          <w:szCs w:val="16"/>
          <w:color w:val="auto"/>
        </w:rPr>
      </w:pPr>
      <w:r>
        <w:rPr>
          <w:rFonts w:ascii="Arial" w:cs="Arial" w:eastAsia="Arial" w:hAnsi="Arial"/>
          <w:sz w:val="16"/>
          <w:szCs w:val="16"/>
          <w:u w:val="single" w:color="auto"/>
          <w:color w:val="auto"/>
        </w:rPr>
        <w:t>Lapsed Awards</w:t>
      </w:r>
      <w:r>
        <w:rPr>
          <w:rFonts w:ascii="Arial" w:cs="Arial" w:eastAsia="Arial" w:hAnsi="Arial"/>
          <w:sz w:val="16"/>
          <w:szCs w:val="16"/>
          <w:color w:val="auto"/>
        </w:rPr>
        <w:t>. If any outstanding Award expires or is terminated or canceled without having been exercised or settled in full, or if Shares acquired pursuant to an Award subject to forfeiture or repurchase are forfeited or repurchased by the Company, the Shares allocable to the terminated portion of the Award or the forfeited or repurchased Shares shall again be available for grant under the Plan (the “</w:t>
      </w:r>
      <w:r>
        <w:rPr>
          <w:rFonts w:ascii="Arial" w:cs="Arial" w:eastAsia="Arial" w:hAnsi="Arial"/>
          <w:sz w:val="16"/>
          <w:szCs w:val="16"/>
          <w:b w:val="1"/>
          <w:bCs w:val="1"/>
          <w:color w:val="auto"/>
        </w:rPr>
        <w:t>Lapsed Awards</w:t>
      </w:r>
      <w:r>
        <w:rPr>
          <w:rFonts w:ascii="Arial" w:cs="Arial" w:eastAsia="Arial" w:hAnsi="Arial"/>
          <w:sz w:val="16"/>
          <w:szCs w:val="16"/>
          <w:color w:val="auto"/>
        </w:rPr>
        <w:t>”). Similarly, the shares subject to Lapsed Awards under the Prior Plans shall add to the maximum number of Shares that are available for grant under Section 3(a) of the Plan.</w:t>
      </w:r>
    </w:p>
    <w:p>
      <w:pPr>
        <w:spacing w:after="0" w:line="159" w:lineRule="exact"/>
        <w:rPr>
          <w:rFonts w:ascii="Arial" w:cs="Arial" w:eastAsia="Arial" w:hAnsi="Arial"/>
          <w:sz w:val="16"/>
          <w:szCs w:val="16"/>
          <w:color w:val="auto"/>
        </w:rPr>
      </w:pPr>
    </w:p>
    <w:p>
      <w:pPr>
        <w:ind w:right="120" w:firstLine="1263"/>
        <w:spacing w:after="0" w:line="289" w:lineRule="auto"/>
        <w:tabs>
          <w:tab w:leader="none" w:pos="1898" w:val="left"/>
        </w:tabs>
        <w:numPr>
          <w:ilvl w:val="1"/>
          <w:numId w:val="470"/>
        </w:numPr>
        <w:rPr>
          <w:rFonts w:ascii="Arial" w:cs="Arial" w:eastAsia="Arial" w:hAnsi="Arial"/>
          <w:sz w:val="17"/>
          <w:szCs w:val="17"/>
          <w:color w:val="auto"/>
        </w:rPr>
      </w:pPr>
      <w:r>
        <w:rPr>
          <w:rFonts w:ascii="Arial" w:cs="Arial" w:eastAsia="Arial" w:hAnsi="Arial"/>
          <w:sz w:val="17"/>
          <w:szCs w:val="17"/>
          <w:u w:val="single" w:color="auto"/>
          <w:color w:val="auto"/>
        </w:rPr>
        <w:t>Share Reserve</w:t>
      </w:r>
      <w:r>
        <w:rPr>
          <w:rFonts w:ascii="Arial" w:cs="Arial" w:eastAsia="Arial" w:hAnsi="Arial"/>
          <w:sz w:val="17"/>
          <w:szCs w:val="17"/>
          <w:color w:val="auto"/>
        </w:rPr>
        <w:t>. The Company, during the term of the Plan, shall at all times reserve and keep available such number of Shares as shall be sufficient to satisfy the requirements of the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hanging="626"/>
        <w:spacing w:after="0"/>
        <w:tabs>
          <w:tab w:leader="none" w:pos="1260" w:val="left"/>
        </w:tabs>
        <w:numPr>
          <w:ilvl w:val="0"/>
          <w:numId w:val="471"/>
        </w:numPr>
        <w:rPr>
          <w:rFonts w:ascii="Arial" w:cs="Arial" w:eastAsia="Arial" w:hAnsi="Arial"/>
          <w:sz w:val="17"/>
          <w:szCs w:val="17"/>
          <w:color w:val="auto"/>
        </w:rPr>
      </w:pPr>
      <w:r>
        <w:rPr>
          <w:rFonts w:ascii="Arial" w:cs="Arial" w:eastAsia="Arial" w:hAnsi="Arial"/>
          <w:sz w:val="17"/>
          <w:szCs w:val="17"/>
          <w:u w:val="single" w:color="auto"/>
          <w:color w:val="auto"/>
        </w:rPr>
        <w:t>Administration of the Plan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1"/>
          <w:numId w:val="471"/>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2"/>
          <w:numId w:val="471"/>
        </w:numPr>
        <w:rPr>
          <w:rFonts w:ascii="Arial" w:cs="Arial" w:eastAsia="Arial" w:hAnsi="Arial"/>
          <w:sz w:val="16"/>
          <w:szCs w:val="16"/>
          <w:color w:val="auto"/>
        </w:rPr>
      </w:pPr>
      <w:r>
        <w:rPr>
          <w:rFonts w:ascii="Arial" w:cs="Arial" w:eastAsia="Arial" w:hAnsi="Arial"/>
          <w:sz w:val="16"/>
          <w:szCs w:val="16"/>
          <w:u w:val="single" w:color="auto"/>
          <w:color w:val="auto"/>
        </w:rPr>
        <w:t>Multiple Administrative Bodies</w:t>
      </w:r>
      <w:r>
        <w:rPr>
          <w:rFonts w:ascii="Arial" w:cs="Arial" w:eastAsia="Arial" w:hAnsi="Arial"/>
          <w:sz w:val="16"/>
          <w:szCs w:val="16"/>
          <w:color w:val="auto"/>
        </w:rPr>
        <w:t>. Different Committees with respect to different groups of Service Providers may administer</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Plan.</w:t>
      </w:r>
    </w:p>
    <w:p>
      <w:pPr>
        <w:spacing w:after="0" w:line="212" w:lineRule="exact"/>
        <w:rPr>
          <w:sz w:val="20"/>
          <w:szCs w:val="20"/>
          <w:color w:val="auto"/>
        </w:rPr>
      </w:pPr>
    </w:p>
    <w:p>
      <w:pPr>
        <w:ind w:right="40" w:firstLine="1893"/>
        <w:spacing w:after="0" w:line="273" w:lineRule="auto"/>
        <w:tabs>
          <w:tab w:leader="none" w:pos="2547" w:val="left"/>
        </w:tabs>
        <w:numPr>
          <w:ilvl w:val="0"/>
          <w:numId w:val="472"/>
        </w:numPr>
        <w:rPr>
          <w:rFonts w:ascii="Arial" w:cs="Arial" w:eastAsia="Arial" w:hAnsi="Arial"/>
          <w:sz w:val="17"/>
          <w:szCs w:val="17"/>
          <w:color w:val="auto"/>
        </w:rPr>
      </w:pPr>
      <w:r>
        <w:rPr>
          <w:rFonts w:ascii="Arial" w:cs="Arial" w:eastAsia="Arial" w:hAnsi="Arial"/>
          <w:sz w:val="17"/>
          <w:szCs w:val="17"/>
          <w:u w:val="single" w:color="auto"/>
          <w:color w:val="auto"/>
        </w:rPr>
        <w:t>Section 162(m)</w:t>
      </w:r>
      <w:r>
        <w:rPr>
          <w:rFonts w:ascii="Arial" w:cs="Arial" w:eastAsia="Arial" w:hAnsi="Arial"/>
          <w:sz w:val="17"/>
          <w:szCs w:val="17"/>
          <w:color w:val="auto"/>
        </w:rPr>
        <w:t>. To the extent that the Administrator determines it to be desirable and necessary to qualify Awards granted under this Plan as “performance-based compensation” within the meaning of Section 162(m) of the Code, the Plan shall be administered by a Committee of two or more Outside Directors.</w:t>
      </w:r>
    </w:p>
    <w:p>
      <w:pPr>
        <w:spacing w:after="0" w:line="171" w:lineRule="exact"/>
        <w:rPr>
          <w:rFonts w:ascii="Arial" w:cs="Arial" w:eastAsia="Arial" w:hAnsi="Arial"/>
          <w:sz w:val="17"/>
          <w:szCs w:val="17"/>
          <w:color w:val="auto"/>
        </w:rPr>
      </w:pPr>
    </w:p>
    <w:p>
      <w:pPr>
        <w:ind w:right="220" w:firstLine="1893"/>
        <w:spacing w:after="0" w:line="289" w:lineRule="auto"/>
        <w:tabs>
          <w:tab w:leader="none" w:pos="2556" w:val="left"/>
        </w:tabs>
        <w:numPr>
          <w:ilvl w:val="0"/>
          <w:numId w:val="472"/>
        </w:numPr>
        <w:rPr>
          <w:rFonts w:ascii="Arial" w:cs="Arial" w:eastAsia="Arial" w:hAnsi="Arial"/>
          <w:sz w:val="17"/>
          <w:szCs w:val="17"/>
          <w:color w:val="auto"/>
        </w:rPr>
      </w:pPr>
      <w:r>
        <w:rPr>
          <w:rFonts w:ascii="Arial" w:cs="Arial" w:eastAsia="Arial" w:hAnsi="Arial"/>
          <w:sz w:val="17"/>
          <w:szCs w:val="17"/>
          <w:u w:val="single" w:color="auto"/>
          <w:color w:val="auto"/>
        </w:rPr>
        <w:t>Rule 16b-3</w:t>
      </w:r>
      <w:r>
        <w:rPr>
          <w:rFonts w:ascii="Arial" w:cs="Arial" w:eastAsia="Arial" w:hAnsi="Arial"/>
          <w:sz w:val="17"/>
          <w:szCs w:val="17"/>
          <w:color w:val="auto"/>
        </w:rPr>
        <w:t>. If a transaction is intended to be exempt under Rule 16b-3 of the Exchange Act, it shall be structured to satisfy the requirements for exemption under Rule 16b-3.</w:t>
      </w:r>
    </w:p>
    <w:p>
      <w:pPr>
        <w:spacing w:after="0" w:line="158" w:lineRule="exact"/>
        <w:rPr>
          <w:rFonts w:ascii="Arial" w:cs="Arial" w:eastAsia="Arial" w:hAnsi="Arial"/>
          <w:sz w:val="17"/>
          <w:szCs w:val="17"/>
          <w:color w:val="auto"/>
        </w:rPr>
      </w:pPr>
    </w:p>
    <w:p>
      <w:pPr>
        <w:ind w:right="380" w:firstLine="1893"/>
        <w:spacing w:after="0" w:line="289" w:lineRule="auto"/>
        <w:tabs>
          <w:tab w:leader="none" w:pos="2533" w:val="left"/>
        </w:tabs>
        <w:numPr>
          <w:ilvl w:val="0"/>
          <w:numId w:val="472"/>
        </w:numPr>
        <w:rPr>
          <w:rFonts w:ascii="Arial" w:cs="Arial" w:eastAsia="Arial" w:hAnsi="Arial"/>
          <w:sz w:val="17"/>
          <w:szCs w:val="17"/>
          <w:color w:val="auto"/>
        </w:rPr>
      </w:pPr>
      <w:r>
        <w:rPr>
          <w:rFonts w:ascii="Arial" w:cs="Arial" w:eastAsia="Arial" w:hAnsi="Arial"/>
          <w:sz w:val="17"/>
          <w:szCs w:val="17"/>
          <w:u w:val="single" w:color="auto"/>
          <w:color w:val="auto"/>
        </w:rPr>
        <w:t>Other Administration</w:t>
      </w:r>
      <w:r>
        <w:rPr>
          <w:rFonts w:ascii="Arial" w:cs="Arial" w:eastAsia="Arial" w:hAnsi="Arial"/>
          <w:sz w:val="17"/>
          <w:szCs w:val="17"/>
          <w:color w:val="auto"/>
        </w:rPr>
        <w:t>. Other than as provided above, the Plan shall be administered by (A) the Board or (B) a Committee constituted to satisfy Applicable Laws.</w:t>
      </w:r>
    </w:p>
    <w:p>
      <w:pPr>
        <w:sectPr>
          <w:pgSz w:w="11900" w:h="16838" w:orient="portrait"/>
          <w:cols w:equalWidth="0" w:num="1">
            <w:col w:w="11420"/>
          </w:cols>
          <w:pgMar w:left="240" w:top="127" w:right="239" w:bottom="0" w:gutter="0" w:footer="0" w:header="0"/>
        </w:sectPr>
      </w:pPr>
    </w:p>
    <w:bookmarkStart w:id="338" w:name="page339"/>
    <w:bookmarkEnd w:id="338"/>
    <w:p>
      <w:pPr>
        <w:ind w:firstLine="1893"/>
        <w:spacing w:after="0" w:line="273" w:lineRule="auto"/>
        <w:tabs>
          <w:tab w:leader="none" w:pos="2524" w:val="left"/>
        </w:tabs>
        <w:numPr>
          <w:ilvl w:val="1"/>
          <w:numId w:val="473"/>
        </w:numPr>
        <w:rPr>
          <w:rFonts w:ascii="Arial" w:cs="Arial" w:eastAsia="Arial" w:hAnsi="Arial"/>
          <w:sz w:val="17"/>
          <w:szCs w:val="17"/>
          <w:color w:val="auto"/>
        </w:rPr>
      </w:pPr>
      <w:r>
        <w:rPr>
          <w:rFonts w:ascii="Arial" w:cs="Arial" w:eastAsia="Arial" w:hAnsi="Arial"/>
          <w:sz w:val="17"/>
          <w:szCs w:val="17"/>
          <w:u w:val="single" w:color="auto"/>
          <w:color w:val="auto"/>
        </w:rPr>
        <w:t>Delegation of Authority for Day-to-Day Administration</w:t>
      </w:r>
      <w:r>
        <w:rPr>
          <w:rFonts w:ascii="Arial" w:cs="Arial" w:eastAsia="Arial" w:hAnsi="Arial"/>
          <w:sz w:val="17"/>
          <w:szCs w:val="17"/>
          <w:color w:val="auto"/>
        </w:rPr>
        <w:t>. Except to the extent prohibited by Applicable Law, the Administrator may delegate to one or more individuals the day-to-day administration of the Plan and any of the functions assigned to it in this Plan. Such delegation may be revoked at any time.</w:t>
      </w:r>
    </w:p>
    <w:p>
      <w:pPr>
        <w:spacing w:after="0" w:line="171" w:lineRule="exact"/>
        <w:rPr>
          <w:rFonts w:ascii="Arial" w:cs="Arial" w:eastAsia="Arial" w:hAnsi="Arial"/>
          <w:sz w:val="17"/>
          <w:szCs w:val="17"/>
          <w:color w:val="auto"/>
        </w:rPr>
      </w:pPr>
    </w:p>
    <w:p>
      <w:pPr>
        <w:ind w:right="560" w:firstLine="1263"/>
        <w:spacing w:after="0" w:line="289" w:lineRule="auto"/>
        <w:tabs>
          <w:tab w:leader="none" w:pos="1895" w:val="left"/>
        </w:tabs>
        <w:numPr>
          <w:ilvl w:val="0"/>
          <w:numId w:val="474"/>
        </w:numPr>
        <w:rPr>
          <w:rFonts w:ascii="Arial" w:cs="Arial" w:eastAsia="Arial" w:hAnsi="Arial"/>
          <w:sz w:val="17"/>
          <w:szCs w:val="17"/>
          <w:color w:val="auto"/>
        </w:rPr>
      </w:pPr>
      <w:r>
        <w:rPr>
          <w:rFonts w:ascii="Arial" w:cs="Arial" w:eastAsia="Arial" w:hAnsi="Arial"/>
          <w:sz w:val="17"/>
          <w:szCs w:val="17"/>
          <w:u w:val="single" w:color="auto"/>
          <w:color w:val="auto"/>
        </w:rPr>
        <w:t>Powers of the Administrator</w:t>
      </w:r>
      <w:r>
        <w:rPr>
          <w:rFonts w:ascii="Arial" w:cs="Arial" w:eastAsia="Arial" w:hAnsi="Arial"/>
          <w:sz w:val="17"/>
          <w:szCs w:val="17"/>
          <w:color w:val="auto"/>
        </w:rPr>
        <w:t>. Subject to the provisions of the Plan, and in the case of a Committee, subject to the specific duties delegated by the Board to the Committee, the Administrator shall have the authority, in its discretion to:</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1"/>
          <w:numId w:val="474"/>
        </w:numPr>
        <w:rPr>
          <w:rFonts w:ascii="Arial" w:cs="Arial" w:eastAsia="Arial" w:hAnsi="Arial"/>
          <w:sz w:val="17"/>
          <w:szCs w:val="17"/>
          <w:color w:val="auto"/>
        </w:rPr>
      </w:pPr>
      <w:r>
        <w:rPr>
          <w:rFonts w:ascii="Arial" w:cs="Arial" w:eastAsia="Arial" w:hAnsi="Arial"/>
          <w:sz w:val="17"/>
          <w:szCs w:val="17"/>
          <w:color w:val="auto"/>
        </w:rPr>
        <w:t>determine the Fair Market Value of Awards;</w:t>
      </w:r>
    </w:p>
    <w:p>
      <w:pPr>
        <w:spacing w:after="0" w:line="224" w:lineRule="exact"/>
        <w:rPr>
          <w:sz w:val="20"/>
          <w:szCs w:val="20"/>
          <w:color w:val="auto"/>
        </w:rPr>
      </w:pPr>
    </w:p>
    <w:p>
      <w:pPr>
        <w:ind w:left="2560" w:hanging="667"/>
        <w:spacing w:after="0"/>
        <w:tabs>
          <w:tab w:leader="none" w:pos="256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select the Service Providers to whom Awards may be granted under this Plan;</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determine the number of Shares to be covered by each Award granted under this Plan;</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approve forms of Award Agreements for use under the Plan;</w:t>
      </w:r>
    </w:p>
    <w:p>
      <w:pPr>
        <w:spacing w:after="0" w:line="224" w:lineRule="exact"/>
        <w:rPr>
          <w:rFonts w:ascii="Arial" w:cs="Arial" w:eastAsia="Arial" w:hAnsi="Arial"/>
          <w:sz w:val="17"/>
          <w:szCs w:val="17"/>
          <w:color w:val="auto"/>
        </w:rPr>
      </w:pPr>
    </w:p>
    <w:p>
      <w:pPr>
        <w:ind w:right="20" w:firstLine="1893"/>
        <w:spacing w:after="0" w:line="268" w:lineRule="auto"/>
        <w:tabs>
          <w:tab w:leader="none" w:pos="2524" w:val="left"/>
        </w:tabs>
        <w:numPr>
          <w:ilvl w:val="0"/>
          <w:numId w:val="475"/>
        </w:numPr>
        <w:rPr>
          <w:rFonts w:ascii="Arial" w:cs="Arial" w:eastAsia="Arial" w:hAnsi="Arial"/>
          <w:sz w:val="17"/>
          <w:szCs w:val="17"/>
          <w:color w:val="auto"/>
        </w:rPr>
      </w:pPr>
      <w:r>
        <w:rPr>
          <w:rFonts w:ascii="Arial" w:cs="Arial" w:eastAsia="Arial" w:hAnsi="Arial"/>
          <w:sz w:val="17"/>
          <w:szCs w:val="17"/>
          <w:color w:val="auto"/>
        </w:rPr>
        <w:t>determine the terms and conditions, not inconsistent with the terms of the Plan, of any Award granted under this Plan, including but not limited to, the exercise price, the time or times when Awards may be exercised (which may be based on Performance Goals or other performance criteria), any vesting acceleration or waiver of forfeiture or repurchase restrictions, and any restriction or limitation regarding any Award or the Shares relating thereto, based in each case on such factors as the Administrator, in its sole discretion, shall determine;</w:t>
      </w:r>
    </w:p>
    <w:p>
      <w:pPr>
        <w:spacing w:after="0" w:line="175" w:lineRule="exact"/>
        <w:rPr>
          <w:rFonts w:ascii="Arial" w:cs="Arial" w:eastAsia="Arial" w:hAnsi="Arial"/>
          <w:sz w:val="17"/>
          <w:szCs w:val="17"/>
          <w:color w:val="auto"/>
        </w:rPr>
      </w:pPr>
    </w:p>
    <w:p>
      <w:pPr>
        <w:ind w:right="80" w:firstLine="1893"/>
        <w:spacing w:after="0" w:line="289" w:lineRule="auto"/>
        <w:tabs>
          <w:tab w:leader="none" w:pos="2533" w:val="left"/>
        </w:tabs>
        <w:numPr>
          <w:ilvl w:val="0"/>
          <w:numId w:val="475"/>
        </w:numPr>
        <w:rPr>
          <w:rFonts w:ascii="Arial" w:cs="Arial" w:eastAsia="Arial" w:hAnsi="Arial"/>
          <w:sz w:val="17"/>
          <w:szCs w:val="17"/>
          <w:color w:val="auto"/>
        </w:rPr>
      </w:pPr>
      <w:r>
        <w:rPr>
          <w:rFonts w:ascii="Arial" w:cs="Arial" w:eastAsia="Arial" w:hAnsi="Arial"/>
          <w:sz w:val="17"/>
          <w:szCs w:val="17"/>
          <w:color w:val="auto"/>
        </w:rPr>
        <w:t>reduce, with or without Participant consent, the exercise price of any Award to the then current Fair Market Value (or a higher value) if the Fair Market Value of the Common Stock covered by such Award shall have declined since the date the Award was granted;</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institute an Exchange Program;</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construe and interpret the terms of the Plan and Awards granted pursuant to the Plan;</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0"/>
          <w:numId w:val="475"/>
        </w:numPr>
        <w:rPr>
          <w:rFonts w:ascii="Arial" w:cs="Arial" w:eastAsia="Arial" w:hAnsi="Arial"/>
          <w:sz w:val="16"/>
          <w:szCs w:val="16"/>
          <w:color w:val="auto"/>
        </w:rPr>
      </w:pPr>
      <w:r>
        <w:rPr>
          <w:rFonts w:ascii="Arial" w:cs="Arial" w:eastAsia="Arial" w:hAnsi="Arial"/>
          <w:sz w:val="16"/>
          <w:szCs w:val="16"/>
          <w:color w:val="auto"/>
        </w:rPr>
        <w:t>prescribe, amend and rescind rules and regulations relating to the Plan, including rules and regulations relating to sub-plans;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893"/>
        <w:spacing w:after="0" w:line="285" w:lineRule="auto"/>
        <w:tabs>
          <w:tab w:leader="none" w:pos="2524" w:val="left"/>
        </w:tabs>
        <w:numPr>
          <w:ilvl w:val="0"/>
          <w:numId w:val="476"/>
        </w:numPr>
        <w:rPr>
          <w:rFonts w:ascii="Arial" w:cs="Arial" w:eastAsia="Arial" w:hAnsi="Arial"/>
          <w:sz w:val="16"/>
          <w:szCs w:val="16"/>
          <w:color w:val="auto"/>
        </w:rPr>
      </w:pPr>
      <w:r>
        <w:rPr>
          <w:rFonts w:ascii="Arial" w:cs="Arial" w:eastAsia="Arial" w:hAnsi="Arial"/>
          <w:sz w:val="16"/>
          <w:szCs w:val="16"/>
          <w:color w:val="auto"/>
        </w:rPr>
        <w:t>amend the terms of any outstanding Award, including the discretionary authority to extend the post-termination exercise period of Awards and accelerate the satisfaction of any vesting criteria or waiver of forfeiture or repurchase restrictions, provided that any amendment that would adversely affect the Participant’s rights under an outstanding Award shall not be made without the Participant’s written consent. Notwithstanding the foregoing, an amendment shall not be treated as adversely affecting the rights of the Participant if the amendment causes an Incentive Stock Option to become a Nonstatutory Stock Option or if the amendment is made to the minimum extent necessary to avoid the adverse tax consequences of Section 409A of the Code.</w:t>
      </w:r>
    </w:p>
    <w:p>
      <w:pPr>
        <w:spacing w:after="0" w:line="166" w:lineRule="exact"/>
        <w:rPr>
          <w:rFonts w:ascii="Arial" w:cs="Arial" w:eastAsia="Arial" w:hAnsi="Arial"/>
          <w:sz w:val="16"/>
          <w:szCs w:val="16"/>
          <w:color w:val="auto"/>
        </w:rPr>
      </w:pPr>
    </w:p>
    <w:p>
      <w:pPr>
        <w:ind w:firstLine="1893"/>
        <w:spacing w:after="0" w:line="265" w:lineRule="auto"/>
        <w:tabs>
          <w:tab w:leader="none" w:pos="2533" w:val="left"/>
        </w:tabs>
        <w:numPr>
          <w:ilvl w:val="0"/>
          <w:numId w:val="476"/>
        </w:numPr>
        <w:rPr>
          <w:rFonts w:ascii="Arial" w:cs="Arial" w:eastAsia="Arial" w:hAnsi="Arial"/>
          <w:sz w:val="17"/>
          <w:szCs w:val="17"/>
          <w:color w:val="auto"/>
        </w:rPr>
      </w:pPr>
      <w:r>
        <w:rPr>
          <w:rFonts w:ascii="Arial" w:cs="Arial" w:eastAsia="Arial" w:hAnsi="Arial"/>
          <w:sz w:val="17"/>
          <w:szCs w:val="17"/>
          <w:color w:val="auto"/>
        </w:rPr>
        <w:t>allow Participants to satisfy withholding tax obligations by electing to have the Company withhold from the Shares or cash to be issued upon exercise or vesting of an Award that number of Shares or cash having a Fair Market Value equal to the minimum amount required to be withheld. The Fair Market Value of any Shares to be withheld shall be determined on the date that the amount of tax to be withheld is to be determined, and all elections by a Participant to have Shares or cash withheld for this purpose shall be made in such form and under such conditions as the Administrator may deem necessary or advisable;</w:t>
      </w:r>
    </w:p>
    <w:p>
      <w:pPr>
        <w:spacing w:after="0" w:line="179" w:lineRule="exact"/>
        <w:rPr>
          <w:rFonts w:ascii="Arial" w:cs="Arial" w:eastAsia="Arial" w:hAnsi="Arial"/>
          <w:sz w:val="17"/>
          <w:szCs w:val="17"/>
          <w:color w:val="auto"/>
        </w:rPr>
      </w:pPr>
    </w:p>
    <w:p>
      <w:pPr>
        <w:ind w:left="2540" w:hanging="647"/>
        <w:spacing w:after="0"/>
        <w:tabs>
          <w:tab w:leader="none" w:pos="2540" w:val="left"/>
        </w:tabs>
        <w:numPr>
          <w:ilvl w:val="0"/>
          <w:numId w:val="476"/>
        </w:numPr>
        <w:rPr>
          <w:rFonts w:ascii="Arial" w:cs="Arial" w:eastAsia="Arial" w:hAnsi="Arial"/>
          <w:sz w:val="16"/>
          <w:szCs w:val="16"/>
          <w:color w:val="auto"/>
        </w:rPr>
      </w:pPr>
      <w:r>
        <w:rPr>
          <w:rFonts w:ascii="Arial" w:cs="Arial" w:eastAsia="Arial" w:hAnsi="Arial"/>
          <w:sz w:val="16"/>
          <w:szCs w:val="16"/>
          <w:color w:val="auto"/>
        </w:rPr>
        <w:t>authorize any person to execute on behalf of the Company any instrument required to effect the grant of an Award previously</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granted by the Administrator;</w:t>
      </w:r>
    </w:p>
    <w:p>
      <w:pPr>
        <w:spacing w:after="0" w:line="212" w:lineRule="exact"/>
        <w:rPr>
          <w:rFonts w:ascii="Arial" w:cs="Arial" w:eastAsia="Arial" w:hAnsi="Arial"/>
          <w:sz w:val="16"/>
          <w:szCs w:val="16"/>
          <w:color w:val="auto"/>
        </w:rPr>
      </w:pPr>
    </w:p>
    <w:p>
      <w:pPr>
        <w:ind w:left="2560" w:hanging="667"/>
        <w:spacing w:after="0"/>
        <w:tabs>
          <w:tab w:leader="none" w:pos="2560" w:val="left"/>
        </w:tabs>
        <w:numPr>
          <w:ilvl w:val="0"/>
          <w:numId w:val="476"/>
        </w:numPr>
        <w:rPr>
          <w:rFonts w:ascii="Arial" w:cs="Arial" w:eastAsia="Arial" w:hAnsi="Arial"/>
          <w:sz w:val="16"/>
          <w:szCs w:val="16"/>
          <w:color w:val="auto"/>
        </w:rPr>
      </w:pPr>
      <w:r>
        <w:rPr>
          <w:rFonts w:ascii="Arial" w:cs="Arial" w:eastAsia="Arial" w:hAnsi="Arial"/>
          <w:sz w:val="16"/>
          <w:szCs w:val="16"/>
          <w:color w:val="auto"/>
        </w:rPr>
        <w:t>allow a Participant to defer the receipt of the payment of cash or the delivery of Shares that would otherwise be due to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Participant under an Award;</w:t>
      </w:r>
    </w:p>
    <w:p>
      <w:pPr>
        <w:spacing w:after="0" w:line="212" w:lineRule="exact"/>
        <w:rPr>
          <w:rFonts w:ascii="Arial" w:cs="Arial" w:eastAsia="Arial" w:hAnsi="Arial"/>
          <w:sz w:val="16"/>
          <w:szCs w:val="16"/>
          <w:color w:val="auto"/>
        </w:rPr>
      </w:pPr>
    </w:p>
    <w:p>
      <w:pPr>
        <w:ind w:left="2540" w:hanging="647"/>
        <w:spacing w:after="0"/>
        <w:tabs>
          <w:tab w:leader="none" w:pos="254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determine whether Awards shall be settled in Shares, cash or in a combination of Shares and cash;</w:t>
      </w:r>
    </w:p>
    <w:p>
      <w:pPr>
        <w:spacing w:after="0" w:line="224" w:lineRule="exact"/>
        <w:rPr>
          <w:rFonts w:ascii="Arial" w:cs="Arial" w:eastAsia="Arial" w:hAnsi="Arial"/>
          <w:sz w:val="17"/>
          <w:szCs w:val="17"/>
          <w:color w:val="auto"/>
        </w:rPr>
      </w:pPr>
    </w:p>
    <w:p>
      <w:pPr>
        <w:ind w:left="2520" w:hanging="627"/>
        <w:spacing w:after="0"/>
        <w:tabs>
          <w:tab w:leader="none" w:pos="252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determine whether Awards shall be adjusted for Dividend Equivalents;</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create Other Stock Based Awards for issuance under the Plan;</w:t>
      </w:r>
    </w:p>
    <w:p>
      <w:pPr>
        <w:spacing w:after="0" w:line="224" w:lineRule="exact"/>
        <w:rPr>
          <w:rFonts w:ascii="Arial" w:cs="Arial" w:eastAsia="Arial" w:hAnsi="Arial"/>
          <w:sz w:val="17"/>
          <w:szCs w:val="17"/>
          <w:color w:val="auto"/>
        </w:rPr>
      </w:pPr>
    </w:p>
    <w:p>
      <w:pPr>
        <w:ind w:right="180" w:firstLine="1893"/>
        <w:spacing w:after="0" w:line="289" w:lineRule="auto"/>
        <w:tabs>
          <w:tab w:leader="none" w:pos="2538" w:val="left"/>
        </w:tabs>
        <w:numPr>
          <w:ilvl w:val="0"/>
          <w:numId w:val="476"/>
        </w:numPr>
        <w:rPr>
          <w:rFonts w:ascii="Arial" w:cs="Arial" w:eastAsia="Arial" w:hAnsi="Arial"/>
          <w:sz w:val="17"/>
          <w:szCs w:val="17"/>
          <w:color w:val="auto"/>
        </w:rPr>
      </w:pPr>
      <w:r>
        <w:rPr>
          <w:rFonts w:ascii="Arial" w:cs="Arial" w:eastAsia="Arial" w:hAnsi="Arial"/>
          <w:sz w:val="17"/>
          <w:szCs w:val="17"/>
          <w:color w:val="auto"/>
        </w:rPr>
        <w:t>establish a program whereby Service Providers designated by the Administrator can reduce compensation otherwise payable in cash in exchange for Awards under the Plan;</w:t>
      </w:r>
    </w:p>
    <w:p>
      <w:pPr>
        <w:spacing w:after="0" w:line="158" w:lineRule="exact"/>
        <w:rPr>
          <w:rFonts w:ascii="Arial" w:cs="Arial" w:eastAsia="Arial" w:hAnsi="Arial"/>
          <w:sz w:val="17"/>
          <w:szCs w:val="17"/>
          <w:color w:val="auto"/>
        </w:rPr>
      </w:pPr>
    </w:p>
    <w:p>
      <w:pPr>
        <w:ind w:right="80" w:firstLine="1893"/>
        <w:spacing w:after="0" w:line="298" w:lineRule="auto"/>
        <w:tabs>
          <w:tab w:leader="none" w:pos="2547" w:val="left"/>
        </w:tabs>
        <w:numPr>
          <w:ilvl w:val="0"/>
          <w:numId w:val="476"/>
        </w:numPr>
        <w:rPr>
          <w:rFonts w:ascii="Arial" w:cs="Arial" w:eastAsia="Arial" w:hAnsi="Arial"/>
          <w:sz w:val="16"/>
          <w:szCs w:val="16"/>
          <w:color w:val="auto"/>
        </w:rPr>
      </w:pPr>
      <w:r>
        <w:rPr>
          <w:rFonts w:ascii="Arial" w:cs="Arial" w:eastAsia="Arial" w:hAnsi="Arial"/>
          <w:sz w:val="16"/>
          <w:szCs w:val="16"/>
          <w:color w:val="auto"/>
        </w:rPr>
        <w:t>impose such restrictions, conditions or limitations as it determines appropriate as to the timing and manner of any resales by a Participant or other subsequent transfers by the Participant of any Shares issued as a result of or under an Award, including without limitation, (A) restrictions under an insider trading policy, and (B) restrictions as to the use of a specified brokerage firm for such resales or other transfers;</w:t>
      </w:r>
    </w:p>
    <w:p>
      <w:pPr>
        <w:spacing w:after="0" w:line="153" w:lineRule="exact"/>
        <w:rPr>
          <w:rFonts w:ascii="Arial" w:cs="Arial" w:eastAsia="Arial" w:hAnsi="Arial"/>
          <w:sz w:val="16"/>
          <w:szCs w:val="16"/>
          <w:color w:val="auto"/>
        </w:rPr>
      </w:pPr>
    </w:p>
    <w:p>
      <w:pPr>
        <w:ind w:right="80" w:firstLine="1893"/>
        <w:spacing w:after="0" w:line="273" w:lineRule="auto"/>
        <w:tabs>
          <w:tab w:leader="none" w:pos="2529" w:val="left"/>
        </w:tabs>
        <w:numPr>
          <w:ilvl w:val="0"/>
          <w:numId w:val="476"/>
        </w:numPr>
        <w:rPr>
          <w:rFonts w:ascii="Arial" w:cs="Arial" w:eastAsia="Arial" w:hAnsi="Arial"/>
          <w:sz w:val="17"/>
          <w:szCs w:val="17"/>
          <w:color w:val="auto"/>
        </w:rPr>
      </w:pPr>
      <w:r>
        <w:rPr>
          <w:rFonts w:ascii="Arial" w:cs="Arial" w:eastAsia="Arial" w:hAnsi="Arial"/>
          <w:sz w:val="17"/>
          <w:szCs w:val="17"/>
          <w:color w:val="auto"/>
        </w:rPr>
        <w:t>establish one or more programs under the Plan to permit selected Participants the opportunity to elect to defer receipt of consideration upon exercise of an Award, satisfaction of Performance Goals or other performance criteria, or other event that absent the election, would entitle the Participant to payment or receipt of Shares or other consideration under an Award; and</w:t>
      </w:r>
    </w:p>
    <w:p>
      <w:pPr>
        <w:spacing w:after="0" w:line="171" w:lineRule="exact"/>
        <w:rPr>
          <w:rFonts w:ascii="Arial" w:cs="Arial" w:eastAsia="Arial" w:hAnsi="Arial"/>
          <w:sz w:val="17"/>
          <w:szCs w:val="17"/>
          <w:color w:val="auto"/>
        </w:rPr>
      </w:pPr>
    </w:p>
    <w:p>
      <w:pPr>
        <w:ind w:left="2520" w:hanging="627"/>
        <w:spacing w:after="0"/>
        <w:tabs>
          <w:tab w:leader="none" w:pos="252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make all other determinations that the Administrator deems necessary or advisable for administering the Plan.</w:t>
      </w:r>
    </w:p>
    <w:p>
      <w:pPr>
        <w:spacing w:after="0" w:line="224"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The express grant in the Plan of any specific power to the Administrator shall not be construed as limiting any power or authority of the Administrator. However, the Administrator may not exercise any right or power reserved to the Board.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573" w:gutter="0" w:footer="0" w:header="0"/>
        </w:sectPr>
      </w:pPr>
    </w:p>
    <w:bookmarkStart w:id="339" w:name="page340"/>
    <w:bookmarkEnd w:id="339"/>
    <w:p>
      <w:pPr>
        <w:ind w:right="20" w:firstLine="1263"/>
        <w:spacing w:after="0" w:line="289" w:lineRule="auto"/>
        <w:tabs>
          <w:tab w:leader="none" w:pos="1898" w:val="left"/>
        </w:tabs>
        <w:numPr>
          <w:ilvl w:val="1"/>
          <w:numId w:val="477"/>
        </w:numPr>
        <w:rPr>
          <w:rFonts w:ascii="Arial" w:cs="Arial" w:eastAsia="Arial" w:hAnsi="Arial"/>
          <w:sz w:val="17"/>
          <w:szCs w:val="17"/>
          <w:color w:val="auto"/>
        </w:rPr>
      </w:pPr>
      <w:r>
        <w:rPr>
          <w:rFonts w:ascii="Arial" w:cs="Arial" w:eastAsia="Arial" w:hAnsi="Arial"/>
          <w:sz w:val="17"/>
          <w:szCs w:val="17"/>
          <w:u w:val="single" w:color="auto"/>
          <w:color w:val="auto"/>
        </w:rPr>
        <w:t>Effect of Administrator’s Decision</w:t>
      </w:r>
      <w:r>
        <w:rPr>
          <w:rFonts w:ascii="Arial" w:cs="Arial" w:eastAsia="Arial" w:hAnsi="Arial"/>
          <w:sz w:val="17"/>
          <w:szCs w:val="17"/>
          <w:color w:val="auto"/>
        </w:rPr>
        <w:t>. The Administrator’s decisions, determinations, actions and interpretations shall be final, conclusive and binding on all persons having an interest in the Plan.</w:t>
      </w:r>
    </w:p>
    <w:p>
      <w:pPr>
        <w:spacing w:after="0" w:line="158" w:lineRule="exact"/>
        <w:rPr>
          <w:rFonts w:ascii="Arial" w:cs="Arial" w:eastAsia="Arial" w:hAnsi="Arial"/>
          <w:sz w:val="17"/>
          <w:szCs w:val="17"/>
          <w:color w:val="auto"/>
        </w:rPr>
      </w:pPr>
    </w:p>
    <w:p>
      <w:pPr>
        <w:ind w:right="20" w:firstLine="1263"/>
        <w:spacing w:after="0" w:line="279" w:lineRule="auto"/>
        <w:tabs>
          <w:tab w:leader="none" w:pos="1895" w:val="left"/>
        </w:tabs>
        <w:numPr>
          <w:ilvl w:val="1"/>
          <w:numId w:val="477"/>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shall defend and indemnify members of the Board, officers and Employees of the Company or of a Parent or Subsidiary whom authority to act for the Board, the Administrator or the Company is delegated (“</w:t>
      </w:r>
      <w:r>
        <w:rPr>
          <w:rFonts w:ascii="Arial" w:cs="Arial" w:eastAsia="Arial" w:hAnsi="Arial"/>
          <w:sz w:val="16"/>
          <w:szCs w:val="16"/>
          <w:b w:val="1"/>
          <w:bCs w:val="1"/>
          <w:color w:val="auto"/>
        </w:rPr>
        <w:t>Indemnitees</w:t>
      </w:r>
      <w:r>
        <w:rPr>
          <w:rFonts w:ascii="Arial" w:cs="Arial" w:eastAsia="Arial" w:hAnsi="Arial"/>
          <w:sz w:val="16"/>
          <w:szCs w:val="16"/>
          <w:color w:val="auto"/>
        </w:rPr>
        <w:t>”) to the maximum extent permitted by law against (i) all reasonable expenses, including reasonable attorneys’ fees incurred in connection with the defense of any claim, investigation, action, suit or proceeding, or in connection with any appeal therein (collectively, a “</w:t>
      </w:r>
      <w:r>
        <w:rPr>
          <w:rFonts w:ascii="Arial" w:cs="Arial" w:eastAsia="Arial" w:hAnsi="Arial"/>
          <w:sz w:val="16"/>
          <w:szCs w:val="16"/>
          <w:b w:val="1"/>
          <w:bCs w:val="1"/>
          <w:color w:val="auto"/>
        </w:rPr>
        <w:t>Claim</w:t>
      </w:r>
      <w:r>
        <w:rPr>
          <w:rFonts w:ascii="Arial" w:cs="Arial" w:eastAsia="Arial" w:hAnsi="Arial"/>
          <w:sz w:val="16"/>
          <w:szCs w:val="16"/>
          <w:color w:val="auto"/>
        </w:rPr>
        <w:t>”), to which any of them is a party by reason of any action taken or failure to act in connection with the Plan, or in connection with any Award granted under the Plan; and (ii) all amounts required to be paid by them in settlement the Claim (provided the settlement is approved by the Company) or required to be paid by them in satisfaction of a judgment in any Claim. However, no person shall be entitled to indemnification to the extent he is determined in such Claim to be liable for gross negligence, bad faith or intentional misconduct. In addition, to be entitled to indemnification, the Indemnitee must, within 30 days after written notice of the Claim, offer the Company, in writing, the opportunity, at the Company’s expense, to defend the Claim. The right to indemnification shall be in addition to all other rights of indemnification available to the Indemnitee.</w:t>
      </w:r>
    </w:p>
    <w:p>
      <w:pPr>
        <w:spacing w:after="0" w:line="166" w:lineRule="exact"/>
        <w:rPr>
          <w:rFonts w:ascii="Arial" w:cs="Arial" w:eastAsia="Arial" w:hAnsi="Arial"/>
          <w:sz w:val="16"/>
          <w:szCs w:val="16"/>
          <w:color w:val="auto"/>
        </w:rPr>
      </w:pPr>
    </w:p>
    <w:p>
      <w:pPr>
        <w:ind w:right="120" w:firstLine="634"/>
        <w:spacing w:after="0" w:line="330" w:lineRule="auto"/>
        <w:tabs>
          <w:tab w:leader="none" w:pos="1258" w:val="left"/>
        </w:tabs>
        <w:numPr>
          <w:ilvl w:val="0"/>
          <w:numId w:val="478"/>
        </w:numPr>
        <w:rPr>
          <w:rFonts w:ascii="Arial" w:cs="Arial" w:eastAsia="Arial" w:hAnsi="Arial"/>
          <w:sz w:val="16"/>
          <w:szCs w:val="16"/>
          <w:color w:val="auto"/>
        </w:rPr>
      </w:pPr>
      <w:r>
        <w:rPr>
          <w:rFonts w:ascii="Arial" w:cs="Arial" w:eastAsia="Arial" w:hAnsi="Arial"/>
          <w:sz w:val="16"/>
          <w:szCs w:val="16"/>
          <w:b w:val="1"/>
          <w:bCs w:val="1"/>
          <w:color w:val="auto"/>
        </w:rPr>
        <w:t>Eligibility</w:t>
      </w:r>
      <w:r>
        <w:rPr>
          <w:rFonts w:ascii="Arial" w:cs="Arial" w:eastAsia="Arial" w:hAnsi="Arial"/>
          <w:sz w:val="16"/>
          <w:szCs w:val="16"/>
          <w:color w:val="auto"/>
        </w:rPr>
        <w:t>. Nonstatutory Stock Options, Stock Appreciation Rights, Restricted Stock, Restricted Stock Units, Performance Units,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and Other Stock Based Awards may be granted to Service Providers. Incentive Stock Options may be granted only to Employees.</w:t>
      </w:r>
    </w:p>
    <w:p>
      <w:pPr>
        <w:spacing w:after="0" w:line="129" w:lineRule="exact"/>
        <w:rPr>
          <w:rFonts w:ascii="Arial" w:cs="Arial" w:eastAsia="Arial" w:hAnsi="Arial"/>
          <w:sz w:val="16"/>
          <w:szCs w:val="16"/>
          <w:color w:val="auto"/>
        </w:rPr>
      </w:pPr>
    </w:p>
    <w:p>
      <w:pPr>
        <w:ind w:left="1260" w:hanging="626"/>
        <w:spacing w:after="0"/>
        <w:tabs>
          <w:tab w:leader="none" w:pos="1260" w:val="left"/>
        </w:tabs>
        <w:numPr>
          <w:ilvl w:val="0"/>
          <w:numId w:val="478"/>
        </w:numPr>
        <w:rPr>
          <w:rFonts w:ascii="Arial" w:cs="Arial" w:eastAsia="Arial" w:hAnsi="Arial"/>
          <w:sz w:val="17"/>
          <w:szCs w:val="17"/>
          <w:color w:val="auto"/>
        </w:rPr>
      </w:pPr>
      <w:r>
        <w:rPr>
          <w:rFonts w:ascii="Arial" w:cs="Arial" w:eastAsia="Arial" w:hAnsi="Arial"/>
          <w:sz w:val="17"/>
          <w:szCs w:val="17"/>
          <w:u w:val="single" w:color="auto"/>
          <w:color w:val="auto"/>
        </w:rPr>
        <w:t>Limitations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263"/>
        <w:spacing w:after="0" w:line="263" w:lineRule="auto"/>
        <w:tabs>
          <w:tab w:leader="none" w:pos="1885" w:val="left"/>
        </w:tabs>
        <w:numPr>
          <w:ilvl w:val="1"/>
          <w:numId w:val="478"/>
        </w:numPr>
        <w:rPr>
          <w:rFonts w:ascii="Arial" w:cs="Arial" w:eastAsia="Arial" w:hAnsi="Arial"/>
          <w:sz w:val="17"/>
          <w:szCs w:val="17"/>
          <w:color w:val="auto"/>
        </w:rPr>
      </w:pPr>
      <w:r>
        <w:rPr>
          <w:rFonts w:ascii="Arial" w:cs="Arial" w:eastAsia="Arial" w:hAnsi="Arial"/>
          <w:sz w:val="17"/>
          <w:szCs w:val="17"/>
          <w:u w:val="single" w:color="auto"/>
          <w:color w:val="auto"/>
        </w:rPr>
        <w:t>$100,000 Limitation for Incentive Stock Options</w:t>
      </w:r>
      <w:r>
        <w:rPr>
          <w:rFonts w:ascii="Arial" w:cs="Arial" w:eastAsia="Arial" w:hAnsi="Arial"/>
          <w:sz w:val="17"/>
          <w:szCs w:val="17"/>
          <w:color w:val="auto"/>
        </w:rPr>
        <w:t>. Each Option shall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a Participant during any calendar year (under all plans of the Company and any Parent or Subsidiary) exceeds $100,000, such Options shall be treated as Nonstatutory Stock Options. For purposes of this Section 6(a), Incentive Stock Options shall be taken into account in the order in which they were granted. The Fair Market Value of the Shares shall be determined as of the time the Options with respect to such Shares are granted.</w:t>
      </w:r>
    </w:p>
    <w:p>
      <w:pPr>
        <w:spacing w:after="0" w:line="183" w:lineRule="exact"/>
        <w:rPr>
          <w:rFonts w:ascii="Arial" w:cs="Arial" w:eastAsia="Arial" w:hAnsi="Arial"/>
          <w:sz w:val="17"/>
          <w:szCs w:val="17"/>
          <w:color w:val="auto"/>
        </w:rPr>
      </w:pPr>
    </w:p>
    <w:p>
      <w:pPr>
        <w:ind w:right="20" w:firstLine="1263"/>
        <w:spacing w:after="0" w:line="263" w:lineRule="auto"/>
        <w:tabs>
          <w:tab w:leader="none" w:pos="1895" w:val="left"/>
        </w:tabs>
        <w:numPr>
          <w:ilvl w:val="1"/>
          <w:numId w:val="478"/>
        </w:numPr>
        <w:rPr>
          <w:rFonts w:ascii="Arial" w:cs="Arial" w:eastAsia="Arial" w:hAnsi="Arial"/>
          <w:sz w:val="17"/>
          <w:szCs w:val="17"/>
          <w:color w:val="auto"/>
        </w:rPr>
      </w:pPr>
      <w:r>
        <w:rPr>
          <w:rFonts w:ascii="Arial" w:cs="Arial" w:eastAsia="Arial" w:hAnsi="Arial"/>
          <w:sz w:val="17"/>
          <w:szCs w:val="17"/>
          <w:u w:val="single" w:color="auto"/>
          <w:color w:val="auto"/>
        </w:rPr>
        <w:t>Special Annual Limits</w:t>
      </w:r>
      <w:r>
        <w:rPr>
          <w:rFonts w:ascii="Arial" w:cs="Arial" w:eastAsia="Arial" w:hAnsi="Arial"/>
          <w:sz w:val="17"/>
          <w:szCs w:val="17"/>
          <w:color w:val="auto"/>
        </w:rPr>
        <w:t>. Subject to Section 15 of the Plan, the maximum number of Shares that may be subject to Options or Stock Appreciation Rights granted to any Service Provider in any calendar year shall equal 18,000,000 Shares and contain an exercise price equal to the Fair Market Value of the Common Stock as of the date of grant. Subject to Section 15 of the Plan, the maximum number of Shares that may be subject to Restricted Stock, Restricted Stock Units, Performance Shares, Performance Units and Other Stock Based Awards, Other Stock Based Awards granted to any Service Provider in any calendar year shall equal 18,000,000 Shares. Subject to Section 15 of the Plan, the maximum dollar amount that may be subject to cash awards granted to any Service Provider in any calendar year shall equal $5,000,000.</w:t>
      </w:r>
    </w:p>
    <w:p>
      <w:pPr>
        <w:spacing w:after="0" w:line="183" w:lineRule="exact"/>
        <w:rPr>
          <w:rFonts w:ascii="Arial" w:cs="Arial" w:eastAsia="Arial" w:hAnsi="Arial"/>
          <w:sz w:val="17"/>
          <w:szCs w:val="17"/>
          <w:color w:val="auto"/>
        </w:rPr>
      </w:pPr>
    </w:p>
    <w:p>
      <w:pPr>
        <w:ind w:left="1260" w:hanging="626"/>
        <w:spacing w:after="0"/>
        <w:tabs>
          <w:tab w:leader="none" w:pos="1260" w:val="left"/>
        </w:tabs>
        <w:numPr>
          <w:ilvl w:val="0"/>
          <w:numId w:val="478"/>
        </w:numPr>
        <w:rPr>
          <w:rFonts w:ascii="Arial" w:cs="Arial" w:eastAsia="Arial" w:hAnsi="Arial"/>
          <w:sz w:val="17"/>
          <w:szCs w:val="17"/>
          <w:color w:val="auto"/>
        </w:rPr>
      </w:pPr>
      <w:r>
        <w:rPr>
          <w:rFonts w:ascii="Arial" w:cs="Arial" w:eastAsia="Arial" w:hAnsi="Arial"/>
          <w:sz w:val="17"/>
          <w:szCs w:val="17"/>
          <w:u w:val="single" w:color="auto"/>
          <w:color w:val="auto"/>
        </w:rPr>
        <w:t>Options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0" w:firstLine="1263"/>
        <w:spacing w:after="0" w:line="273" w:lineRule="auto"/>
        <w:tabs>
          <w:tab w:leader="none" w:pos="1885" w:val="left"/>
        </w:tabs>
        <w:numPr>
          <w:ilvl w:val="1"/>
          <w:numId w:val="478"/>
        </w:numPr>
        <w:rPr>
          <w:rFonts w:ascii="Arial" w:cs="Arial" w:eastAsia="Arial" w:hAnsi="Arial"/>
          <w:sz w:val="17"/>
          <w:szCs w:val="17"/>
          <w:color w:val="auto"/>
        </w:rPr>
      </w:pPr>
      <w:r>
        <w:rPr>
          <w:rFonts w:ascii="Arial" w:cs="Arial" w:eastAsia="Arial" w:hAnsi="Arial"/>
          <w:sz w:val="17"/>
          <w:szCs w:val="17"/>
          <w:u w:val="single" w:color="auto"/>
          <w:color w:val="auto"/>
        </w:rPr>
        <w:t>Term of Option</w:t>
      </w:r>
      <w:r>
        <w:rPr>
          <w:rFonts w:ascii="Arial" w:cs="Arial" w:eastAsia="Arial" w:hAnsi="Arial"/>
          <w:sz w:val="17"/>
          <w:szCs w:val="17"/>
          <w:color w:val="auto"/>
        </w:rPr>
        <w:t>. The term of each Option shall be stated in the Award Agreement. In the case of an Incentive Stock Option, the term shall be 10 years from the date of grant or such shorter term as may be provided in the Award Agreement. Moreover, in the case of an Incentive Stock Option granted to a Participant who, at the time the Incentive Stock Option is granted, owns stock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representing more than 10% of the total combined voting power of all classes of stock of the Company or any Parent or Subsidiary, the term of the Incentive Stock Option shall be five years from the date of grant or such shorter term as may be provided in the Award Agreement.</w:t>
      </w:r>
    </w:p>
    <w:p>
      <w:pPr>
        <w:spacing w:after="0" w:line="158" w:lineRule="exact"/>
        <w:rPr>
          <w:sz w:val="20"/>
          <w:szCs w:val="20"/>
          <w:color w:val="auto"/>
        </w:rPr>
      </w:pPr>
    </w:p>
    <w:p>
      <w:pPr>
        <w:ind w:left="1900" w:hanging="637"/>
        <w:spacing w:after="0"/>
        <w:tabs>
          <w:tab w:leader="none" w:pos="1900" w:val="left"/>
        </w:tabs>
        <w:numPr>
          <w:ilvl w:val="0"/>
          <w:numId w:val="479"/>
        </w:numPr>
        <w:rPr>
          <w:rFonts w:ascii="Arial" w:cs="Arial" w:eastAsia="Arial" w:hAnsi="Arial"/>
          <w:sz w:val="17"/>
          <w:szCs w:val="17"/>
          <w:color w:val="auto"/>
        </w:rPr>
      </w:pPr>
      <w:r>
        <w:rPr>
          <w:rFonts w:ascii="Arial" w:cs="Arial" w:eastAsia="Arial" w:hAnsi="Arial"/>
          <w:sz w:val="17"/>
          <w:szCs w:val="17"/>
          <w:u w:val="single" w:color="auto"/>
          <w:color w:val="auto"/>
        </w:rPr>
        <w:t>Option Exercise Price and Consideration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00" w:firstLine="1893"/>
        <w:spacing w:after="0" w:line="289" w:lineRule="auto"/>
        <w:tabs>
          <w:tab w:leader="none" w:pos="2538" w:val="left"/>
        </w:tabs>
        <w:numPr>
          <w:ilvl w:val="1"/>
          <w:numId w:val="479"/>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per Share exercise price for the Shares to be issued pursuant to exercise of an Option shall be determined by the Administrator, subject to the following:</w:t>
      </w:r>
    </w:p>
    <w:p>
      <w:pPr>
        <w:spacing w:after="0" w:line="158" w:lineRule="exact"/>
        <w:rPr>
          <w:rFonts w:ascii="Arial" w:cs="Arial" w:eastAsia="Arial" w:hAnsi="Arial"/>
          <w:sz w:val="17"/>
          <w:szCs w:val="17"/>
          <w:color w:val="auto"/>
        </w:rPr>
      </w:pPr>
    </w:p>
    <w:p>
      <w:pPr>
        <w:ind w:left="3160" w:hanging="638"/>
        <w:spacing w:after="0"/>
        <w:tabs>
          <w:tab w:leader="none" w:pos="3160" w:val="left"/>
        </w:tabs>
        <w:numPr>
          <w:ilvl w:val="2"/>
          <w:numId w:val="479"/>
        </w:numPr>
        <w:rPr>
          <w:rFonts w:ascii="Arial" w:cs="Arial" w:eastAsia="Arial" w:hAnsi="Arial"/>
          <w:sz w:val="17"/>
          <w:szCs w:val="17"/>
          <w:color w:val="auto"/>
        </w:rPr>
      </w:pPr>
      <w:r>
        <w:rPr>
          <w:rFonts w:ascii="Arial" w:cs="Arial" w:eastAsia="Arial" w:hAnsi="Arial"/>
          <w:sz w:val="17"/>
          <w:szCs w:val="17"/>
          <w:color w:val="auto"/>
        </w:rPr>
        <w:t>In the case of an Incentive Stock Option</w:t>
      </w:r>
    </w:p>
    <w:p>
      <w:pPr>
        <w:spacing w:after="0" w:line="224" w:lineRule="exact"/>
        <w:rPr>
          <w:rFonts w:ascii="Arial" w:cs="Arial" w:eastAsia="Arial" w:hAnsi="Arial"/>
          <w:sz w:val="17"/>
          <w:szCs w:val="17"/>
          <w:color w:val="auto"/>
        </w:rPr>
      </w:pPr>
    </w:p>
    <w:p>
      <w:pPr>
        <w:ind w:right="60" w:firstLine="3151"/>
        <w:spacing w:after="0" w:line="273" w:lineRule="auto"/>
        <w:tabs>
          <w:tab w:leader="none" w:pos="3795" w:val="left"/>
        </w:tabs>
        <w:numPr>
          <w:ilvl w:val="3"/>
          <w:numId w:val="479"/>
        </w:numPr>
        <w:rPr>
          <w:rFonts w:ascii="Arial" w:cs="Arial" w:eastAsia="Arial" w:hAnsi="Arial"/>
          <w:sz w:val="17"/>
          <w:szCs w:val="17"/>
          <w:color w:val="auto"/>
        </w:rPr>
      </w:pPr>
      <w:r>
        <w:rPr>
          <w:rFonts w:ascii="Arial" w:cs="Arial" w:eastAsia="Arial" w:hAnsi="Arial"/>
          <w:sz w:val="17"/>
          <w:szCs w:val="17"/>
          <w:color w:val="auto"/>
        </w:rPr>
        <w:t>granted to an Employee who, at the time the Incentive Stock Option is granted, owns stock representing more than 10% of the total combined voting power of all classes of stock of the Company or any Parent or Subsidiary, the per Share exercise price shall be no less than 110% of the Fair Market Value per Share on the date of grant.</w:t>
      </w:r>
    </w:p>
    <w:p>
      <w:pPr>
        <w:spacing w:after="0" w:line="171" w:lineRule="exact"/>
        <w:rPr>
          <w:rFonts w:ascii="Arial" w:cs="Arial" w:eastAsia="Arial" w:hAnsi="Arial"/>
          <w:sz w:val="17"/>
          <w:szCs w:val="17"/>
          <w:color w:val="auto"/>
        </w:rPr>
      </w:pPr>
    </w:p>
    <w:p>
      <w:pPr>
        <w:ind w:right="300" w:firstLine="3151"/>
        <w:spacing w:after="0" w:line="289" w:lineRule="auto"/>
        <w:tabs>
          <w:tab w:leader="none" w:pos="3786" w:val="left"/>
        </w:tabs>
        <w:numPr>
          <w:ilvl w:val="3"/>
          <w:numId w:val="479"/>
        </w:numPr>
        <w:rPr>
          <w:rFonts w:ascii="Arial" w:cs="Arial" w:eastAsia="Arial" w:hAnsi="Arial"/>
          <w:sz w:val="17"/>
          <w:szCs w:val="17"/>
          <w:color w:val="auto"/>
        </w:rPr>
      </w:pPr>
      <w:r>
        <w:rPr>
          <w:rFonts w:ascii="Arial" w:cs="Arial" w:eastAsia="Arial" w:hAnsi="Arial"/>
          <w:sz w:val="17"/>
          <w:szCs w:val="17"/>
          <w:color w:val="auto"/>
        </w:rPr>
        <w:t>granted to any Employee other than an Employee described in paragraph (A) immediately above, the per Share exercise price shall be no less than 100% of the Fair Market Value per Share on the date of grant.</w:t>
      </w:r>
    </w:p>
    <w:p>
      <w:pPr>
        <w:spacing w:after="0" w:line="158" w:lineRule="exact"/>
        <w:rPr>
          <w:rFonts w:ascii="Arial" w:cs="Arial" w:eastAsia="Arial" w:hAnsi="Arial"/>
          <w:sz w:val="17"/>
          <w:szCs w:val="17"/>
          <w:color w:val="auto"/>
        </w:rPr>
      </w:pPr>
    </w:p>
    <w:p>
      <w:pPr>
        <w:ind w:right="40" w:firstLine="2522"/>
        <w:spacing w:after="0" w:line="289" w:lineRule="auto"/>
        <w:tabs>
          <w:tab w:leader="none" w:pos="3153" w:val="left"/>
        </w:tabs>
        <w:numPr>
          <w:ilvl w:val="2"/>
          <w:numId w:val="479"/>
        </w:numPr>
        <w:rPr>
          <w:rFonts w:ascii="Arial" w:cs="Arial" w:eastAsia="Arial" w:hAnsi="Arial"/>
          <w:sz w:val="17"/>
          <w:szCs w:val="17"/>
          <w:color w:val="auto"/>
        </w:rPr>
      </w:pPr>
      <w:r>
        <w:rPr>
          <w:rFonts w:ascii="Arial" w:cs="Arial" w:eastAsia="Arial" w:hAnsi="Arial"/>
          <w:sz w:val="17"/>
          <w:szCs w:val="17"/>
          <w:color w:val="auto"/>
        </w:rPr>
        <w:t>In the case of a Nonstatutory Stock Option, the per Share exercise price shall be determined by the Administrator, but shall not be less than Fair Market Value per Share on the date of grant.</w:t>
      </w:r>
    </w:p>
    <w:p>
      <w:pPr>
        <w:spacing w:after="0" w:line="158" w:lineRule="exact"/>
        <w:rPr>
          <w:rFonts w:ascii="Arial" w:cs="Arial" w:eastAsia="Arial" w:hAnsi="Arial"/>
          <w:sz w:val="17"/>
          <w:szCs w:val="17"/>
          <w:color w:val="auto"/>
        </w:rPr>
      </w:pPr>
    </w:p>
    <w:p>
      <w:pPr>
        <w:ind w:right="100" w:firstLine="2522"/>
        <w:spacing w:after="0" w:line="322" w:lineRule="auto"/>
        <w:tabs>
          <w:tab w:leader="none" w:pos="3153" w:val="left"/>
        </w:tabs>
        <w:numPr>
          <w:ilvl w:val="2"/>
          <w:numId w:val="479"/>
        </w:numPr>
        <w:rPr>
          <w:rFonts w:ascii="Arial" w:cs="Arial" w:eastAsia="Arial" w:hAnsi="Arial"/>
          <w:sz w:val="16"/>
          <w:szCs w:val="16"/>
          <w:color w:val="auto"/>
        </w:rPr>
      </w:pPr>
      <w:r>
        <w:rPr>
          <w:rFonts w:ascii="Arial" w:cs="Arial" w:eastAsia="Arial" w:hAnsi="Arial"/>
          <w:sz w:val="16"/>
          <w:szCs w:val="16"/>
          <w:color w:val="auto"/>
        </w:rPr>
        <w:t>Notwithstanding the foregoing, Options may be granted with a per Share exercise price of less than 100% of the Fair Market Value per Share on the date of grant pursuant to a transaction described in, and in a manner consistent with, Section 424(a) of the Code.</w:t>
      </w:r>
    </w:p>
    <w:p>
      <w:pPr>
        <w:spacing w:after="0" w:line="135" w:lineRule="exact"/>
        <w:rPr>
          <w:rFonts w:ascii="Arial" w:cs="Arial" w:eastAsia="Arial" w:hAnsi="Arial"/>
          <w:sz w:val="16"/>
          <w:szCs w:val="16"/>
          <w:color w:val="auto"/>
        </w:rPr>
      </w:pPr>
    </w:p>
    <w:p>
      <w:pPr>
        <w:jc w:val="both"/>
        <w:ind w:right="160" w:firstLine="1893"/>
        <w:spacing w:after="0" w:line="273" w:lineRule="auto"/>
        <w:tabs>
          <w:tab w:leader="none" w:pos="2547" w:val="left"/>
        </w:tabs>
        <w:numPr>
          <w:ilvl w:val="1"/>
          <w:numId w:val="479"/>
        </w:numPr>
        <w:rPr>
          <w:rFonts w:ascii="Arial" w:cs="Arial" w:eastAsia="Arial" w:hAnsi="Arial"/>
          <w:sz w:val="17"/>
          <w:szCs w:val="17"/>
          <w:color w:val="auto"/>
        </w:rPr>
      </w:pPr>
      <w:r>
        <w:rPr>
          <w:rFonts w:ascii="Arial" w:cs="Arial" w:eastAsia="Arial" w:hAnsi="Arial"/>
          <w:sz w:val="17"/>
          <w:szCs w:val="17"/>
          <w:u w:val="single" w:color="auto"/>
          <w:color w:val="auto"/>
        </w:rPr>
        <w:t>Waiting Period and Exercise Dates</w:t>
      </w:r>
      <w:r>
        <w:rPr>
          <w:rFonts w:ascii="Arial" w:cs="Arial" w:eastAsia="Arial" w:hAnsi="Arial"/>
          <w:sz w:val="17"/>
          <w:szCs w:val="17"/>
          <w:color w:val="auto"/>
        </w:rPr>
        <w:t>. At the time an Option is granted, the Administrator shall fix the period within which the Option may be exercised and shall determine any conditions that must be satisfied before the Option may be exercised. The Administrator, in its sole discretion, may accelerate the satisfaction of such conditions at any time.</w:t>
      </w:r>
    </w:p>
    <w:p>
      <w:pPr>
        <w:spacing w:after="0" w:line="171" w:lineRule="exact"/>
        <w:rPr>
          <w:rFonts w:ascii="Arial" w:cs="Arial" w:eastAsia="Arial" w:hAnsi="Arial"/>
          <w:sz w:val="17"/>
          <w:szCs w:val="17"/>
          <w:color w:val="auto"/>
        </w:rPr>
      </w:pPr>
    </w:p>
    <w:p>
      <w:pPr>
        <w:ind w:right="40" w:firstLine="1263"/>
        <w:spacing w:after="0" w:line="273" w:lineRule="auto"/>
        <w:tabs>
          <w:tab w:leader="none" w:pos="1898" w:val="left"/>
        </w:tabs>
        <w:numPr>
          <w:ilvl w:val="0"/>
          <w:numId w:val="479"/>
        </w:numPr>
        <w:rPr>
          <w:rFonts w:ascii="Arial" w:cs="Arial" w:eastAsia="Arial" w:hAnsi="Arial"/>
          <w:sz w:val="17"/>
          <w:szCs w:val="17"/>
          <w:color w:val="auto"/>
        </w:rPr>
      </w:pPr>
      <w:r>
        <w:rPr>
          <w:rFonts w:ascii="Arial" w:cs="Arial" w:eastAsia="Arial" w:hAnsi="Arial"/>
          <w:sz w:val="17"/>
          <w:szCs w:val="17"/>
          <w:u w:val="single" w:color="auto"/>
          <w:color w:val="auto"/>
        </w:rPr>
        <w:t>Form of Consideration</w:t>
      </w:r>
      <w:r>
        <w:rPr>
          <w:rFonts w:ascii="Arial" w:cs="Arial" w:eastAsia="Arial" w:hAnsi="Arial"/>
          <w:sz w:val="17"/>
          <w:szCs w:val="17"/>
          <w:color w:val="auto"/>
        </w:rPr>
        <w:t>. The Administrator shall determine the acceptable form of consideration for exercising an Option, including the method of payment. In the case of an Incentive Stock Option, the Administrator shall determine the acceptable form of consideration at the time of grant. Such consideration, to the extent permitted by Applicable Laws, may consist entirely of:</w:t>
      </w:r>
    </w:p>
    <w:p>
      <w:pPr>
        <w:spacing w:after="0" w:line="171" w:lineRule="exact"/>
        <w:rPr>
          <w:rFonts w:ascii="Arial" w:cs="Arial" w:eastAsia="Arial" w:hAnsi="Arial"/>
          <w:sz w:val="17"/>
          <w:szCs w:val="17"/>
          <w:color w:val="auto"/>
        </w:rPr>
      </w:pPr>
    </w:p>
    <w:p>
      <w:pPr>
        <w:ind w:left="2540" w:hanging="647"/>
        <w:spacing w:after="0"/>
        <w:tabs>
          <w:tab w:leader="none" w:pos="2540" w:val="left"/>
        </w:tabs>
        <w:numPr>
          <w:ilvl w:val="1"/>
          <w:numId w:val="479"/>
        </w:numPr>
        <w:rPr>
          <w:rFonts w:ascii="Arial" w:cs="Arial" w:eastAsia="Arial" w:hAnsi="Arial"/>
          <w:sz w:val="17"/>
          <w:szCs w:val="17"/>
          <w:color w:val="auto"/>
        </w:rPr>
      </w:pPr>
      <w:r>
        <w:rPr>
          <w:rFonts w:ascii="Arial" w:cs="Arial" w:eastAsia="Arial" w:hAnsi="Arial"/>
          <w:sz w:val="17"/>
          <w:szCs w:val="17"/>
          <w:color w:val="auto"/>
        </w:rPr>
        <w:t>cash;</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1"/>
          <w:numId w:val="479"/>
        </w:numPr>
        <w:rPr>
          <w:rFonts w:ascii="Arial" w:cs="Arial" w:eastAsia="Arial" w:hAnsi="Arial"/>
          <w:sz w:val="17"/>
          <w:szCs w:val="17"/>
          <w:color w:val="auto"/>
        </w:rPr>
      </w:pPr>
      <w:r>
        <w:rPr>
          <w:rFonts w:ascii="Arial" w:cs="Arial" w:eastAsia="Arial" w:hAnsi="Arial"/>
          <w:sz w:val="17"/>
          <w:szCs w:val="17"/>
          <w:color w:val="auto"/>
        </w:rPr>
        <w:t>check;</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1"/>
          <w:numId w:val="479"/>
        </w:numPr>
        <w:rPr>
          <w:rFonts w:ascii="Arial" w:cs="Arial" w:eastAsia="Arial" w:hAnsi="Arial"/>
          <w:sz w:val="16"/>
          <w:szCs w:val="16"/>
          <w:color w:val="auto"/>
        </w:rPr>
      </w:pPr>
      <w:r>
        <w:rPr>
          <w:rFonts w:ascii="Arial" w:cs="Arial" w:eastAsia="Arial" w:hAnsi="Arial"/>
          <w:sz w:val="16"/>
          <w:szCs w:val="16"/>
          <w:color w:val="auto"/>
        </w:rPr>
        <w:t>other Shares which meet the conditions established by the Administrator to avoid adverse accounting consequences (as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determined by the Administrator);</w:t>
      </w:r>
    </w:p>
    <w:p>
      <w:pPr>
        <w:sectPr>
          <w:pgSz w:w="11900" w:h="16838" w:orient="portrait"/>
          <w:cols w:equalWidth="0" w:num="1">
            <w:col w:w="11420"/>
          </w:cols>
          <w:pgMar w:left="240" w:top="127" w:right="239" w:bottom="0" w:gutter="0" w:footer="0" w:header="0"/>
        </w:sectPr>
      </w:pPr>
    </w:p>
    <w:bookmarkStart w:id="340" w:name="page341"/>
    <w:bookmarkEnd w:id="340"/>
    <w:p>
      <w:pPr>
        <w:ind w:left="2540" w:hanging="647"/>
        <w:spacing w:after="0"/>
        <w:tabs>
          <w:tab w:leader="none" w:pos="2540" w:val="left"/>
        </w:tabs>
        <w:numPr>
          <w:ilvl w:val="0"/>
          <w:numId w:val="480"/>
        </w:numPr>
        <w:rPr>
          <w:rFonts w:ascii="Arial" w:cs="Arial" w:eastAsia="Arial" w:hAnsi="Arial"/>
          <w:sz w:val="16"/>
          <w:szCs w:val="16"/>
          <w:color w:val="auto"/>
        </w:rPr>
      </w:pPr>
      <w:r>
        <w:rPr>
          <w:rFonts w:ascii="Arial" w:cs="Arial" w:eastAsia="Arial" w:hAnsi="Arial"/>
          <w:sz w:val="16"/>
          <w:szCs w:val="16"/>
          <w:color w:val="auto"/>
        </w:rPr>
        <w:t>consideration received by the Company under a cashless exercise program implemented by the Company in connection with</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Plan;</w:t>
      </w:r>
    </w:p>
    <w:p>
      <w:pPr>
        <w:spacing w:after="0" w:line="212" w:lineRule="exact"/>
        <w:rPr>
          <w:sz w:val="20"/>
          <w:szCs w:val="20"/>
          <w:color w:val="auto"/>
        </w:rPr>
      </w:pPr>
    </w:p>
    <w:p>
      <w:pPr>
        <w:ind w:right="240" w:firstLine="1893"/>
        <w:spacing w:after="0" w:line="289" w:lineRule="auto"/>
        <w:tabs>
          <w:tab w:leader="none" w:pos="2524" w:val="left"/>
        </w:tabs>
        <w:numPr>
          <w:ilvl w:val="0"/>
          <w:numId w:val="481"/>
        </w:numPr>
        <w:rPr>
          <w:rFonts w:ascii="Arial" w:cs="Arial" w:eastAsia="Arial" w:hAnsi="Arial"/>
          <w:sz w:val="17"/>
          <w:szCs w:val="17"/>
          <w:color w:val="auto"/>
        </w:rPr>
      </w:pPr>
      <w:r>
        <w:rPr>
          <w:rFonts w:ascii="Arial" w:cs="Arial" w:eastAsia="Arial" w:hAnsi="Arial"/>
          <w:sz w:val="17"/>
          <w:szCs w:val="17"/>
          <w:color w:val="auto"/>
        </w:rPr>
        <w:t>a reduction in the amount of any Company liability to the Participant, including any liability attributable to the Participant’s participation in any Company-sponsored deferred compensation program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40" w:hanging="647"/>
        <w:spacing w:after="0"/>
        <w:tabs>
          <w:tab w:leader="none" w:pos="2540" w:val="left"/>
        </w:tabs>
        <w:numPr>
          <w:ilvl w:val="1"/>
          <w:numId w:val="482"/>
        </w:numPr>
        <w:rPr>
          <w:rFonts w:ascii="Arial" w:cs="Arial" w:eastAsia="Arial" w:hAnsi="Arial"/>
          <w:sz w:val="17"/>
          <w:szCs w:val="17"/>
          <w:color w:val="auto"/>
        </w:rPr>
      </w:pPr>
      <w:r>
        <w:rPr>
          <w:rFonts w:ascii="Arial" w:cs="Arial" w:eastAsia="Arial" w:hAnsi="Arial"/>
          <w:sz w:val="17"/>
          <w:szCs w:val="17"/>
          <w:color w:val="auto"/>
        </w:rPr>
        <w:t>any combination of the foregoing methods of payment; or</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1"/>
          <w:numId w:val="482"/>
        </w:numPr>
        <w:rPr>
          <w:rFonts w:ascii="Arial" w:cs="Arial" w:eastAsia="Arial" w:hAnsi="Arial"/>
          <w:sz w:val="17"/>
          <w:szCs w:val="17"/>
          <w:color w:val="auto"/>
        </w:rPr>
      </w:pPr>
      <w:r>
        <w:rPr>
          <w:rFonts w:ascii="Arial" w:cs="Arial" w:eastAsia="Arial" w:hAnsi="Arial"/>
          <w:sz w:val="17"/>
          <w:szCs w:val="17"/>
          <w:color w:val="auto"/>
        </w:rPr>
        <w:t>any other consideration and method of payment for the issuance of Shares permitted by Applicable Laws.</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483"/>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893"/>
        <w:spacing w:after="0" w:line="260" w:lineRule="auto"/>
        <w:tabs>
          <w:tab w:leader="none" w:pos="2538" w:val="left"/>
        </w:tabs>
        <w:numPr>
          <w:ilvl w:val="1"/>
          <w:numId w:val="483"/>
        </w:numPr>
        <w:rPr>
          <w:rFonts w:ascii="Arial" w:cs="Arial" w:eastAsia="Arial" w:hAnsi="Arial"/>
          <w:sz w:val="17"/>
          <w:szCs w:val="17"/>
          <w:color w:val="auto"/>
        </w:rPr>
      </w:pPr>
      <w:r>
        <w:rPr>
          <w:rFonts w:ascii="Arial" w:cs="Arial" w:eastAsia="Arial" w:hAnsi="Arial"/>
          <w:sz w:val="17"/>
          <w:szCs w:val="17"/>
          <w:u w:val="single" w:color="auto"/>
          <w:color w:val="auto"/>
        </w:rPr>
        <w:t>Procedure for Exercise; Rights as a Stockholder</w:t>
      </w:r>
      <w:r>
        <w:rPr>
          <w:rFonts w:ascii="Arial" w:cs="Arial" w:eastAsia="Arial" w:hAnsi="Arial"/>
          <w:sz w:val="17"/>
          <w:szCs w:val="17"/>
          <w:color w:val="auto"/>
        </w:rPr>
        <w:t>. Any Option granted under this Plan shall be exercisable according to the terms of the Plan and at such times and under such conditions as determined by the Administrator and set forth in the Award Agreement. An Option shall be deemed exercised when the Company receives: (x) written or electronic notice of exercise (in accordance with the Award Agreement) from the person entitled to exercise the Option, and (y) full payment for the Shares with respect to which the Option is exercised (including provision for any applicable tax withholding). Full payment may consist of any consideration and method of payment authorized by the Administrator and permitted by the Award Agreement and the Plan. Shares issued upon exercise of an Option shall be issued in the name of the Participant or, if requested by the Participant, in the name of the Participant and his spouse. Until the Shares are issued (as evidenced by the appropriate entry on the books of the Company or of a duly authorized transfer agent of the Company), no right to vote or receive dividends or any other rights as a stockholder shall exist with respect to the Awarded Stock, notwithstanding the exercise of the Option. The Company shall issue (or cause to be issued) such Shares promptly after the Option is exercised. No adjustment shall be made for a dividend or other right for which the record date is prior to the date the Shares are issued, except as provided in Section 15 of the Plan or the applicable Award Agreement. Exercising an Option in any manner shall decrease the number of Shares thereafter available for sale under the Option, by the number of Shares as to which the Option is exercised.</w:t>
      </w:r>
    </w:p>
    <w:p>
      <w:pPr>
        <w:spacing w:after="0" w:line="185" w:lineRule="exact"/>
        <w:rPr>
          <w:rFonts w:ascii="Arial" w:cs="Arial" w:eastAsia="Arial" w:hAnsi="Arial"/>
          <w:sz w:val="17"/>
          <w:szCs w:val="17"/>
          <w:color w:val="auto"/>
        </w:rPr>
      </w:pPr>
    </w:p>
    <w:p>
      <w:pPr>
        <w:ind w:firstLine="1893"/>
        <w:spacing w:after="0" w:line="281" w:lineRule="auto"/>
        <w:tabs>
          <w:tab w:leader="none" w:pos="2547" w:val="left"/>
        </w:tabs>
        <w:numPr>
          <w:ilvl w:val="1"/>
          <w:numId w:val="483"/>
        </w:numPr>
        <w:rPr>
          <w:rFonts w:ascii="Arial" w:cs="Arial" w:eastAsia="Arial" w:hAnsi="Arial"/>
          <w:sz w:val="16"/>
          <w:szCs w:val="16"/>
          <w:color w:val="auto"/>
        </w:rPr>
      </w:pPr>
      <w:r>
        <w:rPr>
          <w:rFonts w:ascii="Arial" w:cs="Arial" w:eastAsia="Arial" w:hAnsi="Arial"/>
          <w:sz w:val="16"/>
          <w:szCs w:val="16"/>
          <w:u w:val="single" w:color="auto"/>
          <w:color w:val="auto"/>
        </w:rPr>
        <w:t>Termination of Relationship as a Service Provider</w:t>
      </w:r>
      <w:r>
        <w:rPr>
          <w:rFonts w:ascii="Arial" w:cs="Arial" w:eastAsia="Arial" w:hAnsi="Arial"/>
          <w:sz w:val="16"/>
          <w:szCs w:val="16"/>
          <w:color w:val="auto"/>
        </w:rPr>
        <w:t>. If a Participant ceases to be a Service Provider, other than upon the Participant’s death or Disability, the Participant may exercise his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shall remain exercisable for 30 days following the Participant’s termination after which the Option shall terminate. Unless otherwise provided by the Administrator, if on the date of termination the Participant is not vested as to his entire Option, the Shares covered by the unvested portion of the Option shall revert to the Plan. If the Participant does not exercise his Option as to all of the vested Shares within the time specified by the Award Agreement, the Option shall terminate, and the remaining Shares covered by the Option shall revert to the Plan.</w:t>
      </w:r>
    </w:p>
    <w:p>
      <w:pPr>
        <w:spacing w:after="0" w:line="170" w:lineRule="exact"/>
        <w:rPr>
          <w:rFonts w:ascii="Arial" w:cs="Arial" w:eastAsia="Arial" w:hAnsi="Arial"/>
          <w:sz w:val="16"/>
          <w:szCs w:val="16"/>
          <w:color w:val="auto"/>
        </w:rPr>
      </w:pPr>
    </w:p>
    <w:p>
      <w:pPr>
        <w:ind w:firstLine="1893"/>
        <w:spacing w:after="0" w:line="283" w:lineRule="auto"/>
        <w:tabs>
          <w:tab w:leader="none" w:pos="2556" w:val="left"/>
        </w:tabs>
        <w:numPr>
          <w:ilvl w:val="1"/>
          <w:numId w:val="483"/>
        </w:numPr>
        <w:rPr>
          <w:rFonts w:ascii="Arial" w:cs="Arial" w:eastAsia="Arial" w:hAnsi="Arial"/>
          <w:sz w:val="16"/>
          <w:szCs w:val="16"/>
          <w:color w:val="auto"/>
        </w:rPr>
      </w:pPr>
      <w:r>
        <w:rPr>
          <w:rFonts w:ascii="Arial" w:cs="Arial" w:eastAsia="Arial" w:hAnsi="Arial"/>
          <w:sz w:val="16"/>
          <w:szCs w:val="16"/>
          <w:u w:val="single" w:color="auto"/>
          <w:color w:val="auto"/>
        </w:rPr>
        <w:t>Disability of Participant</w:t>
      </w:r>
      <w:r>
        <w:rPr>
          <w:rFonts w:ascii="Arial" w:cs="Arial" w:eastAsia="Arial" w:hAnsi="Arial"/>
          <w:sz w:val="16"/>
          <w:szCs w:val="16"/>
          <w:color w:val="auto"/>
        </w:rPr>
        <w:t>. If a Participant ceases to be a Service Provider as a result of his Disability, the Participant may exercise his Option, to the extent vested, within the time specified in the Award Agreement (but in no event later than the expiration of the term of the Option as set forth in the Award Agreement). If no time for exercise of the Option on Disability is specified in the Award Agreement, the Option shall remain exercisable for 24 months following the Participant’s termination for Disability. Unless otherwise provided by the Administrator, on the date of termination for Disability, the unvested portion of the Option shall revert to the Plan. If after termination for Disability, the Participant does not exercise his Option as to all of the vested Shares within the time specified by the Award Agreement, the Option shall terminate and the remaining Shares covered by such Option shall revert to the Plan.</w:t>
      </w:r>
    </w:p>
    <w:p>
      <w:pPr>
        <w:spacing w:after="0" w:line="166" w:lineRule="exact"/>
        <w:rPr>
          <w:rFonts w:ascii="Arial" w:cs="Arial" w:eastAsia="Arial" w:hAnsi="Arial"/>
          <w:sz w:val="16"/>
          <w:szCs w:val="16"/>
          <w:color w:val="auto"/>
        </w:rPr>
      </w:pPr>
    </w:p>
    <w:p>
      <w:pPr>
        <w:ind w:right="160" w:firstLine="1893"/>
        <w:spacing w:after="0" w:line="289" w:lineRule="auto"/>
        <w:tabs>
          <w:tab w:leader="none" w:pos="2533" w:val="left"/>
        </w:tabs>
        <w:numPr>
          <w:ilvl w:val="1"/>
          <w:numId w:val="483"/>
        </w:numPr>
        <w:rPr>
          <w:rFonts w:ascii="Arial" w:cs="Arial" w:eastAsia="Arial" w:hAnsi="Arial"/>
          <w:sz w:val="17"/>
          <w:szCs w:val="17"/>
          <w:color w:val="auto"/>
        </w:rPr>
      </w:pPr>
      <w:r>
        <w:rPr>
          <w:rFonts w:ascii="Arial" w:cs="Arial" w:eastAsia="Arial" w:hAnsi="Arial"/>
          <w:sz w:val="17"/>
          <w:szCs w:val="17"/>
          <w:u w:val="single" w:color="auto"/>
          <w:color w:val="auto"/>
        </w:rPr>
        <w:t>Death of Participant</w:t>
      </w:r>
      <w:r>
        <w:rPr>
          <w:rFonts w:ascii="Arial" w:cs="Arial" w:eastAsia="Arial" w:hAnsi="Arial"/>
          <w:sz w:val="17"/>
          <w:szCs w:val="17"/>
          <w:color w:val="auto"/>
        </w:rPr>
        <w:t>. If a Participant dies while a Service Provider, the Option, to the extent vested, may be exercised within the time specified in the Award Agreement (but 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no event may the Option be exercised later than the expiration of the term of the Option as set forth in the Award Agreement), by the beneficiary designated by the Participant prior to his death; provided that such designation must be acceptable to the Administrator. If no beneficiary has been designated by the Participant, then the Option may be exercised by the personal representative of the Participant’s estate, or by the persons to whom the Option is transferred pursuant to the Participant’s will or in accordance with the laws of descent and distribution. If the Award Agreement does not specify a time within which the Option must be exercised following a Participant’s death, it shall be exercisable for 24 months following his death. Unless otherwise provided by the Administrator, if at the time of death, the Participant is not vested as to his entire Option, the Shares covered by the unvested portion of the Option shall immediately revert to the Plan. If the Option is not exercised as to all of the vested Shares within the time specified by the Administrator, the Option shall terminate, and the remaining Shares covered by such Option shall revert to the Plan.</w:t>
      </w:r>
    </w:p>
    <w:p>
      <w:pPr>
        <w:spacing w:after="0" w:line="181" w:lineRule="exact"/>
        <w:rPr>
          <w:sz w:val="20"/>
          <w:szCs w:val="20"/>
          <w:color w:val="auto"/>
        </w:rPr>
      </w:pPr>
    </w:p>
    <w:p>
      <w:pPr>
        <w:ind w:left="1260" w:hanging="626"/>
        <w:spacing w:after="0"/>
        <w:tabs>
          <w:tab w:leader="none" w:pos="1260" w:val="left"/>
        </w:tabs>
        <w:numPr>
          <w:ilvl w:val="0"/>
          <w:numId w:val="484"/>
        </w:numPr>
        <w:rPr>
          <w:rFonts w:ascii="Arial" w:cs="Arial" w:eastAsia="Arial" w:hAnsi="Arial"/>
          <w:sz w:val="17"/>
          <w:szCs w:val="17"/>
          <w:color w:val="auto"/>
        </w:rPr>
      </w:pPr>
      <w:r>
        <w:rPr>
          <w:rFonts w:ascii="Arial" w:cs="Arial" w:eastAsia="Arial" w:hAnsi="Arial"/>
          <w:sz w:val="17"/>
          <w:szCs w:val="17"/>
          <w:u w:val="single" w:color="auto"/>
          <w:color w:val="auto"/>
        </w:rPr>
        <w:t>Restricted Stock</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20" w:firstLine="1263"/>
        <w:spacing w:after="0" w:line="289" w:lineRule="auto"/>
        <w:tabs>
          <w:tab w:leader="none" w:pos="1885" w:val="left"/>
        </w:tabs>
        <w:numPr>
          <w:ilvl w:val="1"/>
          <w:numId w:val="484"/>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w:t>
      </w:r>
      <w:r>
        <w:rPr>
          <w:rFonts w:ascii="Arial" w:cs="Arial" w:eastAsia="Arial" w:hAnsi="Arial"/>
          <w:sz w:val="17"/>
          <w:szCs w:val="17"/>
          <w:color w:val="auto"/>
        </w:rPr>
        <w:t>. Subject to the terms and provisions of the Plan, the Administrator, at any time and from time to time, may grant Shares of Restricted Stock to Service Providers in such amounts as the Administrator, in its sole discretion, shall determine.</w:t>
      </w:r>
    </w:p>
    <w:p>
      <w:pPr>
        <w:spacing w:after="0" w:line="158" w:lineRule="exact"/>
        <w:rPr>
          <w:rFonts w:ascii="Arial" w:cs="Arial" w:eastAsia="Arial" w:hAnsi="Arial"/>
          <w:sz w:val="17"/>
          <w:szCs w:val="17"/>
          <w:color w:val="auto"/>
        </w:rPr>
      </w:pPr>
    </w:p>
    <w:p>
      <w:pPr>
        <w:ind w:right="120" w:firstLine="1263"/>
        <w:spacing w:after="0" w:line="298" w:lineRule="auto"/>
        <w:tabs>
          <w:tab w:leader="none" w:pos="1895" w:val="left"/>
        </w:tabs>
        <w:numPr>
          <w:ilvl w:val="1"/>
          <w:numId w:val="484"/>
        </w:numPr>
        <w:rPr>
          <w:rFonts w:ascii="Arial" w:cs="Arial" w:eastAsia="Arial" w:hAnsi="Arial"/>
          <w:sz w:val="16"/>
          <w:szCs w:val="16"/>
          <w:color w:val="auto"/>
        </w:rPr>
      </w:pPr>
      <w:r>
        <w:rPr>
          <w:rFonts w:ascii="Arial" w:cs="Arial" w:eastAsia="Arial" w:hAnsi="Arial"/>
          <w:sz w:val="16"/>
          <w:szCs w:val="16"/>
          <w:u w:val="single" w:color="auto"/>
          <w:color w:val="auto"/>
        </w:rPr>
        <w:t>Restricted Stock Agreement</w:t>
      </w:r>
      <w:r>
        <w:rPr>
          <w:rFonts w:ascii="Arial" w:cs="Arial" w:eastAsia="Arial" w:hAnsi="Arial"/>
          <w:sz w:val="16"/>
          <w:szCs w:val="16"/>
          <w:color w:val="auto"/>
        </w:rPr>
        <w:t>. Each Award of Restricted Stock shall be evidenced by an Award Agreement that shall specify the Period of Restriction, the number of Shares granted, and such other terms and conditions as the Administrator, in its sole discretion, shall determine. Unless the Administrator determines otherwise, Shares of Restricted Stock shall be held by the Company as escrow agent until the restrictions on the Shares have lapsed.</w:t>
      </w:r>
    </w:p>
    <w:p>
      <w:pPr>
        <w:spacing w:after="0" w:line="153" w:lineRule="exact"/>
        <w:rPr>
          <w:rFonts w:ascii="Arial" w:cs="Arial" w:eastAsia="Arial" w:hAnsi="Arial"/>
          <w:sz w:val="16"/>
          <w:szCs w:val="16"/>
          <w:color w:val="auto"/>
        </w:rPr>
      </w:pPr>
    </w:p>
    <w:p>
      <w:pPr>
        <w:jc w:val="both"/>
        <w:ind w:right="420" w:firstLine="1263"/>
        <w:spacing w:after="0" w:line="273" w:lineRule="auto"/>
        <w:tabs>
          <w:tab w:leader="none" w:pos="1898" w:val="left"/>
        </w:tabs>
        <w:numPr>
          <w:ilvl w:val="1"/>
          <w:numId w:val="484"/>
        </w:numPr>
        <w:rPr>
          <w:rFonts w:ascii="Arial" w:cs="Arial" w:eastAsia="Arial" w:hAnsi="Arial"/>
          <w:sz w:val="17"/>
          <w:szCs w:val="17"/>
          <w:color w:val="auto"/>
        </w:rPr>
      </w:pPr>
      <w:r>
        <w:rPr>
          <w:rFonts w:ascii="Arial" w:cs="Arial" w:eastAsia="Arial" w:hAnsi="Arial"/>
          <w:sz w:val="17"/>
          <w:szCs w:val="17"/>
          <w:u w:val="single" w:color="auto"/>
          <w:color w:val="auto"/>
        </w:rPr>
        <w:t>Removal of Restrictions</w:t>
      </w:r>
      <w:r>
        <w:rPr>
          <w:rFonts w:ascii="Arial" w:cs="Arial" w:eastAsia="Arial" w:hAnsi="Arial"/>
          <w:sz w:val="17"/>
          <w:szCs w:val="17"/>
          <w:color w:val="auto"/>
        </w:rPr>
        <w:t>. Except as otherwise provided in this Section 8, Shares of Restricted Stock covered by each Award made under the Plan shall be released from escrow as soon as practical after the last day of the Period of Restriction. The Administrator, in its sole discretion, may accelerate the time at which any restrictions shall lapse or be removed.</w:t>
      </w:r>
    </w:p>
    <w:p>
      <w:pPr>
        <w:spacing w:after="0" w:line="171" w:lineRule="exact"/>
        <w:rPr>
          <w:rFonts w:ascii="Arial" w:cs="Arial" w:eastAsia="Arial" w:hAnsi="Arial"/>
          <w:sz w:val="17"/>
          <w:szCs w:val="17"/>
          <w:color w:val="auto"/>
        </w:rPr>
      </w:pPr>
    </w:p>
    <w:p>
      <w:pPr>
        <w:ind w:right="200" w:firstLine="1263"/>
        <w:spacing w:after="0" w:line="289" w:lineRule="auto"/>
        <w:tabs>
          <w:tab w:leader="none" w:pos="1895" w:val="left"/>
        </w:tabs>
        <w:numPr>
          <w:ilvl w:val="1"/>
          <w:numId w:val="484"/>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During the Period of Restriction, Service Providers holding Shares of Restricted Stock may exercise full voting rights with respect to those Shares, unless the Administrator determines otherwise.</w:t>
      </w:r>
    </w:p>
    <w:p>
      <w:pPr>
        <w:sectPr>
          <w:pgSz w:w="11900" w:h="16838" w:orient="portrait"/>
          <w:cols w:equalWidth="0" w:num="1">
            <w:col w:w="11420"/>
          </w:cols>
          <w:pgMar w:left="240" w:top="337" w:right="239" w:bottom="23" w:gutter="0" w:footer="0" w:header="0"/>
        </w:sectPr>
      </w:pPr>
    </w:p>
    <w:bookmarkStart w:id="341" w:name="page342"/>
    <w:bookmarkEnd w:id="341"/>
    <w:p>
      <w:pPr>
        <w:ind w:right="220" w:firstLine="1263"/>
        <w:spacing w:after="0" w:line="268" w:lineRule="auto"/>
        <w:tabs>
          <w:tab w:leader="none" w:pos="1898" w:val="left"/>
        </w:tabs>
        <w:numPr>
          <w:ilvl w:val="1"/>
          <w:numId w:val="485"/>
        </w:numPr>
        <w:rPr>
          <w:rFonts w:ascii="Arial" w:cs="Arial" w:eastAsia="Arial" w:hAnsi="Arial"/>
          <w:sz w:val="17"/>
          <w:szCs w:val="17"/>
          <w:color w:val="auto"/>
        </w:rPr>
      </w:pPr>
      <w:r>
        <w:rPr>
          <w:rFonts w:ascii="Arial" w:cs="Arial" w:eastAsia="Arial" w:hAnsi="Arial"/>
          <w:sz w:val="17"/>
          <w:szCs w:val="17"/>
          <w:u w:val="single" w:color="auto"/>
          <w:color w:val="auto"/>
        </w:rPr>
        <w:t>Dividends and Other Distributions</w:t>
      </w:r>
      <w:r>
        <w:rPr>
          <w:rFonts w:ascii="Arial" w:cs="Arial" w:eastAsia="Arial" w:hAnsi="Arial"/>
          <w:sz w:val="17"/>
          <w:szCs w:val="17"/>
          <w:color w:val="auto"/>
        </w:rPr>
        <w:t>. During the Period of Restriction, Service Providers holding Shares of Restricted Stock shall be entitled to receive all dividends and other distributions paid with respect to such Shares unless otherwise provided in the Award Agreement. If any dividends or distributions are paid in Shares, the Shares shall be subject to the same restrictions on transferability and forfeitability as the Shares of Restricted Stock with respect to which they were paid.</w:t>
      </w:r>
    </w:p>
    <w:p>
      <w:pPr>
        <w:spacing w:after="0" w:line="175" w:lineRule="exact"/>
        <w:rPr>
          <w:rFonts w:ascii="Arial" w:cs="Arial" w:eastAsia="Arial" w:hAnsi="Arial"/>
          <w:sz w:val="17"/>
          <w:szCs w:val="17"/>
          <w:color w:val="auto"/>
        </w:rPr>
      </w:pPr>
    </w:p>
    <w:p>
      <w:pPr>
        <w:ind w:right="20" w:firstLine="1263"/>
        <w:spacing w:after="0" w:line="289" w:lineRule="auto"/>
        <w:tabs>
          <w:tab w:leader="none" w:pos="1892" w:val="left"/>
        </w:tabs>
        <w:numPr>
          <w:ilvl w:val="1"/>
          <w:numId w:val="485"/>
        </w:numPr>
        <w:rPr>
          <w:rFonts w:ascii="Arial" w:cs="Arial" w:eastAsia="Arial" w:hAnsi="Arial"/>
          <w:sz w:val="17"/>
          <w:szCs w:val="17"/>
          <w:color w:val="auto"/>
        </w:rPr>
      </w:pPr>
      <w:r>
        <w:rPr>
          <w:rFonts w:ascii="Arial" w:cs="Arial" w:eastAsia="Arial" w:hAnsi="Arial"/>
          <w:sz w:val="17"/>
          <w:szCs w:val="17"/>
          <w:u w:val="single" w:color="auto"/>
          <w:color w:val="auto"/>
        </w:rPr>
        <w:t>Return of Restricted Stock to Company</w:t>
      </w:r>
      <w:r>
        <w:rPr>
          <w:rFonts w:ascii="Arial" w:cs="Arial" w:eastAsia="Arial" w:hAnsi="Arial"/>
          <w:sz w:val="17"/>
          <w:szCs w:val="17"/>
          <w:color w:val="auto"/>
        </w:rPr>
        <w:t>. On the date set forth in the Award Agreement, the Restricted Stock for which restrictions have not lapsed shall revert to the Company and again shall become available for grant under the Plan.</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486"/>
        </w:numPr>
        <w:rPr>
          <w:rFonts w:ascii="Arial" w:cs="Arial" w:eastAsia="Arial" w:hAnsi="Arial"/>
          <w:sz w:val="17"/>
          <w:szCs w:val="17"/>
          <w:color w:val="auto"/>
        </w:rPr>
      </w:pPr>
      <w:r>
        <w:rPr>
          <w:rFonts w:ascii="Arial" w:cs="Arial" w:eastAsia="Arial" w:hAnsi="Arial"/>
          <w:sz w:val="17"/>
          <w:szCs w:val="17"/>
          <w:u w:val="single" w:color="auto"/>
          <w:color w:val="auto"/>
        </w:rPr>
        <w:t>Stock Appreciation Rights</w:t>
      </w:r>
    </w:p>
    <w:p>
      <w:pPr>
        <w:spacing w:after="0" w:line="224" w:lineRule="exact"/>
        <w:rPr>
          <w:rFonts w:ascii="Arial" w:cs="Arial" w:eastAsia="Arial" w:hAnsi="Arial"/>
          <w:sz w:val="17"/>
          <w:szCs w:val="17"/>
          <w:color w:val="auto"/>
        </w:rPr>
      </w:pPr>
    </w:p>
    <w:p>
      <w:pPr>
        <w:ind w:right="100" w:firstLine="1263"/>
        <w:spacing w:after="0" w:line="273" w:lineRule="auto"/>
        <w:tabs>
          <w:tab w:leader="none" w:pos="1885" w:val="left"/>
        </w:tabs>
        <w:numPr>
          <w:ilvl w:val="1"/>
          <w:numId w:val="486"/>
        </w:numPr>
        <w:rPr>
          <w:rFonts w:ascii="Arial" w:cs="Arial" w:eastAsia="Arial" w:hAnsi="Arial"/>
          <w:sz w:val="17"/>
          <w:szCs w:val="17"/>
          <w:color w:val="auto"/>
        </w:rPr>
      </w:pPr>
      <w:r>
        <w:rPr>
          <w:rFonts w:ascii="Arial" w:cs="Arial" w:eastAsia="Arial" w:hAnsi="Arial"/>
          <w:sz w:val="17"/>
          <w:szCs w:val="17"/>
          <w:u w:val="single" w:color="auto"/>
          <w:color w:val="auto"/>
        </w:rPr>
        <w:t>Grant of SARs</w:t>
      </w:r>
      <w:r>
        <w:rPr>
          <w:rFonts w:ascii="Arial" w:cs="Arial" w:eastAsia="Arial" w:hAnsi="Arial"/>
          <w:sz w:val="17"/>
          <w:szCs w:val="17"/>
          <w:color w:val="auto"/>
        </w:rPr>
        <w:t>. Subject to the terms and conditions of the Plan, a SAR may be granted to Service Providers at any time and from time to time as shall be determined by the Administrator, in its sole discretion. The Administrator shall have complete discretion to determine the number of SARs granted to any Service Provider. The Administrator, subject to the provisions of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960"/>
        <w:spacing w:after="0" w:line="289" w:lineRule="auto"/>
        <w:rPr>
          <w:sz w:val="20"/>
          <w:szCs w:val="20"/>
          <w:color w:val="auto"/>
        </w:rPr>
      </w:pPr>
      <w:r>
        <w:rPr>
          <w:rFonts w:ascii="Arial" w:cs="Arial" w:eastAsia="Arial" w:hAnsi="Arial"/>
          <w:sz w:val="17"/>
          <w:szCs w:val="17"/>
          <w:color w:val="auto"/>
        </w:rPr>
        <w:t>Plan, shall have complete discretion to determine the terms and conditions of SARs granted under the Plan, including the sole discretion to accelerate exercisability at any time.</w:t>
      </w:r>
    </w:p>
    <w:p>
      <w:pPr>
        <w:spacing w:after="0" w:line="158" w:lineRule="exact"/>
        <w:rPr>
          <w:sz w:val="20"/>
          <w:szCs w:val="20"/>
          <w:color w:val="auto"/>
        </w:rPr>
      </w:pPr>
    </w:p>
    <w:p>
      <w:pPr>
        <w:ind w:right="540" w:firstLine="1263"/>
        <w:spacing w:after="0" w:line="289" w:lineRule="auto"/>
        <w:tabs>
          <w:tab w:leader="none" w:pos="1895" w:val="left"/>
        </w:tabs>
        <w:numPr>
          <w:ilvl w:val="1"/>
          <w:numId w:val="487"/>
        </w:numPr>
        <w:rPr>
          <w:rFonts w:ascii="Arial" w:cs="Arial" w:eastAsia="Arial" w:hAnsi="Arial"/>
          <w:sz w:val="17"/>
          <w:szCs w:val="17"/>
          <w:color w:val="auto"/>
        </w:rPr>
      </w:pPr>
      <w:r>
        <w:rPr>
          <w:rFonts w:ascii="Arial" w:cs="Arial" w:eastAsia="Arial" w:hAnsi="Arial"/>
          <w:sz w:val="17"/>
          <w:szCs w:val="17"/>
          <w:u w:val="single" w:color="auto"/>
          <w:color w:val="auto"/>
        </w:rPr>
        <w:t>SAR Agreement</w:t>
      </w:r>
      <w:r>
        <w:rPr>
          <w:rFonts w:ascii="Arial" w:cs="Arial" w:eastAsia="Arial" w:hAnsi="Arial"/>
          <w:sz w:val="17"/>
          <w:szCs w:val="17"/>
          <w:color w:val="auto"/>
        </w:rPr>
        <w:t>. Each SAR grant shall be evidenced by an Award Agreement that shall specify the exercise price, the term, the conditions of exercise, and such other terms and conditions as the Administrator, in its sole discretion, shall determine.</w:t>
      </w:r>
    </w:p>
    <w:p>
      <w:pPr>
        <w:spacing w:after="0" w:line="158" w:lineRule="exact"/>
        <w:rPr>
          <w:rFonts w:ascii="Arial" w:cs="Arial" w:eastAsia="Arial" w:hAnsi="Arial"/>
          <w:sz w:val="17"/>
          <w:szCs w:val="17"/>
          <w:color w:val="auto"/>
        </w:rPr>
      </w:pPr>
    </w:p>
    <w:p>
      <w:pPr>
        <w:ind w:right="160" w:firstLine="1263"/>
        <w:spacing w:after="0" w:line="322" w:lineRule="auto"/>
        <w:tabs>
          <w:tab w:leader="none" w:pos="1898" w:val="left"/>
        </w:tabs>
        <w:numPr>
          <w:ilvl w:val="1"/>
          <w:numId w:val="487"/>
        </w:numPr>
        <w:rPr>
          <w:rFonts w:ascii="Arial" w:cs="Arial" w:eastAsia="Arial" w:hAnsi="Arial"/>
          <w:sz w:val="16"/>
          <w:szCs w:val="16"/>
          <w:color w:val="auto"/>
        </w:rPr>
      </w:pPr>
      <w:r>
        <w:rPr>
          <w:rFonts w:ascii="Arial" w:cs="Arial" w:eastAsia="Arial" w:hAnsi="Arial"/>
          <w:sz w:val="16"/>
          <w:szCs w:val="16"/>
          <w:u w:val="single" w:color="auto"/>
          <w:color w:val="auto"/>
        </w:rPr>
        <w:t>Expiration of SARs</w:t>
      </w:r>
      <w:r>
        <w:rPr>
          <w:rFonts w:ascii="Arial" w:cs="Arial" w:eastAsia="Arial" w:hAnsi="Arial"/>
          <w:sz w:val="16"/>
          <w:szCs w:val="16"/>
          <w:color w:val="auto"/>
        </w:rPr>
        <w:t>. A SAR granted under the Plan shall expire upon the date determined by the Administrator, in its sole discretion, as set forth in the Award Agreement. Notwithstanding the foregoing, the rules of Sections 7(d)(ii), 7(d)(iii) and 7(d)(iv) shall also apply to SARs.</w:t>
      </w:r>
    </w:p>
    <w:p>
      <w:pPr>
        <w:spacing w:after="0" w:line="135" w:lineRule="exact"/>
        <w:rPr>
          <w:rFonts w:ascii="Arial" w:cs="Arial" w:eastAsia="Arial" w:hAnsi="Arial"/>
          <w:sz w:val="16"/>
          <w:szCs w:val="16"/>
          <w:color w:val="auto"/>
        </w:rPr>
      </w:pPr>
    </w:p>
    <w:p>
      <w:pPr>
        <w:ind w:right="60" w:firstLine="1263"/>
        <w:spacing w:after="0" w:line="289" w:lineRule="auto"/>
        <w:tabs>
          <w:tab w:leader="none" w:pos="1895" w:val="left"/>
        </w:tabs>
        <w:numPr>
          <w:ilvl w:val="1"/>
          <w:numId w:val="487"/>
        </w:numPr>
        <w:rPr>
          <w:rFonts w:ascii="Arial" w:cs="Arial" w:eastAsia="Arial" w:hAnsi="Arial"/>
          <w:sz w:val="17"/>
          <w:szCs w:val="17"/>
          <w:color w:val="auto"/>
        </w:rPr>
      </w:pPr>
      <w:r>
        <w:rPr>
          <w:rFonts w:ascii="Arial" w:cs="Arial" w:eastAsia="Arial" w:hAnsi="Arial"/>
          <w:sz w:val="17"/>
          <w:szCs w:val="17"/>
          <w:u w:val="single" w:color="auto"/>
          <w:color w:val="auto"/>
        </w:rPr>
        <w:t>Payment of SAR Amount</w:t>
      </w:r>
      <w:r>
        <w:rPr>
          <w:rFonts w:ascii="Arial" w:cs="Arial" w:eastAsia="Arial" w:hAnsi="Arial"/>
          <w:sz w:val="17"/>
          <w:szCs w:val="17"/>
          <w:color w:val="auto"/>
        </w:rPr>
        <w:t>. Upon exercise of a SAR, a Participant shall be entitled to receive payment from the Company in an amount determined by multiplying:</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2"/>
          <w:numId w:val="487"/>
        </w:numPr>
        <w:rPr>
          <w:rFonts w:ascii="Arial" w:cs="Arial" w:eastAsia="Arial" w:hAnsi="Arial"/>
          <w:sz w:val="17"/>
          <w:szCs w:val="17"/>
          <w:color w:val="auto"/>
        </w:rPr>
      </w:pPr>
      <w:r>
        <w:rPr>
          <w:rFonts w:ascii="Arial" w:cs="Arial" w:eastAsia="Arial" w:hAnsi="Arial"/>
          <w:sz w:val="17"/>
          <w:szCs w:val="17"/>
          <w:color w:val="auto"/>
        </w:rPr>
        <w:t>The difference between the Fair Market Value of a Share on the date of exercise over the exercise price; times</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2"/>
          <w:numId w:val="487"/>
        </w:numPr>
        <w:rPr>
          <w:rFonts w:ascii="Arial" w:cs="Arial" w:eastAsia="Arial" w:hAnsi="Arial"/>
          <w:sz w:val="17"/>
          <w:szCs w:val="17"/>
          <w:color w:val="auto"/>
        </w:rPr>
      </w:pPr>
      <w:r>
        <w:rPr>
          <w:rFonts w:ascii="Arial" w:cs="Arial" w:eastAsia="Arial" w:hAnsi="Arial"/>
          <w:sz w:val="17"/>
          <w:szCs w:val="17"/>
          <w:color w:val="auto"/>
        </w:rPr>
        <w:t>The number of Shares with respect to which the SAR is exercised.</w:t>
      </w:r>
    </w:p>
    <w:p>
      <w:pPr>
        <w:spacing w:after="0" w:line="224" w:lineRule="exact"/>
        <w:rPr>
          <w:rFonts w:ascii="Arial" w:cs="Arial" w:eastAsia="Arial" w:hAnsi="Arial"/>
          <w:sz w:val="17"/>
          <w:szCs w:val="17"/>
          <w:color w:val="auto"/>
        </w:rPr>
      </w:pPr>
    </w:p>
    <w:p>
      <w:pPr>
        <w:ind w:right="200" w:firstLine="1893"/>
        <w:spacing w:after="0" w:line="289" w:lineRule="auto"/>
        <w:tabs>
          <w:tab w:leader="none" w:pos="2556" w:val="left"/>
        </w:tabs>
        <w:numPr>
          <w:ilvl w:val="2"/>
          <w:numId w:val="487"/>
        </w:numPr>
        <w:rPr>
          <w:rFonts w:ascii="Arial" w:cs="Arial" w:eastAsia="Arial" w:hAnsi="Arial"/>
          <w:sz w:val="17"/>
          <w:szCs w:val="17"/>
          <w:color w:val="auto"/>
        </w:rPr>
      </w:pPr>
      <w:r>
        <w:rPr>
          <w:rFonts w:ascii="Arial" w:cs="Arial" w:eastAsia="Arial" w:hAnsi="Arial"/>
          <w:sz w:val="17"/>
          <w:szCs w:val="17"/>
          <w:color w:val="auto"/>
        </w:rPr>
        <w:t>At the sole discretion of the Administrator, the payment upon the exercise of a SAR may be in cash, in Shares of equivalent value, or in some combination thereof.</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488"/>
        </w:numPr>
        <w:rPr>
          <w:rFonts w:ascii="Arial" w:cs="Arial" w:eastAsia="Arial" w:hAnsi="Arial"/>
          <w:sz w:val="17"/>
          <w:szCs w:val="17"/>
          <w:color w:val="auto"/>
        </w:rPr>
      </w:pPr>
      <w:r>
        <w:rPr>
          <w:rFonts w:ascii="Arial" w:cs="Arial" w:eastAsia="Arial" w:hAnsi="Arial"/>
          <w:sz w:val="17"/>
          <w:szCs w:val="17"/>
          <w:u w:val="single" w:color="auto"/>
          <w:color w:val="auto"/>
        </w:rPr>
        <w:t>Performance Units and Performance Shares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0" w:firstLine="1263"/>
        <w:spacing w:after="0" w:line="298" w:lineRule="auto"/>
        <w:tabs>
          <w:tab w:leader="none" w:pos="1885" w:val="left"/>
        </w:tabs>
        <w:numPr>
          <w:ilvl w:val="1"/>
          <w:numId w:val="488"/>
        </w:numPr>
        <w:rPr>
          <w:rFonts w:ascii="Arial" w:cs="Arial" w:eastAsia="Arial" w:hAnsi="Arial"/>
          <w:sz w:val="16"/>
          <w:szCs w:val="16"/>
          <w:color w:val="auto"/>
        </w:rPr>
      </w:pPr>
      <w:r>
        <w:rPr>
          <w:rFonts w:ascii="Arial" w:cs="Arial" w:eastAsia="Arial" w:hAnsi="Arial"/>
          <w:sz w:val="16"/>
          <w:szCs w:val="16"/>
          <w:u w:val="single" w:color="auto"/>
          <w:color w:val="auto"/>
        </w:rPr>
        <w:t>Grant of Performance Units and Performance Shares</w:t>
      </w:r>
      <w:r>
        <w:rPr>
          <w:rFonts w:ascii="Arial" w:cs="Arial" w:eastAsia="Arial" w:hAnsi="Arial"/>
          <w:sz w:val="16"/>
          <w:szCs w:val="16"/>
          <w:color w:val="auto"/>
        </w:rPr>
        <w:t>. Subject to the terms and conditions of the Plan, Performance Units and Performance Shares may be granted to Service Providers at any time and from time to time, as shall be determined by the Administrator in its sole discretion. The Administrator shall have complete discretion in determining the number of Performance Units and Performance Shares granted to each Service Provider.</w:t>
      </w:r>
    </w:p>
    <w:p>
      <w:pPr>
        <w:spacing w:after="0" w:line="153" w:lineRule="exact"/>
        <w:rPr>
          <w:rFonts w:ascii="Arial" w:cs="Arial" w:eastAsia="Arial" w:hAnsi="Arial"/>
          <w:sz w:val="16"/>
          <w:szCs w:val="16"/>
          <w:color w:val="auto"/>
        </w:rPr>
      </w:pPr>
    </w:p>
    <w:p>
      <w:pPr>
        <w:ind w:right="280" w:firstLine="1263"/>
        <w:spacing w:after="0" w:line="360" w:lineRule="auto"/>
        <w:tabs>
          <w:tab w:leader="none" w:pos="1895" w:val="left"/>
        </w:tabs>
        <w:numPr>
          <w:ilvl w:val="1"/>
          <w:numId w:val="488"/>
        </w:numPr>
        <w:rPr>
          <w:rFonts w:ascii="Arial" w:cs="Arial" w:eastAsia="Arial" w:hAnsi="Arial"/>
          <w:sz w:val="15"/>
          <w:szCs w:val="15"/>
          <w:color w:val="auto"/>
        </w:rPr>
      </w:pPr>
      <w:r>
        <w:rPr>
          <w:rFonts w:ascii="Arial" w:cs="Arial" w:eastAsia="Arial" w:hAnsi="Arial"/>
          <w:sz w:val="15"/>
          <w:szCs w:val="15"/>
          <w:u w:val="single" w:color="auto"/>
          <w:color w:val="auto"/>
        </w:rPr>
        <w:t>Value of Performance Units and Performance Shares</w:t>
      </w:r>
      <w:r>
        <w:rPr>
          <w:rFonts w:ascii="Arial" w:cs="Arial" w:eastAsia="Arial" w:hAnsi="Arial"/>
          <w:sz w:val="15"/>
          <w:szCs w:val="15"/>
          <w:color w:val="auto"/>
        </w:rPr>
        <w:t>. Each Performance Unit shall have an initial value established by the Administrator on or before the date of grant. Each Performance Share shall have an initial value equal to the Fair Market Value of a Share on the date of grant.</w:t>
      </w:r>
    </w:p>
    <w:p>
      <w:pPr>
        <w:spacing w:after="0" w:line="111" w:lineRule="exact"/>
        <w:rPr>
          <w:rFonts w:ascii="Arial" w:cs="Arial" w:eastAsia="Arial" w:hAnsi="Arial"/>
          <w:sz w:val="15"/>
          <w:szCs w:val="15"/>
          <w:color w:val="auto"/>
        </w:rPr>
      </w:pPr>
    </w:p>
    <w:p>
      <w:pPr>
        <w:ind w:firstLine="1263"/>
        <w:spacing w:after="0" w:line="263" w:lineRule="auto"/>
        <w:tabs>
          <w:tab w:leader="none" w:pos="1898" w:val="left"/>
        </w:tabs>
        <w:numPr>
          <w:ilvl w:val="1"/>
          <w:numId w:val="488"/>
        </w:numPr>
        <w:rPr>
          <w:rFonts w:ascii="Arial" w:cs="Arial" w:eastAsia="Arial" w:hAnsi="Arial"/>
          <w:sz w:val="17"/>
          <w:szCs w:val="17"/>
          <w:color w:val="auto"/>
        </w:rPr>
      </w:pPr>
      <w:r>
        <w:rPr>
          <w:rFonts w:ascii="Arial" w:cs="Arial" w:eastAsia="Arial" w:hAnsi="Arial"/>
          <w:sz w:val="17"/>
          <w:szCs w:val="17"/>
          <w:u w:val="single" w:color="auto"/>
          <w:color w:val="auto"/>
        </w:rPr>
        <w:t>Performance Objectives and Other Terms</w:t>
      </w:r>
      <w:r>
        <w:rPr>
          <w:rFonts w:ascii="Arial" w:cs="Arial" w:eastAsia="Arial" w:hAnsi="Arial"/>
          <w:sz w:val="17"/>
          <w:szCs w:val="17"/>
          <w:color w:val="auto"/>
        </w:rPr>
        <w:t>. The Administrator shall set Performance Goals or other performance objectives in its sole discretion which, depending on the extent to which they are met, shall determine the number or value of Performance Units and Performance Shares that shall be paid out to the Participant. Each award of Performance Units or Performance Shares shall be evidenced by an Award Agreement that shall specify the Performance Period and such other terms and conditions as the Administrator in its sole discretion shall determine. The Administrator may set Performance Goals or performance objectives based upon the achievement of Company-wide, divisional, or individual goals (including solely continued service), applicable federal or state securities laws, or any other basis determined by the Administrator in its sole discretion.</w:t>
      </w:r>
    </w:p>
    <w:p>
      <w:pPr>
        <w:spacing w:after="0" w:line="183" w:lineRule="exact"/>
        <w:rPr>
          <w:rFonts w:ascii="Arial" w:cs="Arial" w:eastAsia="Arial" w:hAnsi="Arial"/>
          <w:sz w:val="17"/>
          <w:szCs w:val="17"/>
          <w:color w:val="auto"/>
        </w:rPr>
      </w:pPr>
    </w:p>
    <w:p>
      <w:pPr>
        <w:ind w:right="40" w:firstLine="1263"/>
        <w:spacing w:after="0" w:line="268" w:lineRule="auto"/>
        <w:tabs>
          <w:tab w:leader="none" w:pos="1895" w:val="left"/>
        </w:tabs>
        <w:numPr>
          <w:ilvl w:val="1"/>
          <w:numId w:val="488"/>
        </w:numPr>
        <w:rPr>
          <w:rFonts w:ascii="Arial" w:cs="Arial" w:eastAsia="Arial" w:hAnsi="Arial"/>
          <w:sz w:val="17"/>
          <w:szCs w:val="17"/>
          <w:color w:val="auto"/>
        </w:rPr>
      </w:pPr>
      <w:r>
        <w:rPr>
          <w:rFonts w:ascii="Arial" w:cs="Arial" w:eastAsia="Arial" w:hAnsi="Arial"/>
          <w:sz w:val="17"/>
          <w:szCs w:val="17"/>
          <w:u w:val="single" w:color="auto"/>
          <w:color w:val="auto"/>
        </w:rPr>
        <w:t>Earning of Performance Units and Performance Shares</w:t>
      </w:r>
      <w:r>
        <w:rPr>
          <w:rFonts w:ascii="Arial" w:cs="Arial" w:eastAsia="Arial" w:hAnsi="Arial"/>
          <w:sz w:val="17"/>
          <w:szCs w:val="17"/>
          <w:color w:val="auto"/>
        </w:rPr>
        <w:t>. After the applicable Performance Period has ended, the holder of Performance Units or Performance Shares shall be entitled to receive a payout of the number of Performance Units or Performance Shares earned by the Participant over the Performance Period, to be determined as a function of the extent to which the corresponding Performance Goals or performance objectives have been achieved. After the grant of Performance Units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or Performance Shares, the Administrator, in its sole discretion, may reduce or waive any performance objectives for the Performance Unit or Performance Share.</w:t>
      </w:r>
    </w:p>
    <w:p>
      <w:pPr>
        <w:spacing w:after="0" w:line="247" w:lineRule="exact"/>
        <w:rPr>
          <w:sz w:val="20"/>
          <w:szCs w:val="20"/>
          <w:color w:val="auto"/>
        </w:rPr>
      </w:pPr>
    </w:p>
    <w:p>
      <w:pPr>
        <w:ind w:right="100" w:firstLine="1263"/>
        <w:spacing w:after="0" w:line="265" w:lineRule="auto"/>
        <w:tabs>
          <w:tab w:leader="none" w:pos="1898" w:val="left"/>
        </w:tabs>
        <w:numPr>
          <w:ilvl w:val="1"/>
          <w:numId w:val="489"/>
        </w:numPr>
        <w:rPr>
          <w:rFonts w:ascii="Arial" w:cs="Arial" w:eastAsia="Arial" w:hAnsi="Arial"/>
          <w:sz w:val="17"/>
          <w:szCs w:val="17"/>
          <w:color w:val="auto"/>
        </w:rPr>
      </w:pPr>
      <w:r>
        <w:rPr>
          <w:rFonts w:ascii="Arial" w:cs="Arial" w:eastAsia="Arial" w:hAnsi="Arial"/>
          <w:sz w:val="17"/>
          <w:szCs w:val="17"/>
          <w:u w:val="single" w:color="auto"/>
          <w:color w:val="auto"/>
        </w:rPr>
        <w:t>Form and Timing of Payment of Performance Units and Performance Shares</w:t>
      </w:r>
      <w:r>
        <w:rPr>
          <w:rFonts w:ascii="Arial" w:cs="Arial" w:eastAsia="Arial" w:hAnsi="Arial"/>
          <w:sz w:val="17"/>
          <w:szCs w:val="17"/>
          <w:color w:val="auto"/>
        </w:rPr>
        <w:t>. Payment of earned Performance Units and Performance Shares shall be made after the expiration of the applicable Performance Period at the time determined by the Administrator. The Administrator, in its sole discretion, may pay earned Performance Units and Performance Shares in the form of cash, in Shares (which have an aggregate Fair Market Value equal to the value of the earned Performance Units or Performance Shares, as applicable, at the close of the applicable Performance Period) or in a combination of cash and Shares.</w:t>
      </w:r>
    </w:p>
    <w:p>
      <w:pPr>
        <w:spacing w:after="0" w:line="179" w:lineRule="exact"/>
        <w:rPr>
          <w:rFonts w:ascii="Arial" w:cs="Arial" w:eastAsia="Arial" w:hAnsi="Arial"/>
          <w:sz w:val="17"/>
          <w:szCs w:val="17"/>
          <w:color w:val="auto"/>
        </w:rPr>
      </w:pPr>
    </w:p>
    <w:p>
      <w:pPr>
        <w:ind w:right="320" w:firstLine="1263"/>
        <w:spacing w:after="0" w:line="289" w:lineRule="auto"/>
        <w:tabs>
          <w:tab w:leader="none" w:pos="1892" w:val="left"/>
        </w:tabs>
        <w:numPr>
          <w:ilvl w:val="1"/>
          <w:numId w:val="489"/>
        </w:numPr>
        <w:rPr>
          <w:rFonts w:ascii="Arial" w:cs="Arial" w:eastAsia="Arial" w:hAnsi="Arial"/>
          <w:sz w:val="17"/>
          <w:szCs w:val="17"/>
          <w:color w:val="auto"/>
        </w:rPr>
      </w:pPr>
      <w:r>
        <w:rPr>
          <w:rFonts w:ascii="Arial" w:cs="Arial" w:eastAsia="Arial" w:hAnsi="Arial"/>
          <w:sz w:val="17"/>
          <w:szCs w:val="17"/>
          <w:u w:val="single" w:color="auto"/>
          <w:color w:val="auto"/>
        </w:rPr>
        <w:t>Cancellation of Performance Units or Performance Shares</w:t>
      </w:r>
      <w:r>
        <w:rPr>
          <w:rFonts w:ascii="Arial" w:cs="Arial" w:eastAsia="Arial" w:hAnsi="Arial"/>
          <w:sz w:val="17"/>
          <w:szCs w:val="17"/>
          <w:color w:val="auto"/>
        </w:rPr>
        <w:t>. On the date set forth in the Award Agreement, all unearned or unvested Performance Units and Performance Shares shall be forfeited to the Company, and again shall be available for grant under the Plan.</w:t>
      </w:r>
    </w:p>
    <w:p>
      <w:pPr>
        <w:spacing w:after="0" w:line="158" w:lineRule="exact"/>
        <w:rPr>
          <w:rFonts w:ascii="Arial" w:cs="Arial" w:eastAsia="Arial" w:hAnsi="Arial"/>
          <w:sz w:val="17"/>
          <w:szCs w:val="17"/>
          <w:color w:val="auto"/>
        </w:rPr>
      </w:pPr>
    </w:p>
    <w:p>
      <w:pPr>
        <w:ind w:right="140" w:firstLine="634"/>
        <w:spacing w:after="0" w:line="273" w:lineRule="auto"/>
        <w:tabs>
          <w:tab w:leader="none" w:pos="1248" w:val="left"/>
        </w:tabs>
        <w:numPr>
          <w:ilvl w:val="0"/>
          <w:numId w:val="490"/>
        </w:numPr>
        <w:rPr>
          <w:rFonts w:ascii="Arial" w:cs="Arial" w:eastAsia="Arial" w:hAnsi="Arial"/>
          <w:sz w:val="17"/>
          <w:szCs w:val="17"/>
          <w:color w:val="auto"/>
        </w:rPr>
      </w:pPr>
      <w:r>
        <w:rPr>
          <w:rFonts w:ascii="Arial" w:cs="Arial" w:eastAsia="Arial" w:hAnsi="Arial"/>
          <w:sz w:val="17"/>
          <w:szCs w:val="17"/>
          <w:u w:val="single" w:color="auto"/>
          <w:color w:val="auto"/>
        </w:rPr>
        <w:t>Restricted Stock Units</w:t>
      </w:r>
      <w:r>
        <w:rPr>
          <w:rFonts w:ascii="Arial" w:cs="Arial" w:eastAsia="Arial" w:hAnsi="Arial"/>
          <w:sz w:val="17"/>
          <w:szCs w:val="17"/>
          <w:color w:val="auto"/>
        </w:rPr>
        <w:t>. Restricted Stock Units shall consist of a Restricted Stock, Performance Share or Performance Unit Award that the Administrator, in its sole discretion permits to be paid out in a lump sum, installments or on a deferred basis, in accordance with rules and procedures established by the Administrator</w:t>
      </w:r>
    </w:p>
    <w:p>
      <w:pPr>
        <w:sectPr>
          <w:pgSz w:w="11900" w:h="16838" w:orient="portrait"/>
          <w:cols w:equalWidth="0" w:num="1">
            <w:col w:w="11400"/>
          </w:cols>
          <w:pgMar w:left="240" w:top="127" w:right="259" w:bottom="37" w:gutter="0" w:footer="0" w:header="0"/>
        </w:sectPr>
      </w:pPr>
    </w:p>
    <w:bookmarkStart w:id="342" w:name="page343"/>
    <w:bookmarkEnd w:id="342"/>
    <w:p>
      <w:pPr>
        <w:spacing w:after="0" w:line="33" w:lineRule="exact"/>
        <w:rPr>
          <w:sz w:val="20"/>
          <w:szCs w:val="20"/>
          <w:color w:val="auto"/>
        </w:rPr>
      </w:pPr>
    </w:p>
    <w:p>
      <w:pPr>
        <w:ind w:right="180" w:firstLine="634"/>
        <w:spacing w:after="0" w:line="268" w:lineRule="auto"/>
        <w:tabs>
          <w:tab w:leader="none" w:pos="1254" w:val="left"/>
        </w:tabs>
        <w:numPr>
          <w:ilvl w:val="0"/>
          <w:numId w:val="491"/>
        </w:numPr>
        <w:rPr>
          <w:rFonts w:ascii="Arial" w:cs="Arial" w:eastAsia="Arial" w:hAnsi="Arial"/>
          <w:sz w:val="17"/>
          <w:szCs w:val="17"/>
          <w:color w:val="auto"/>
        </w:rPr>
      </w:pPr>
      <w:r>
        <w:rPr>
          <w:rFonts w:ascii="Arial" w:cs="Arial" w:eastAsia="Arial" w:hAnsi="Arial"/>
          <w:sz w:val="17"/>
          <w:szCs w:val="17"/>
          <w:u w:val="single" w:color="auto"/>
          <w:color w:val="auto"/>
        </w:rPr>
        <w:t>Other Stock Based Awards</w:t>
      </w:r>
      <w:r>
        <w:rPr>
          <w:rFonts w:ascii="Arial" w:cs="Arial" w:eastAsia="Arial" w:hAnsi="Arial"/>
          <w:sz w:val="17"/>
          <w:szCs w:val="17"/>
          <w:color w:val="auto"/>
        </w:rPr>
        <w:t>. Other Stock Based Awards may be granted either alone, in addition to, or in tandem with, other Awards granted under the Plan and/or cash awards made outside of the Plan. The Administrator shall have authority to determine the Service Providers to whom and the time or times at which Other Stock Based Awards shall be made, the amount of such Other Stock Based Awards, and all other conditions of the Other Stock Based Awards, including any dividend or voting rights and whether the Award should be paid in cash.</w:t>
      </w:r>
    </w:p>
    <w:p>
      <w:pPr>
        <w:spacing w:after="0" w:line="175" w:lineRule="exact"/>
        <w:rPr>
          <w:rFonts w:ascii="Arial" w:cs="Arial" w:eastAsia="Arial" w:hAnsi="Arial"/>
          <w:sz w:val="17"/>
          <w:szCs w:val="17"/>
          <w:color w:val="auto"/>
        </w:rPr>
      </w:pPr>
    </w:p>
    <w:p>
      <w:pPr>
        <w:ind w:right="40" w:firstLine="634"/>
        <w:spacing w:after="0" w:line="280" w:lineRule="auto"/>
        <w:tabs>
          <w:tab w:leader="none" w:pos="1254" w:val="left"/>
        </w:tabs>
        <w:numPr>
          <w:ilvl w:val="0"/>
          <w:numId w:val="491"/>
        </w:numPr>
        <w:rPr>
          <w:rFonts w:ascii="Arial" w:cs="Arial" w:eastAsia="Arial" w:hAnsi="Arial"/>
          <w:sz w:val="16"/>
          <w:szCs w:val="16"/>
          <w:color w:val="auto"/>
        </w:rPr>
      </w:pPr>
      <w:r>
        <w:rPr>
          <w:rFonts w:ascii="Arial" w:cs="Arial" w:eastAsia="Arial" w:hAnsi="Arial"/>
          <w:sz w:val="16"/>
          <w:szCs w:val="16"/>
          <w:u w:val="single" w:color="auto"/>
          <w:color w:val="auto"/>
        </w:rPr>
        <w:t>Leaves of Absence</w:t>
      </w:r>
      <w:r>
        <w:rPr>
          <w:rFonts w:ascii="Arial" w:cs="Arial" w:eastAsia="Arial" w:hAnsi="Arial"/>
          <w:sz w:val="16"/>
          <w:szCs w:val="16"/>
          <w:color w:val="auto"/>
        </w:rPr>
        <w:t>. Unless the Administrator provides otherwise, vesting of Awards granted under this Plan shall be suspended during any unpaid leave of absence and shall resume on the date the Participant returns to work on a regular schedule as determined by the Company; provided, however, that no vesting credit shall be awarded for the time vesting has been suspended during such leave of absence. A Service Provider shall not cease to be an Employee in the case of (i) any leave of absence approved by the Company or (ii) transfers between locations of the Company or between the Company, its Parent, or any Subsidiary. For purposes of Incentive Stock Options, no leave of absence may exceed 90 days, unless reemployment upon expiration of such leave is guaranteed by statute or contract. If reemployment upon expiration of a leave of absence approved by the Company is not guaranteed by statute or contract, then at the end of three months following the expiration of the leave of absence, any Incentive Stock Option held by the Participant shall cease to be treated as an Incentive Stock Option and shall be treated for tax purposes as a Nonstatutory Stock Option.</w:t>
      </w:r>
    </w:p>
    <w:p>
      <w:pPr>
        <w:spacing w:after="0" w:line="170" w:lineRule="exact"/>
        <w:rPr>
          <w:rFonts w:ascii="Arial" w:cs="Arial" w:eastAsia="Arial" w:hAnsi="Arial"/>
          <w:sz w:val="16"/>
          <w:szCs w:val="16"/>
          <w:color w:val="auto"/>
        </w:rPr>
      </w:pPr>
    </w:p>
    <w:p>
      <w:pPr>
        <w:ind w:right="60" w:firstLine="634"/>
        <w:spacing w:after="0" w:line="268" w:lineRule="auto"/>
        <w:tabs>
          <w:tab w:leader="none" w:pos="1254" w:val="left"/>
        </w:tabs>
        <w:numPr>
          <w:ilvl w:val="0"/>
          <w:numId w:val="491"/>
        </w:numPr>
        <w:rPr>
          <w:rFonts w:ascii="Arial" w:cs="Arial" w:eastAsia="Arial" w:hAnsi="Arial"/>
          <w:sz w:val="17"/>
          <w:szCs w:val="17"/>
          <w:color w:val="auto"/>
        </w:rPr>
      </w:pPr>
      <w:r>
        <w:rPr>
          <w:rFonts w:ascii="Arial" w:cs="Arial" w:eastAsia="Arial" w:hAnsi="Arial"/>
          <w:sz w:val="17"/>
          <w:szCs w:val="17"/>
          <w:u w:val="single" w:color="auto"/>
          <w:color w:val="auto"/>
        </w:rPr>
        <w:t>Non-Transferability of Awards</w:t>
      </w:r>
      <w:r>
        <w:rPr>
          <w:rFonts w:ascii="Arial" w:cs="Arial" w:eastAsia="Arial" w:hAnsi="Arial"/>
          <w:sz w:val="17"/>
          <w:szCs w:val="17"/>
          <w:color w:val="auto"/>
        </w:rPr>
        <w:t>. Unless determined otherwise by the Administrator, an Award may not be sold, pledged, assigned, hypothecated, transferred, or disposed of in any manner other than by shall or by the laws of descent or distribution and may be exercised, during the lifetime of the Participant, only by the Participant. If the Administrator makes an Award transferable, such Award shall contain such additional terms and conditions as the Administrator deems appropriate.</w:t>
      </w:r>
    </w:p>
    <w:p>
      <w:pPr>
        <w:spacing w:after="0" w:line="175" w:lineRule="exact"/>
        <w:rPr>
          <w:rFonts w:ascii="Arial" w:cs="Arial" w:eastAsia="Arial" w:hAnsi="Arial"/>
          <w:sz w:val="17"/>
          <w:szCs w:val="17"/>
          <w:color w:val="auto"/>
        </w:rPr>
      </w:pPr>
    </w:p>
    <w:p>
      <w:pPr>
        <w:ind w:left="1260" w:hanging="626"/>
        <w:spacing w:after="0"/>
        <w:tabs>
          <w:tab w:leader="none" w:pos="1260" w:val="left"/>
        </w:tabs>
        <w:numPr>
          <w:ilvl w:val="0"/>
          <w:numId w:val="491"/>
        </w:numPr>
        <w:rPr>
          <w:rFonts w:ascii="Arial" w:cs="Arial" w:eastAsia="Arial" w:hAnsi="Arial"/>
          <w:sz w:val="17"/>
          <w:szCs w:val="17"/>
          <w:color w:val="auto"/>
        </w:rPr>
      </w:pPr>
      <w:r>
        <w:rPr>
          <w:rFonts w:ascii="Arial" w:cs="Arial" w:eastAsia="Arial" w:hAnsi="Arial"/>
          <w:sz w:val="17"/>
          <w:szCs w:val="17"/>
          <w:u w:val="single" w:color="auto"/>
          <w:color w:val="auto"/>
        </w:rPr>
        <w:t>Adjustments; Dissolution or Liquidation; Change in Control</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80" w:firstLine="1263"/>
        <w:spacing w:after="0" w:line="322" w:lineRule="auto"/>
        <w:tabs>
          <w:tab w:leader="none" w:pos="1885" w:val="left"/>
        </w:tabs>
        <w:numPr>
          <w:ilvl w:val="1"/>
          <w:numId w:val="491"/>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of any change in the outstanding Shares of Common Stock by reason of any stock split, stock dividend or other non-recurring dividends or distributions, recapitalization, merger, consolidation, spin-off, combination, repurchase or exchange of stock,</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reorganization, liquidation, dissolution or other similar corporate transaction that affects the Common Stock, an adjustment shall be made, as the Administrator deems necessary or appropriate, in order to prevent dilution or enlargement of the benefits or potential benefits intended to be made available under the Plan. Such adjustment may include an adjustment to the number and class of Shares which may be delivered under the Plan, the number, class and price of Shares subject to outstanding Awards, the number and class of Shares issuable pursuant to Options, and the numerical limits in Sections 3 and 6(b). Notwithstanding the preceding, the number of Shares subject to any Award always shall be a whole number.</w:t>
      </w:r>
    </w:p>
    <w:p>
      <w:pPr>
        <w:spacing w:after="0" w:line="179" w:lineRule="exact"/>
        <w:rPr>
          <w:sz w:val="20"/>
          <w:szCs w:val="20"/>
          <w:color w:val="auto"/>
        </w:rPr>
      </w:pPr>
    </w:p>
    <w:p>
      <w:pPr>
        <w:ind w:right="20" w:firstLine="1263"/>
        <w:spacing w:after="0" w:line="262" w:lineRule="auto"/>
        <w:tabs>
          <w:tab w:leader="none" w:pos="1895" w:val="left"/>
        </w:tabs>
        <w:numPr>
          <w:ilvl w:val="0"/>
          <w:numId w:val="492"/>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dissolution or liquidation of the Company, the Administrator shall notify each Participant as soon as practical prior to the effective date of the proposed transaction. The Administrator, in its sole discretion, may provide for a Participant to have the right to exercise his Award, to the extent applicable, until 10 days prior to the transaction as to all of the Awarded Stock covered thereby, including Shares as to which the Award would not otherwise be exercisable. In addition, the Administrator may provide that any Company repurchase option or forfeiture rights applicable to any Award shall lapse 100%, and that any Award vesting shall accelerate 100%, provided the proposed dissolution or liquidation takes place at the time and in the manner contemplated. To the extent it has not been previously exercised or vested, an Award shall terminate immediately prior to the consummation of such proposed action.</w:t>
      </w:r>
    </w:p>
    <w:p>
      <w:pPr>
        <w:spacing w:after="0" w:line="184" w:lineRule="exact"/>
        <w:rPr>
          <w:rFonts w:ascii="Arial" w:cs="Arial" w:eastAsia="Arial" w:hAnsi="Arial"/>
          <w:sz w:val="17"/>
          <w:szCs w:val="17"/>
          <w:color w:val="auto"/>
        </w:rPr>
      </w:pPr>
    </w:p>
    <w:p>
      <w:pPr>
        <w:ind w:left="1900" w:hanging="637"/>
        <w:spacing w:after="0"/>
        <w:tabs>
          <w:tab w:leader="none" w:pos="1900" w:val="left"/>
        </w:tabs>
        <w:numPr>
          <w:ilvl w:val="0"/>
          <w:numId w:val="492"/>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This Section 15(c) shall apply except to the extent otherwise provided in the Award Agreement.</w:t>
      </w:r>
    </w:p>
    <w:p>
      <w:pPr>
        <w:spacing w:after="0" w:line="224" w:lineRule="exact"/>
        <w:rPr>
          <w:rFonts w:ascii="Arial" w:cs="Arial" w:eastAsia="Arial" w:hAnsi="Arial"/>
          <w:sz w:val="17"/>
          <w:szCs w:val="17"/>
          <w:color w:val="auto"/>
        </w:rPr>
      </w:pPr>
    </w:p>
    <w:p>
      <w:pPr>
        <w:ind w:right="80" w:firstLine="1893"/>
        <w:spacing w:after="0" w:line="276" w:lineRule="auto"/>
        <w:tabs>
          <w:tab w:leader="none" w:pos="2538" w:val="left"/>
        </w:tabs>
        <w:numPr>
          <w:ilvl w:val="1"/>
          <w:numId w:val="492"/>
        </w:numPr>
        <w:rPr>
          <w:rFonts w:ascii="Arial" w:cs="Arial" w:eastAsia="Arial" w:hAnsi="Arial"/>
          <w:sz w:val="16"/>
          <w:szCs w:val="16"/>
          <w:color w:val="auto"/>
        </w:rPr>
      </w:pPr>
      <w:r>
        <w:rPr>
          <w:rFonts w:ascii="Arial" w:cs="Arial" w:eastAsia="Arial" w:hAnsi="Arial"/>
          <w:sz w:val="16"/>
          <w:szCs w:val="16"/>
          <w:u w:val="single" w:color="auto"/>
          <w:color w:val="auto"/>
        </w:rPr>
        <w:t>Stock Options and SARs</w:t>
      </w:r>
      <w:r>
        <w:rPr>
          <w:rFonts w:ascii="Arial" w:cs="Arial" w:eastAsia="Arial" w:hAnsi="Arial"/>
          <w:sz w:val="16"/>
          <w:szCs w:val="16"/>
          <w:color w:val="auto"/>
        </w:rPr>
        <w:t>. In the event of a Change in Control, each outstanding Option and SAR shall be assumed or an equivalent option or SAR substituted by the successor corporation or a Parent or Subsidiary of the successor corporation. Unless determined otherwise by the Administrator, if the successor corporation refuses to assume or substitute for the Option or SAR, the Participant shall fully vest in and have the right to exercise the Option or SAR as to all of the Awarded Stock, including Shares as to which it would not otherwise be vested or exercisable. If an Option or SAR is not assumed or substituted on the Change in Control, the Administrator shall notify the Participant in writing or electronically that the Option or SAR shall be exercisable, to the extent vested, for a period of up to 15 days from the date of such notice, and the Option or SAR shall terminate upon the expiration of such period. For the purposes of this Section 15(c)(i), the Option or SAR shall be considered assumed if, following the Change in Control, the option or SAR confers the right to purchase or receive, for each Share of Awarded Stock subject to the Option or SAR immediately prior to the Change in Control, the consideration (whether securities, cash, or property) received in the Change in Control by holders of Common Stock for each Share held on the effective date of the transaction (and if holders were offered a choice of consideration, the type of consideration chosen by the holders of a majority of the outstanding Shares). However, if the consideration received in the Change in Control is not solely common stock of the successor corporation or its Parent, the Administrator may, with the consent of the successor corporation, provide for the consideration to be received upon the exercise of the Option or SAR, for each share of Awarded Stock subject to the Option or SAR, to be solely common stock of the successor corporation or its Parent equal in Fair Market Value to the per share consideration received by holders of Common Stock in the Change in Control. Notwithstanding anything in this Plan to the contrary, an Award that vests, is earned, or is paid-out upon the satisfaction of one or more performance objectives shall not be considered assumed if the Company or its successor modifies any of the performance objectives without the Participant’s consent; provided, however, a modification to performance objectives only to reflect the successor corporation’s post-Change in Control corporate structure shall not be deemed to invalidate an otherwise valid Award assumption.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1893"/>
        <w:spacing w:after="0" w:line="298" w:lineRule="auto"/>
        <w:tabs>
          <w:tab w:leader="none" w:pos="2547" w:val="left"/>
        </w:tabs>
        <w:numPr>
          <w:ilvl w:val="0"/>
          <w:numId w:val="493"/>
        </w:numPr>
        <w:rPr>
          <w:rFonts w:ascii="Arial" w:cs="Arial" w:eastAsia="Arial" w:hAnsi="Arial"/>
          <w:sz w:val="15"/>
          <w:szCs w:val="15"/>
          <w:color w:val="auto"/>
        </w:rPr>
      </w:pPr>
      <w:r>
        <w:rPr>
          <w:rFonts w:ascii="Arial" w:cs="Arial" w:eastAsia="Arial" w:hAnsi="Arial"/>
          <w:sz w:val="15"/>
          <w:szCs w:val="15"/>
          <w:u w:val="single" w:color="auto"/>
          <w:color w:val="auto"/>
        </w:rPr>
        <w:t>Restricted Stock, Performance Shares, Performance Units, Restricted Stock Units and Other Stock Based Awards</w:t>
      </w:r>
      <w:r>
        <w:rPr>
          <w:rFonts w:ascii="Arial" w:cs="Arial" w:eastAsia="Arial" w:hAnsi="Arial"/>
          <w:sz w:val="15"/>
          <w:szCs w:val="15"/>
          <w:color w:val="auto"/>
        </w:rPr>
        <w:t>. In the event of a Change in Control, each outstanding Award of Restricted Stock, Restricted Stock Unit, Performance Share, Performance Unit, and Other Stock Based Award shall be assumed or an equivalent Restricted Stock, Restricted Stock Unit, Performance Share, Performance Unit, and Other Stock Based Award shall be substituted by the successor corporation or a Parent or Subsidiary of the successor corporation. Unless determined otherwise by the Administrator, if the successor corporation refuses to assume or substitute for the Award, the Participant shall fully vest in the Award, including as to Shares or Units that would not otherwise be vested, all applicable restrictions shall lapse, and all performance objectives and other vesting criteria shall be deemed achieved at targeted levels. For the purposes of this Section 15(c)(ii), an Award of Restricted Stock, Restricted Stock Units, Performance Shares, Performance Units, and Other Stock Based Awards shall be considered assumed if, following the Change in Control, the award confers the right to purchase or receive, for each Share subject to the Award immediately prior to the Change in Control (and if a Restricted Stock Unit or Performance Unit, for each Share as determined based on the then current value of the unit),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However, if the consideration received in the Change in Control is not solely common stock of the successor corporation or its Parent, the</w:t>
      </w:r>
    </w:p>
    <w:p>
      <w:pPr>
        <w:sectPr>
          <w:pgSz w:w="11900" w:h="16872" w:orient="portrait"/>
          <w:cols w:equalWidth="0" w:num="1">
            <w:col w:w="11420"/>
          </w:cols>
          <w:pgMar w:left="240" w:top="127" w:right="239" w:bottom="0" w:gutter="0" w:footer="0" w:header="0"/>
        </w:sectPr>
      </w:pPr>
    </w:p>
    <w:bookmarkStart w:id="343" w:name="page344"/>
    <w:bookmarkEnd w:id="343"/>
    <w:p>
      <w:pPr>
        <w:ind w:right="20"/>
        <w:spacing w:after="0" w:line="262" w:lineRule="auto"/>
        <w:rPr>
          <w:sz w:val="20"/>
          <w:szCs w:val="20"/>
          <w:color w:val="auto"/>
        </w:rPr>
      </w:pPr>
      <w:r>
        <w:rPr>
          <w:rFonts w:ascii="Arial" w:cs="Arial" w:eastAsia="Arial" w:hAnsi="Arial"/>
          <w:sz w:val="17"/>
          <w:szCs w:val="17"/>
          <w:color w:val="auto"/>
        </w:rPr>
        <w:t>Administrator may, with the consent of the successor corporation, provide that the consideration to be received for each Share (and if a Restricted Stock Unit or Performance Unit, for each Share as determined based on the then current value of the unit) be solely common stock of the successor corporation or its Parent equal in fair market value to the per share consideration received by holders of Common Stock in the Change in Control. Notwithstanding anything in this Plan to the contrary, an Award that vests, is earned, or is paid-out upon the satisfaction of one or more performance objectives shall not be considered assumed if the Company or its successor modifies any of the performance objectives without the Participant’s consent; provided, however, a modification to the performance objectives only to reflect the successor corporation’s post-Change in Control corporate structure shall not be deemed to invalidate an otherwise valid Award assumption.</w:t>
      </w:r>
    </w:p>
    <w:p>
      <w:pPr>
        <w:spacing w:after="0" w:line="184" w:lineRule="exact"/>
        <w:rPr>
          <w:sz w:val="20"/>
          <w:szCs w:val="20"/>
          <w:color w:val="auto"/>
        </w:rPr>
      </w:pPr>
    </w:p>
    <w:p>
      <w:pPr>
        <w:ind w:firstLine="1893"/>
        <w:spacing w:after="0" w:line="262" w:lineRule="auto"/>
        <w:tabs>
          <w:tab w:leader="none" w:pos="2556" w:val="left"/>
        </w:tabs>
        <w:numPr>
          <w:ilvl w:val="1"/>
          <w:numId w:val="494"/>
        </w:numPr>
        <w:rPr>
          <w:rFonts w:ascii="Arial" w:cs="Arial" w:eastAsia="Arial" w:hAnsi="Arial"/>
          <w:sz w:val="17"/>
          <w:szCs w:val="17"/>
          <w:color w:val="auto"/>
        </w:rPr>
      </w:pPr>
      <w:r>
        <w:rPr>
          <w:rFonts w:ascii="Arial" w:cs="Arial" w:eastAsia="Arial" w:hAnsi="Arial"/>
          <w:sz w:val="17"/>
          <w:szCs w:val="17"/>
          <w:u w:val="single" w:color="auto"/>
          <w:color w:val="auto"/>
        </w:rPr>
        <w:t>Outside Director Awards</w:t>
      </w:r>
      <w:r>
        <w:rPr>
          <w:rFonts w:ascii="Arial" w:cs="Arial" w:eastAsia="Arial" w:hAnsi="Arial"/>
          <w:sz w:val="17"/>
          <w:szCs w:val="17"/>
          <w:color w:val="auto"/>
        </w:rPr>
        <w:t>. Notwithstanding any provision of Sections 15(c)(i) or 15(c)(ii) to the contrary, with respect to Awards granted to an Outside Director that are assumed or substituted for, if on the date of or following the assumption or substitution, the Participant’s status as a Director or a director of the successor corporation, as applicable, is terminated other than upon a voluntary resignation by the Participant, then the Participant shall fully vest in and have the right to exercise his Options and Stock Appreciation Rights as to all of the Award, including Shares as to which such Awards would not otherwise be vested or exercisable, and all restrictions on Restricted Stock and Restricted Stock Units, as applicable, shall lapse, and, with respect to Performance Shares, Performance Units, and Other Stock Based Awards, all performance goals and other vesting criteria shall be deemed achieved at target levels and all other terms and conditions met.</w:t>
      </w:r>
    </w:p>
    <w:p>
      <w:pPr>
        <w:spacing w:after="0" w:line="184" w:lineRule="exact"/>
        <w:rPr>
          <w:rFonts w:ascii="Arial" w:cs="Arial" w:eastAsia="Arial" w:hAnsi="Arial"/>
          <w:sz w:val="17"/>
          <w:szCs w:val="17"/>
          <w:color w:val="auto"/>
        </w:rPr>
      </w:pPr>
    </w:p>
    <w:p>
      <w:pPr>
        <w:ind w:right="80" w:firstLine="634"/>
        <w:spacing w:after="0" w:line="273" w:lineRule="auto"/>
        <w:tabs>
          <w:tab w:leader="none" w:pos="1254" w:val="left"/>
        </w:tabs>
        <w:numPr>
          <w:ilvl w:val="0"/>
          <w:numId w:val="495"/>
        </w:numPr>
        <w:rPr>
          <w:rFonts w:ascii="Arial" w:cs="Arial" w:eastAsia="Arial" w:hAnsi="Arial"/>
          <w:sz w:val="17"/>
          <w:szCs w:val="17"/>
          <w:color w:val="auto"/>
        </w:rPr>
      </w:pPr>
      <w:r>
        <w:rPr>
          <w:rFonts w:ascii="Arial" w:cs="Arial" w:eastAsia="Arial" w:hAnsi="Arial"/>
          <w:sz w:val="17"/>
          <w:szCs w:val="17"/>
          <w:u w:val="single" w:color="auto"/>
          <w:color w:val="auto"/>
        </w:rPr>
        <w:t>Date of Grant</w:t>
      </w:r>
      <w:r>
        <w:rPr>
          <w:rFonts w:ascii="Arial" w:cs="Arial" w:eastAsia="Arial" w:hAnsi="Arial"/>
          <w:sz w:val="17"/>
          <w:szCs w:val="17"/>
          <w:color w:val="auto"/>
        </w:rPr>
        <w:t>. The date of grant of an Award shall be, for all purposes, the date on which the Administrator makes the determination granting such Award, or a later date as is determined by the Administrator. Notice of the determination shall be provided to each Participant within a reasonable time after the date of such grant.</w:t>
      </w:r>
    </w:p>
    <w:p>
      <w:pPr>
        <w:spacing w:after="0" w:line="172"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Stockholder Approval and Term of Plan</w:t>
      </w:r>
      <w:r>
        <w:rPr>
          <w:rFonts w:ascii="Arial" w:cs="Arial" w:eastAsia="Arial" w:hAnsi="Arial"/>
          <w:sz w:val="17"/>
          <w:szCs w:val="17"/>
          <w:color w:val="auto"/>
        </w:rPr>
        <w:t>. The Plan became effective on [ ] and thereafter shall continue in effect for a term of ten years unless terminated earlier under Section 18 of the Plan.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hanging="626"/>
        <w:spacing w:after="0"/>
        <w:tabs>
          <w:tab w:leader="none" w:pos="1260" w:val="left"/>
        </w:tabs>
        <w:numPr>
          <w:ilvl w:val="0"/>
          <w:numId w:val="496"/>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 of the Plan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1"/>
          <w:numId w:val="496"/>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w:t>
      </w:r>
      <w:r>
        <w:rPr>
          <w:rFonts w:ascii="Arial" w:cs="Arial" w:eastAsia="Arial" w:hAnsi="Arial"/>
          <w:sz w:val="17"/>
          <w:szCs w:val="17"/>
          <w:color w:val="auto"/>
        </w:rPr>
        <w:t>. The Board may at any time amend, alter, suspend or terminate the Plan.</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496"/>
        </w:numPr>
        <w:rPr>
          <w:rFonts w:ascii="Arial" w:cs="Arial" w:eastAsia="Arial" w:hAnsi="Arial"/>
          <w:sz w:val="15"/>
          <w:szCs w:val="15"/>
          <w:color w:val="auto"/>
        </w:rPr>
      </w:pPr>
      <w:r>
        <w:rPr>
          <w:rFonts w:ascii="Arial" w:cs="Arial" w:eastAsia="Arial" w:hAnsi="Arial"/>
          <w:sz w:val="15"/>
          <w:szCs w:val="15"/>
          <w:u w:val="single" w:color="auto"/>
          <w:color w:val="auto"/>
        </w:rPr>
        <w:t>Stockholder Approval</w:t>
      </w:r>
      <w:r>
        <w:rPr>
          <w:rFonts w:ascii="Arial" w:cs="Arial" w:eastAsia="Arial" w:hAnsi="Arial"/>
          <w:sz w:val="15"/>
          <w:szCs w:val="15"/>
          <w:color w:val="auto"/>
        </w:rPr>
        <w:t>. The Company shall obtain stockholder approval of any Plan amendment to the extent necessary to comply with</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Applicable Laws.</w:t>
      </w:r>
    </w:p>
    <w:p>
      <w:pPr>
        <w:spacing w:after="0" w:line="212" w:lineRule="exact"/>
        <w:rPr>
          <w:rFonts w:ascii="Arial" w:cs="Arial" w:eastAsia="Arial" w:hAnsi="Arial"/>
          <w:sz w:val="15"/>
          <w:szCs w:val="15"/>
          <w:color w:val="auto"/>
        </w:rPr>
      </w:pPr>
    </w:p>
    <w:p>
      <w:pPr>
        <w:ind w:right="40" w:firstLine="1263"/>
        <w:spacing w:after="0" w:line="268" w:lineRule="auto"/>
        <w:tabs>
          <w:tab w:leader="none" w:pos="1898" w:val="left"/>
        </w:tabs>
        <w:numPr>
          <w:ilvl w:val="1"/>
          <w:numId w:val="496"/>
        </w:numPr>
        <w:rPr>
          <w:rFonts w:ascii="Arial" w:cs="Arial" w:eastAsia="Arial" w:hAnsi="Arial"/>
          <w:sz w:val="17"/>
          <w:szCs w:val="17"/>
          <w:color w:val="auto"/>
        </w:rPr>
      </w:pPr>
      <w:r>
        <w:rPr>
          <w:rFonts w:ascii="Arial" w:cs="Arial" w:eastAsia="Arial" w:hAnsi="Arial"/>
          <w:sz w:val="17"/>
          <w:szCs w:val="17"/>
          <w:u w:val="single" w:color="auto"/>
          <w:color w:val="auto"/>
        </w:rPr>
        <w:t>Effect of Amendment or Termination</w:t>
      </w:r>
      <w:r>
        <w:rPr>
          <w:rFonts w:ascii="Arial" w:cs="Arial" w:eastAsia="Arial" w:hAnsi="Arial"/>
          <w:sz w:val="17"/>
          <w:szCs w:val="17"/>
          <w:color w:val="auto"/>
        </w:rPr>
        <w:t>. No amendment, alteration, suspension, or termination of the Plan shall materially or adversely impair the rights of any Participant, unless otherwise mutually agreed upon by the Participant and the Administrator, which agreement must be in writing and signed by the Participant and the Company. Termination of the Plan shall not affect the Administrator’s ability to exercise the powers granted to it under this Plan with respect to Awards granted under the Plan prior to the date of termination.</w:t>
      </w:r>
    </w:p>
    <w:p>
      <w:pPr>
        <w:spacing w:after="0" w:line="175" w:lineRule="exact"/>
        <w:rPr>
          <w:rFonts w:ascii="Arial" w:cs="Arial" w:eastAsia="Arial" w:hAnsi="Arial"/>
          <w:sz w:val="17"/>
          <w:szCs w:val="17"/>
          <w:color w:val="auto"/>
        </w:rPr>
      </w:pPr>
    </w:p>
    <w:p>
      <w:pPr>
        <w:ind w:left="1260" w:hanging="626"/>
        <w:spacing w:after="0"/>
        <w:tabs>
          <w:tab w:leader="none" w:pos="1260" w:val="left"/>
        </w:tabs>
        <w:numPr>
          <w:ilvl w:val="0"/>
          <w:numId w:val="496"/>
        </w:numPr>
        <w:rPr>
          <w:rFonts w:ascii="Arial" w:cs="Arial" w:eastAsia="Arial" w:hAnsi="Arial"/>
          <w:sz w:val="17"/>
          <w:szCs w:val="17"/>
          <w:color w:val="auto"/>
        </w:rPr>
      </w:pPr>
      <w:r>
        <w:rPr>
          <w:rFonts w:ascii="Arial" w:cs="Arial" w:eastAsia="Arial" w:hAnsi="Arial"/>
          <w:sz w:val="17"/>
          <w:szCs w:val="17"/>
          <w:u w:val="single" w:color="auto"/>
          <w:color w:val="auto"/>
        </w:rPr>
        <w:t>Conditions upon issuance of shares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80" w:firstLine="1263"/>
        <w:spacing w:after="0" w:line="273" w:lineRule="auto"/>
        <w:tabs>
          <w:tab w:leader="none" w:pos="1885" w:val="left"/>
        </w:tabs>
        <w:numPr>
          <w:ilvl w:val="1"/>
          <w:numId w:val="496"/>
        </w:numPr>
        <w:rPr>
          <w:rFonts w:ascii="Arial" w:cs="Arial" w:eastAsia="Arial" w:hAnsi="Arial"/>
          <w:sz w:val="17"/>
          <w:szCs w:val="17"/>
          <w:color w:val="auto"/>
        </w:rPr>
      </w:pPr>
      <w:r>
        <w:rPr>
          <w:rFonts w:ascii="Arial" w:cs="Arial" w:eastAsia="Arial" w:hAnsi="Arial"/>
          <w:sz w:val="17"/>
          <w:szCs w:val="17"/>
          <w:u w:val="single" w:color="auto"/>
          <w:color w:val="auto"/>
        </w:rPr>
        <w:t>Legal Compliance</w:t>
      </w:r>
      <w:r>
        <w:rPr>
          <w:rFonts w:ascii="Arial" w:cs="Arial" w:eastAsia="Arial" w:hAnsi="Arial"/>
          <w:sz w:val="17"/>
          <w:szCs w:val="17"/>
          <w:color w:val="auto"/>
        </w:rPr>
        <w:t>. Shares shall not be issued pursuant to the exercise of an Award unless the exercise of the Award and the issuance and delivery of such Shares shall comply with Applicable Laws and shall be further subject to the approval of counsel for the Company with respect to such compliance.</w:t>
      </w:r>
    </w:p>
    <w:p>
      <w:pPr>
        <w:spacing w:after="0" w:line="171" w:lineRule="exact"/>
        <w:rPr>
          <w:rFonts w:ascii="Arial" w:cs="Arial" w:eastAsia="Arial" w:hAnsi="Arial"/>
          <w:sz w:val="17"/>
          <w:szCs w:val="17"/>
          <w:color w:val="auto"/>
        </w:rPr>
      </w:pPr>
    </w:p>
    <w:p>
      <w:pPr>
        <w:ind w:right="100" w:firstLine="1263"/>
        <w:spacing w:after="0" w:line="298" w:lineRule="auto"/>
        <w:tabs>
          <w:tab w:leader="none" w:pos="1895" w:val="left"/>
        </w:tabs>
        <w:numPr>
          <w:ilvl w:val="1"/>
          <w:numId w:val="496"/>
        </w:numPr>
        <w:rPr>
          <w:rFonts w:ascii="Arial" w:cs="Arial" w:eastAsia="Arial" w:hAnsi="Arial"/>
          <w:sz w:val="16"/>
          <w:szCs w:val="16"/>
          <w:color w:val="auto"/>
        </w:rPr>
      </w:pPr>
      <w:r>
        <w:rPr>
          <w:rFonts w:ascii="Arial" w:cs="Arial" w:eastAsia="Arial" w:hAnsi="Arial"/>
          <w:sz w:val="16"/>
          <w:szCs w:val="16"/>
          <w:u w:val="single" w:color="auto"/>
          <w:color w:val="auto"/>
        </w:rPr>
        <w:t>Investment Representations</w:t>
      </w:r>
      <w:r>
        <w:rPr>
          <w:rFonts w:ascii="Arial" w:cs="Arial" w:eastAsia="Arial" w:hAnsi="Arial"/>
          <w:sz w:val="16"/>
          <w:szCs w:val="16"/>
          <w:color w:val="auto"/>
        </w:rPr>
        <w:t>. As a condition to the exercise or receipt of an Award, the Company may require the person exercising or receiving the Award to represent and warrant at the time of any such exercise or receipt that the Shares are being purchased only for investment and without any present intention to sell or distribute the Shares if, in the opinion of counsel for the Company, such a representation is required.</w:t>
      </w:r>
    </w:p>
    <w:p>
      <w:pPr>
        <w:spacing w:after="0" w:line="153" w:lineRule="exact"/>
        <w:rPr>
          <w:rFonts w:ascii="Arial" w:cs="Arial" w:eastAsia="Arial" w:hAnsi="Arial"/>
          <w:sz w:val="16"/>
          <w:szCs w:val="16"/>
          <w:color w:val="auto"/>
        </w:rPr>
      </w:pPr>
    </w:p>
    <w:p>
      <w:pPr>
        <w:ind w:right="80" w:firstLine="1263"/>
        <w:spacing w:after="0" w:line="285" w:lineRule="auto"/>
        <w:tabs>
          <w:tab w:leader="none" w:pos="1898" w:val="left"/>
        </w:tabs>
        <w:numPr>
          <w:ilvl w:val="1"/>
          <w:numId w:val="496"/>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No Shares shall be delivered under the Plan to any Participant or other person until the Participant or other person has made arrangements acceptable to the Administrator for the satisfaction of any non-U.S., U.S.-federal, U.S.-state, or local income and employment tax withholding obligations, including, without limitation, obligations incident to the receipt of Shares. Upon exercise or vesting of an Award, the Company shall withhold or collect from the Participant an amount sufficient to satisfy such tax obligations, including, but not limited to, by surrender of the whole number of Shares covered by the Award sufficient to satisfy the minimum applicable tax withholding obligations incident to the exercise or vesting of an Award.</w:t>
      </w:r>
    </w:p>
    <w:p>
      <w:pPr>
        <w:spacing w:after="0" w:line="166" w:lineRule="exact"/>
        <w:rPr>
          <w:rFonts w:ascii="Arial" w:cs="Arial" w:eastAsia="Arial" w:hAnsi="Arial"/>
          <w:sz w:val="16"/>
          <w:szCs w:val="16"/>
          <w:color w:val="auto"/>
        </w:rPr>
      </w:pPr>
    </w:p>
    <w:p>
      <w:pPr>
        <w:ind w:right="40" w:firstLine="634"/>
        <w:spacing w:after="0" w:line="268" w:lineRule="auto"/>
        <w:tabs>
          <w:tab w:leader="none" w:pos="1254" w:val="left"/>
        </w:tabs>
        <w:numPr>
          <w:ilvl w:val="0"/>
          <w:numId w:val="49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Notwithstanding any contrary provision of the Plan or an Award to the contrary, if any one or more of the provisions (or any part thereof) of this Plan or the Awards shall be held invalid, illegal, or unenforceable in any respect, such provision shall be modified so as to make it valid, legal, and enforceable, and the validity, legality, and enforceability of the remaining provisions (or any part thereof) of the Plan or Award, as applicable, shall not in any way be affected or impaired thereby.</w:t>
      </w:r>
    </w:p>
    <w:p>
      <w:pPr>
        <w:spacing w:after="0" w:line="175" w:lineRule="exact"/>
        <w:rPr>
          <w:rFonts w:ascii="Arial" w:cs="Arial" w:eastAsia="Arial" w:hAnsi="Arial"/>
          <w:sz w:val="17"/>
          <w:szCs w:val="17"/>
          <w:color w:val="auto"/>
        </w:rPr>
      </w:pPr>
    </w:p>
    <w:p>
      <w:pPr>
        <w:jc w:val="both"/>
        <w:ind w:right="20" w:firstLine="634"/>
        <w:spacing w:after="0" w:line="273" w:lineRule="auto"/>
        <w:tabs>
          <w:tab w:leader="none" w:pos="1254" w:val="left"/>
        </w:tabs>
        <w:numPr>
          <w:ilvl w:val="0"/>
          <w:numId w:val="496"/>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20" w:firstLine="634"/>
        <w:spacing w:after="0" w:line="289" w:lineRule="auto"/>
        <w:tabs>
          <w:tab w:leader="none" w:pos="1254" w:val="left"/>
        </w:tabs>
        <w:numPr>
          <w:ilvl w:val="0"/>
          <w:numId w:val="497"/>
        </w:numPr>
        <w:rPr>
          <w:rFonts w:ascii="Arial" w:cs="Arial" w:eastAsia="Arial" w:hAnsi="Arial"/>
          <w:sz w:val="17"/>
          <w:szCs w:val="17"/>
          <w:color w:val="auto"/>
        </w:rPr>
      </w:pPr>
      <w:r>
        <w:rPr>
          <w:rFonts w:ascii="Arial" w:cs="Arial" w:eastAsia="Arial" w:hAnsi="Arial"/>
          <w:sz w:val="17"/>
          <w:szCs w:val="17"/>
          <w:u w:val="single" w:color="auto"/>
          <w:color w:val="auto"/>
        </w:rPr>
        <w:t>No Rights to Awards</w:t>
      </w:r>
      <w:r>
        <w:rPr>
          <w:rFonts w:ascii="Arial" w:cs="Arial" w:eastAsia="Arial" w:hAnsi="Arial"/>
          <w:sz w:val="17"/>
          <w:szCs w:val="17"/>
          <w:color w:val="auto"/>
        </w:rPr>
        <w:t>. No eligible Service Provider or other person shall have any claim to be granted any Award pursuant to the Plan, and neither the Company nor the Administrator shall be obligated to treat Participants or any other person uniformly.</w:t>
      </w:r>
    </w:p>
    <w:p>
      <w:pPr>
        <w:spacing w:after="0" w:line="158" w:lineRule="exact"/>
        <w:rPr>
          <w:rFonts w:ascii="Arial" w:cs="Arial" w:eastAsia="Arial" w:hAnsi="Arial"/>
          <w:sz w:val="17"/>
          <w:szCs w:val="17"/>
          <w:color w:val="auto"/>
        </w:rPr>
      </w:pPr>
    </w:p>
    <w:p>
      <w:pPr>
        <w:ind w:right="100" w:firstLine="634"/>
        <w:spacing w:after="0" w:line="289" w:lineRule="auto"/>
        <w:tabs>
          <w:tab w:leader="none" w:pos="1254" w:val="left"/>
        </w:tabs>
        <w:numPr>
          <w:ilvl w:val="0"/>
          <w:numId w:val="497"/>
        </w:numPr>
        <w:rPr>
          <w:rFonts w:ascii="Arial" w:cs="Arial" w:eastAsia="Arial" w:hAnsi="Arial"/>
          <w:sz w:val="17"/>
          <w:szCs w:val="17"/>
          <w:color w:val="auto"/>
        </w:rPr>
      </w:pPr>
      <w:r>
        <w:rPr>
          <w:rFonts w:ascii="Arial" w:cs="Arial" w:eastAsia="Arial" w:hAnsi="Arial"/>
          <w:sz w:val="17"/>
          <w:szCs w:val="17"/>
          <w:u w:val="single" w:color="auto"/>
          <w:color w:val="auto"/>
        </w:rPr>
        <w:t>No Stockholder Rights</w:t>
      </w:r>
      <w:r>
        <w:rPr>
          <w:rFonts w:ascii="Arial" w:cs="Arial" w:eastAsia="Arial" w:hAnsi="Arial"/>
          <w:sz w:val="17"/>
          <w:szCs w:val="17"/>
          <w:color w:val="auto"/>
        </w:rPr>
        <w:t>. Except as otherwise provided in an Award Agreement, a Participant shall have none of the rights of a stockholder with respect to Shares covered by an Award until the Participant becomes the record owner of the Shares.</w:t>
      </w:r>
    </w:p>
    <w:p>
      <w:pPr>
        <w:spacing w:after="0" w:line="158" w:lineRule="exact"/>
        <w:rPr>
          <w:rFonts w:ascii="Arial" w:cs="Arial" w:eastAsia="Arial" w:hAnsi="Arial"/>
          <w:sz w:val="17"/>
          <w:szCs w:val="17"/>
          <w:color w:val="auto"/>
        </w:rPr>
      </w:pPr>
    </w:p>
    <w:p>
      <w:pPr>
        <w:ind w:right="80" w:firstLine="634"/>
        <w:spacing w:after="0" w:line="289" w:lineRule="auto"/>
        <w:tabs>
          <w:tab w:leader="none" w:pos="1254" w:val="left"/>
        </w:tabs>
        <w:numPr>
          <w:ilvl w:val="0"/>
          <w:numId w:val="497"/>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shall be issued and the Administrator shall determine, in its sole discretion, whether cash shall be given in lieu of fractional Shares or whether such fractional Shares shall be eliminated by rounding up or down as appropriate.</w:t>
      </w:r>
    </w:p>
    <w:p>
      <w:pPr>
        <w:sectPr>
          <w:pgSz w:w="11900" w:h="16838" w:orient="portrait"/>
          <w:cols w:equalWidth="0" w:num="1">
            <w:col w:w="11380"/>
          </w:cols>
          <w:pgMar w:left="240" w:top="127" w:right="279" w:bottom="23" w:gutter="0" w:footer="0" w:header="0"/>
        </w:sectPr>
      </w:pPr>
    </w:p>
    <w:bookmarkStart w:id="344" w:name="page345"/>
    <w:bookmarkEnd w:id="344"/>
    <w:p>
      <w:pPr>
        <w:ind w:right="60" w:firstLine="634"/>
        <w:spacing w:after="0" w:line="289" w:lineRule="auto"/>
        <w:tabs>
          <w:tab w:leader="none" w:pos="1254" w:val="left"/>
        </w:tabs>
        <w:numPr>
          <w:ilvl w:val="0"/>
          <w:numId w:val="498"/>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Plan, all Award Agreements, and all related matters, shall be governed by the laws of the State of Texas, without regard to choice of law principles that direct the application of the laws of another state.</w:t>
      </w:r>
    </w:p>
    <w:p>
      <w:pPr>
        <w:spacing w:after="0" w:line="158" w:lineRule="exact"/>
        <w:rPr>
          <w:rFonts w:ascii="Arial" w:cs="Arial" w:eastAsia="Arial" w:hAnsi="Arial"/>
          <w:sz w:val="17"/>
          <w:szCs w:val="17"/>
          <w:color w:val="auto"/>
        </w:rPr>
      </w:pPr>
    </w:p>
    <w:p>
      <w:pPr>
        <w:ind w:right="100" w:firstLine="634"/>
        <w:spacing w:after="0" w:line="273" w:lineRule="auto"/>
        <w:tabs>
          <w:tab w:leader="none" w:pos="1254" w:val="left"/>
        </w:tabs>
        <w:numPr>
          <w:ilvl w:val="0"/>
          <w:numId w:val="498"/>
        </w:numPr>
        <w:rPr>
          <w:rFonts w:ascii="Arial" w:cs="Arial" w:eastAsia="Arial" w:hAnsi="Arial"/>
          <w:sz w:val="17"/>
          <w:szCs w:val="17"/>
          <w:color w:val="auto"/>
        </w:rPr>
      </w:pPr>
      <w:r>
        <w:rPr>
          <w:rFonts w:ascii="Arial" w:cs="Arial" w:eastAsia="Arial" w:hAnsi="Arial"/>
          <w:sz w:val="17"/>
          <w:szCs w:val="17"/>
          <w:u w:val="single" w:color="auto"/>
          <w:color w:val="auto"/>
        </w:rPr>
        <w:t>No Effect on Terms of Employment or Consulting Relationship</w:t>
      </w:r>
      <w:r>
        <w:rPr>
          <w:rFonts w:ascii="Arial" w:cs="Arial" w:eastAsia="Arial" w:hAnsi="Arial"/>
          <w:sz w:val="17"/>
          <w:szCs w:val="17"/>
          <w:color w:val="auto"/>
        </w:rPr>
        <w:t>. The Plan shall not confer upon any Participant any right as a Service Provider, nor shall it interfere in any way with his right or the right of the Company or a Parent or Subsidiary to terminate the Participant’s service at any time, with or without cause, and with or without notice.</w:t>
      </w:r>
    </w:p>
    <w:p>
      <w:pPr>
        <w:spacing w:after="0" w:line="171" w:lineRule="exact"/>
        <w:rPr>
          <w:rFonts w:ascii="Arial" w:cs="Arial" w:eastAsia="Arial" w:hAnsi="Arial"/>
          <w:sz w:val="17"/>
          <w:szCs w:val="17"/>
          <w:color w:val="auto"/>
        </w:rPr>
      </w:pPr>
    </w:p>
    <w:p>
      <w:pPr>
        <w:ind w:right="60" w:firstLine="634"/>
        <w:spacing w:after="0" w:line="279" w:lineRule="auto"/>
        <w:tabs>
          <w:tab w:leader="none" w:pos="1254" w:val="left"/>
        </w:tabs>
        <w:numPr>
          <w:ilvl w:val="0"/>
          <w:numId w:val="498"/>
        </w:numPr>
        <w:rPr>
          <w:rFonts w:ascii="Arial" w:cs="Arial" w:eastAsia="Arial" w:hAnsi="Arial"/>
          <w:sz w:val="16"/>
          <w:szCs w:val="16"/>
          <w:color w:val="auto"/>
        </w:rPr>
      </w:pPr>
      <w:r>
        <w:rPr>
          <w:rFonts w:ascii="Arial" w:cs="Arial" w:eastAsia="Arial" w:hAnsi="Arial"/>
          <w:sz w:val="16"/>
          <w:szCs w:val="16"/>
          <w:u w:val="single" w:color="auto"/>
          <w:color w:val="auto"/>
        </w:rPr>
        <w:t>Unfunded Obligation</w:t>
      </w:r>
      <w:r>
        <w:rPr>
          <w:rFonts w:ascii="Arial" w:cs="Arial" w:eastAsia="Arial" w:hAnsi="Arial"/>
          <w:sz w:val="16"/>
          <w:szCs w:val="16"/>
          <w:color w:val="auto"/>
        </w:rPr>
        <w:t>. This Section 27 shall only apply to Awards that are not settled in Shares. Participants shall have the status of general unsecured creditors of the Company. Any amounts payable to Participants pursuant to the Plan shall be unfunded and unsecured obligations for all purposes, including, without limitation, Title I of the Employee Retirement Income Security Act of 1974, as amended. Neither the Company nor any Parent or Subsidiary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under this Plan. Any investments or the creation or maintenance of any trust for any Participant account shall not create or constitute a trust or fiduciary relationship between the Administrator, the Company or any Parent or Subsidiary and Participant, or otherwise create any vested or beneficial interest in any Participant or the Participant’s creditors in any assets of the Company or Parent or Subsidiary. The Participants shall have no claim against the Company or any Parent or Subsidiary for any changes in the value of any assets that may be invested or reinvested by the Company with respect to the Plan.</w:t>
      </w:r>
    </w:p>
    <w:p>
      <w:pPr>
        <w:spacing w:after="0" w:line="172" w:lineRule="exact"/>
        <w:rPr>
          <w:rFonts w:ascii="Arial" w:cs="Arial" w:eastAsia="Arial" w:hAnsi="Arial"/>
          <w:sz w:val="16"/>
          <w:szCs w:val="16"/>
          <w:color w:val="auto"/>
        </w:rPr>
      </w:pPr>
    </w:p>
    <w:p>
      <w:pPr>
        <w:ind w:right="200" w:firstLine="634"/>
        <w:spacing w:after="0" w:line="273" w:lineRule="auto"/>
        <w:tabs>
          <w:tab w:leader="none" w:pos="1254" w:val="left"/>
        </w:tabs>
        <w:numPr>
          <w:ilvl w:val="0"/>
          <w:numId w:val="498"/>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It is the intention of the Company that no Award shall be “deferred compensation” subject to Section 409A of the Code, unless and to the extent that the Administrator specifically determines otherwise, and the Plan and the terms and conditions of all Awards shall be interpreted accordingly. The following rules shall apply to Awards intended to be subject to Section 409A of the Code (“409A Awards”):</w:t>
      </w:r>
    </w:p>
    <w:p>
      <w:pPr>
        <w:spacing w:after="0" w:line="171" w:lineRule="exact"/>
        <w:rPr>
          <w:rFonts w:ascii="Arial" w:cs="Arial" w:eastAsia="Arial" w:hAnsi="Arial"/>
          <w:sz w:val="17"/>
          <w:szCs w:val="17"/>
          <w:color w:val="auto"/>
        </w:rPr>
      </w:pPr>
    </w:p>
    <w:p>
      <w:pPr>
        <w:jc w:val="both"/>
        <w:ind w:firstLine="1263"/>
        <w:spacing w:after="0" w:line="273" w:lineRule="auto"/>
        <w:tabs>
          <w:tab w:leader="none" w:pos="1885" w:val="left"/>
        </w:tabs>
        <w:numPr>
          <w:ilvl w:val="1"/>
          <w:numId w:val="498"/>
        </w:numPr>
        <w:rPr>
          <w:rFonts w:ascii="Arial" w:cs="Arial" w:eastAsia="Arial" w:hAnsi="Arial"/>
          <w:sz w:val="17"/>
          <w:szCs w:val="17"/>
          <w:color w:val="auto"/>
        </w:rPr>
      </w:pPr>
      <w:r>
        <w:rPr>
          <w:rFonts w:ascii="Arial" w:cs="Arial" w:eastAsia="Arial" w:hAnsi="Arial"/>
          <w:sz w:val="17"/>
          <w:szCs w:val="17"/>
          <w:color w:val="auto"/>
        </w:rPr>
        <w:t>Any distribution of a 409A Award following a separation from service that would be subject to Section 409A(a)(2)(A)(i) of the Code as a distribution following a separation from service of a “specified employee” (as defined under Section 409A(a)(2)(B)(i) of the Code) shall occur no earlier than the expiration of the six-month period following such separation from service.</w:t>
      </w:r>
    </w:p>
    <w:p>
      <w:pPr>
        <w:spacing w:after="0" w:line="171" w:lineRule="exact"/>
        <w:rPr>
          <w:rFonts w:ascii="Arial" w:cs="Arial" w:eastAsia="Arial" w:hAnsi="Arial"/>
          <w:sz w:val="17"/>
          <w:szCs w:val="17"/>
          <w:color w:val="auto"/>
        </w:rPr>
      </w:pPr>
    </w:p>
    <w:p>
      <w:pPr>
        <w:ind w:right="340" w:firstLine="1263"/>
        <w:spacing w:after="0" w:line="322" w:lineRule="auto"/>
        <w:tabs>
          <w:tab w:leader="none" w:pos="1895" w:val="left"/>
        </w:tabs>
        <w:numPr>
          <w:ilvl w:val="1"/>
          <w:numId w:val="498"/>
        </w:numPr>
        <w:rPr>
          <w:rFonts w:ascii="Arial" w:cs="Arial" w:eastAsia="Arial" w:hAnsi="Arial"/>
          <w:sz w:val="16"/>
          <w:szCs w:val="16"/>
          <w:color w:val="auto"/>
        </w:rPr>
      </w:pPr>
      <w:r>
        <w:rPr>
          <w:rFonts w:ascii="Arial" w:cs="Arial" w:eastAsia="Arial" w:hAnsi="Arial"/>
          <w:sz w:val="16"/>
          <w:szCs w:val="16"/>
          <w:color w:val="auto"/>
        </w:rPr>
        <w:t>In the case of a 409A Award providing for distribution or settlement upon vesting or lapse of a risk of forfeiture, if the time of such distribution or settlement is not otherwise specified in the Plan or Award Agreement or other governing document, the distribution or settlement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shall be made no later than March 15 of the calendar year following the calendar year in which such 409A Award vested or the risk of forfeiture lapsed.</w:t>
      </w:r>
    </w:p>
    <w:p>
      <w:pPr>
        <w:spacing w:after="0" w:line="224" w:lineRule="exact"/>
        <w:rPr>
          <w:sz w:val="20"/>
          <w:szCs w:val="20"/>
          <w:color w:val="auto"/>
        </w:rPr>
      </w:pPr>
    </w:p>
    <w:p>
      <w:pPr>
        <w:ind w:right="80" w:firstLine="1263"/>
        <w:spacing w:after="0" w:line="273" w:lineRule="auto"/>
        <w:tabs>
          <w:tab w:leader="none" w:pos="1898" w:val="left"/>
        </w:tabs>
        <w:numPr>
          <w:ilvl w:val="1"/>
          <w:numId w:val="499"/>
        </w:numPr>
        <w:rPr>
          <w:rFonts w:ascii="Arial" w:cs="Arial" w:eastAsia="Arial" w:hAnsi="Arial"/>
          <w:sz w:val="17"/>
          <w:szCs w:val="17"/>
          <w:color w:val="auto"/>
        </w:rPr>
      </w:pPr>
      <w:r>
        <w:rPr>
          <w:rFonts w:ascii="Arial" w:cs="Arial" w:eastAsia="Arial" w:hAnsi="Arial"/>
          <w:sz w:val="17"/>
          <w:szCs w:val="17"/>
          <w:color w:val="auto"/>
        </w:rPr>
        <w:t>In the case of any distribution of any other 409A Award, if the timing of such distribution is not otherwise specified in the Plan or Award Agreement or other governing document, the distribution shall be made not later than the end of the calendar year during which the settlement of the 409A Award is specified to occur.</w:t>
      </w:r>
    </w:p>
    <w:p>
      <w:pPr>
        <w:spacing w:after="0" w:line="171" w:lineRule="exact"/>
        <w:rPr>
          <w:rFonts w:ascii="Arial" w:cs="Arial" w:eastAsia="Arial" w:hAnsi="Arial"/>
          <w:sz w:val="17"/>
          <w:szCs w:val="17"/>
          <w:color w:val="auto"/>
        </w:rPr>
      </w:pPr>
    </w:p>
    <w:p>
      <w:pPr>
        <w:ind w:right="180" w:firstLine="634"/>
        <w:spacing w:after="0" w:line="298" w:lineRule="auto"/>
        <w:tabs>
          <w:tab w:leader="none" w:pos="1254" w:val="left"/>
        </w:tabs>
        <w:numPr>
          <w:ilvl w:val="0"/>
          <w:numId w:val="500"/>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Headings in this Plan are included for convenience and shall not be considered in the interpretation of the Plan. References to sections are to Sections of this Plan unless otherwise indicated. Pronouns shall be construed to include the masculine, feminine, neutral, singular or plural as the identity of the antecedent may require. This Plan shall be construed according to its fair meaning and shall not be strictly construed against the Company.</w:t>
      </w:r>
    </w:p>
    <w:p>
      <w:pPr>
        <w:spacing w:after="0" w:line="148" w:lineRule="exact"/>
        <w:rPr>
          <w:sz w:val="20"/>
          <w:szCs w:val="20"/>
          <w:color w:val="auto"/>
        </w:rPr>
      </w:pPr>
    </w:p>
    <w:p>
      <w:pPr>
        <w:jc w:val="center"/>
        <w:ind w:right="-19"/>
        <w:spacing w:after="0"/>
        <w:tabs>
          <w:tab w:leader="none" w:pos="200" w:val="left"/>
          <w:tab w:leader="none" w:pos="200" w:val="left"/>
          <w:tab w:leader="none" w:pos="200" w:val="left"/>
          <w:tab w:leader="none" w:pos="200" w:val="left"/>
        </w:tabs>
        <w:rPr>
          <w:sz w:val="20"/>
          <w:szCs w:val="20"/>
          <w:color w:val="auto"/>
        </w:rPr>
      </w:pPr>
      <w:r>
        <w:rPr>
          <w:rFonts w:ascii="Arial" w:cs="Arial" w:eastAsia="Arial" w:hAnsi="Arial"/>
          <w:sz w:val="17"/>
          <w:szCs w:val="17"/>
          <w:b w:val="1"/>
          <w:bCs w:val="1"/>
          <w:color w:val="auto"/>
        </w:rPr>
        <w:t>*</w:t>
        <w:tab/>
        <w:t>*</w:t>
        <w:tab/>
        <w:t>*</w:t>
        <w:tab/>
        <w:t>*</w:t>
        <w:tab/>
        <w: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45" w:name="page346"/>
    <w:bookmarkEnd w:id="345"/>
    <w:p>
      <w:pPr>
        <w:jc w:val="right"/>
        <w:spacing w:after="0"/>
        <w:rPr>
          <w:sz w:val="20"/>
          <w:szCs w:val="20"/>
          <w:color w:val="auto"/>
        </w:rPr>
      </w:pPr>
      <w:r>
        <w:rPr>
          <w:rFonts w:ascii="Arial" w:cs="Arial" w:eastAsia="Arial" w:hAnsi="Arial"/>
          <w:sz w:val="17"/>
          <w:szCs w:val="17"/>
          <w:b w:val="1"/>
          <w:bCs w:val="1"/>
          <w:color w:val="auto"/>
        </w:rPr>
        <w:t>Exhibit 10.6.1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2013 EQUITY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RESTRICTED STOCK AWARD</w:t>
      </w:r>
    </w:p>
    <w:p>
      <w:pPr>
        <w:spacing w:after="0" w:line="230" w:lineRule="exact"/>
        <w:rPr>
          <w:sz w:val="20"/>
          <w:szCs w:val="20"/>
          <w:color w:val="auto"/>
        </w:rPr>
      </w:pPr>
    </w:p>
    <w:p>
      <w:pPr>
        <w:jc w:val="both"/>
        <w:ind w:right="140"/>
        <w:spacing w:after="0" w:line="268" w:lineRule="auto"/>
        <w:rPr>
          <w:sz w:val="20"/>
          <w:szCs w:val="20"/>
          <w:color w:val="auto"/>
        </w:rPr>
      </w:pPr>
      <w:r>
        <w:rPr>
          <w:rFonts w:ascii="Arial" w:cs="Arial" w:eastAsia="Arial" w:hAnsi="Arial"/>
          <w:sz w:val="17"/>
          <w:szCs w:val="17"/>
          <w:color w:val="auto"/>
        </w:rPr>
        <w:t>Subject to the terms and conditions of this Notice of Restricted Stock Award (this “</w:t>
      </w:r>
      <w:r>
        <w:rPr>
          <w:rFonts w:ascii="Arial" w:cs="Arial" w:eastAsia="Arial" w:hAnsi="Arial"/>
          <w:sz w:val="17"/>
          <w:szCs w:val="17"/>
          <w:u w:val="single" w:color="auto"/>
          <w:color w:val="auto"/>
        </w:rPr>
        <w:t>Notice</w:t>
      </w:r>
      <w:r>
        <w:rPr>
          <w:rFonts w:ascii="Arial" w:cs="Arial" w:eastAsia="Arial" w:hAnsi="Arial"/>
          <w:sz w:val="17"/>
          <w:szCs w:val="17"/>
          <w:color w:val="auto"/>
        </w:rPr>
        <w:t>”), the Restricted Stock Award Agreement attached hereto (the “</w:t>
      </w:r>
      <w:r>
        <w:rPr>
          <w:rFonts w:ascii="Arial" w:cs="Arial" w:eastAsia="Arial" w:hAnsi="Arial"/>
          <w:sz w:val="17"/>
          <w:szCs w:val="17"/>
          <w:u w:val="single" w:color="auto"/>
          <w:color w:val="auto"/>
        </w:rPr>
        <w:t>Award</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and the Applied Optoelectronics, Inc. 2013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the below individual (the “</w:t>
      </w:r>
      <w:r>
        <w:rPr>
          <w:rFonts w:ascii="Arial" w:cs="Arial" w:eastAsia="Arial" w:hAnsi="Arial"/>
          <w:sz w:val="17"/>
          <w:szCs w:val="17"/>
          <w:u w:val="single" w:color="auto"/>
          <w:color w:val="auto"/>
        </w:rPr>
        <w:t>Participant</w:t>
      </w:r>
      <w:r>
        <w:rPr>
          <w:rFonts w:ascii="Arial" w:cs="Arial" w:eastAsia="Arial" w:hAnsi="Arial"/>
          <w:sz w:val="17"/>
          <w:szCs w:val="17"/>
          <w:color w:val="auto"/>
        </w:rPr>
        <w:t>”) is hereby granted the below number of Shares (the “</w:t>
      </w:r>
      <w:r>
        <w:rPr>
          <w:rFonts w:ascii="Arial" w:cs="Arial" w:eastAsia="Arial" w:hAnsi="Arial"/>
          <w:sz w:val="17"/>
          <w:szCs w:val="17"/>
          <w:u w:val="single" w:color="auto"/>
          <w:color w:val="auto"/>
        </w:rPr>
        <w:t>Covered Shares</w:t>
      </w:r>
      <w:r>
        <w:rPr>
          <w:rFonts w:ascii="Arial" w:cs="Arial" w:eastAsia="Arial" w:hAnsi="Arial"/>
          <w:sz w:val="17"/>
          <w:szCs w:val="17"/>
          <w:color w:val="auto"/>
        </w:rPr>
        <w:t>”) of common stock in Applied Optoelectronics, Inc. (the “</w:t>
      </w:r>
      <w:r>
        <w:rPr>
          <w:rFonts w:ascii="Arial" w:cs="Arial" w:eastAsia="Arial" w:hAnsi="Arial"/>
          <w:sz w:val="17"/>
          <w:szCs w:val="17"/>
          <w:u w:val="single" w:color="auto"/>
          <w:color w:val="auto"/>
        </w:rPr>
        <w:t>Company</w:t>
      </w:r>
      <w:r>
        <w:rPr>
          <w:rFonts w:ascii="Arial" w:cs="Arial" w:eastAsia="Arial" w:hAnsi="Arial"/>
          <w:sz w:val="17"/>
          <w:szCs w:val="17"/>
          <w:color w:val="auto"/>
        </w:rPr>
        <w:t>”). Unless otherwise specifically indicated, all terms used in this Notice shall have the meaning as set forth in the Award Agreement or the Plan.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Identifying Information:</w:t>
      </w:r>
    </w:p>
    <w:p>
      <w:pPr>
        <w:sectPr>
          <w:pgSz w:w="11900" w:h="16838" w:orient="portrait"/>
          <w:cols w:equalWidth="0" w:num="1">
            <w:col w:w="11420"/>
          </w:cols>
          <w:pgMar w:left="240" w:top="357" w:right="239" w:bottom="363" w:gutter="0" w:footer="0" w:header="0"/>
        </w:sectPr>
      </w:pPr>
    </w:p>
    <w:p>
      <w:pPr>
        <w:spacing w:after="0" w:line="230" w:lineRule="exact"/>
        <w:rPr>
          <w:sz w:val="20"/>
          <w:szCs w:val="20"/>
          <w:color w:val="auto"/>
        </w:rPr>
      </w:pPr>
    </w:p>
    <w:p>
      <w:pPr>
        <w:jc w:val="right"/>
        <w:ind w:right="3980"/>
        <w:spacing w:after="0"/>
        <w:rPr>
          <w:sz w:val="20"/>
          <w:szCs w:val="20"/>
          <w:color w:val="auto"/>
        </w:rPr>
      </w:pPr>
      <w:r>
        <w:rPr>
          <w:rFonts w:ascii="Arial" w:cs="Arial" w:eastAsia="Arial" w:hAnsi="Arial"/>
          <w:sz w:val="15"/>
          <w:szCs w:val="15"/>
          <w:color w:val="auto"/>
        </w:rPr>
        <w:t>Participant Name</w:t>
      </w:r>
    </w:p>
    <w:p>
      <w:pPr>
        <w:spacing w:after="0" w:line="49" w:lineRule="exact"/>
        <w:rPr>
          <w:sz w:val="20"/>
          <w:szCs w:val="20"/>
          <w:color w:val="auto"/>
        </w:rPr>
      </w:pPr>
    </w:p>
    <w:p>
      <w:pPr>
        <w:jc w:val="right"/>
        <w:ind w:right="3980"/>
        <w:spacing w:after="0"/>
        <w:rPr>
          <w:sz w:val="20"/>
          <w:szCs w:val="20"/>
          <w:color w:val="auto"/>
        </w:rPr>
      </w:pPr>
      <w:r>
        <w:rPr>
          <w:rFonts w:ascii="Arial" w:cs="Arial" w:eastAsia="Arial" w:hAnsi="Arial"/>
          <w:sz w:val="17"/>
          <w:szCs w:val="17"/>
          <w:color w:val="auto"/>
        </w:rPr>
        <w:t>and Address: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right"/>
        <w:ind w:right="2020"/>
        <w:spacing w:after="0"/>
        <w:rPr>
          <w:sz w:val="20"/>
          <w:szCs w:val="20"/>
          <w:color w:val="auto"/>
        </w:rPr>
      </w:pPr>
      <w:r>
        <w:rPr>
          <w:rFonts w:ascii="Arial" w:cs="Arial" w:eastAsia="Arial" w:hAnsi="Arial"/>
          <w:sz w:val="17"/>
          <w:szCs w:val="17"/>
          <w:color w:val="auto"/>
        </w:rPr>
        <w:t>Date of Grant:</w:t>
      </w:r>
    </w:p>
    <w:p>
      <w:pPr>
        <w:spacing w:after="0" w:line="26" w:lineRule="exact"/>
        <w:rPr>
          <w:sz w:val="20"/>
          <w:szCs w:val="20"/>
          <w:color w:val="auto"/>
        </w:rPr>
      </w:pPr>
    </w:p>
    <w:p>
      <w:pPr>
        <w:jc w:val="right"/>
        <w:ind w:right="2020"/>
        <w:spacing w:after="0"/>
        <w:rPr>
          <w:sz w:val="20"/>
          <w:szCs w:val="20"/>
          <w:color w:val="auto"/>
        </w:rPr>
      </w:pPr>
      <w:r>
        <w:rPr>
          <w:rFonts w:ascii="Arial" w:cs="Arial" w:eastAsia="Arial" w:hAnsi="Arial"/>
          <w:sz w:val="16"/>
          <w:szCs w:val="16"/>
          <w:color w:val="auto"/>
        </w:rPr>
        <w:t>Number of “Covered Shares”:</w:t>
      </w:r>
    </w:p>
    <w:p>
      <w:pPr>
        <w:spacing w:after="0" w:line="26" w:lineRule="exact"/>
        <w:rPr>
          <w:sz w:val="20"/>
          <w:szCs w:val="20"/>
          <w:color w:val="auto"/>
        </w:rPr>
      </w:pPr>
    </w:p>
    <w:p>
      <w:pPr>
        <w:jc w:val="right"/>
        <w:ind w:right="2020"/>
        <w:spacing w:after="0"/>
        <w:rPr>
          <w:sz w:val="20"/>
          <w:szCs w:val="20"/>
          <w:color w:val="auto"/>
        </w:rPr>
      </w:pPr>
      <w:r>
        <w:rPr>
          <w:rFonts w:ascii="Arial" w:cs="Arial" w:eastAsia="Arial" w:hAnsi="Arial"/>
          <w:sz w:val="17"/>
          <w:szCs w:val="17"/>
          <w:color w:val="auto"/>
        </w:rPr>
        <w:t>Purchase Price per Share:</w:t>
      </w:r>
    </w:p>
    <w:p>
      <w:pPr>
        <w:spacing w:after="0" w:line="14" w:lineRule="exact"/>
        <w:rPr>
          <w:sz w:val="20"/>
          <w:szCs w:val="20"/>
          <w:color w:val="auto"/>
        </w:rPr>
      </w:pPr>
    </w:p>
    <w:p>
      <w:pPr>
        <w:jc w:val="right"/>
        <w:ind w:right="2020"/>
        <w:spacing w:after="0"/>
        <w:rPr>
          <w:sz w:val="20"/>
          <w:szCs w:val="20"/>
          <w:color w:val="auto"/>
        </w:rPr>
      </w:pPr>
      <w:r>
        <w:rPr>
          <w:rFonts w:ascii="Arial" w:cs="Arial" w:eastAsia="Arial" w:hAnsi="Arial"/>
          <w:sz w:val="15"/>
          <w:szCs w:val="15"/>
          <w:color w:val="auto"/>
        </w:rPr>
        <w:t>Vesting Commencement Date:</w:t>
      </w:r>
    </w:p>
    <w:p>
      <w:pPr>
        <w:spacing w:after="0" w:line="200" w:lineRule="exact"/>
        <w:rPr>
          <w:sz w:val="20"/>
          <w:szCs w:val="20"/>
          <w:color w:val="auto"/>
        </w:rPr>
      </w:pPr>
    </w:p>
    <w:p>
      <w:pPr>
        <w:sectPr>
          <w:pgSz w:w="11900" w:h="16838" w:orient="portrait"/>
          <w:cols w:equalWidth="0" w:num="2">
            <w:col w:w="6540" w:space="720"/>
            <w:col w:w="4160"/>
          </w:cols>
          <w:pgMar w:left="240" w:top="357" w:right="239" w:bottom="363"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ectPr>
          <w:pgSz w:w="11900" w:h="16838" w:orient="portrait"/>
          <w:cols w:equalWidth="0" w:num="1">
            <w:col w:w="11420"/>
          </w:cols>
          <w:pgMar w:left="240" w:top="357" w:right="239" w:bottom="363"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Participant’s continuous status as a Service Provider, and the terms of the Plan and this Award Agreement, the Covered Shares shall vest over a</w:t>
      </w:r>
    </w:p>
    <w:p>
      <w:pPr>
        <w:spacing w:after="0" w:line="38" w:lineRule="exact"/>
        <w:rPr>
          <w:sz w:val="20"/>
          <w:szCs w:val="20"/>
          <w:color w:val="auto"/>
        </w:rPr>
      </w:pPr>
    </w:p>
    <w:p>
      <w:pPr>
        <w:ind w:left="320" w:hanging="315"/>
        <w:spacing w:after="0"/>
        <w:tabs>
          <w:tab w:leader="none" w:pos="320" w:val="left"/>
        </w:tabs>
        <w:numPr>
          <w:ilvl w:val="0"/>
          <w:numId w:val="501"/>
        </w:numPr>
        <w:rPr>
          <w:rFonts w:ascii="Arial" w:cs="Arial" w:eastAsia="Arial" w:hAnsi="Arial"/>
          <w:sz w:val="17"/>
          <w:szCs w:val="17"/>
          <w:color w:val="auto"/>
        </w:rPr>
      </w:pPr>
      <w:r>
        <w:rPr>
          <w:rFonts w:ascii="Arial" w:cs="Arial" w:eastAsia="Arial" w:hAnsi="Arial"/>
          <w:sz w:val="17"/>
          <w:szCs w:val="17"/>
          <w:color w:val="auto"/>
        </w:rPr>
        <w:t>]-year period in accordance with the following vesting schedule (the “</w:t>
      </w:r>
      <w:r>
        <w:rPr>
          <w:rFonts w:ascii="Arial" w:cs="Arial" w:eastAsia="Arial" w:hAnsi="Arial"/>
          <w:sz w:val="17"/>
          <w:szCs w:val="17"/>
          <w:u w:val="single" w:color="auto"/>
          <w:color w:val="auto"/>
        </w:rPr>
        <w:t>Vesting Schedule</w:t>
      </w:r>
      <w:r>
        <w:rPr>
          <w:rFonts w:ascii="Arial" w:cs="Arial" w:eastAsia="Arial" w:hAnsi="Arial"/>
          <w:sz w:val="17"/>
          <w:szCs w:val="17"/>
          <w:color w:val="auto"/>
        </w:rPr>
        <w:t>”):</w:t>
      </w:r>
    </w:p>
    <w:p>
      <w:pPr>
        <w:spacing w:after="0" w:line="202" w:lineRule="exact"/>
        <w:rPr>
          <w:sz w:val="20"/>
          <w:szCs w:val="20"/>
          <w:color w:val="auto"/>
        </w:rPr>
      </w:pPr>
    </w:p>
    <w:p>
      <w:pPr>
        <w:ind w:left="1580"/>
        <w:spacing w:after="0"/>
        <w:tabs>
          <w:tab w:leader="none" w:pos="6860" w:val="left"/>
        </w:tabs>
        <w:rPr>
          <w:sz w:val="20"/>
          <w:szCs w:val="20"/>
          <w:color w:val="auto"/>
        </w:rPr>
      </w:pPr>
      <w:r>
        <w:rPr>
          <w:rFonts w:ascii="Arial" w:cs="Arial" w:eastAsia="Arial" w:hAnsi="Arial"/>
          <w:sz w:val="14"/>
          <w:szCs w:val="14"/>
          <w:b w:val="1"/>
          <w:bCs w:val="1"/>
          <w:color w:val="auto"/>
        </w:rPr>
        <w:t>Vesting Date</w:t>
      </w:r>
      <w:r>
        <w:rPr>
          <w:sz w:val="20"/>
          <w:szCs w:val="20"/>
          <w:color w:val="auto"/>
        </w:rPr>
        <w:tab/>
      </w:r>
      <w:r>
        <w:rPr>
          <w:rFonts w:ascii="Arial" w:cs="Arial" w:eastAsia="Arial" w:hAnsi="Arial"/>
          <w:sz w:val="12"/>
          <w:szCs w:val="12"/>
          <w:b w:val="1"/>
          <w:bCs w:val="1"/>
          <w:color w:val="auto"/>
        </w:rPr>
        <w:t>Nonforfeitable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1002030</wp:posOffset>
            </wp:positionH>
            <wp:positionV relativeFrom="paragraph">
              <wp:posOffset>278130</wp:posOffset>
            </wp:positionV>
            <wp:extent cx="4827905" cy="13335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4827905" cy="133350"/>
                    </a:xfrm>
                    <a:prstGeom prst="rect">
                      <a:avLst/>
                    </a:prstGeom>
                    <a:noFill/>
                  </pic:spPr>
                </pic:pic>
              </a:graphicData>
            </a:graphic>
          </wp:anchor>
        </w:drawing>
        <w:drawing>
          <wp:anchor simplePos="0" relativeHeight="251657728" behindDoc="1" locked="0" layoutInCell="0" allowOverlap="1">
            <wp:simplePos x="0" y="0"/>
            <wp:positionH relativeFrom="column">
              <wp:posOffset>1002030</wp:posOffset>
            </wp:positionH>
            <wp:positionV relativeFrom="paragraph">
              <wp:posOffset>3810</wp:posOffset>
            </wp:positionV>
            <wp:extent cx="4827905" cy="14160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827905" cy="14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[Notwithstanding the above, the Covered Shares shall automatically become fully vested upon the earlier of: (i) the Participant’s Disability; (ii) the Participant’s death; and (iii) immediately prior to the closing of a Change in Control of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[SIGNATURES ON NEXT PAGE]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firstLine="629"/>
        <w:spacing w:after="0" w:line="289" w:lineRule="auto"/>
        <w:rPr>
          <w:sz w:val="20"/>
          <w:szCs w:val="20"/>
          <w:color w:val="auto"/>
        </w:rPr>
      </w:pPr>
      <w:r>
        <w:rPr>
          <w:rFonts w:ascii="Arial" w:cs="Arial" w:eastAsia="Arial" w:hAnsi="Arial"/>
          <w:sz w:val="17"/>
          <w:szCs w:val="17"/>
          <w:color w:val="auto"/>
        </w:rPr>
        <w:t>By your signature and the signature of the Company’s representative below, the Participant and the Company agree that the Covered Shares granted are governed by the terms and conditions of this Notice, the Award Agreement and the Plan.</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APPLIED OPTOELECTRONICS, INC.</w:t>
      </w:r>
    </w:p>
    <w:p>
      <w:pPr>
        <w:spacing w:after="0" w:line="200" w:lineRule="exact"/>
        <w:rPr>
          <w:sz w:val="20"/>
          <w:szCs w:val="20"/>
          <w:color w:val="auto"/>
        </w:rPr>
      </w:pPr>
    </w:p>
    <w:p>
      <w:pPr>
        <w:spacing w:after="0" w:line="24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17145</wp:posOffset>
            </wp:positionV>
            <wp:extent cx="335470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354705" cy="8255"/>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17145</wp:posOffset>
            </wp:positionV>
            <wp:extent cx="337121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371215" cy="8255"/>
                    </a:xfrm>
                    <a:prstGeom prst="rect">
                      <a:avLst/>
                    </a:prstGeom>
                    <a:noFill/>
                  </pic:spPr>
                </pic:pic>
              </a:graphicData>
            </a:graphic>
          </wp:anchor>
        </w:drawing>
      </w:r>
    </w:p>
    <w:p>
      <w:pPr>
        <w:spacing w:after="0" w:line="204"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314642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PARTICIPANT ACKNOWLEDGMENT</w:t>
      </w:r>
    </w:p>
    <w:p>
      <w:pPr>
        <w:spacing w:after="0" w:line="230" w:lineRule="exact"/>
        <w:rPr>
          <w:sz w:val="20"/>
          <w:szCs w:val="20"/>
          <w:color w:val="auto"/>
        </w:rPr>
      </w:pPr>
    </w:p>
    <w:p>
      <w:pPr>
        <w:ind w:right="120" w:firstLine="629"/>
        <w:spacing w:after="0" w:line="285" w:lineRule="auto"/>
        <w:rPr>
          <w:sz w:val="20"/>
          <w:szCs w:val="20"/>
          <w:color w:val="auto"/>
        </w:rPr>
      </w:pPr>
      <w:r>
        <w:rPr>
          <w:rFonts w:ascii="Arial" w:cs="Arial" w:eastAsia="Arial" w:hAnsi="Arial"/>
          <w:sz w:val="16"/>
          <w:szCs w:val="16"/>
          <w:color w:val="auto"/>
        </w:rPr>
        <w:t>The Participant acknowledges receipt of a copy of this Notice, the Award Agreement and the Plan, and represents that he or she is familiar with the provisions thereof, and hereby accepts the Covered Shares subject to all of the terms and provisions hereof and thereof. The Participant has reviewed this Notice, the Award Agreement and the Plan in their entirety, has had an opportunity to obtain the advice of legal counsel prior to executing this Notice, the Award Agreement, and fully understands all provisions of this Notice, the Award Agreement and the Plan. The Participant hereby agrees that all questions of interpretation and administration relating to this Notice, the Award Agreement and the Plan shall be resolved by the Committee.</w:t>
      </w:r>
    </w:p>
    <w:p>
      <w:pPr>
        <w:spacing w:after="0" w:line="166" w:lineRule="exact"/>
        <w:rPr>
          <w:sz w:val="20"/>
          <w:szCs w:val="20"/>
          <w:color w:val="auto"/>
        </w:rPr>
      </w:pPr>
    </w:p>
    <w:p>
      <w:pPr>
        <w:ind w:right="100" w:firstLine="629"/>
        <w:spacing w:after="0" w:line="285" w:lineRule="auto"/>
        <w:rPr>
          <w:sz w:val="20"/>
          <w:szCs w:val="20"/>
          <w:color w:val="auto"/>
        </w:rPr>
      </w:pPr>
      <w:r>
        <w:rPr>
          <w:rFonts w:ascii="Arial" w:cs="Arial" w:eastAsia="Arial" w:hAnsi="Arial"/>
          <w:sz w:val="16"/>
          <w:szCs w:val="16"/>
          <w:color w:val="auto"/>
        </w:rPr>
        <w:t>The Participant hereby acknowledges that he or she has had the opportunity to review with his or her own tax advisors the tax consequences of receiving this Notice, the Award Agreement and the Plan, and the transactions contemplated thereby, including any U.S. federal, state and local tax laws, and any other applicable taxing jurisdiction, prior to executing this Notice. The Participant attests that he or she is relying solely on such advisors and not on any statements or representations of the Company or any of its agents or affiliates. Further, the Participant hereby acknowledges and understands that he or she (and not the Company) shall be solely responsible for his or her tax liability that may arise as a result of receiving this Notice and the Award Agreement.</w:t>
      </w:r>
    </w:p>
    <w:p>
      <w:pPr>
        <w:spacing w:after="0" w:line="160"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PARTICIPANT:</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17145</wp:posOffset>
            </wp:positionV>
            <wp:extent cx="298831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988310" cy="8255"/>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4364990</wp:posOffset>
            </wp:positionH>
            <wp:positionV relativeFrom="paragraph">
              <wp:posOffset>17145</wp:posOffset>
            </wp:positionV>
            <wp:extent cx="288861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17145</wp:posOffset>
            </wp:positionV>
            <wp:extent cx="316357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363" w:gutter="0" w:footer="0" w:header="0"/>
          <w:type w:val="continuous"/>
        </w:sectPr>
      </w:pPr>
    </w:p>
    <w:bookmarkStart w:id="346" w:name="page347"/>
    <w:bookmarkEnd w:id="346"/>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APPLIED OPTOELECTRONICS,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2013 EQUITY INCENTIVE PLAN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RESTRICTED STOCK AWARD AGREEMENT</w:t>
      </w:r>
    </w:p>
    <w:p>
      <w:pPr>
        <w:spacing w:after="0" w:line="23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Subject to the terms and conditions of the Notice of Restricted Stock Award (the “</w:t>
      </w:r>
      <w:r>
        <w:rPr>
          <w:rFonts w:ascii="Arial" w:cs="Arial" w:eastAsia="Arial" w:hAnsi="Arial"/>
          <w:sz w:val="17"/>
          <w:szCs w:val="17"/>
          <w:u w:val="single" w:color="auto"/>
          <w:color w:val="auto"/>
        </w:rPr>
        <w:t>Notice</w:t>
      </w:r>
      <w:r>
        <w:rPr>
          <w:rFonts w:ascii="Arial" w:cs="Arial" w:eastAsia="Arial" w:hAnsi="Arial"/>
          <w:sz w:val="17"/>
          <w:szCs w:val="17"/>
          <w:color w:val="auto"/>
        </w:rPr>
        <w:t>”), this Restricted Stock Award Agreement (the “</w:t>
      </w:r>
      <w:r>
        <w:rPr>
          <w:rFonts w:ascii="Arial" w:cs="Arial" w:eastAsia="Arial" w:hAnsi="Arial"/>
          <w:sz w:val="17"/>
          <w:szCs w:val="17"/>
          <w:u w:val="single" w:color="auto"/>
          <w:color w:val="auto"/>
        </w:rPr>
        <w:t>Award Agreement</w:t>
      </w:r>
      <w:r>
        <w:rPr>
          <w:rFonts w:ascii="Arial" w:cs="Arial" w:eastAsia="Arial" w:hAnsi="Arial"/>
          <w:sz w:val="17"/>
          <w:szCs w:val="17"/>
          <w:color w:val="auto"/>
        </w:rPr>
        <w:t>”), and the Applied Optoelectronics, Inc. 2013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the individual set forth in the Notice (the “</w:t>
      </w:r>
      <w:r>
        <w:rPr>
          <w:rFonts w:ascii="Arial" w:cs="Arial" w:eastAsia="Arial" w:hAnsi="Arial"/>
          <w:sz w:val="17"/>
          <w:szCs w:val="17"/>
          <w:u w:val="single" w:color="auto"/>
          <w:color w:val="auto"/>
        </w:rPr>
        <w:t>Participant</w:t>
      </w:r>
      <w:r>
        <w:rPr>
          <w:rFonts w:ascii="Arial" w:cs="Arial" w:eastAsia="Arial" w:hAnsi="Arial"/>
          <w:sz w:val="17"/>
          <w:szCs w:val="17"/>
          <w:color w:val="auto"/>
        </w:rPr>
        <w:t>”) is hereby granted Shares of common stock (the “</w:t>
      </w:r>
      <w:r>
        <w:rPr>
          <w:rFonts w:ascii="Arial" w:cs="Arial" w:eastAsia="Arial" w:hAnsi="Arial"/>
          <w:sz w:val="17"/>
          <w:szCs w:val="17"/>
          <w:u w:val="single" w:color="auto"/>
          <w:color w:val="auto"/>
        </w:rPr>
        <w:t>Covered Shares</w:t>
      </w:r>
      <w:r>
        <w:rPr>
          <w:rFonts w:ascii="Arial" w:cs="Arial" w:eastAsia="Arial" w:hAnsi="Arial"/>
          <w:sz w:val="17"/>
          <w:szCs w:val="17"/>
          <w:color w:val="auto"/>
        </w:rPr>
        <w:t>”) in Applied Optoelectronics, Inc. (the “</w:t>
      </w:r>
      <w:r>
        <w:rPr>
          <w:rFonts w:ascii="Arial" w:cs="Arial" w:eastAsia="Arial" w:hAnsi="Arial"/>
          <w:sz w:val="17"/>
          <w:szCs w:val="17"/>
          <w:u w:val="single" w:color="auto"/>
          <w:color w:val="auto"/>
        </w:rPr>
        <w:t>Company</w:t>
      </w:r>
      <w:r>
        <w:rPr>
          <w:rFonts w:ascii="Arial" w:cs="Arial" w:eastAsia="Arial" w:hAnsi="Arial"/>
          <w:sz w:val="17"/>
          <w:szCs w:val="17"/>
          <w:color w:val="auto"/>
        </w:rPr>
        <w:t>”). Unless otherwise specifically indicated, all terms used in this Award Agreement shall have the meaning as set forth in the Notice or the Plan.</w:t>
      </w:r>
    </w:p>
    <w:p>
      <w:pPr>
        <w:spacing w:after="0" w:line="176" w:lineRule="exact"/>
        <w:rPr>
          <w:sz w:val="20"/>
          <w:szCs w:val="20"/>
          <w:color w:val="auto"/>
        </w:rPr>
      </w:pPr>
    </w:p>
    <w:p>
      <w:pPr>
        <w:ind w:right="140" w:firstLine="634"/>
        <w:spacing w:after="0" w:line="360" w:lineRule="auto"/>
        <w:tabs>
          <w:tab w:leader="none" w:pos="1258" w:val="left"/>
        </w:tabs>
        <w:numPr>
          <w:ilvl w:val="0"/>
          <w:numId w:val="502"/>
        </w:numPr>
        <w:rPr>
          <w:rFonts w:ascii="Arial" w:cs="Arial" w:eastAsia="Arial" w:hAnsi="Arial"/>
          <w:sz w:val="15"/>
          <w:szCs w:val="15"/>
          <w:color w:val="auto"/>
        </w:rPr>
      </w:pPr>
      <w:r>
        <w:rPr>
          <w:rFonts w:ascii="Arial" w:cs="Arial" w:eastAsia="Arial" w:hAnsi="Arial"/>
          <w:sz w:val="15"/>
          <w:szCs w:val="15"/>
          <w:u w:val="single" w:color="auto"/>
          <w:color w:val="auto"/>
        </w:rPr>
        <w:t>Purchase Price Per Share</w:t>
      </w:r>
      <w:r>
        <w:rPr>
          <w:rFonts w:ascii="Arial" w:cs="Arial" w:eastAsia="Arial" w:hAnsi="Arial"/>
          <w:sz w:val="15"/>
          <w:szCs w:val="15"/>
          <w:color w:val="auto"/>
        </w:rPr>
        <w:t>. If the Covered Shares are subject to a purchase price, as set forth in the Notice, the Participant shall have the right to purchase such Covered Shares at the specified purchase price in accordance with such procedures as may be established by the Committee from time to time.</w:t>
      </w:r>
    </w:p>
    <w:p>
      <w:pPr>
        <w:spacing w:after="0" w:line="111" w:lineRule="exact"/>
        <w:rPr>
          <w:rFonts w:ascii="Arial" w:cs="Arial" w:eastAsia="Arial" w:hAnsi="Arial"/>
          <w:sz w:val="15"/>
          <w:szCs w:val="15"/>
          <w:color w:val="auto"/>
        </w:rPr>
      </w:pPr>
    </w:p>
    <w:p>
      <w:pPr>
        <w:ind w:left="1260" w:hanging="626"/>
        <w:spacing w:after="0"/>
        <w:tabs>
          <w:tab w:leader="none" w:pos="1260" w:val="left"/>
        </w:tabs>
        <w:numPr>
          <w:ilvl w:val="0"/>
          <w:numId w:val="502"/>
        </w:numPr>
        <w:rPr>
          <w:rFonts w:ascii="Arial" w:cs="Arial" w:eastAsia="Arial" w:hAnsi="Arial"/>
          <w:sz w:val="17"/>
          <w:szCs w:val="17"/>
          <w:color w:val="auto"/>
        </w:rPr>
      </w:pPr>
      <w:r>
        <w:rPr>
          <w:rFonts w:ascii="Arial" w:cs="Arial" w:eastAsia="Arial" w:hAnsi="Arial"/>
          <w:sz w:val="17"/>
          <w:szCs w:val="17"/>
          <w:u w:val="single" w:color="auto"/>
          <w:color w:val="auto"/>
        </w:rPr>
        <w:t>Vesting Schedule and Risk of Forfeiture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300" w:firstLine="1263"/>
        <w:spacing w:after="0" w:line="289" w:lineRule="auto"/>
        <w:tabs>
          <w:tab w:leader="none" w:pos="1885" w:val="left"/>
        </w:tabs>
        <w:numPr>
          <w:ilvl w:val="1"/>
          <w:numId w:val="502"/>
        </w:numPr>
        <w:rPr>
          <w:rFonts w:ascii="Arial" w:cs="Arial" w:eastAsia="Arial" w:hAnsi="Arial"/>
          <w:sz w:val="17"/>
          <w:szCs w:val="17"/>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 Subject to the Participant’s continuous service with the Company as a Service Provider, the Covered Shares shall vest in accordance with the Vesting Schedule provided in the Notice.</w:t>
      </w:r>
    </w:p>
    <w:p>
      <w:pPr>
        <w:spacing w:after="0" w:line="158" w:lineRule="exact"/>
        <w:rPr>
          <w:rFonts w:ascii="Arial" w:cs="Arial" w:eastAsia="Arial" w:hAnsi="Arial"/>
          <w:sz w:val="17"/>
          <w:szCs w:val="17"/>
          <w:color w:val="auto"/>
        </w:rPr>
      </w:pPr>
    </w:p>
    <w:p>
      <w:pPr>
        <w:jc w:val="both"/>
        <w:ind w:right="60" w:firstLine="1263"/>
        <w:spacing w:after="0" w:line="268" w:lineRule="auto"/>
        <w:tabs>
          <w:tab w:leader="none" w:pos="1895" w:val="left"/>
        </w:tabs>
        <w:numPr>
          <w:ilvl w:val="1"/>
          <w:numId w:val="502"/>
        </w:numPr>
        <w:rPr>
          <w:rFonts w:ascii="Arial" w:cs="Arial" w:eastAsia="Arial" w:hAnsi="Arial"/>
          <w:sz w:val="17"/>
          <w:szCs w:val="17"/>
          <w:color w:val="auto"/>
        </w:rPr>
      </w:pPr>
      <w:r>
        <w:rPr>
          <w:rFonts w:ascii="Arial" w:cs="Arial" w:eastAsia="Arial" w:hAnsi="Arial"/>
          <w:sz w:val="17"/>
          <w:szCs w:val="17"/>
          <w:u w:val="single" w:color="auto"/>
          <w:color w:val="auto"/>
        </w:rPr>
        <w:t>Risk of Forfeiture</w:t>
      </w:r>
      <w:r>
        <w:rPr>
          <w:rFonts w:ascii="Arial" w:cs="Arial" w:eastAsia="Arial" w:hAnsi="Arial"/>
          <w:sz w:val="17"/>
          <w:szCs w:val="17"/>
          <w:color w:val="auto"/>
        </w:rPr>
        <w:t>. The Covered Shares shall be subject to a risk of forfeiture until such time the risk of forfeiture lapses in accordance with the Vesting Schedule. All or any portion of the Covered Shares subject to a risk of forfeiture shall immediately and automatically be forfeited and terminated upon the first day the Participant fails to provide continuous service to the Company as a Service Provider, and the Company shall make no payment to the Participant, cash or otherwise, for any unvested Covered Shares that are forfeited.</w:t>
      </w:r>
    </w:p>
    <w:p>
      <w:pPr>
        <w:spacing w:after="0" w:line="175" w:lineRule="exact"/>
        <w:rPr>
          <w:rFonts w:ascii="Arial" w:cs="Arial" w:eastAsia="Arial" w:hAnsi="Arial"/>
          <w:sz w:val="17"/>
          <w:szCs w:val="17"/>
          <w:color w:val="auto"/>
        </w:rPr>
      </w:pPr>
    </w:p>
    <w:p>
      <w:pPr>
        <w:ind w:right="60" w:firstLine="634"/>
        <w:spacing w:after="0" w:line="314" w:lineRule="auto"/>
        <w:tabs>
          <w:tab w:leader="none" w:pos="1258" w:val="left"/>
        </w:tabs>
        <w:numPr>
          <w:ilvl w:val="0"/>
          <w:numId w:val="502"/>
        </w:numPr>
        <w:rPr>
          <w:rFonts w:ascii="Arial" w:cs="Arial" w:eastAsia="Arial" w:hAnsi="Arial"/>
          <w:sz w:val="15"/>
          <w:szCs w:val="15"/>
          <w:color w:val="auto"/>
        </w:rPr>
      </w:pPr>
      <w:r>
        <w:rPr>
          <w:rFonts w:ascii="Arial" w:cs="Arial" w:eastAsia="Arial" w:hAnsi="Arial"/>
          <w:sz w:val="15"/>
          <w:szCs w:val="15"/>
          <w:u w:val="single" w:color="auto"/>
          <w:color w:val="auto"/>
        </w:rPr>
        <w:t>Transfer Restrictions</w:t>
      </w:r>
      <w:r>
        <w:rPr>
          <w:rFonts w:ascii="Arial" w:cs="Arial" w:eastAsia="Arial" w:hAnsi="Arial"/>
          <w:sz w:val="15"/>
          <w:szCs w:val="15"/>
          <w:color w:val="auto"/>
        </w:rPr>
        <w:t>. The Covered Shares issued to the Participant hereunder may not be sold, transferred by gift, pledged, hypothecated, or otherwise transferred or disposed of by the Participant (other than by will or by the laws of descent or distribution) prior to the date when the Covered Shares become vested pursuant to the Vesting Schedule. Any attempt to transfer Covered Shares in violation of this Section 3 shall be null and void and shall be disregarded. The terms of the Plan and this Award Agreement shall be binding upon the executors, administrators, heirs, successors and assigns of the Participant.</w:t>
      </w:r>
    </w:p>
    <w:p>
      <w:pPr>
        <w:spacing w:after="0" w:line="146" w:lineRule="exact"/>
        <w:rPr>
          <w:rFonts w:ascii="Arial" w:cs="Arial" w:eastAsia="Arial" w:hAnsi="Arial"/>
          <w:sz w:val="15"/>
          <w:szCs w:val="15"/>
          <w:color w:val="auto"/>
        </w:rPr>
      </w:pPr>
    </w:p>
    <w:p>
      <w:pPr>
        <w:ind w:right="80" w:firstLine="634"/>
        <w:spacing w:after="0" w:line="263" w:lineRule="auto"/>
        <w:tabs>
          <w:tab w:leader="none" w:pos="1258" w:val="left"/>
        </w:tabs>
        <w:numPr>
          <w:ilvl w:val="0"/>
          <w:numId w:val="502"/>
        </w:numPr>
        <w:rPr>
          <w:rFonts w:ascii="Arial" w:cs="Arial" w:eastAsia="Arial" w:hAnsi="Arial"/>
          <w:sz w:val="17"/>
          <w:szCs w:val="17"/>
          <w:color w:val="auto"/>
        </w:rPr>
      </w:pPr>
      <w:r>
        <w:rPr>
          <w:rFonts w:ascii="Arial" w:cs="Arial" w:eastAsia="Arial" w:hAnsi="Arial"/>
          <w:sz w:val="17"/>
          <w:szCs w:val="17"/>
          <w:u w:val="single" w:color="auto"/>
          <w:color w:val="auto"/>
        </w:rPr>
        <w:t>Escrow of Shares</w:t>
      </w:r>
      <w:r>
        <w:rPr>
          <w:rFonts w:ascii="Arial" w:cs="Arial" w:eastAsia="Arial" w:hAnsi="Arial"/>
          <w:sz w:val="17"/>
          <w:szCs w:val="17"/>
          <w:color w:val="auto"/>
        </w:rPr>
        <w:t xml:space="preserve">. For purposes of facilitating the enforcement of the provisions of the Notice, this Award Agreement and the Plan, the Participant agrees, immediately upon receipt of the certificate(s) for the Covered Shares (i) to deliver such certificate(s), together with an Assignment Separate from Certificate in the form attached hereto as </w:t>
      </w:r>
      <w:r>
        <w:rPr>
          <w:rFonts w:ascii="Arial" w:cs="Arial" w:eastAsia="Arial" w:hAnsi="Arial"/>
          <w:sz w:val="17"/>
          <w:szCs w:val="17"/>
          <w:b w:val="1"/>
          <w:bCs w:val="1"/>
          <w:color w:val="auto"/>
        </w:rPr>
        <w:t>Exhibit A</w:t>
      </w:r>
      <w:r>
        <w:rPr>
          <w:rFonts w:ascii="Arial" w:cs="Arial" w:eastAsia="Arial" w:hAnsi="Arial"/>
          <w:sz w:val="17"/>
          <w:szCs w:val="17"/>
          <w:color w:val="auto"/>
        </w:rPr>
        <w:t>, (ii) executed in blank by the Participant and with respect to each such stock certificate, (iii) to the Secretary or Assistant Secretary of the Company, or their designee, to hold in escrow for so long as such Covered Shares have not vested pursuant to the Vesting Schedule or until such time as this Award Agreement is no longer in effect. Such escrow agent shall have the authority to take all such actions and to effectuate all such transfers and/or releases as may be necessary or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appropriate to accomplish the objectives of this Award Agreement in accordance with the terms hereof. The Participant hereby acknowledges that the appointment of the Secretary or Assistant Secretary of the Company (or their designee) as the escrow holder hereunder with the stated authorities is a material inducement to the Company to enter into the Notice and this Award Agreement and that such appointment is coupled with an interest and is accordingly irrevocable. The Participant agrees that such escrow holder shall not be liable to any party hereto (or to any other party) for any actions or omissions unless such escrow holder is grossly negligent relative thereto. The escrow holder may rely upon any letter, notice or other document executed by any signature purported to be genuine and may resign at any time. Upon the vesting of Covered Shares, the escrow holder will, without further order or instruction, transmit to the Participant the certificate evidencing such Shares, subject, however, to satisfaction of any withholding obligations provided in Section 7, below.</w:t>
      </w:r>
    </w:p>
    <w:p>
      <w:pPr>
        <w:spacing w:after="0" w:line="170" w:lineRule="exact"/>
        <w:rPr>
          <w:sz w:val="20"/>
          <w:szCs w:val="20"/>
          <w:color w:val="auto"/>
        </w:rPr>
      </w:pPr>
    </w:p>
    <w:p>
      <w:pPr>
        <w:ind w:right="180" w:firstLine="634"/>
        <w:spacing w:after="0" w:line="263" w:lineRule="auto"/>
        <w:tabs>
          <w:tab w:leader="none" w:pos="1258" w:val="left"/>
        </w:tabs>
        <w:numPr>
          <w:ilvl w:val="0"/>
          <w:numId w:val="503"/>
        </w:numPr>
        <w:rPr>
          <w:rFonts w:ascii="Arial" w:cs="Arial" w:eastAsia="Arial" w:hAnsi="Arial"/>
          <w:sz w:val="17"/>
          <w:szCs w:val="17"/>
          <w:color w:val="auto"/>
        </w:rPr>
      </w:pPr>
      <w:r>
        <w:rPr>
          <w:rFonts w:ascii="Arial" w:cs="Arial" w:eastAsia="Arial" w:hAnsi="Arial"/>
          <w:sz w:val="17"/>
          <w:szCs w:val="17"/>
          <w:u w:val="single" w:color="auto"/>
          <w:color w:val="auto"/>
        </w:rPr>
        <w:t>Additional Securities</w:t>
      </w:r>
      <w:r>
        <w:rPr>
          <w:rFonts w:ascii="Arial" w:cs="Arial" w:eastAsia="Arial" w:hAnsi="Arial"/>
          <w:sz w:val="17"/>
          <w:szCs w:val="17"/>
          <w:color w:val="auto"/>
        </w:rPr>
        <w:t>. Any securities or cash received as the result of an adjustment provided for in Section 15 of the Plan (the “</w:t>
      </w:r>
      <w:r>
        <w:rPr>
          <w:rFonts w:ascii="Arial" w:cs="Arial" w:eastAsia="Arial" w:hAnsi="Arial"/>
          <w:sz w:val="17"/>
          <w:szCs w:val="17"/>
          <w:u w:val="single" w:color="auto"/>
          <w:color w:val="auto"/>
        </w:rPr>
        <w:t>Additional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Securities</w:t>
      </w:r>
      <w:r>
        <w:rPr>
          <w:rFonts w:ascii="Arial" w:cs="Arial" w:eastAsia="Arial" w:hAnsi="Arial"/>
          <w:sz w:val="17"/>
          <w:szCs w:val="17"/>
          <w:color w:val="auto"/>
        </w:rPr>
        <w:t>”) shall be retained in escrow in the same manner and subject to the same conditions and restrictions as the Covered Shares with respect to which they were issued, including the Vesting Schedule. If the Additional Securities consist of a convertible security, the Participant may exercise any conversion right, and any securities so acquired shall constitute Additional Securities. In the event of any change in certificates evidencing the Shares or the Additional Securities by reason of any transaction under Article 15 of the Plan, the escrow holder is authorized to deliver to the issuer the certificates evidencing the Shares or Additional Securities in exchange for the certificates of the replacement securities.</w:t>
      </w:r>
    </w:p>
    <w:p>
      <w:pPr>
        <w:spacing w:after="0" w:line="183" w:lineRule="exact"/>
        <w:rPr>
          <w:rFonts w:ascii="Arial" w:cs="Arial" w:eastAsia="Arial" w:hAnsi="Arial"/>
          <w:sz w:val="17"/>
          <w:szCs w:val="17"/>
          <w:color w:val="auto"/>
        </w:rPr>
      </w:pPr>
    </w:p>
    <w:p>
      <w:pPr>
        <w:ind w:right="340" w:firstLine="634"/>
        <w:spacing w:after="0" w:line="289" w:lineRule="auto"/>
        <w:tabs>
          <w:tab w:leader="none" w:pos="1258" w:val="left"/>
        </w:tabs>
        <w:numPr>
          <w:ilvl w:val="0"/>
          <w:numId w:val="503"/>
        </w:numPr>
        <w:rPr>
          <w:rFonts w:ascii="Arial" w:cs="Arial" w:eastAsia="Arial" w:hAnsi="Arial"/>
          <w:sz w:val="17"/>
          <w:szCs w:val="17"/>
          <w:color w:val="auto"/>
        </w:rPr>
      </w:pPr>
      <w:r>
        <w:rPr>
          <w:rFonts w:ascii="Arial" w:cs="Arial" w:eastAsia="Arial" w:hAnsi="Arial"/>
          <w:sz w:val="17"/>
          <w:szCs w:val="17"/>
          <w:u w:val="single" w:color="auto"/>
          <w:color w:val="auto"/>
        </w:rPr>
        <w:t>Distributions</w:t>
      </w:r>
      <w:r>
        <w:rPr>
          <w:rFonts w:ascii="Arial" w:cs="Arial" w:eastAsia="Arial" w:hAnsi="Arial"/>
          <w:sz w:val="17"/>
          <w:szCs w:val="17"/>
          <w:color w:val="auto"/>
        </w:rPr>
        <w:t>. The Company shall disburse to the Participant all regular cash dividends with respect to the Shares and Additional Securities, whether vested or otherwise, less the amount to satisfy any applicable withholding obligations.</w:t>
      </w:r>
    </w:p>
    <w:p>
      <w:pPr>
        <w:spacing w:after="0" w:line="158" w:lineRule="exact"/>
        <w:rPr>
          <w:rFonts w:ascii="Arial" w:cs="Arial" w:eastAsia="Arial" w:hAnsi="Arial"/>
          <w:sz w:val="17"/>
          <w:szCs w:val="17"/>
          <w:color w:val="auto"/>
        </w:rPr>
      </w:pPr>
    </w:p>
    <w:p>
      <w:pPr>
        <w:ind w:right="40" w:firstLine="634"/>
        <w:spacing w:after="0" w:line="262" w:lineRule="auto"/>
        <w:tabs>
          <w:tab w:leader="none" w:pos="1258" w:val="left"/>
        </w:tabs>
        <w:numPr>
          <w:ilvl w:val="0"/>
          <w:numId w:val="503"/>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The Participant hereby acknowledges and understands that he or she may suffer adverse tax consequences as a result of the Participant’s receipt of (or purchase of), vesting in, or disposition of, the Covered Shares. The Participant hereby represents that the Participant has consulted with any tax consultants the Participant deems advisable in connection with the purchase, vesting, or disposition of the Covered Shares and that the Participant is not relying on the Company for any tax advice. In the event the Company determines that it has a tax withholding obligation in connection with Participant’s purchase of, vesting in, or disposition of, the Covered Shares, the Participant agrees to make appropriate arrangements with the Company or Affiliate for the satisfaction of such withholding. The Participant consents to the Company or Affiliate satisfying any withholding obligation by withholding from other compensation due to the Participant in the event such satisfactory arrangements are not made.</w:t>
      </w:r>
    </w:p>
    <w:p>
      <w:pPr>
        <w:spacing w:after="0" w:line="184" w:lineRule="exact"/>
        <w:rPr>
          <w:rFonts w:ascii="Arial" w:cs="Arial" w:eastAsia="Arial" w:hAnsi="Arial"/>
          <w:sz w:val="17"/>
          <w:szCs w:val="17"/>
          <w:color w:val="auto"/>
        </w:rPr>
      </w:pPr>
    </w:p>
    <w:p>
      <w:pPr>
        <w:ind w:right="180" w:firstLine="1263"/>
        <w:spacing w:after="0" w:line="268" w:lineRule="auto"/>
        <w:tabs>
          <w:tab w:leader="none" w:pos="1885" w:val="left"/>
        </w:tabs>
        <w:numPr>
          <w:ilvl w:val="1"/>
          <w:numId w:val="503"/>
        </w:numPr>
        <w:rPr>
          <w:rFonts w:ascii="Arial" w:cs="Arial" w:eastAsia="Arial" w:hAnsi="Arial"/>
          <w:sz w:val="17"/>
          <w:szCs w:val="17"/>
          <w:color w:val="auto"/>
        </w:rPr>
      </w:pPr>
      <w:r>
        <w:rPr>
          <w:rFonts w:ascii="Arial" w:cs="Arial" w:eastAsia="Arial" w:hAnsi="Arial"/>
          <w:sz w:val="17"/>
          <w:szCs w:val="17"/>
          <w:u w:val="single" w:color="auto"/>
          <w:color w:val="auto"/>
        </w:rPr>
        <w:t>Representations</w:t>
      </w:r>
      <w:r>
        <w:rPr>
          <w:rFonts w:ascii="Arial" w:cs="Arial" w:eastAsia="Arial" w:hAnsi="Arial"/>
          <w:sz w:val="17"/>
          <w:szCs w:val="17"/>
          <w:color w:val="auto"/>
        </w:rPr>
        <w:t>. The Participant has reviewed with his own tax advisors the tax consequences of this investment and the transactions contemplated by this Award Agreement, including any U.S. federal, state and local tax laws, and any other applicable taxing jurisdiction. The Participant is relying solely on such advisors and not on any statements or representations of the Company or any of its agents. The Participant hereby acknowledges and understands that he or she (and not the Company) shall be responsible for his or her own tax</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liability that may arise as a result of this investment or the transactions contemplated by this Award Agreement.</w:t>
      </w:r>
    </w:p>
    <w:p>
      <w:pPr>
        <w:spacing w:after="0" w:line="224" w:lineRule="exact"/>
        <w:rPr>
          <w:sz w:val="20"/>
          <w:szCs w:val="20"/>
          <w:color w:val="auto"/>
        </w:rPr>
      </w:pPr>
    </w:p>
    <w:p>
      <w:pPr>
        <w:ind w:right="40" w:firstLine="1263"/>
        <w:spacing w:after="0" w:line="360" w:lineRule="auto"/>
        <w:tabs>
          <w:tab w:leader="none" w:pos="1895" w:val="left"/>
        </w:tabs>
        <w:numPr>
          <w:ilvl w:val="0"/>
          <w:numId w:val="504"/>
        </w:numPr>
        <w:rPr>
          <w:rFonts w:ascii="Arial" w:cs="Arial" w:eastAsia="Arial" w:hAnsi="Arial"/>
          <w:sz w:val="15"/>
          <w:szCs w:val="15"/>
          <w:color w:val="auto"/>
        </w:rPr>
      </w:pPr>
      <w:r>
        <w:rPr>
          <w:rFonts w:ascii="Arial" w:cs="Arial" w:eastAsia="Arial" w:hAnsi="Arial"/>
          <w:sz w:val="15"/>
          <w:szCs w:val="15"/>
          <w:u w:val="single" w:color="auto"/>
          <w:color w:val="auto"/>
        </w:rPr>
        <w:t>Section 83(b) Election</w:t>
      </w:r>
      <w:r>
        <w:rPr>
          <w:rFonts w:ascii="Arial" w:cs="Arial" w:eastAsia="Arial" w:hAnsi="Arial"/>
          <w:sz w:val="15"/>
          <w:szCs w:val="15"/>
          <w:color w:val="auto"/>
        </w:rPr>
        <w:t>. The Participant hereby acknowledges that he or she has been informed that if he or she makes a timely election (the “</w:t>
      </w:r>
      <w:r>
        <w:rPr>
          <w:rFonts w:ascii="Arial" w:cs="Arial" w:eastAsia="Arial" w:hAnsi="Arial"/>
          <w:sz w:val="15"/>
          <w:szCs w:val="15"/>
          <w:u w:val="single" w:color="auto"/>
          <w:color w:val="auto"/>
        </w:rPr>
        <w:t>Election</w:t>
      </w:r>
      <w:r>
        <w:rPr>
          <w:rFonts w:ascii="Arial" w:cs="Arial" w:eastAsia="Arial" w:hAnsi="Arial"/>
          <w:sz w:val="15"/>
          <w:szCs w:val="15"/>
          <w:color w:val="auto"/>
        </w:rPr>
        <w:t>”) pursuant to Section 83(b) of the Code to be taxed currently on any difference between the Fair Market Value of the Covered Shares and any</w:t>
      </w:r>
    </w:p>
    <w:p>
      <w:pPr>
        <w:sectPr>
          <w:pgSz w:w="11900" w:h="16917" w:orient="portrait"/>
          <w:cols w:equalWidth="0" w:num="1">
            <w:col w:w="11420"/>
          </w:cols>
          <w:pgMar w:left="240" w:top="121" w:right="239" w:bottom="0" w:gutter="0" w:footer="0" w:header="0"/>
        </w:sectPr>
      </w:pPr>
    </w:p>
    <w:bookmarkStart w:id="347" w:name="page348"/>
    <w:bookmarkEnd w:id="347"/>
    <w:p>
      <w:pPr>
        <w:ind w:right="200"/>
        <w:spacing w:after="0" w:line="314" w:lineRule="auto"/>
        <w:rPr>
          <w:sz w:val="20"/>
          <w:szCs w:val="20"/>
          <w:color w:val="auto"/>
        </w:rPr>
      </w:pPr>
      <w:r>
        <w:rPr>
          <w:rFonts w:ascii="Arial" w:cs="Arial" w:eastAsia="Arial" w:hAnsi="Arial"/>
          <w:sz w:val="15"/>
          <w:szCs w:val="15"/>
          <w:color w:val="auto"/>
        </w:rPr>
        <w:t xml:space="preserve">purchase price paid, this will result in a recognition of taxable income to the Participant on the date the Covered Shares were granted. Absent such an Election, taxable income will be measured and recognized by the Participant at the time or times on which the Covered Shares become vested. The Participant is strongly encouraged to seek the advice of his or her own tax consultants in connection with the Covered Shares granted pursuant to the Plan and this Award Agreement, and the advisability of filing the Election under Section 83(b) of the Code. A form of Election under Section 83(b) is attached hereto as </w:t>
      </w:r>
      <w:r>
        <w:rPr>
          <w:rFonts w:ascii="Arial" w:cs="Arial" w:eastAsia="Arial" w:hAnsi="Arial"/>
          <w:sz w:val="15"/>
          <w:szCs w:val="15"/>
          <w:b w:val="1"/>
          <w:bCs w:val="1"/>
          <w:color w:val="auto"/>
        </w:rPr>
        <w:t>Exhibit B</w:t>
      </w:r>
      <w:r>
        <w:rPr>
          <w:rFonts w:ascii="Arial" w:cs="Arial" w:eastAsia="Arial" w:hAnsi="Arial"/>
          <w:sz w:val="15"/>
          <w:szCs w:val="15"/>
          <w:color w:val="auto"/>
        </w:rPr>
        <w:t>.</w:t>
      </w:r>
    </w:p>
    <w:p>
      <w:pPr>
        <w:spacing w:after="0" w:line="146" w:lineRule="exact"/>
        <w:rPr>
          <w:sz w:val="20"/>
          <w:szCs w:val="20"/>
          <w:color w:val="auto"/>
        </w:rPr>
      </w:pPr>
    </w:p>
    <w:p>
      <w:pPr>
        <w:ind w:left="1260"/>
        <w:spacing w:after="0" w:line="298" w:lineRule="auto"/>
        <w:rPr>
          <w:sz w:val="20"/>
          <w:szCs w:val="20"/>
          <w:color w:val="auto"/>
        </w:rPr>
      </w:pPr>
      <w:r>
        <w:rPr>
          <w:rFonts w:ascii="Arial" w:cs="Arial" w:eastAsia="Arial" w:hAnsi="Arial"/>
          <w:sz w:val="16"/>
          <w:szCs w:val="16"/>
          <w:color w:val="auto"/>
        </w:rPr>
        <w:t>THE PARTICIPANT ACKNOWLEDGES THAT IT IS THE PARTICIPANT’S SOLE RESPONSIBILITY AND NOT THE COMPANY’S OR ANY AFFILIATE TO TIMELY FILE THE ELECTION UNDER SECTION 83(b) OF THE CODE, EVEN IF THE PARTICIPANT REQUESTS THE COMPANY, AFFILIATE OR THEIR REPRESENTATIVE TO MAKE THIS FILING ON THE PARTICIPANT’S BEHALF.</w:t>
      </w:r>
    </w:p>
    <w:p>
      <w:pPr>
        <w:spacing w:after="0" w:line="154" w:lineRule="exact"/>
        <w:rPr>
          <w:sz w:val="20"/>
          <w:szCs w:val="20"/>
          <w:color w:val="auto"/>
        </w:rPr>
      </w:pPr>
    </w:p>
    <w:p>
      <w:pPr>
        <w:ind w:right="120" w:firstLine="1263"/>
        <w:spacing w:after="0" w:line="268" w:lineRule="auto"/>
        <w:tabs>
          <w:tab w:leader="none" w:pos="1898" w:val="left"/>
        </w:tabs>
        <w:numPr>
          <w:ilvl w:val="1"/>
          <w:numId w:val="505"/>
        </w:numPr>
        <w:rPr>
          <w:rFonts w:ascii="Arial" w:cs="Arial" w:eastAsia="Arial" w:hAnsi="Arial"/>
          <w:sz w:val="17"/>
          <w:szCs w:val="17"/>
          <w:color w:val="auto"/>
        </w:rPr>
      </w:pPr>
      <w:r>
        <w:rPr>
          <w:rFonts w:ascii="Arial" w:cs="Arial" w:eastAsia="Arial" w:hAnsi="Arial"/>
          <w:sz w:val="17"/>
          <w:szCs w:val="17"/>
          <w:u w:val="single" w:color="auto"/>
          <w:color w:val="auto"/>
        </w:rPr>
        <w:t>Payment of Withholding Taxes</w:t>
      </w:r>
      <w:r>
        <w:rPr>
          <w:rFonts w:ascii="Arial" w:cs="Arial" w:eastAsia="Arial" w:hAnsi="Arial"/>
          <w:sz w:val="17"/>
          <w:szCs w:val="17"/>
          <w:color w:val="auto"/>
        </w:rPr>
        <w:t>. In the event the Company determines that it has a tax withholding obligation in connection with Participant’s purchase of, vesting in, or disposition of, the Covered Shares, the Participant agrees to make appropriate arrangements with the Company for the satisfaction of such withholding. The Participant consents to the Company satisfying any withholding obligation by withholding from other compensation due to the Participant in the event such satisfactory arrangements are not made.</w:t>
      </w:r>
    </w:p>
    <w:p>
      <w:pPr>
        <w:spacing w:after="0" w:line="175" w:lineRule="exact"/>
        <w:rPr>
          <w:rFonts w:ascii="Arial" w:cs="Arial" w:eastAsia="Arial" w:hAnsi="Arial"/>
          <w:sz w:val="17"/>
          <w:szCs w:val="17"/>
          <w:color w:val="auto"/>
        </w:rPr>
      </w:pPr>
    </w:p>
    <w:p>
      <w:pPr>
        <w:ind w:right="280" w:firstLine="634"/>
        <w:spacing w:after="0" w:line="290" w:lineRule="auto"/>
        <w:tabs>
          <w:tab w:leader="none" w:pos="1258" w:val="left"/>
        </w:tabs>
        <w:numPr>
          <w:ilvl w:val="0"/>
          <w:numId w:val="506"/>
        </w:numPr>
        <w:rPr>
          <w:rFonts w:ascii="Arial" w:cs="Arial" w:eastAsia="Arial" w:hAnsi="Arial"/>
          <w:sz w:val="16"/>
          <w:szCs w:val="16"/>
          <w:color w:val="auto"/>
        </w:rPr>
      </w:pPr>
      <w:r>
        <w:rPr>
          <w:rFonts w:ascii="Arial" w:cs="Arial" w:eastAsia="Arial" w:hAnsi="Arial"/>
          <w:sz w:val="16"/>
          <w:szCs w:val="16"/>
          <w:u w:val="single" w:color="auto"/>
          <w:color w:val="auto"/>
        </w:rPr>
        <w:t>Legality of Initial Issuance</w:t>
      </w:r>
      <w:r>
        <w:rPr>
          <w:rFonts w:ascii="Arial" w:cs="Arial" w:eastAsia="Arial" w:hAnsi="Arial"/>
          <w:sz w:val="16"/>
          <w:szCs w:val="16"/>
          <w:color w:val="auto"/>
        </w:rPr>
        <w:t>. No Covered Shares shall be issued unless and until the Company has determined that: (i) the Company and the Participant have taken all actions required to register the Covered Shares under the Securities Act or to perfect an exemption from the registration requirements thereof, if applicable; (ii) all applicable listing requirements of any stock exchange or other securities market on which the Covered Shares are listed has been satisfied; and (iii) any other applicable provision of state or U.S. federal law or other applicable law has been satisfied.</w:t>
      </w:r>
    </w:p>
    <w:p>
      <w:pPr>
        <w:spacing w:after="0" w:line="159" w:lineRule="exact"/>
        <w:rPr>
          <w:rFonts w:ascii="Arial" w:cs="Arial" w:eastAsia="Arial" w:hAnsi="Arial"/>
          <w:sz w:val="16"/>
          <w:szCs w:val="16"/>
          <w:color w:val="auto"/>
        </w:rPr>
      </w:pPr>
    </w:p>
    <w:p>
      <w:pPr>
        <w:ind w:right="360" w:firstLine="634"/>
        <w:spacing w:after="0" w:line="289" w:lineRule="auto"/>
        <w:tabs>
          <w:tab w:leader="none" w:pos="1258" w:val="left"/>
        </w:tabs>
        <w:numPr>
          <w:ilvl w:val="0"/>
          <w:numId w:val="506"/>
        </w:numPr>
        <w:rPr>
          <w:rFonts w:ascii="Arial" w:cs="Arial" w:eastAsia="Arial" w:hAnsi="Arial"/>
          <w:sz w:val="17"/>
          <w:szCs w:val="17"/>
          <w:color w:val="auto"/>
        </w:rPr>
      </w:pPr>
      <w:r>
        <w:rPr>
          <w:rFonts w:ascii="Arial" w:cs="Arial" w:eastAsia="Arial" w:hAnsi="Arial"/>
          <w:sz w:val="17"/>
          <w:szCs w:val="17"/>
          <w:u w:val="single" w:color="auto"/>
          <w:color w:val="auto"/>
        </w:rPr>
        <w:t>Restrictive Legends</w:t>
      </w:r>
      <w:r>
        <w:rPr>
          <w:rFonts w:ascii="Arial" w:cs="Arial" w:eastAsia="Arial" w:hAnsi="Arial"/>
          <w:sz w:val="17"/>
          <w:szCs w:val="17"/>
          <w:color w:val="auto"/>
        </w:rPr>
        <w:t>. The share certificate evidencing the Covered Shares issued hereunder shall be endorsed with the following legends (in addition to any legend required under applicable U.S. federal, state securities laws and under any other Applicable Law):</w:t>
      </w:r>
    </w:p>
    <w:p>
      <w:pPr>
        <w:spacing w:after="0" w:line="158" w:lineRule="exact"/>
        <w:rPr>
          <w:rFonts w:ascii="Arial" w:cs="Arial" w:eastAsia="Arial" w:hAnsi="Arial"/>
          <w:sz w:val="17"/>
          <w:szCs w:val="17"/>
          <w:color w:val="auto"/>
        </w:rPr>
      </w:pPr>
    </w:p>
    <w:p>
      <w:pPr>
        <w:ind w:left="1880" w:hanging="617"/>
        <w:spacing w:after="0"/>
        <w:tabs>
          <w:tab w:leader="none" w:pos="1880" w:val="left"/>
        </w:tabs>
        <w:numPr>
          <w:ilvl w:val="1"/>
          <w:numId w:val="506"/>
        </w:numPr>
        <w:rPr>
          <w:rFonts w:ascii="Arial" w:cs="Arial" w:eastAsia="Arial" w:hAnsi="Arial"/>
          <w:sz w:val="17"/>
          <w:szCs w:val="17"/>
          <w:color w:val="auto"/>
        </w:rPr>
      </w:pPr>
      <w:r>
        <w:rPr>
          <w:rFonts w:ascii="Arial" w:cs="Arial" w:eastAsia="Arial" w:hAnsi="Arial"/>
          <w:sz w:val="17"/>
          <w:szCs w:val="17"/>
          <w:u w:val="single" w:color="auto"/>
          <w:color w:val="auto"/>
        </w:rPr>
        <w:t>On the face of the certificate</w:t>
      </w:r>
      <w:r>
        <w:rPr>
          <w:rFonts w:ascii="Arial" w:cs="Arial" w:eastAsia="Arial" w:hAnsi="Arial"/>
          <w:sz w:val="17"/>
          <w:szCs w:val="17"/>
          <w:color w:val="auto"/>
        </w:rPr>
        <w:t>:</w:t>
      </w:r>
    </w:p>
    <w:p>
      <w:pPr>
        <w:spacing w:after="0" w:line="224" w:lineRule="exact"/>
        <w:rPr>
          <w:sz w:val="20"/>
          <w:szCs w:val="20"/>
          <w:color w:val="auto"/>
        </w:rPr>
      </w:pPr>
    </w:p>
    <w:p>
      <w:pPr>
        <w:ind w:left="1260" w:right="120"/>
        <w:spacing w:after="0" w:line="289" w:lineRule="auto"/>
        <w:rPr>
          <w:sz w:val="20"/>
          <w:szCs w:val="20"/>
          <w:color w:val="auto"/>
        </w:rPr>
      </w:pPr>
      <w:r>
        <w:rPr>
          <w:rFonts w:ascii="Arial" w:cs="Arial" w:eastAsia="Arial" w:hAnsi="Arial"/>
          <w:sz w:val="17"/>
          <w:szCs w:val="17"/>
          <w:color w:val="auto"/>
        </w:rPr>
        <w:t>“TRANSFER OF THIS STOCK IS RESTRICTED IN ACCORDANCE WITH THE CONDITIONS PRINTED ON THE REVERSE OF THIS CERTIFICATE”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0"/>
          <w:numId w:val="507"/>
        </w:numPr>
        <w:rPr>
          <w:rFonts w:ascii="Arial" w:cs="Arial" w:eastAsia="Arial" w:hAnsi="Arial"/>
          <w:sz w:val="17"/>
          <w:szCs w:val="17"/>
          <w:color w:val="auto"/>
        </w:rPr>
      </w:pPr>
      <w:r>
        <w:rPr>
          <w:rFonts w:ascii="Arial" w:cs="Arial" w:eastAsia="Arial" w:hAnsi="Arial"/>
          <w:sz w:val="17"/>
          <w:szCs w:val="17"/>
          <w:u w:val="single" w:color="auto"/>
          <w:color w:val="auto"/>
        </w:rPr>
        <w:t>On the reverse of the certificate</w:t>
      </w:r>
      <w:r>
        <w:rPr>
          <w:rFonts w:ascii="Arial" w:cs="Arial" w:eastAsia="Arial" w:hAnsi="Arial"/>
          <w:sz w:val="17"/>
          <w:szCs w:val="17"/>
          <w:color w:val="auto"/>
        </w:rPr>
        <w:t>:</w:t>
      </w:r>
    </w:p>
    <w:p>
      <w:pPr>
        <w:spacing w:after="0" w:line="224" w:lineRule="exact"/>
        <w:rPr>
          <w:sz w:val="20"/>
          <w:szCs w:val="20"/>
          <w:color w:val="auto"/>
        </w:rPr>
      </w:pPr>
    </w:p>
    <w:p>
      <w:pPr>
        <w:ind w:left="1260"/>
        <w:spacing w:after="0" w:line="263" w:lineRule="auto"/>
        <w:rPr>
          <w:sz w:val="20"/>
          <w:szCs w:val="20"/>
          <w:color w:val="auto"/>
        </w:rPr>
      </w:pPr>
      <w:r>
        <w:rPr>
          <w:rFonts w:ascii="Arial" w:cs="Arial" w:eastAsia="Arial" w:hAnsi="Arial"/>
          <w:sz w:val="17"/>
          <w:szCs w:val="17"/>
          <w:color w:val="auto"/>
        </w:rPr>
        <w:t>“THE SHARES OF STOCK EVIDENCED BY THIS CERTIFICATE ARE SUBJECT TO AND TRANSFERABLE ONLY IN ACCORDANCE WITH THAT CERTAIN APPLIED OPTOELECTRONICS, INC. 2013 EQUITY INCENTIVE PLAN, A COPY OF WHICH IS ON FILE AT THE PRINCIPAL OFFICE OF THE COMPANY IN SUGARLAND, TEXAS. NO TRANSFER OR PLEDGE OF THE SHARES EVIDENCED HEREBY MAY BE MADE EXCEPT IN ACCORDANCE WITH AND SUBJECT TO THE PROVISIONS OF SAID PLAN. BY ACCEPTANCE OF THIS CERTIFICATE, ANY HOLDER, TRANSFEREE OR PLEDGEE HEREOF AGREES TO BE BOUND BY ALL OF THE PROVISIONS OF SAID PLAN.”</w:t>
      </w:r>
    </w:p>
    <w:p>
      <w:pPr>
        <w:spacing w:after="0" w:line="183" w:lineRule="exact"/>
        <w:rPr>
          <w:sz w:val="20"/>
          <w:szCs w:val="20"/>
          <w:color w:val="auto"/>
        </w:rPr>
      </w:pPr>
    </w:p>
    <w:p>
      <w:pPr>
        <w:ind w:left="1260" w:hanging="626"/>
        <w:spacing w:after="0"/>
        <w:tabs>
          <w:tab w:leader="none" w:pos="1260" w:val="left"/>
        </w:tabs>
        <w:numPr>
          <w:ilvl w:val="0"/>
          <w:numId w:val="508"/>
        </w:numPr>
        <w:rPr>
          <w:rFonts w:ascii="Arial" w:cs="Arial" w:eastAsia="Arial" w:hAnsi="Arial"/>
          <w:sz w:val="17"/>
          <w:szCs w:val="17"/>
          <w:color w:val="auto"/>
        </w:rPr>
      </w:pPr>
      <w:r>
        <w:rPr>
          <w:rFonts w:ascii="Arial" w:cs="Arial" w:eastAsia="Arial" w:hAnsi="Arial"/>
          <w:sz w:val="17"/>
          <w:szCs w:val="17"/>
          <w:u w:val="single" w:color="auto"/>
          <w:color w:val="auto"/>
        </w:rPr>
        <w:t>Restrictions on Transfer</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right="80" w:firstLine="1263"/>
        <w:spacing w:after="0" w:line="273" w:lineRule="auto"/>
        <w:tabs>
          <w:tab w:leader="none" w:pos="1885" w:val="left"/>
        </w:tabs>
        <w:numPr>
          <w:ilvl w:val="1"/>
          <w:numId w:val="508"/>
        </w:numPr>
        <w:rPr>
          <w:rFonts w:ascii="Arial" w:cs="Arial" w:eastAsia="Arial" w:hAnsi="Arial"/>
          <w:sz w:val="17"/>
          <w:szCs w:val="17"/>
          <w:color w:val="auto"/>
        </w:rPr>
      </w:pPr>
      <w:r>
        <w:rPr>
          <w:rFonts w:ascii="Arial" w:cs="Arial" w:eastAsia="Arial" w:hAnsi="Arial"/>
          <w:sz w:val="17"/>
          <w:szCs w:val="17"/>
          <w:u w:val="single" w:color="auto"/>
          <w:color w:val="auto"/>
        </w:rPr>
        <w:t>Stop-Transfer Notices</w:t>
      </w:r>
      <w:r>
        <w:rPr>
          <w:rFonts w:ascii="Arial" w:cs="Arial" w:eastAsia="Arial" w:hAnsi="Arial"/>
          <w:sz w:val="17"/>
          <w:szCs w:val="17"/>
          <w:color w:val="auto"/>
        </w:rPr>
        <w:t>. The Participant agrees that, in order to ensure compliance with the restrictions referred to herein and applicable law, the Company may issue appropriate “stop transfer” instructions to its transfer agent, if any, and that, if the Company transfers its own securities, it may make appropriate notations to the same effect in its own records.</w:t>
      </w:r>
    </w:p>
    <w:p>
      <w:pPr>
        <w:spacing w:after="0" w:line="171" w:lineRule="exact"/>
        <w:rPr>
          <w:rFonts w:ascii="Arial" w:cs="Arial" w:eastAsia="Arial" w:hAnsi="Arial"/>
          <w:sz w:val="17"/>
          <w:szCs w:val="17"/>
          <w:color w:val="auto"/>
        </w:rPr>
      </w:pPr>
    </w:p>
    <w:p>
      <w:pPr>
        <w:ind w:right="120" w:firstLine="1263"/>
        <w:spacing w:after="0" w:line="268" w:lineRule="auto"/>
        <w:tabs>
          <w:tab w:leader="none" w:pos="1895" w:val="left"/>
        </w:tabs>
        <w:numPr>
          <w:ilvl w:val="1"/>
          <w:numId w:val="508"/>
        </w:numPr>
        <w:rPr>
          <w:rFonts w:ascii="Arial" w:cs="Arial" w:eastAsia="Arial" w:hAnsi="Arial"/>
          <w:sz w:val="17"/>
          <w:szCs w:val="17"/>
          <w:color w:val="auto"/>
        </w:rPr>
      </w:pPr>
      <w:r>
        <w:rPr>
          <w:rFonts w:ascii="Arial" w:cs="Arial" w:eastAsia="Arial" w:hAnsi="Arial"/>
          <w:sz w:val="17"/>
          <w:szCs w:val="17"/>
          <w:u w:val="single" w:color="auto"/>
          <w:color w:val="auto"/>
        </w:rPr>
        <w:t>Rights of the Company</w:t>
      </w:r>
      <w:r>
        <w:rPr>
          <w:rFonts w:ascii="Arial" w:cs="Arial" w:eastAsia="Arial" w:hAnsi="Arial"/>
          <w:sz w:val="17"/>
          <w:szCs w:val="17"/>
          <w:color w:val="auto"/>
        </w:rPr>
        <w:t>. The Company shall not (i) record on its books the transfer of any Covered Shares that have been sold or transferred in contravention of this Award Agreement or (ii) treat as the owner of Covered Shares, or otherwise to accord voting, dividend or liquidation rights to, any transferee to whom Covered Shares have been transferred in contravention of this Award Agreement. Any transfer of Covered Shares not made in conformance with this Award Agreement shall be null and void and shall not be recognized by the Company.</w:t>
      </w:r>
    </w:p>
    <w:p>
      <w:pPr>
        <w:spacing w:after="0" w:line="175" w:lineRule="exact"/>
        <w:rPr>
          <w:rFonts w:ascii="Arial" w:cs="Arial" w:eastAsia="Arial" w:hAnsi="Arial"/>
          <w:sz w:val="17"/>
          <w:szCs w:val="17"/>
          <w:color w:val="auto"/>
        </w:rPr>
      </w:pPr>
    </w:p>
    <w:p>
      <w:pPr>
        <w:ind w:right="20" w:firstLine="634"/>
        <w:spacing w:after="0" w:line="265" w:lineRule="auto"/>
        <w:tabs>
          <w:tab w:leader="none" w:pos="1248" w:val="left"/>
        </w:tabs>
        <w:numPr>
          <w:ilvl w:val="0"/>
          <w:numId w:val="508"/>
        </w:numPr>
        <w:rPr>
          <w:rFonts w:ascii="Arial" w:cs="Arial" w:eastAsia="Arial" w:hAnsi="Arial"/>
          <w:sz w:val="17"/>
          <w:szCs w:val="17"/>
          <w:color w:val="auto"/>
        </w:rPr>
      </w:pPr>
      <w:r>
        <w:rPr>
          <w:rFonts w:ascii="Arial" w:cs="Arial" w:eastAsia="Arial" w:hAnsi="Arial"/>
          <w:sz w:val="17"/>
          <w:szCs w:val="17"/>
          <w:u w:val="single" w:color="auto"/>
          <w:color w:val="auto"/>
        </w:rPr>
        <w:t>Entire Agreement; Governing Law; and Amendments</w:t>
      </w:r>
      <w:r>
        <w:rPr>
          <w:rFonts w:ascii="Arial" w:cs="Arial" w:eastAsia="Arial" w:hAnsi="Arial"/>
          <w:sz w:val="17"/>
          <w:szCs w:val="17"/>
          <w:color w:val="auto"/>
        </w:rPr>
        <w:t>. The provisions of the Plan and the Notice are incorporated herein by reference. The Plan, the Notice and this Award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 This Award Agreement is governed by the laws of the State of Texas applicable to contracts executed in and to be performed in that country.</w:t>
      </w:r>
    </w:p>
    <w:p>
      <w:pPr>
        <w:spacing w:after="0" w:line="179" w:lineRule="exact"/>
        <w:rPr>
          <w:rFonts w:ascii="Arial" w:cs="Arial" w:eastAsia="Arial" w:hAnsi="Arial"/>
          <w:sz w:val="17"/>
          <w:szCs w:val="17"/>
          <w:color w:val="auto"/>
        </w:rPr>
      </w:pPr>
    </w:p>
    <w:p>
      <w:pPr>
        <w:ind w:right="100" w:firstLine="634"/>
        <w:spacing w:after="0" w:line="314" w:lineRule="auto"/>
        <w:tabs>
          <w:tab w:leader="none" w:pos="1254" w:val="left"/>
        </w:tabs>
        <w:numPr>
          <w:ilvl w:val="0"/>
          <w:numId w:val="508"/>
        </w:numPr>
        <w:rPr>
          <w:rFonts w:ascii="Arial" w:cs="Arial" w:eastAsia="Arial" w:hAnsi="Arial"/>
          <w:sz w:val="15"/>
          <w:szCs w:val="15"/>
          <w:color w:val="auto"/>
        </w:rPr>
      </w:pPr>
      <w:r>
        <w:rPr>
          <w:rFonts w:ascii="Arial" w:cs="Arial" w:eastAsia="Arial" w:hAnsi="Arial"/>
          <w:sz w:val="15"/>
          <w:szCs w:val="15"/>
          <w:u w:val="single" w:color="auto"/>
          <w:color w:val="auto"/>
        </w:rPr>
        <w:t>Construction; Severability</w:t>
      </w:r>
      <w:r>
        <w:rPr>
          <w:rFonts w:ascii="Arial" w:cs="Arial" w:eastAsia="Arial" w:hAnsi="Arial"/>
          <w:sz w:val="15"/>
          <w:szCs w:val="15"/>
          <w:color w:val="auto"/>
        </w:rPr>
        <w:t>. The captions used in this Award Agreement are inserted for convenience and shall not be deemed a part of the Shares for construction or interpretation. Except when otherwise indicated by the context, the singular shall include the plural and the plural shall include the singular. Use of the term “or” is not intended to be exclusive, unless the context clearly requires otherwise. The validity, legality or enforceability of this Award Agreement shall not be affected even if one or more of the provisions of this Award Agreement shall be held to be invalid, illegal or unenforceable in any respect.</w:t>
      </w:r>
    </w:p>
    <w:p>
      <w:pPr>
        <w:spacing w:after="0" w:line="146" w:lineRule="exact"/>
        <w:rPr>
          <w:rFonts w:ascii="Arial" w:cs="Arial" w:eastAsia="Arial" w:hAnsi="Arial"/>
          <w:sz w:val="15"/>
          <w:szCs w:val="15"/>
          <w:color w:val="auto"/>
        </w:rPr>
      </w:pPr>
    </w:p>
    <w:p>
      <w:pPr>
        <w:ind w:right="200" w:firstLine="634"/>
        <w:spacing w:after="0" w:line="289" w:lineRule="auto"/>
        <w:tabs>
          <w:tab w:leader="none" w:pos="1254" w:val="left"/>
        </w:tabs>
        <w:numPr>
          <w:ilvl w:val="0"/>
          <w:numId w:val="508"/>
        </w:numPr>
        <w:rPr>
          <w:rFonts w:ascii="Arial" w:cs="Arial" w:eastAsia="Arial" w:hAnsi="Arial"/>
          <w:sz w:val="17"/>
          <w:szCs w:val="17"/>
          <w:color w:val="auto"/>
        </w:rPr>
      </w:pPr>
      <w:r>
        <w:rPr>
          <w:rFonts w:ascii="Arial" w:cs="Arial" w:eastAsia="Arial" w:hAnsi="Arial"/>
          <w:sz w:val="17"/>
          <w:szCs w:val="17"/>
          <w:u w:val="single" w:color="auto"/>
          <w:color w:val="auto"/>
        </w:rPr>
        <w:t>Administration and Interpretation</w:t>
      </w:r>
      <w:r>
        <w:rPr>
          <w:rFonts w:ascii="Arial" w:cs="Arial" w:eastAsia="Arial" w:hAnsi="Arial"/>
          <w:sz w:val="17"/>
          <w:szCs w:val="17"/>
          <w:color w:val="auto"/>
        </w:rPr>
        <w:t>. Any question or dispute regarding the administration or interpretation of the Plan or this Award Agreement shall be submitted by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Participant or by the Company to the Committee. The resolution of such question or dispute by the Committee shall be final and binding on all persons.</w:t>
      </w:r>
    </w:p>
    <w:p>
      <w:pPr>
        <w:spacing w:after="0" w:line="224" w:lineRule="exact"/>
        <w:rPr>
          <w:sz w:val="20"/>
          <w:szCs w:val="20"/>
          <w:color w:val="auto"/>
        </w:rPr>
      </w:pPr>
    </w:p>
    <w:p>
      <w:pPr>
        <w:ind w:firstLine="634"/>
        <w:spacing w:after="0" w:line="263" w:lineRule="auto"/>
        <w:tabs>
          <w:tab w:leader="none" w:pos="1254" w:val="left"/>
        </w:tabs>
        <w:numPr>
          <w:ilvl w:val="0"/>
          <w:numId w:val="509"/>
        </w:numPr>
        <w:rPr>
          <w:rFonts w:ascii="Arial" w:cs="Arial" w:eastAsia="Arial" w:hAnsi="Arial"/>
          <w:sz w:val="17"/>
          <w:szCs w:val="17"/>
          <w:color w:val="auto"/>
        </w:rPr>
      </w:pPr>
      <w:r>
        <w:rPr>
          <w:rFonts w:ascii="Arial" w:cs="Arial" w:eastAsia="Arial" w:hAnsi="Arial"/>
          <w:sz w:val="17"/>
          <w:szCs w:val="17"/>
          <w:u w:val="single" w:color="auto"/>
          <w:color w:val="auto"/>
        </w:rPr>
        <w:t>Venue</w:t>
      </w:r>
      <w:r>
        <w:rPr>
          <w:rFonts w:ascii="Arial" w:cs="Arial" w:eastAsia="Arial" w:hAnsi="Arial"/>
          <w:sz w:val="17"/>
          <w:szCs w:val="17"/>
          <w:color w:val="auto"/>
        </w:rPr>
        <w:t>. The Company, the Participant and the Participant’s assignees agree that any suit, action or proceeding arising out of or related to the Plan or the Agreement shall be brought in the United States District Court for the Southern District of Texas (or should such court lack jurisdiction to hear such action, suit or proceeding, in a Texas state court in Harris County) and that all parties shall submit to the jurisdiction of such court. The parties irrevocably waive, to the fullest extent permitted by law, any objection the party may have to the laying of venue for any such suit, action or proceeding brought in such court. If any one or more provisions of this Section 14 shall for any reason be held invalid or unenforceable, it is the specific intent of the parties that such provisions shall be modified to the minimum extent necessary to make it or its application valid and enforceable.</w:t>
      </w:r>
    </w:p>
    <w:p>
      <w:pPr>
        <w:sectPr>
          <w:pgSz w:w="11900" w:h="16838" w:orient="portrait"/>
          <w:cols w:equalWidth="0" w:num="1">
            <w:col w:w="11420"/>
          </w:cols>
          <w:pgMar w:left="240" w:top="127" w:right="239" w:bottom="74" w:gutter="0" w:footer="0" w:header="0"/>
        </w:sectPr>
      </w:pPr>
    </w:p>
    <w:bookmarkStart w:id="348" w:name="page349"/>
    <w:bookmarkEnd w:id="348"/>
    <w:p>
      <w:pPr>
        <w:ind w:right="140" w:firstLine="634"/>
        <w:spacing w:after="0" w:line="273" w:lineRule="auto"/>
        <w:tabs>
          <w:tab w:leader="none" w:pos="1254" w:val="left"/>
        </w:tabs>
        <w:numPr>
          <w:ilvl w:val="0"/>
          <w:numId w:val="51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by the terms of this Award Agreement shall be given in writing and shall be deemed effective upon personal delivery or upon deposit with the U.S. Postal Service, by registered or certified mail, with postage and fees prepaid. Notice shall be addressed to the Company at its principal executive office and to the Participant at the address that he or she most recently provided to the Company.</w:t>
      </w:r>
    </w:p>
    <w:p>
      <w:pPr>
        <w:spacing w:after="0" w:line="171" w:lineRule="exact"/>
        <w:rPr>
          <w:rFonts w:ascii="Arial" w:cs="Arial" w:eastAsia="Arial" w:hAnsi="Arial"/>
          <w:sz w:val="17"/>
          <w:szCs w:val="17"/>
          <w:color w:val="auto"/>
        </w:rPr>
      </w:pPr>
    </w:p>
    <w:p>
      <w:pPr>
        <w:jc w:val="both"/>
        <w:ind w:right="60" w:firstLine="634"/>
        <w:spacing w:after="0" w:line="273" w:lineRule="auto"/>
        <w:tabs>
          <w:tab w:leader="none" w:pos="1254" w:val="left"/>
        </w:tabs>
        <w:numPr>
          <w:ilvl w:val="0"/>
          <w:numId w:val="510"/>
        </w:numPr>
        <w:rPr>
          <w:rFonts w:ascii="Arial" w:cs="Arial" w:eastAsia="Arial" w:hAnsi="Arial"/>
          <w:sz w:val="17"/>
          <w:szCs w:val="17"/>
          <w:color w:val="auto"/>
        </w:rPr>
      </w:pPr>
      <w:r>
        <w:rPr>
          <w:rFonts w:ascii="Arial" w:cs="Arial" w:eastAsia="Arial" w:hAnsi="Arial"/>
          <w:sz w:val="17"/>
          <w:szCs w:val="17"/>
          <w:u w:val="single" w:color="auto"/>
          <w:color w:val="auto"/>
        </w:rPr>
        <w:t>Spousal Consent</w:t>
      </w:r>
      <w:r>
        <w:rPr>
          <w:rFonts w:ascii="Arial" w:cs="Arial" w:eastAsia="Arial" w:hAnsi="Arial"/>
          <w:sz w:val="17"/>
          <w:szCs w:val="17"/>
          <w:color w:val="auto"/>
        </w:rPr>
        <w:t xml:space="preserve">. To the extent the Participant is married, the Participant agrees to (i) provide the Participant’s spouse with a copy of the Notice and this Award Agreement prior to its execution by Participant and (ii) obtain such spouse’s consent to this Agreement as evidenced by such spouse’s execution of the Spousal Consent attached hereto as </w:t>
      </w:r>
      <w:r>
        <w:rPr>
          <w:rFonts w:ascii="Arial" w:cs="Arial" w:eastAsia="Arial" w:hAnsi="Arial"/>
          <w:sz w:val="17"/>
          <w:szCs w:val="17"/>
          <w:b w:val="1"/>
          <w:bCs w:val="1"/>
          <w:color w:val="auto"/>
        </w:rPr>
        <w:t>Exhibit C</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560" w:firstLine="634"/>
        <w:spacing w:after="0" w:line="322" w:lineRule="auto"/>
        <w:tabs>
          <w:tab w:leader="none" w:pos="1254" w:val="left"/>
        </w:tabs>
        <w:numPr>
          <w:ilvl w:val="0"/>
          <w:numId w:val="510"/>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Award Agreement may be executed in any number of counterparts, any of which may be executed and transmitted by facsimile, and each of which shall be deemed to be an original, but all of which together shall be deemed to be one and the same instrument.</w:t>
      </w:r>
    </w:p>
    <w:p>
      <w:pPr>
        <w:spacing w:after="0" w:line="135" w:lineRule="exact"/>
        <w:rPr>
          <w:rFonts w:ascii="Arial" w:cs="Arial" w:eastAsia="Arial" w:hAnsi="Arial"/>
          <w:sz w:val="16"/>
          <w:szCs w:val="16"/>
          <w:color w:val="auto"/>
        </w:rPr>
      </w:pPr>
    </w:p>
    <w:p>
      <w:pPr>
        <w:ind w:right="60" w:firstLine="634"/>
        <w:spacing w:after="0" w:line="273" w:lineRule="auto"/>
        <w:tabs>
          <w:tab w:leader="none" w:pos="1254" w:val="left"/>
        </w:tabs>
        <w:numPr>
          <w:ilvl w:val="0"/>
          <w:numId w:val="510"/>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Except as otherwise provided in this Award Agreement, the Participant shall not assign any of his or her rights under this Award Agreement without the written consent of the Company, which consent may be withheld in its sole discretion. The Company shall be permitted to assign its rights or obligations under this Award Agreement, but no such assignment shall release the Company of its obligations hereunder.</w:t>
      </w:r>
    </w:p>
    <w:p>
      <w:pPr>
        <w:spacing w:after="0" w:line="171" w:lineRule="exact"/>
        <w:rPr>
          <w:rFonts w:ascii="Arial" w:cs="Arial" w:eastAsia="Arial" w:hAnsi="Arial"/>
          <w:sz w:val="17"/>
          <w:szCs w:val="17"/>
          <w:color w:val="auto"/>
        </w:rPr>
      </w:pPr>
    </w:p>
    <w:p>
      <w:pPr>
        <w:ind w:right="80" w:firstLine="634"/>
        <w:spacing w:after="0" w:line="262" w:lineRule="auto"/>
        <w:tabs>
          <w:tab w:leader="none" w:pos="1254" w:val="left"/>
        </w:tabs>
        <w:numPr>
          <w:ilvl w:val="0"/>
          <w:numId w:val="510"/>
        </w:numPr>
        <w:rPr>
          <w:rFonts w:ascii="Arial" w:cs="Arial" w:eastAsia="Arial" w:hAnsi="Arial"/>
          <w:sz w:val="17"/>
          <w:szCs w:val="17"/>
          <w:color w:val="auto"/>
        </w:rPr>
      </w:pPr>
      <w:r>
        <w:rPr>
          <w:rFonts w:ascii="Arial" w:cs="Arial" w:eastAsia="Arial" w:hAnsi="Arial"/>
          <w:sz w:val="17"/>
          <w:szCs w:val="17"/>
          <w:u w:val="single" w:color="auto"/>
          <w:color w:val="auto"/>
        </w:rPr>
        <w:t>No Guarantee of Service Provider Status</w:t>
      </w:r>
      <w:r>
        <w:rPr>
          <w:rFonts w:ascii="Arial" w:cs="Arial" w:eastAsia="Arial" w:hAnsi="Arial"/>
          <w:sz w:val="17"/>
          <w:szCs w:val="17"/>
          <w:color w:val="auto"/>
        </w:rPr>
        <w:t>. PARTICIPANT ACKNOWLEDGES AND AGREES THAT THE VESTING OF SHARES PURSUANT TO THE VESTING SCHEDULE HEREOF IS EARNED ONLY BY CONTINUING AS A SERVICE PROVIDER AT THE WILL OF THE COMPANY (NOT THROUGH THE ACT OF BEING HIRED OR ACQUIRING SHARES HEREUNDER). PARTICIPANT FURTHER ACKNOWLEDGES AND AGREES THAT THIS AWARD AGREEMENT, THE COVERED SHARES GRANTED HEREUNDER, THE TRANSACTIONS CONTEMPLATED HEREUNDER AND THE VESTING SCHEDULE SET FORTH HEREIN DO NOT CONSTITUTE AN EXPRESS OR IMPLIED PROMISE OF CONTINUED ENGAGEMENT AS A SERVICE PROVIDER FOR THE VESTING PERIOD, FOR ANY PERIOD, OR AT ALL, AND SHALL NOT INTERFERE IN ANY WAY WITH THE PARTICIPANT’S RIGHT OR THE COMPANY’S RIGHT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TERMINATE THE PARTICIPANT’S RELATIONSHIP AS A SERVICE PROVIDER AT ANY TIME, WITH OR WITHOUT CAUSE.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  *  *  *</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2013 EQUITY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ASSIGNMENT SEPARATE FROM CERTIFICATE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[Please sign this document but do not date it. The date and information of the transferee will be completed if and when the shares are assigned.]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60" w:type="dxa"/>
            <w:vAlign w:val="bottom"/>
            <w:gridSpan w:val="2"/>
          </w:tcPr>
          <w:p>
            <w:pPr>
              <w:ind w:left="640"/>
              <w:spacing w:after="0"/>
              <w:rPr>
                <w:sz w:val="20"/>
                <w:szCs w:val="20"/>
                <w:color w:val="auto"/>
              </w:rPr>
            </w:pPr>
            <w:r>
              <w:rPr>
                <w:rFonts w:ascii="Arial" w:cs="Arial" w:eastAsia="Arial" w:hAnsi="Arial"/>
                <w:sz w:val="17"/>
                <w:szCs w:val="17"/>
                <w:color w:val="auto"/>
              </w:rPr>
              <w:t>FOR VALUE RECEIVED,</w:t>
            </w:r>
          </w:p>
        </w:tc>
        <w:tc>
          <w:tcPr>
            <w:tcW w:w="4140" w:type="dxa"/>
            <w:vAlign w:val="bottom"/>
            <w:gridSpan w:val="3"/>
          </w:tcPr>
          <w:p>
            <w:pPr>
              <w:ind w:left="720"/>
              <w:spacing w:after="0"/>
              <w:rPr>
                <w:sz w:val="20"/>
                <w:szCs w:val="20"/>
                <w:color w:val="auto"/>
              </w:rPr>
            </w:pPr>
            <w:r>
              <w:rPr>
                <w:rFonts w:ascii="Arial" w:cs="Arial" w:eastAsia="Arial" w:hAnsi="Arial"/>
                <w:sz w:val="17"/>
                <w:szCs w:val="17"/>
                <w:color w:val="auto"/>
              </w:rPr>
              <w:t>hereby sells, assigns and transfers unto</w:t>
            </w:r>
          </w:p>
        </w:tc>
        <w:tc>
          <w:tcPr>
            <w:tcW w:w="1560" w:type="dxa"/>
            <w:vAlign w:val="bottom"/>
          </w:tcPr>
          <w:p>
            <w:pPr>
              <w:jc w:val="right"/>
              <w:ind w:right="733"/>
              <w:spacing w:after="0"/>
              <w:rPr>
                <w:sz w:val="20"/>
                <w:szCs w:val="20"/>
                <w:color w:val="auto"/>
              </w:rPr>
            </w:pPr>
            <w:r>
              <w:rPr>
                <w:rFonts w:ascii="Arial" w:cs="Arial" w:eastAsia="Arial" w:hAnsi="Arial"/>
                <w:sz w:val="17"/>
                <w:szCs w:val="17"/>
                <w:color w:val="auto"/>
              </w:rPr>
              <w:t>,</w:t>
            </w:r>
          </w:p>
        </w:tc>
        <w:tc>
          <w:tcPr>
            <w:tcW w:w="1860" w:type="dxa"/>
            <w:vAlign w:val="bottom"/>
          </w:tcPr>
          <w:p>
            <w:pPr>
              <w:jc w:val="right"/>
              <w:ind w:right="873"/>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313"/>
              <w:spacing w:after="0"/>
              <w:rPr>
                <w:sz w:val="20"/>
                <w:szCs w:val="20"/>
                <w:color w:val="auto"/>
              </w:rPr>
            </w:pPr>
            <w:r>
              <w:rPr>
                <w:rFonts w:ascii="Arial" w:cs="Arial" w:eastAsia="Arial" w:hAnsi="Arial"/>
                <w:sz w:val="17"/>
                <w:szCs w:val="17"/>
                <w:color w:val="auto"/>
              </w:rPr>
              <w:t>)</w:t>
            </w:r>
          </w:p>
        </w:tc>
      </w:tr>
      <w:tr>
        <w:trPr>
          <w:trHeight w:val="183"/>
        </w:trPr>
        <w:tc>
          <w:tcPr>
            <w:tcW w:w="10820" w:type="dxa"/>
            <w:vAlign w:val="bottom"/>
            <w:gridSpan w:val="7"/>
          </w:tcPr>
          <w:p>
            <w:pPr>
              <w:spacing w:after="0" w:line="183" w:lineRule="exact"/>
              <w:rPr>
                <w:sz w:val="20"/>
                <w:szCs w:val="20"/>
                <w:color w:val="auto"/>
              </w:rPr>
            </w:pPr>
            <w:r>
              <w:rPr>
                <w:rFonts w:ascii="Arial" w:cs="Arial" w:eastAsia="Arial" w:hAnsi="Arial"/>
                <w:sz w:val="17"/>
                <w:szCs w:val="17"/>
                <w:color w:val="auto"/>
                <w:w w:val="94"/>
              </w:rPr>
              <w:t>shares of the Common Stock of Applied Optoelectonics, Inc. (the “Company”), standing in his or her name on the books of the Company represented by</w:t>
            </w:r>
          </w:p>
        </w:tc>
        <w:tc>
          <w:tcPr>
            <w:tcW w:w="580" w:type="dxa"/>
            <w:vAlign w:val="bottom"/>
          </w:tcPr>
          <w:p>
            <w:pPr>
              <w:spacing w:after="0"/>
              <w:rPr>
                <w:sz w:val="15"/>
                <w:szCs w:val="15"/>
                <w:color w:val="auto"/>
              </w:rPr>
            </w:pPr>
          </w:p>
        </w:tc>
      </w:tr>
      <w:tr>
        <w:trPr>
          <w:trHeight w:val="20"/>
        </w:trPr>
        <w:tc>
          <w:tcPr>
            <w:tcW w:w="15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20" w:type="dxa"/>
            <w:vAlign w:val="bottom"/>
            <w:gridSpan w:val="4"/>
          </w:tcPr>
          <w:p>
            <w:pPr>
              <w:spacing w:after="0" w:line="20" w:lineRule="exact"/>
              <w:rPr>
                <w:sz w:val="1"/>
                <w:szCs w:val="1"/>
                <w:color w:val="auto"/>
              </w:rPr>
            </w:pPr>
          </w:p>
        </w:tc>
      </w:tr>
      <w:tr>
        <w:trPr>
          <w:trHeight w:val="229"/>
        </w:trPr>
        <w:tc>
          <w:tcPr>
            <w:tcW w:w="1560" w:type="dxa"/>
            <w:vAlign w:val="bottom"/>
          </w:tcPr>
          <w:p>
            <w:pPr>
              <w:spacing w:after="0"/>
              <w:rPr>
                <w:sz w:val="20"/>
                <w:szCs w:val="20"/>
                <w:color w:val="auto"/>
              </w:rPr>
            </w:pPr>
            <w:r>
              <w:rPr>
                <w:rFonts w:ascii="Arial" w:cs="Arial" w:eastAsia="Arial" w:hAnsi="Arial"/>
                <w:sz w:val="17"/>
                <w:szCs w:val="17"/>
                <w:color w:val="auto"/>
              </w:rPr>
              <w:t>Certificate No.</w:t>
            </w:r>
          </w:p>
        </w:tc>
        <w:tc>
          <w:tcPr>
            <w:tcW w:w="9840" w:type="dxa"/>
            <w:vAlign w:val="bottom"/>
            <w:gridSpan w:val="7"/>
          </w:tcPr>
          <w:p>
            <w:pPr>
              <w:jc w:val="right"/>
              <w:spacing w:after="0"/>
              <w:rPr>
                <w:sz w:val="20"/>
                <w:szCs w:val="20"/>
                <w:color w:val="auto"/>
              </w:rPr>
            </w:pPr>
            <w:r>
              <w:rPr>
                <w:rFonts w:ascii="Arial" w:cs="Arial" w:eastAsia="Arial" w:hAnsi="Arial"/>
                <w:sz w:val="17"/>
                <w:szCs w:val="17"/>
                <w:color w:val="auto"/>
                <w:w w:val="98"/>
              </w:rPr>
              <w:t>herewith, and does hereby irrevocably constitute and appoint the Secretary of the Company with the power of attorney to transfer the</w:t>
            </w:r>
          </w:p>
        </w:tc>
      </w:tr>
    </w:tbl>
    <w:p>
      <w:pPr>
        <w:spacing w:after="0"/>
        <w:rPr>
          <w:sz w:val="20"/>
          <w:szCs w:val="20"/>
          <w:color w:val="auto"/>
        </w:rPr>
      </w:pPr>
      <w:r>
        <w:rPr>
          <w:rFonts w:ascii="Arial" w:cs="Arial" w:eastAsia="Arial" w:hAnsi="Arial"/>
          <w:sz w:val="17"/>
          <w:szCs w:val="17"/>
          <w:color w:val="auto"/>
        </w:rPr>
        <w:t>said stock in the books of the Company with full power of substitution.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17145</wp:posOffset>
            </wp:positionV>
            <wp:extent cx="675957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75957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Signature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283210</wp:posOffset>
            </wp:positionV>
            <wp:extent cx="339661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39661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ELECTION UNDER SECTION 83(b)</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INTERNAL REVENUE CODE OF 1986</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This statement is made under Section 83(b) of the Internal Revenue Code of 1986, as amended, pursuant to Section 1.83-2 of the regulations.</w:t>
      </w:r>
    </w:p>
    <w:p>
      <w:pPr>
        <w:spacing w:after="0" w:line="224" w:lineRule="exact"/>
        <w:rPr>
          <w:sz w:val="20"/>
          <w:szCs w:val="20"/>
          <w:color w:val="auto"/>
        </w:rPr>
      </w:pPr>
    </w:p>
    <w:p>
      <w:pPr>
        <w:ind w:left="1260" w:hanging="626"/>
        <w:spacing w:after="0"/>
        <w:tabs>
          <w:tab w:leader="none" w:pos="1260" w:val="left"/>
        </w:tabs>
        <w:numPr>
          <w:ilvl w:val="0"/>
          <w:numId w:val="511"/>
        </w:numPr>
        <w:rPr>
          <w:rFonts w:ascii="Arial" w:cs="Arial" w:eastAsia="Arial" w:hAnsi="Arial"/>
          <w:sz w:val="17"/>
          <w:szCs w:val="17"/>
          <w:color w:val="auto"/>
        </w:rPr>
      </w:pPr>
      <w:r>
        <w:rPr>
          <w:rFonts w:ascii="Arial" w:cs="Arial" w:eastAsia="Arial" w:hAnsi="Arial"/>
          <w:sz w:val="17"/>
          <w:szCs w:val="17"/>
          <w:color w:val="auto"/>
        </w:rPr>
        <w:t>The taxpayer who performed the services is:</w:t>
      </w:r>
    </w:p>
    <w:p>
      <w:pPr>
        <w:spacing w:after="0" w:line="22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Name:</w:t>
      </w:r>
    </w:p>
    <w:p>
      <w:pPr>
        <w:spacing w:after="0" w:line="22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Address:</w:t>
      </w:r>
    </w:p>
    <w:p>
      <w:pPr>
        <w:spacing w:after="0" w:line="200" w:lineRule="exact"/>
        <w:rPr>
          <w:sz w:val="20"/>
          <w:szCs w:val="20"/>
          <w:color w:val="auto"/>
        </w:rPr>
      </w:pPr>
    </w:p>
    <w:p>
      <w:pPr>
        <w:spacing w:after="0" w:line="23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Social Security No.:</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Taxable Year:</w:t>
      </w:r>
    </w:p>
    <w:p>
      <w:pPr>
        <w:sectPr>
          <w:pgSz w:w="11900" w:h="16838" w:orient="portrait"/>
          <w:cols w:equalWidth="0" w:num="1">
            <w:col w:w="11420"/>
          </w:cols>
          <w:pgMar w:left="240" w:top="127" w:right="239" w:bottom="207" w:gutter="0" w:footer="0" w:header="0"/>
        </w:sectPr>
      </w:pPr>
    </w:p>
    <w:bookmarkStart w:id="349" w:name="page350"/>
    <w:bookmarkEnd w:id="349"/>
    <w:tbl>
      <w:tblPr>
        <w:tblLayout w:type="fixed"/>
        <w:tblInd w:w="0" w:type="dxa"/>
        <w:tblCellMar>
          <w:top w:w="0" w:type="dxa"/>
          <w:left w:w="0" w:type="dxa"/>
          <w:bottom w:w="0" w:type="dxa"/>
          <w:right w:w="0" w:type="dxa"/>
        </w:tblCellMar>
      </w:tblPr>
      <w:tr>
        <w:trPr>
          <w:trHeight w:val="210"/>
        </w:trPr>
        <w:tc>
          <w:tcPr>
            <w:tcW w:w="1100" w:type="dxa"/>
            <w:vAlign w:val="bottom"/>
            <w:gridSpan w:val="3"/>
          </w:tcPr>
          <w:p>
            <w:pPr>
              <w:jc w:val="right"/>
              <w:ind w:right="340"/>
              <w:spacing w:after="0"/>
              <w:rPr>
                <w:sz w:val="20"/>
                <w:szCs w:val="20"/>
                <w:color w:val="auto"/>
              </w:rPr>
            </w:pPr>
            <w:r>
              <w:rPr>
                <w:rFonts w:ascii="Arial" w:cs="Arial" w:eastAsia="Arial" w:hAnsi="Arial"/>
                <w:sz w:val="17"/>
                <w:szCs w:val="17"/>
                <w:color w:val="auto"/>
              </w:rPr>
              <w:t>2.</w:t>
            </w:r>
          </w:p>
        </w:tc>
        <w:tc>
          <w:tcPr>
            <w:tcW w:w="4660" w:type="dxa"/>
            <w:vAlign w:val="bottom"/>
          </w:tcPr>
          <w:p>
            <w:pPr>
              <w:ind w:left="160"/>
              <w:spacing w:after="0"/>
              <w:rPr>
                <w:sz w:val="20"/>
                <w:szCs w:val="20"/>
                <w:color w:val="auto"/>
              </w:rPr>
            </w:pPr>
            <w:r>
              <w:rPr>
                <w:rFonts w:ascii="Arial" w:cs="Arial" w:eastAsia="Arial" w:hAnsi="Arial"/>
                <w:sz w:val="17"/>
                <w:szCs w:val="17"/>
                <w:color w:val="auto"/>
              </w:rPr>
              <w:t>The property with respect to which the election is made is</w:t>
            </w:r>
          </w:p>
        </w:tc>
        <w:tc>
          <w:tcPr>
            <w:tcW w:w="5080" w:type="dxa"/>
            <w:vAlign w:val="bottom"/>
          </w:tcPr>
          <w:p>
            <w:pPr>
              <w:jc w:val="right"/>
              <w:spacing w:after="0"/>
              <w:rPr>
                <w:sz w:val="20"/>
                <w:szCs w:val="20"/>
                <w:color w:val="auto"/>
              </w:rPr>
            </w:pPr>
            <w:r>
              <w:rPr>
                <w:rFonts w:ascii="Arial" w:cs="Arial" w:eastAsia="Arial" w:hAnsi="Arial"/>
                <w:sz w:val="17"/>
                <w:szCs w:val="17"/>
                <w:color w:val="auto"/>
              </w:rPr>
              <w:t>shares of the common stock of Applied Optoelectronics, Inc. (the</w:t>
            </w:r>
          </w:p>
        </w:tc>
      </w:tr>
      <w:tr>
        <w:trPr>
          <w:trHeight w:val="183"/>
        </w:trPr>
        <w:tc>
          <w:tcPr>
            <w:tcW w:w="1100" w:type="dxa"/>
            <w:vAlign w:val="bottom"/>
            <w:gridSpan w:val="3"/>
          </w:tcPr>
          <w:p>
            <w:pPr>
              <w:jc w:val="right"/>
              <w:ind w:right="160"/>
              <w:spacing w:after="0" w:line="183" w:lineRule="exact"/>
              <w:rPr>
                <w:sz w:val="20"/>
                <w:szCs w:val="20"/>
                <w:color w:val="auto"/>
              </w:rPr>
            </w:pPr>
            <w:r>
              <w:rPr>
                <w:rFonts w:ascii="Arial" w:cs="Arial" w:eastAsia="Arial" w:hAnsi="Arial"/>
                <w:sz w:val="17"/>
                <w:szCs w:val="17"/>
                <w:color w:val="auto"/>
                <w:w w:val="97"/>
              </w:rPr>
              <w:t>“Company”).</w:t>
            </w:r>
          </w:p>
        </w:tc>
        <w:tc>
          <w:tcPr>
            <w:tcW w:w="4660" w:type="dxa"/>
            <w:vAlign w:val="bottom"/>
          </w:tcPr>
          <w:p>
            <w:pPr>
              <w:spacing w:after="0"/>
              <w:rPr>
                <w:sz w:val="15"/>
                <w:szCs w:val="15"/>
                <w:color w:val="auto"/>
              </w:rPr>
            </w:pPr>
          </w:p>
        </w:tc>
        <w:tc>
          <w:tcPr>
            <w:tcW w:w="5080" w:type="dxa"/>
            <w:vAlign w:val="bottom"/>
          </w:tcPr>
          <w:p>
            <w:pPr>
              <w:spacing w:after="0"/>
              <w:rPr>
                <w:sz w:val="15"/>
                <w:szCs w:val="15"/>
                <w:color w:val="auto"/>
              </w:rPr>
            </w:pPr>
          </w:p>
        </w:tc>
      </w:tr>
      <w:tr>
        <w:trPr>
          <w:trHeight w:val="20"/>
        </w:trPr>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438"/>
        </w:trPr>
        <w:tc>
          <w:tcPr>
            <w:tcW w:w="8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3.</w:t>
            </w:r>
          </w:p>
        </w:tc>
        <w:tc>
          <w:tcPr>
            <w:tcW w:w="4660" w:type="dxa"/>
            <w:vAlign w:val="bottom"/>
          </w:tcPr>
          <w:p>
            <w:pPr>
              <w:ind w:left="160"/>
              <w:spacing w:after="0"/>
              <w:rPr>
                <w:sz w:val="20"/>
                <w:szCs w:val="20"/>
                <w:color w:val="auto"/>
              </w:rPr>
            </w:pPr>
            <w:r>
              <w:rPr>
                <w:rFonts w:ascii="Arial" w:cs="Arial" w:eastAsia="Arial" w:hAnsi="Arial"/>
                <w:sz w:val="17"/>
                <w:szCs w:val="17"/>
                <w:color w:val="auto"/>
              </w:rPr>
              <w:t>The property was transferred to the undersigned on</w:t>
            </w:r>
          </w:p>
        </w:tc>
        <w:tc>
          <w:tcPr>
            <w:tcW w:w="5080" w:type="dxa"/>
            <w:vAlign w:val="bottom"/>
          </w:tcPr>
          <w:p>
            <w:pPr>
              <w:jc w:val="right"/>
              <w:ind w:right="4513"/>
              <w:spacing w:after="0"/>
              <w:rPr>
                <w:sz w:val="20"/>
                <w:szCs w:val="20"/>
                <w:color w:val="auto"/>
              </w:rPr>
            </w:pPr>
            <w:r>
              <w:rPr>
                <w:rFonts w:ascii="Arial" w:cs="Arial" w:eastAsia="Arial" w:hAnsi="Arial"/>
                <w:sz w:val="17"/>
                <w:szCs w:val="17"/>
                <w:color w:val="auto"/>
              </w:rPr>
              <w:t>.</w:t>
            </w:r>
          </w:p>
        </w:tc>
      </w:tr>
    </w:tbl>
    <w:p>
      <w:pPr>
        <w:spacing w:after="0" w:line="198" w:lineRule="exact"/>
        <w:rPr>
          <w:sz w:val="20"/>
          <w:szCs w:val="20"/>
          <w:color w:val="auto"/>
        </w:rPr>
      </w:pPr>
    </w:p>
    <w:p>
      <w:pPr>
        <w:ind w:right="280" w:firstLine="634"/>
        <w:spacing w:after="0" w:line="273" w:lineRule="auto"/>
        <w:tabs>
          <w:tab w:leader="none" w:pos="1258" w:val="left"/>
        </w:tabs>
        <w:numPr>
          <w:ilvl w:val="0"/>
          <w:numId w:val="512"/>
        </w:numPr>
        <w:rPr>
          <w:rFonts w:ascii="Arial" w:cs="Arial" w:eastAsia="Arial" w:hAnsi="Arial"/>
          <w:sz w:val="17"/>
          <w:szCs w:val="17"/>
          <w:color w:val="auto"/>
        </w:rPr>
      </w:pPr>
      <w:r>
        <w:rPr>
          <w:rFonts w:ascii="Arial" w:cs="Arial" w:eastAsia="Arial" w:hAnsi="Arial"/>
          <w:sz w:val="17"/>
          <w:szCs w:val="17"/>
          <w:color w:val="auto"/>
        </w:rPr>
        <w:t>The property is subject to a forfeiture condition pursuant to which the issuer has the right to acquire the property without compensation to the taxpayer if for any reason taxpayer’s service with the issuer is terminated. The forfeiture condition lapses in a series of installments depending on certain conditions set forth in an Award Agreement.</w:t>
      </w:r>
    </w:p>
    <w:p>
      <w:pPr>
        <w:spacing w:after="0" w:line="1" w:lineRule="exact"/>
        <w:rPr>
          <w:rFonts w:ascii="Arial" w:cs="Arial" w:eastAsia="Arial" w:hAnsi="Arial"/>
          <w:sz w:val="17"/>
          <w:szCs w:val="17"/>
          <w:color w:val="auto"/>
        </w:rPr>
      </w:pPr>
    </w:p>
    <w:p>
      <w:pPr>
        <w:ind w:left="1260" w:hanging="626"/>
        <w:spacing w:after="0"/>
        <w:tabs>
          <w:tab w:leader="none" w:pos="126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The fair market value of such property at the time of transfer (determined without regard to any restriction other than a restriction which by its</w:t>
      </w:r>
    </w:p>
    <w:p>
      <w:pPr>
        <w:spacing w:after="0" w:line="196" w:lineRule="exact"/>
        <w:rPr>
          <w:sz w:val="20"/>
          <w:szCs w:val="20"/>
          <w:color w:val="auto"/>
        </w:rPr>
      </w:pPr>
    </w:p>
    <w:p>
      <w:pPr>
        <w:spacing w:after="0"/>
        <w:tabs>
          <w:tab w:leader="none" w:pos="2440" w:val="left"/>
          <w:tab w:leader="none" w:pos="3820" w:val="left"/>
          <w:tab w:leader="none" w:pos="5140" w:val="left"/>
        </w:tabs>
        <w:rPr>
          <w:sz w:val="20"/>
          <w:szCs w:val="20"/>
          <w:color w:val="auto"/>
        </w:rPr>
      </w:pPr>
      <w:r>
        <w:rPr>
          <w:rFonts w:ascii="Arial" w:cs="Arial" w:eastAsia="Arial" w:hAnsi="Arial"/>
          <w:sz w:val="17"/>
          <w:szCs w:val="17"/>
          <w:color w:val="auto"/>
        </w:rPr>
        <w:t>terms will never lapse) is $</w:t>
      </w:r>
      <w:r>
        <w:rPr>
          <w:sz w:val="20"/>
          <w:szCs w:val="20"/>
          <w:color w:val="auto"/>
        </w:rPr>
        <w:tab/>
      </w:r>
      <w:r>
        <w:rPr>
          <w:rFonts w:ascii="Arial" w:cs="Arial" w:eastAsia="Arial" w:hAnsi="Arial"/>
          <w:sz w:val="17"/>
          <w:szCs w:val="17"/>
          <w:color w:val="auto"/>
        </w:rPr>
        <w:t>per share x</w:t>
      </w:r>
      <w:r>
        <w:rPr>
          <w:sz w:val="20"/>
          <w:szCs w:val="20"/>
          <w:color w:val="auto"/>
        </w:rPr>
        <w:tab/>
      </w:r>
      <w:r>
        <w:rPr>
          <w:rFonts w:ascii="Arial" w:cs="Arial" w:eastAsia="Arial" w:hAnsi="Arial"/>
          <w:sz w:val="17"/>
          <w:szCs w:val="17"/>
          <w:color w:val="auto"/>
        </w:rPr>
        <w:t>shares = $</w:t>
      </w:r>
      <w:r>
        <w:rPr>
          <w:sz w:val="20"/>
          <w:szCs w:val="20"/>
          <w:color w:val="auto"/>
        </w:rPr>
        <w:tab/>
      </w:r>
      <w:r>
        <w:rPr>
          <w:rFonts w:ascii="Arial" w:cs="Arial" w:eastAsia="Arial" w:hAnsi="Arial"/>
          <w:sz w:val="14"/>
          <w:szCs w:val="14"/>
          <w:color w:val="auto"/>
        </w:rPr>
        <w:t>.</w:t>
      </w:r>
    </w:p>
    <w:p>
      <w:pPr>
        <w:sectPr>
          <w:pgSz w:w="11900" w:h="16838" w:orient="portrait"/>
          <w:cols w:equalWidth="0" w:num="1">
            <w:col w:w="11420"/>
          </w:cols>
          <w:pgMar w:left="240" w:top="127" w:right="239" w:bottom="1440" w:gutter="0" w:footer="0" w:header="0"/>
        </w:sectPr>
      </w:pPr>
    </w:p>
    <w:p>
      <w:pPr>
        <w:spacing w:after="0" w:line="22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For the property transferred, the undersigned paid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per share x</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shares =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1" w:lineRule="exact"/>
        <w:rPr>
          <w:sz w:val="20"/>
          <w:szCs w:val="20"/>
          <w:color w:val="auto"/>
        </w:rPr>
      </w:pPr>
    </w:p>
    <w:p>
      <w:pPr>
        <w:sectPr>
          <w:pgSz w:w="11900" w:h="16838" w:orient="portrait"/>
          <w:cols w:equalWidth="0" w:num="5">
            <w:col w:w="760" w:space="500"/>
            <w:col w:w="3620" w:space="560"/>
            <w:col w:w="760" w:space="620"/>
            <w:col w:w="700" w:space="540"/>
            <w:col w:w="3360"/>
          </w:cols>
          <w:pgMar w:left="240" w:top="127" w:right="239" w:bottom="1440" w:gutter="0" w:footer="0" w:header="0"/>
          <w:type w:val="continuous"/>
        </w:sectPr>
      </w:pPr>
    </w:p>
    <w:p>
      <w:pPr>
        <w:spacing w:after="0" w:line="41" w:lineRule="exact"/>
        <w:rPr>
          <w:sz w:val="20"/>
          <w:szCs w:val="20"/>
          <w:color w:val="auto"/>
        </w:rPr>
      </w:pPr>
    </w:p>
    <w:p>
      <w:pPr>
        <w:ind w:left="1260" w:hanging="626"/>
        <w:spacing w:after="0"/>
        <w:tabs>
          <w:tab w:leader="none" w:pos="126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The amount to include in gross income is $</w:t>
      </w:r>
      <w:r>
        <w:rPr>
          <w:rFonts w:ascii="Arial" w:cs="Arial" w:eastAsia="Arial" w:hAnsi="Arial"/>
          <w:sz w:val="16"/>
          <w:szCs w:val="16"/>
          <w:b w:val="1"/>
          <w:bCs w:val="1"/>
          <w:color w:val="auto"/>
        </w:rPr>
        <w:t>[The result of the amount reported in Item 5 minus the amount reported in Item 6.]</w:t>
      </w:r>
    </w:p>
    <w:p>
      <w:pPr>
        <w:spacing w:after="0" w:line="230" w:lineRule="exact"/>
        <w:rPr>
          <w:rFonts w:ascii="Arial" w:cs="Arial" w:eastAsia="Arial" w:hAnsi="Arial"/>
          <w:sz w:val="17"/>
          <w:szCs w:val="17"/>
          <w:color w:val="auto"/>
        </w:rPr>
      </w:pPr>
    </w:p>
    <w:p>
      <w:pPr>
        <w:ind w:left="1260" w:hanging="626"/>
        <w:spacing w:after="0"/>
        <w:tabs>
          <w:tab w:leader="none" w:pos="1260" w:val="left"/>
        </w:tabs>
        <w:numPr>
          <w:ilvl w:val="0"/>
          <w:numId w:val="513"/>
        </w:numPr>
        <w:rPr>
          <w:rFonts w:ascii="Arial" w:cs="Arial" w:eastAsia="Arial" w:hAnsi="Arial"/>
          <w:sz w:val="16"/>
          <w:szCs w:val="16"/>
          <w:color w:val="auto"/>
        </w:rPr>
      </w:pPr>
      <w:r>
        <w:rPr>
          <w:rFonts w:ascii="Arial" w:cs="Arial" w:eastAsia="Arial" w:hAnsi="Arial"/>
          <w:sz w:val="16"/>
          <w:szCs w:val="16"/>
          <w:color w:val="auto"/>
        </w:rPr>
        <w:t>A copy of this statement was furnished to the Company for whom taxpayer rendered the services underlying the transfer of such property.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gridSpan w:val="2"/>
          </w:tcPr>
          <w:p>
            <w:pPr>
              <w:jc w:val="right"/>
              <w:ind w:right="173"/>
              <w:spacing w:after="0"/>
              <w:rPr>
                <w:sz w:val="20"/>
                <w:szCs w:val="20"/>
                <w:color w:val="auto"/>
              </w:rPr>
            </w:pPr>
            <w:r>
              <w:rPr>
                <w:rFonts w:ascii="Arial" w:cs="Arial" w:eastAsia="Arial" w:hAnsi="Arial"/>
                <w:sz w:val="17"/>
                <w:szCs w:val="17"/>
                <w:color w:val="auto"/>
              </w:rPr>
              <w:t>9.</w:t>
            </w:r>
          </w:p>
        </w:tc>
        <w:tc>
          <w:tcPr>
            <w:tcW w:w="2820" w:type="dxa"/>
            <w:vAlign w:val="bottom"/>
          </w:tcPr>
          <w:p>
            <w:pPr>
              <w:ind w:left="240"/>
              <w:spacing w:after="0"/>
              <w:rPr>
                <w:sz w:val="20"/>
                <w:szCs w:val="20"/>
                <w:color w:val="auto"/>
              </w:rPr>
            </w:pPr>
            <w:r>
              <w:rPr>
                <w:rFonts w:ascii="Arial" w:cs="Arial" w:eastAsia="Arial" w:hAnsi="Arial"/>
                <w:sz w:val="17"/>
                <w:szCs w:val="17"/>
                <w:color w:val="auto"/>
              </w:rPr>
              <w:t>This statement is executed on</w:t>
            </w:r>
          </w:p>
        </w:tc>
        <w:tc>
          <w:tcPr>
            <w:tcW w:w="74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673"/>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420"/>
        </w:trPr>
        <w:tc>
          <w:tcPr>
            <w:tcW w:w="20" w:type="dxa"/>
            <w:vAlign w:val="bottom"/>
          </w:tcPr>
          <w:p>
            <w:pPr>
              <w:spacing w:after="0"/>
              <w:rPr>
                <w:sz w:val="24"/>
                <w:szCs w:val="24"/>
                <w:color w:val="auto"/>
              </w:rPr>
            </w:pPr>
          </w:p>
        </w:tc>
        <w:tc>
          <w:tcPr>
            <w:tcW w:w="382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40" w:type="dxa"/>
            <w:vAlign w:val="bottom"/>
            <w:gridSpan w:val="2"/>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382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Signature of Spouse (if any)</w:t>
            </w:r>
          </w:p>
        </w:tc>
        <w:tc>
          <w:tcPr>
            <w:tcW w:w="7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Signature of Taxpayer</w:t>
            </w:r>
          </w:p>
        </w:tc>
      </w:tr>
    </w:tbl>
    <w:p>
      <w:pPr>
        <w:spacing w:after="0" w:line="18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This election must be filed within 30 days after the date of transfer with the Internal Revenue Service Center with which Holder files his or her federal income tax returns. This filing should be made by registered or certified mail, return receipt requested. Holder must retain two copies of the completed form for filing with his or her federal and state tax returns for the current tax year and an additional copy for his or her records, and deliver another additional copy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169545</wp:posOffset>
            </wp:positionV>
            <wp:extent cx="7271385" cy="2921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2013 EQUITY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STOCK AWARD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SPOUSAL CONSENT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 the undersigned, hereby certify that:</w:t>
      </w:r>
    </w:p>
    <w:p>
      <w:pPr>
        <w:spacing w:after="0" w:line="224" w:lineRule="exact"/>
        <w:rPr>
          <w:sz w:val="20"/>
          <w:szCs w:val="20"/>
          <w:color w:val="auto"/>
        </w:rPr>
      </w:pPr>
    </w:p>
    <w:p>
      <w:pPr>
        <w:spacing w:after="0"/>
        <w:tabs>
          <w:tab w:leader="none" w:pos="620" w:val="left"/>
          <w:tab w:leader="none" w:pos="614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I am the spouse of</w:t>
      </w:r>
      <w:r>
        <w:rPr>
          <w:sz w:val="20"/>
          <w:szCs w:val="20"/>
          <w:color w:val="auto"/>
        </w:rPr>
        <w:tab/>
      </w:r>
      <w:r>
        <w:rPr>
          <w:rFonts w:ascii="Arial" w:cs="Arial" w:eastAsia="Arial" w:hAnsi="Arial"/>
          <w:sz w:val="14"/>
          <w:szCs w:val="14"/>
          <w:color w:val="auto"/>
        </w:rPr>
        <w:t>.</w:t>
      </w:r>
    </w:p>
    <w:p>
      <w:pPr>
        <w:spacing w:after="0" w:line="224" w:lineRule="exact"/>
        <w:rPr>
          <w:sz w:val="20"/>
          <w:szCs w:val="20"/>
          <w:color w:val="auto"/>
        </w:rPr>
      </w:pPr>
    </w:p>
    <w:p>
      <w:pPr>
        <w:ind w:left="640" w:hanging="635"/>
        <w:spacing w:after="0"/>
        <w:tabs>
          <w:tab w:leader="none" w:pos="64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Each of the undersigned and the undersigned’s spouse is a resident of</w:t>
      </w:r>
    </w:p>
    <w:p>
      <w:pPr>
        <w:spacing w:after="0" w:line="26"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w:t>
      </w:r>
    </w:p>
    <w:p>
      <w:pPr>
        <w:spacing w:after="0" w:line="212" w:lineRule="exact"/>
        <w:rPr>
          <w:sz w:val="20"/>
          <w:szCs w:val="20"/>
          <w:color w:val="auto"/>
        </w:rPr>
      </w:pPr>
    </w:p>
    <w:p>
      <w:pPr>
        <w:ind w:right="280" w:firstLine="5"/>
        <w:spacing w:after="0" w:line="273" w:lineRule="auto"/>
        <w:tabs>
          <w:tab w:leader="none" w:pos="629" w:val="left"/>
        </w:tabs>
        <w:numPr>
          <w:ilvl w:val="0"/>
          <w:numId w:val="515"/>
        </w:numPr>
        <w:rPr>
          <w:rFonts w:ascii="Arial" w:cs="Arial" w:eastAsia="Arial" w:hAnsi="Arial"/>
          <w:sz w:val="17"/>
          <w:szCs w:val="17"/>
          <w:color w:val="auto"/>
        </w:rPr>
      </w:pPr>
      <w:r>
        <w:rPr>
          <w:rFonts w:ascii="Arial" w:cs="Arial" w:eastAsia="Arial" w:hAnsi="Arial"/>
          <w:sz w:val="17"/>
          <w:szCs w:val="17"/>
          <w:color w:val="auto"/>
        </w:rPr>
        <w:t>I have read the Applied Optoelectronics, Inc. 2013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and the Restricted Stock Award Agreement (the “</w:t>
      </w:r>
      <w:r>
        <w:rPr>
          <w:rFonts w:ascii="Arial" w:cs="Arial" w:eastAsia="Arial" w:hAnsi="Arial"/>
          <w:sz w:val="17"/>
          <w:szCs w:val="17"/>
          <w:u w:val="single" w:color="auto"/>
          <w:color w:val="auto"/>
        </w:rPr>
        <w:t>Award</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by and between Applied Optoelectronics, Inc. (the “</w:t>
      </w:r>
      <w:r>
        <w:rPr>
          <w:rFonts w:ascii="Arial" w:cs="Arial" w:eastAsia="Arial" w:hAnsi="Arial"/>
          <w:sz w:val="17"/>
          <w:szCs w:val="17"/>
          <w:u w:val="single" w:color="auto"/>
          <w:color w:val="auto"/>
        </w:rPr>
        <w:t>Company</w:t>
      </w:r>
      <w:r>
        <w:rPr>
          <w:rFonts w:ascii="Arial" w:cs="Arial" w:eastAsia="Arial" w:hAnsi="Arial"/>
          <w:sz w:val="17"/>
          <w:szCs w:val="17"/>
          <w:color w:val="auto"/>
        </w:rPr>
        <w:t>”), and my spouse. I have had the opportunity to consult independent legal counsel regarding the contents of the Award Agreement and the Plan.</w:t>
      </w:r>
    </w:p>
    <w:p>
      <w:pPr>
        <w:spacing w:after="0" w:line="171" w:lineRule="exact"/>
        <w:rPr>
          <w:rFonts w:ascii="Arial" w:cs="Arial" w:eastAsia="Arial" w:hAnsi="Arial"/>
          <w:sz w:val="17"/>
          <w:szCs w:val="17"/>
          <w:color w:val="auto"/>
        </w:rPr>
      </w:pPr>
    </w:p>
    <w:p>
      <w:pPr>
        <w:ind w:left="640" w:hanging="635"/>
        <w:spacing w:after="0"/>
        <w:tabs>
          <w:tab w:leader="none" w:pos="64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I understand the terms and conditions of the Award Agreement and the Plan.</w:t>
      </w:r>
    </w:p>
    <w:p>
      <w:pPr>
        <w:spacing w:after="0" w:line="224" w:lineRule="exact"/>
        <w:rPr>
          <w:rFonts w:ascii="Arial" w:cs="Arial" w:eastAsia="Arial" w:hAnsi="Arial"/>
          <w:sz w:val="17"/>
          <w:szCs w:val="17"/>
          <w:color w:val="auto"/>
        </w:rPr>
      </w:pPr>
    </w:p>
    <w:p>
      <w:pPr>
        <w:ind w:right="20" w:firstLine="5"/>
        <w:spacing w:after="0" w:line="273" w:lineRule="auto"/>
        <w:tabs>
          <w:tab w:leader="none" w:pos="629" w:val="left"/>
        </w:tabs>
        <w:numPr>
          <w:ilvl w:val="0"/>
          <w:numId w:val="515"/>
        </w:numPr>
        <w:rPr>
          <w:rFonts w:ascii="Arial" w:cs="Arial" w:eastAsia="Arial" w:hAnsi="Arial"/>
          <w:sz w:val="17"/>
          <w:szCs w:val="17"/>
          <w:color w:val="auto"/>
        </w:rPr>
      </w:pPr>
      <w:r>
        <w:rPr>
          <w:rFonts w:ascii="Arial" w:cs="Arial" w:eastAsia="Arial" w:hAnsi="Arial"/>
          <w:sz w:val="17"/>
          <w:szCs w:val="17"/>
          <w:color w:val="auto"/>
        </w:rPr>
        <w:t>I hereby consent to the terms of the Award Agreement and the Plan and to their application to and binding effect upon any community property or other interest I may have in the Shares (it being understood that this Spousal Consent shall in no way be construed to create any such interest). I agree that I will take no action at any time to hinder the operation of the transactions contemplated in and by the Award Agreement and the Plan.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00" w:type="dxa"/>
            <w:vAlign w:val="bottom"/>
          </w:tcPr>
          <w:p>
            <w:pPr>
              <w:spacing w:after="0"/>
              <w:rPr>
                <w:sz w:val="20"/>
                <w:szCs w:val="20"/>
                <w:color w:val="auto"/>
              </w:rPr>
            </w:pPr>
            <w:r>
              <w:rPr>
                <w:rFonts w:ascii="Arial" w:cs="Arial" w:eastAsia="Arial" w:hAnsi="Arial"/>
                <w:sz w:val="17"/>
                <w:szCs w:val="17"/>
                <w:color w:val="auto"/>
              </w:rPr>
              <w:t>IN WITNESS WHEREOF, this Spousal Consent has been executed as of</w:t>
            </w:r>
          </w:p>
        </w:tc>
        <w:tc>
          <w:tcPr>
            <w:tcW w:w="1080" w:type="dxa"/>
            <w:vAlign w:val="bottom"/>
          </w:tcPr>
          <w:p>
            <w:pPr>
              <w:jc w:val="right"/>
              <w:spacing w:after="0"/>
              <w:rPr>
                <w:sz w:val="20"/>
                <w:szCs w:val="20"/>
                <w:color w:val="auto"/>
              </w:rPr>
            </w:pPr>
            <w:r>
              <w:rPr>
                <w:rFonts w:ascii="Arial" w:cs="Arial" w:eastAsia="Arial" w:hAnsi="Arial"/>
                <w:sz w:val="17"/>
                <w:szCs w:val="17"/>
                <w:color w:val="auto"/>
              </w:rPr>
              <w:t>, 2013.</w:t>
            </w:r>
          </w:p>
        </w:tc>
      </w:tr>
    </w:tbl>
    <w:p>
      <w:pPr>
        <w:spacing w:after="0" w:line="200" w:lineRule="exact"/>
        <w:rPr>
          <w:sz w:val="20"/>
          <w:szCs w:val="20"/>
          <w:color w:val="auto"/>
        </w:rPr>
      </w:pP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SPOUSE:</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4281805</wp:posOffset>
            </wp:positionH>
            <wp:positionV relativeFrom="paragraph">
              <wp:posOffset>17145</wp:posOffset>
            </wp:positionV>
            <wp:extent cx="297180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17145</wp:posOffset>
            </wp:positionV>
            <wp:extent cx="29133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91338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222885</wp:posOffset>
            </wp:positionV>
            <wp:extent cx="7271385" cy="2921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350" w:name="page351"/>
    <w:bookmarkEnd w:id="350"/>
    <w:p>
      <w:pPr>
        <w:spacing w:after="0" w:line="1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10.6.2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2013 EQUITY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RESTRICTED STOCK UNIT AWARD</w:t>
      </w:r>
    </w:p>
    <w:p>
      <w:pPr>
        <w:spacing w:after="0" w:line="23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Subject to the terms and conditions of this Notice of Restricted Stock Unit Award (this “</w:t>
      </w:r>
      <w:r>
        <w:rPr>
          <w:rFonts w:ascii="Arial" w:cs="Arial" w:eastAsia="Arial" w:hAnsi="Arial"/>
          <w:sz w:val="17"/>
          <w:szCs w:val="17"/>
          <w:u w:val="single" w:color="auto"/>
          <w:color w:val="auto"/>
        </w:rPr>
        <w:t>Notice</w:t>
      </w:r>
      <w:r>
        <w:rPr>
          <w:rFonts w:ascii="Arial" w:cs="Arial" w:eastAsia="Arial" w:hAnsi="Arial"/>
          <w:sz w:val="17"/>
          <w:szCs w:val="17"/>
          <w:color w:val="auto"/>
        </w:rPr>
        <w:t>”), the Restricted Stock Unit Award Agreement attached hereto (the “</w:t>
      </w:r>
      <w:r>
        <w:rPr>
          <w:rFonts w:ascii="Arial" w:cs="Arial" w:eastAsia="Arial" w:hAnsi="Arial"/>
          <w:sz w:val="17"/>
          <w:szCs w:val="17"/>
          <w:u w:val="single" w:color="auto"/>
          <w:color w:val="auto"/>
        </w:rPr>
        <w:t>Award Agreement</w:t>
      </w:r>
      <w:r>
        <w:rPr>
          <w:rFonts w:ascii="Arial" w:cs="Arial" w:eastAsia="Arial" w:hAnsi="Arial"/>
          <w:sz w:val="17"/>
          <w:szCs w:val="17"/>
          <w:color w:val="auto"/>
        </w:rPr>
        <w:t>”), and the Applied Optoelectronics, Inc. 2013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the below individual (the “</w:t>
      </w:r>
      <w:r>
        <w:rPr>
          <w:rFonts w:ascii="Arial" w:cs="Arial" w:eastAsia="Arial" w:hAnsi="Arial"/>
          <w:sz w:val="17"/>
          <w:szCs w:val="17"/>
          <w:u w:val="single" w:color="auto"/>
          <w:color w:val="auto"/>
        </w:rPr>
        <w:t>Participant</w:t>
      </w:r>
      <w:r>
        <w:rPr>
          <w:rFonts w:ascii="Arial" w:cs="Arial" w:eastAsia="Arial" w:hAnsi="Arial"/>
          <w:sz w:val="17"/>
          <w:szCs w:val="17"/>
          <w:color w:val="auto"/>
        </w:rPr>
        <w:t>”) is hereby granted the below number of Restricted Stock Units (the “</w:t>
      </w:r>
      <w:r>
        <w:rPr>
          <w:rFonts w:ascii="Arial" w:cs="Arial" w:eastAsia="Arial" w:hAnsi="Arial"/>
          <w:sz w:val="17"/>
          <w:szCs w:val="17"/>
          <w:u w:val="single" w:color="auto"/>
          <w:color w:val="auto"/>
        </w:rPr>
        <w:t>RSUs</w:t>
      </w:r>
      <w:r>
        <w:rPr>
          <w:rFonts w:ascii="Arial" w:cs="Arial" w:eastAsia="Arial" w:hAnsi="Arial"/>
          <w:sz w:val="17"/>
          <w:szCs w:val="17"/>
          <w:color w:val="auto"/>
        </w:rPr>
        <w:t>”) in Applied Optoelectronics, Inc. (the “</w:t>
      </w:r>
      <w:r>
        <w:rPr>
          <w:rFonts w:ascii="Arial" w:cs="Arial" w:eastAsia="Arial" w:hAnsi="Arial"/>
          <w:sz w:val="17"/>
          <w:szCs w:val="17"/>
          <w:u w:val="single" w:color="auto"/>
          <w:color w:val="auto"/>
        </w:rPr>
        <w:t>Company</w:t>
      </w:r>
      <w:r>
        <w:rPr>
          <w:rFonts w:ascii="Arial" w:cs="Arial" w:eastAsia="Arial" w:hAnsi="Arial"/>
          <w:sz w:val="17"/>
          <w:szCs w:val="17"/>
          <w:color w:val="auto"/>
        </w:rPr>
        <w:t>”). Unless otherwise specifically indicated, all terms used in this Notice shall have the meaning as set forth in the Award Agreement or the Plan.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Identifying Information:</w:t>
      </w:r>
    </w:p>
    <w:p>
      <w:pPr>
        <w:sectPr>
          <w:pgSz w:w="11900" w:h="16856" w:orient="portrait"/>
          <w:cols w:equalWidth="0" w:num="1">
            <w:col w:w="11420"/>
          </w:cols>
          <w:pgMar w:left="240" w:top="357" w:right="239" w:bottom="0" w:gutter="0" w:footer="0" w:header="0"/>
        </w:sectPr>
      </w:pPr>
    </w:p>
    <w:p>
      <w:pPr>
        <w:spacing w:after="0" w:line="230" w:lineRule="exact"/>
        <w:rPr>
          <w:sz w:val="20"/>
          <w:szCs w:val="20"/>
          <w:color w:val="auto"/>
        </w:rPr>
      </w:pPr>
    </w:p>
    <w:p>
      <w:pPr>
        <w:jc w:val="right"/>
        <w:ind w:right="4500"/>
        <w:spacing w:after="0"/>
        <w:rPr>
          <w:sz w:val="20"/>
          <w:szCs w:val="20"/>
          <w:color w:val="auto"/>
        </w:rPr>
      </w:pPr>
      <w:r>
        <w:rPr>
          <w:rFonts w:ascii="Arial" w:cs="Arial" w:eastAsia="Arial" w:hAnsi="Arial"/>
          <w:sz w:val="15"/>
          <w:szCs w:val="15"/>
          <w:color w:val="auto"/>
        </w:rPr>
        <w:t>Participant Name</w:t>
      </w:r>
    </w:p>
    <w:p>
      <w:pPr>
        <w:spacing w:after="0" w:line="49" w:lineRule="exact"/>
        <w:rPr>
          <w:sz w:val="20"/>
          <w:szCs w:val="20"/>
          <w:color w:val="auto"/>
        </w:rPr>
      </w:pPr>
    </w:p>
    <w:p>
      <w:pPr>
        <w:jc w:val="right"/>
        <w:ind w:right="4500"/>
        <w:spacing w:after="0"/>
        <w:rPr>
          <w:sz w:val="20"/>
          <w:szCs w:val="20"/>
          <w:color w:val="auto"/>
        </w:rPr>
      </w:pPr>
      <w:r>
        <w:rPr>
          <w:rFonts w:ascii="Arial" w:cs="Arial" w:eastAsia="Arial" w:hAnsi="Arial"/>
          <w:sz w:val="17"/>
          <w:szCs w:val="17"/>
          <w:color w:val="auto"/>
        </w:rPr>
        <w:t>and Address: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right"/>
        <w:ind w:right="2280"/>
        <w:spacing w:after="0"/>
        <w:rPr>
          <w:sz w:val="20"/>
          <w:szCs w:val="20"/>
          <w:color w:val="auto"/>
        </w:rPr>
      </w:pPr>
      <w:r>
        <w:rPr>
          <w:rFonts w:ascii="Arial" w:cs="Arial" w:eastAsia="Arial" w:hAnsi="Arial"/>
          <w:sz w:val="17"/>
          <w:szCs w:val="17"/>
          <w:color w:val="auto"/>
        </w:rPr>
        <w:t>Date of Grant:</w:t>
      </w:r>
    </w:p>
    <w:p>
      <w:pPr>
        <w:spacing w:after="0" w:line="26" w:lineRule="exact"/>
        <w:rPr>
          <w:sz w:val="20"/>
          <w:szCs w:val="20"/>
          <w:color w:val="auto"/>
        </w:rPr>
      </w:pPr>
    </w:p>
    <w:p>
      <w:pPr>
        <w:jc w:val="right"/>
        <w:ind w:right="2280"/>
        <w:spacing w:after="0"/>
        <w:rPr>
          <w:sz w:val="20"/>
          <w:szCs w:val="20"/>
          <w:color w:val="auto"/>
        </w:rPr>
      </w:pPr>
      <w:r>
        <w:rPr>
          <w:rFonts w:ascii="Arial" w:cs="Arial" w:eastAsia="Arial" w:hAnsi="Arial"/>
          <w:sz w:val="17"/>
          <w:szCs w:val="17"/>
          <w:color w:val="auto"/>
        </w:rPr>
        <w:t>Number of RSUs:</w:t>
      </w:r>
    </w:p>
    <w:p>
      <w:pPr>
        <w:spacing w:after="0" w:line="14" w:lineRule="exact"/>
        <w:rPr>
          <w:sz w:val="20"/>
          <w:szCs w:val="20"/>
          <w:color w:val="auto"/>
        </w:rPr>
      </w:pPr>
    </w:p>
    <w:p>
      <w:pPr>
        <w:jc w:val="right"/>
        <w:ind w:right="2280"/>
        <w:spacing w:after="0"/>
        <w:rPr>
          <w:sz w:val="20"/>
          <w:szCs w:val="20"/>
          <w:color w:val="auto"/>
        </w:rPr>
      </w:pPr>
      <w:r>
        <w:rPr>
          <w:rFonts w:ascii="Arial" w:cs="Arial" w:eastAsia="Arial" w:hAnsi="Arial"/>
          <w:sz w:val="15"/>
          <w:szCs w:val="15"/>
          <w:color w:val="auto"/>
        </w:rPr>
        <w:t>Vesting Commencement Date:</w:t>
      </w:r>
    </w:p>
    <w:p>
      <w:pPr>
        <w:spacing w:after="0" w:line="200" w:lineRule="exact"/>
        <w:rPr>
          <w:sz w:val="20"/>
          <w:szCs w:val="20"/>
          <w:color w:val="auto"/>
        </w:rPr>
      </w:pPr>
    </w:p>
    <w:p>
      <w:pPr>
        <w:sectPr>
          <w:pgSz w:w="11900" w:h="16856" w:orient="portrait"/>
          <w:cols w:equalWidth="0" w:num="2">
            <w:col w:w="6300" w:space="720"/>
            <w:col w:w="4400"/>
          </w:cols>
          <w:pgMar w:left="240" w:top="357" w:right="239" w:bottom="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ectPr>
          <w:pgSz w:w="11900" w:h="16856" w:orient="portrait"/>
          <w:cols w:equalWidth="0" w:num="1">
            <w:col w:w="11420"/>
          </w:cols>
          <w:pgMar w:left="240" w:top="357" w:right="239" w:bottom="0" w:gutter="0" w:footer="0" w:header="0"/>
          <w:type w:val="continuous"/>
        </w:sect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560" w:type="dxa"/>
            <w:vAlign w:val="bottom"/>
            <w:gridSpan w:val="8"/>
          </w:tcPr>
          <w:p>
            <w:pPr>
              <w:spacing w:after="0"/>
              <w:rPr>
                <w:sz w:val="20"/>
                <w:szCs w:val="20"/>
                <w:color w:val="auto"/>
              </w:rPr>
            </w:pPr>
            <w:r>
              <w:rPr>
                <w:rFonts w:ascii="Arial" w:cs="Arial" w:eastAsia="Arial" w:hAnsi="Arial"/>
                <w:sz w:val="17"/>
                <w:szCs w:val="17"/>
                <w:color w:val="auto"/>
                <w:w w:val="93"/>
              </w:rPr>
              <w:t>Subject to the Participant’s continuous status as a Service Provider, and the terms of the Plan and this Award Agreement, the RSUs shall vest over a [</w:t>
            </w:r>
          </w:p>
        </w:tc>
        <w:tc>
          <w:tcPr>
            <w:tcW w:w="540" w:type="dxa"/>
            <w:vAlign w:val="bottom"/>
          </w:tcPr>
          <w:p>
            <w:pPr>
              <w:ind w:left="120"/>
              <w:spacing w:after="0"/>
              <w:rPr>
                <w:sz w:val="20"/>
                <w:szCs w:val="20"/>
                <w:color w:val="auto"/>
              </w:rPr>
            </w:pPr>
            <w:r>
              <w:rPr>
                <w:rFonts w:ascii="Arial" w:cs="Arial" w:eastAsia="Arial" w:hAnsi="Arial"/>
                <w:sz w:val="17"/>
                <w:szCs w:val="17"/>
                <w:color w:val="auto"/>
                <w:w w:val="91"/>
              </w:rPr>
              <w:t>]-year</w:t>
            </w:r>
          </w:p>
        </w:tc>
      </w:tr>
      <w:tr>
        <w:trPr>
          <w:trHeight w:val="183"/>
        </w:trPr>
        <w:tc>
          <w:tcPr>
            <w:tcW w:w="6300" w:type="dxa"/>
            <w:vAlign w:val="bottom"/>
            <w:gridSpan w:val="6"/>
          </w:tcPr>
          <w:p>
            <w:pPr>
              <w:spacing w:after="0" w:line="183" w:lineRule="exact"/>
              <w:rPr>
                <w:sz w:val="20"/>
                <w:szCs w:val="20"/>
                <w:color w:val="auto"/>
              </w:rPr>
            </w:pPr>
            <w:r>
              <w:rPr>
                <w:rFonts w:ascii="Arial" w:cs="Arial" w:eastAsia="Arial" w:hAnsi="Arial"/>
                <w:sz w:val="17"/>
                <w:szCs w:val="17"/>
                <w:color w:val="auto"/>
              </w:rPr>
              <w:t>period in accordance with the following vesting schedule (the “Vesting Schedule”):</w:t>
            </w:r>
          </w:p>
        </w:tc>
        <w:tc>
          <w:tcPr>
            <w:tcW w:w="3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373"/>
        </w:trPr>
        <w:tc>
          <w:tcPr>
            <w:tcW w:w="1260" w:type="dxa"/>
            <w:vAlign w:val="bottom"/>
          </w:tcPr>
          <w:p>
            <w:pPr>
              <w:spacing w:after="0"/>
              <w:rPr>
                <w:sz w:val="24"/>
                <w:szCs w:val="24"/>
                <w:color w:val="auto"/>
              </w:rPr>
            </w:pPr>
          </w:p>
        </w:tc>
        <w:tc>
          <w:tcPr>
            <w:tcW w:w="3180" w:type="dxa"/>
            <w:vAlign w:val="bottom"/>
          </w:tcPr>
          <w:p>
            <w:pPr>
              <w:ind w:left="1580"/>
              <w:spacing w:after="0"/>
              <w:rPr>
                <w:sz w:val="20"/>
                <w:szCs w:val="20"/>
                <w:color w:val="auto"/>
              </w:rPr>
            </w:pPr>
            <w:r>
              <w:rPr>
                <w:rFonts w:ascii="Arial" w:cs="Arial" w:eastAsia="Arial" w:hAnsi="Arial"/>
                <w:sz w:val="14"/>
                <w:szCs w:val="14"/>
                <w:b w:val="1"/>
                <w:bCs w:val="1"/>
                <w:color w:val="auto"/>
              </w:rPr>
              <w:t>Vesting Date</w:t>
            </w:r>
          </w:p>
        </w:tc>
        <w:tc>
          <w:tcPr>
            <w:tcW w:w="1200" w:type="dxa"/>
            <w:vAlign w:val="bottom"/>
            <w:tcBorders>
              <w:top w:val="single" w:sz="8" w:color="auto"/>
            </w:tcBorders>
            <w:gridSpan w:val="3"/>
          </w:tcPr>
          <w:p>
            <w:pPr>
              <w:spacing w:after="0"/>
              <w:rPr>
                <w:sz w:val="24"/>
                <w:szCs w:val="24"/>
                <w:color w:val="auto"/>
              </w:rPr>
            </w:pPr>
          </w:p>
        </w:tc>
        <w:tc>
          <w:tcPr>
            <w:tcW w:w="660" w:type="dxa"/>
            <w:vAlign w:val="bottom"/>
          </w:tcPr>
          <w:p>
            <w:pPr>
              <w:spacing w:after="0"/>
              <w:rPr>
                <w:sz w:val="24"/>
                <w:szCs w:val="24"/>
                <w:color w:val="auto"/>
              </w:rPr>
            </w:pPr>
          </w:p>
        </w:tc>
        <w:tc>
          <w:tcPr>
            <w:tcW w:w="4260" w:type="dxa"/>
            <w:vAlign w:val="bottom"/>
            <w:gridSpan w:val="2"/>
          </w:tcPr>
          <w:p>
            <w:pPr>
              <w:ind w:left="460"/>
              <w:spacing w:after="0"/>
              <w:rPr>
                <w:sz w:val="20"/>
                <w:szCs w:val="20"/>
                <w:color w:val="auto"/>
              </w:rPr>
            </w:pPr>
            <w:r>
              <w:rPr>
                <w:rFonts w:ascii="Arial" w:cs="Arial" w:eastAsia="Arial" w:hAnsi="Arial"/>
                <w:sz w:val="14"/>
                <w:szCs w:val="14"/>
                <w:b w:val="1"/>
                <w:bCs w:val="1"/>
                <w:color w:val="auto"/>
              </w:rPr>
              <w:t>Nonforfeitable Percentage</w:t>
            </w:r>
          </w:p>
        </w:tc>
        <w:tc>
          <w:tcPr>
            <w:tcW w:w="540" w:type="dxa"/>
            <w:vAlign w:val="bottom"/>
          </w:tcPr>
          <w:p>
            <w:pPr>
              <w:spacing w:after="0"/>
              <w:rPr>
                <w:sz w:val="24"/>
                <w:szCs w:val="24"/>
                <w:color w:val="auto"/>
              </w:rPr>
            </w:pPr>
          </w:p>
        </w:tc>
      </w:tr>
      <w:tr>
        <w:trPr>
          <w:trHeight w:val="137"/>
        </w:trPr>
        <w:tc>
          <w:tcPr>
            <w:tcW w:w="1260" w:type="dxa"/>
            <w:vAlign w:val="bottom"/>
          </w:tcPr>
          <w:p>
            <w:pPr>
              <w:spacing w:after="0"/>
              <w:rPr>
                <w:sz w:val="11"/>
                <w:szCs w:val="11"/>
                <w:color w:val="auto"/>
              </w:rPr>
            </w:pPr>
          </w:p>
        </w:tc>
        <w:tc>
          <w:tcPr>
            <w:tcW w:w="3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320" w:type="dxa"/>
            <w:vAlign w:val="bottom"/>
            <w:tcBorders>
              <w:top w:val="single" w:sz="8" w:color="auto"/>
            </w:tcBorders>
            <w:shd w:val="clear" w:color="auto" w:fill="CCEEFF"/>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44"/>
        </w:trPr>
        <w:tc>
          <w:tcPr>
            <w:tcW w:w="12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4"/>
        </w:trPr>
        <w:tc>
          <w:tcPr>
            <w:tcW w:w="1260" w:type="dxa"/>
            <w:vAlign w:val="bottom"/>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r>
    </w:tbl>
    <w:p>
      <w:pPr>
        <w:spacing w:after="0" w:line="197"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[Notwithstanding the above, the RSUs shall automatically become fully vested upon the earlier of: (i) the Participant’s Disability; (ii) the Participant’s death; and (iii) immediately prior to the closing of a Change in Control of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[SIGNATURES ON NEXT PAGE]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firstLine="629"/>
        <w:spacing w:after="0" w:line="289" w:lineRule="auto"/>
        <w:rPr>
          <w:sz w:val="20"/>
          <w:szCs w:val="20"/>
          <w:color w:val="auto"/>
        </w:rPr>
      </w:pPr>
      <w:r>
        <w:rPr>
          <w:rFonts w:ascii="Arial" w:cs="Arial" w:eastAsia="Arial" w:hAnsi="Arial"/>
          <w:sz w:val="17"/>
          <w:szCs w:val="17"/>
          <w:color w:val="auto"/>
        </w:rPr>
        <w:t>By your signature and the signature of the Company’s representative below, the Participant and the Company agree that the RSUs granted are governed by the terms and conditions of this Notice, the Award Agreement and the Plan.</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APPLIED OPTOELECTRONICS, INC.</w:t>
      </w:r>
    </w:p>
    <w:p>
      <w:pPr>
        <w:spacing w:after="0" w:line="200" w:lineRule="exact"/>
        <w:rPr>
          <w:sz w:val="20"/>
          <w:szCs w:val="20"/>
          <w:color w:val="auto"/>
        </w:rPr>
      </w:pPr>
    </w:p>
    <w:p>
      <w:pPr>
        <w:spacing w:after="0" w:line="24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17145</wp:posOffset>
            </wp:positionV>
            <wp:extent cx="334645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17145</wp:posOffset>
            </wp:positionV>
            <wp:extent cx="334645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204"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17145</wp:posOffset>
            </wp:positionV>
            <wp:extent cx="31965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196590" cy="8255"/>
                    </a:xfrm>
                    <a:prstGeom prst="rect">
                      <a:avLst/>
                    </a:prstGeom>
                    <a:noFill/>
                  </pic:spPr>
                </pic:pic>
              </a:graphicData>
            </a:graphic>
          </wp:anchor>
        </w:drawing>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PARTICIPANT ACKNOWLEDGMENT</w:t>
      </w:r>
    </w:p>
    <w:p>
      <w:pPr>
        <w:spacing w:after="0" w:line="230"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The Participant acknowledges receipt of a copy of this Notice, the Award Agreement and the Plan, and represents that he or she is familiar with the provisions thereof, and hereby accepts the RSUs subject to all of the terms and provisions hereof and thereof. The Participant has reviewed this Notice, the Award Agreement and the Plan in their entirety, has had an opportunity to obtain the advice of legal counsel prior to executing this Notice, the Award Agreement, and fully understands all provisions of this Notice, the Award Agreement and the Plan. The Participant hereby agrees that all questions of interpretation and administration relating to this Notice, the Award Agreement and the Plan shall be resolved by the Committee.</w:t>
      </w:r>
    </w:p>
    <w:p>
      <w:pPr>
        <w:spacing w:after="0" w:line="179" w:lineRule="exact"/>
        <w:rPr>
          <w:sz w:val="20"/>
          <w:szCs w:val="20"/>
          <w:color w:val="auto"/>
        </w:rPr>
      </w:pPr>
    </w:p>
    <w:p>
      <w:pPr>
        <w:ind w:right="100" w:firstLine="629"/>
        <w:spacing w:after="0" w:line="285" w:lineRule="auto"/>
        <w:rPr>
          <w:sz w:val="20"/>
          <w:szCs w:val="20"/>
          <w:color w:val="auto"/>
        </w:rPr>
      </w:pPr>
      <w:r>
        <w:rPr>
          <w:rFonts w:ascii="Arial" w:cs="Arial" w:eastAsia="Arial" w:hAnsi="Arial"/>
          <w:sz w:val="16"/>
          <w:szCs w:val="16"/>
          <w:color w:val="auto"/>
        </w:rPr>
        <w:t>The Participant hereby acknowledges that he or she has had the opportunity to review with his or her own tax advisors the tax consequences of receiving this Notice, the Award Agreement and the Plan, and the transactions contemplated thereby, including any U.S. federal, state and local tax laws, and any other applicable taxing jurisdiction, prior to executing this Notice. The Participant attests that he or she is relying solely on such advisors and not on any statements or representations of the Company or any of its agents or affiliates. Further, the Participant hereby acknowledges and understands that he or she (and not the Company) shall be solely responsible for his or her tax liability that may arise as a result of receiving this Notice and the Award Agreement.</w:t>
      </w:r>
    </w:p>
    <w:p>
      <w:pPr>
        <w:spacing w:after="0" w:line="160"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PARTICIPANT:</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4281805</wp:posOffset>
            </wp:positionH>
            <wp:positionV relativeFrom="paragraph">
              <wp:posOffset>17145</wp:posOffset>
            </wp:positionV>
            <wp:extent cx="297180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4390390</wp:posOffset>
            </wp:positionH>
            <wp:positionV relativeFrom="paragraph">
              <wp:posOffset>17145</wp:posOffset>
            </wp:positionV>
            <wp:extent cx="286385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863850" cy="8255"/>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17145</wp:posOffset>
            </wp:positionV>
            <wp:extent cx="316357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APPLIED OPTOELECTRONICS,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2013 EQUITY INCENTIVE PLAN</w:t>
      </w:r>
    </w:p>
    <w:p>
      <w:pPr>
        <w:sectPr>
          <w:pgSz w:w="11900" w:h="16856" w:orient="portrait"/>
          <w:cols w:equalWidth="0" w:num="1">
            <w:col w:w="11420"/>
          </w:cols>
          <w:pgMar w:left="240" w:top="357" w:right="239" w:bottom="0" w:gutter="0" w:footer="0" w:header="0"/>
          <w:type w:val="continuous"/>
        </w:sectPr>
      </w:pPr>
    </w:p>
    <w:bookmarkStart w:id="351" w:name="page352"/>
    <w:bookmarkEnd w:id="351"/>
    <w:p>
      <w:pPr>
        <w:jc w:val="center"/>
        <w:ind w:right="-19"/>
        <w:spacing w:after="0"/>
        <w:rPr>
          <w:sz w:val="20"/>
          <w:szCs w:val="20"/>
          <w:color w:val="auto"/>
        </w:rPr>
      </w:pPr>
      <w:r>
        <w:rPr>
          <w:rFonts w:ascii="Arial" w:cs="Arial" w:eastAsia="Arial" w:hAnsi="Arial"/>
          <w:sz w:val="17"/>
          <w:szCs w:val="17"/>
          <w:b w:val="1"/>
          <w:bCs w:val="1"/>
          <w:color w:val="auto"/>
        </w:rPr>
        <w:t>RESTRICTED STOCK UNIT AWARD AGREEMENT</w:t>
      </w:r>
    </w:p>
    <w:p>
      <w:pPr>
        <w:spacing w:after="0" w:line="230"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Subject to the terms and conditions of the Notice of Restricted Stock Unit Award (the “</w:t>
      </w:r>
      <w:r>
        <w:rPr>
          <w:rFonts w:ascii="Arial" w:cs="Arial" w:eastAsia="Arial" w:hAnsi="Arial"/>
          <w:sz w:val="17"/>
          <w:szCs w:val="17"/>
          <w:u w:val="single" w:color="auto"/>
          <w:color w:val="auto"/>
        </w:rPr>
        <w:t>Notice</w:t>
      </w:r>
      <w:r>
        <w:rPr>
          <w:rFonts w:ascii="Arial" w:cs="Arial" w:eastAsia="Arial" w:hAnsi="Arial"/>
          <w:sz w:val="17"/>
          <w:szCs w:val="17"/>
          <w:color w:val="auto"/>
        </w:rPr>
        <w:t>”), this Restricted Stock Unit Award Agreement (the “</w:t>
      </w:r>
      <w:r>
        <w:rPr>
          <w:rFonts w:ascii="Arial" w:cs="Arial" w:eastAsia="Arial" w:hAnsi="Arial"/>
          <w:sz w:val="17"/>
          <w:szCs w:val="17"/>
          <w:u w:val="single" w:color="auto"/>
          <w:color w:val="auto"/>
        </w:rPr>
        <w:t>Award</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and the Applied Optoelectronics, Inc. 2013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the individual set forth in the Notice (the “</w:t>
      </w:r>
      <w:r>
        <w:rPr>
          <w:rFonts w:ascii="Arial" w:cs="Arial" w:eastAsia="Arial" w:hAnsi="Arial"/>
          <w:sz w:val="17"/>
          <w:szCs w:val="17"/>
          <w:u w:val="single" w:color="auto"/>
          <w:color w:val="auto"/>
        </w:rPr>
        <w:t>Participant</w:t>
      </w:r>
      <w:r>
        <w:rPr>
          <w:rFonts w:ascii="Arial" w:cs="Arial" w:eastAsia="Arial" w:hAnsi="Arial"/>
          <w:sz w:val="17"/>
          <w:szCs w:val="17"/>
          <w:color w:val="auto"/>
        </w:rPr>
        <w:t>”) is hereby granted Restricted Stock Units (the “</w:t>
      </w:r>
      <w:r>
        <w:rPr>
          <w:rFonts w:ascii="Arial" w:cs="Arial" w:eastAsia="Arial" w:hAnsi="Arial"/>
          <w:sz w:val="17"/>
          <w:szCs w:val="17"/>
          <w:u w:val="single" w:color="auto"/>
          <w:color w:val="auto"/>
        </w:rPr>
        <w:t>RSUs</w:t>
      </w:r>
      <w:r>
        <w:rPr>
          <w:rFonts w:ascii="Arial" w:cs="Arial" w:eastAsia="Arial" w:hAnsi="Arial"/>
          <w:sz w:val="17"/>
          <w:szCs w:val="17"/>
          <w:color w:val="auto"/>
        </w:rPr>
        <w:t>”) in Applied Optoelectronics, Inc. (the “</w:t>
      </w:r>
      <w:r>
        <w:rPr>
          <w:rFonts w:ascii="Arial" w:cs="Arial" w:eastAsia="Arial" w:hAnsi="Arial"/>
          <w:sz w:val="17"/>
          <w:szCs w:val="17"/>
          <w:u w:val="single" w:color="auto"/>
          <w:color w:val="auto"/>
        </w:rPr>
        <w:t>Company</w:t>
      </w:r>
      <w:r>
        <w:rPr>
          <w:rFonts w:ascii="Arial" w:cs="Arial" w:eastAsia="Arial" w:hAnsi="Arial"/>
          <w:sz w:val="17"/>
          <w:szCs w:val="17"/>
          <w:color w:val="auto"/>
        </w:rPr>
        <w:t>”). Unless otherwise specifically indicated, all terms used in this Award Agreement shall have the meaning as set forth in the Notice or the Plan.</w:t>
      </w:r>
    </w:p>
    <w:p>
      <w:pPr>
        <w:spacing w:after="0" w:line="176" w:lineRule="exact"/>
        <w:rPr>
          <w:sz w:val="20"/>
          <w:szCs w:val="20"/>
          <w:color w:val="auto"/>
        </w:rPr>
      </w:pPr>
    </w:p>
    <w:p>
      <w:pPr>
        <w:ind w:left="1260" w:hanging="626"/>
        <w:spacing w:after="0"/>
        <w:tabs>
          <w:tab w:leader="none" w:pos="1260" w:val="left"/>
        </w:tabs>
        <w:numPr>
          <w:ilvl w:val="0"/>
          <w:numId w:val="516"/>
        </w:numPr>
        <w:rPr>
          <w:rFonts w:ascii="Arial" w:cs="Arial" w:eastAsia="Arial" w:hAnsi="Arial"/>
          <w:sz w:val="17"/>
          <w:szCs w:val="17"/>
          <w:color w:val="auto"/>
        </w:rPr>
      </w:pPr>
      <w:r>
        <w:rPr>
          <w:rFonts w:ascii="Arial" w:cs="Arial" w:eastAsia="Arial" w:hAnsi="Arial"/>
          <w:sz w:val="17"/>
          <w:szCs w:val="17"/>
          <w:u w:val="single" w:color="auto"/>
          <w:color w:val="auto"/>
        </w:rPr>
        <w:t>Vesting Schedule and Risk of Forfeiture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80" w:firstLine="1263"/>
        <w:spacing w:after="0" w:line="289" w:lineRule="auto"/>
        <w:tabs>
          <w:tab w:leader="none" w:pos="1885" w:val="left"/>
        </w:tabs>
        <w:numPr>
          <w:ilvl w:val="1"/>
          <w:numId w:val="516"/>
        </w:numPr>
        <w:rPr>
          <w:rFonts w:ascii="Arial" w:cs="Arial" w:eastAsia="Arial" w:hAnsi="Arial"/>
          <w:sz w:val="17"/>
          <w:szCs w:val="17"/>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 Subject to the Participant’s continuous service with the Company as a Service Provider, the RSUs shall vest in accordance with the Vesting Schedule provided in the Notice.</w:t>
      </w:r>
    </w:p>
    <w:p>
      <w:pPr>
        <w:spacing w:after="0" w:line="158" w:lineRule="exact"/>
        <w:rPr>
          <w:rFonts w:ascii="Arial" w:cs="Arial" w:eastAsia="Arial" w:hAnsi="Arial"/>
          <w:sz w:val="17"/>
          <w:szCs w:val="17"/>
          <w:color w:val="auto"/>
        </w:rPr>
      </w:pPr>
    </w:p>
    <w:p>
      <w:pPr>
        <w:ind w:right="160" w:firstLine="1263"/>
        <w:spacing w:after="0" w:line="265" w:lineRule="auto"/>
        <w:tabs>
          <w:tab w:leader="none" w:pos="1895" w:val="left"/>
        </w:tabs>
        <w:numPr>
          <w:ilvl w:val="1"/>
          <w:numId w:val="516"/>
        </w:numPr>
        <w:rPr>
          <w:rFonts w:ascii="Arial" w:cs="Arial" w:eastAsia="Arial" w:hAnsi="Arial"/>
          <w:sz w:val="17"/>
          <w:szCs w:val="17"/>
          <w:color w:val="auto"/>
        </w:rPr>
      </w:pPr>
      <w:r>
        <w:rPr>
          <w:rFonts w:ascii="Arial" w:cs="Arial" w:eastAsia="Arial" w:hAnsi="Arial"/>
          <w:sz w:val="17"/>
          <w:szCs w:val="17"/>
          <w:u w:val="single" w:color="auto"/>
          <w:color w:val="auto"/>
        </w:rPr>
        <w:t>Risk of Forfeiture</w:t>
      </w:r>
      <w:r>
        <w:rPr>
          <w:rFonts w:ascii="Arial" w:cs="Arial" w:eastAsia="Arial" w:hAnsi="Arial"/>
          <w:sz w:val="17"/>
          <w:szCs w:val="17"/>
          <w:color w:val="auto"/>
        </w:rPr>
        <w:t>. The RSUs shall be subject to a risk of forfeiture until such time the risk of forfeiture lapses in accordance with the above Vesting Schedule. All or any portion of the RSUs subject to a risk of forfeiture shall immediately and automatically be forfeited and terminated upon the first day Participant fails to provide continuous service to the Company as a Service Provider, and the Company shall make no payment to Participant, cash or otherwise, for any unvested RSUs that are forfeited. Additionally, all of the RSUs subject to this Award Agreement shall immediately become forfeited if Participant fails to fully satisfy Section 3(b) of this Award Agreement, as determined by the Committee.</w:t>
      </w:r>
    </w:p>
    <w:p>
      <w:pPr>
        <w:spacing w:after="0" w:line="179" w:lineRule="exact"/>
        <w:rPr>
          <w:rFonts w:ascii="Arial" w:cs="Arial" w:eastAsia="Arial" w:hAnsi="Arial"/>
          <w:sz w:val="17"/>
          <w:szCs w:val="17"/>
          <w:color w:val="auto"/>
        </w:rPr>
      </w:pPr>
    </w:p>
    <w:p>
      <w:pPr>
        <w:ind w:right="280" w:firstLine="634"/>
        <w:spacing w:after="0" w:line="273" w:lineRule="auto"/>
        <w:tabs>
          <w:tab w:leader="none" w:pos="1258" w:val="left"/>
        </w:tabs>
        <w:numPr>
          <w:ilvl w:val="0"/>
          <w:numId w:val="516"/>
        </w:numPr>
        <w:rPr>
          <w:rFonts w:ascii="Arial" w:cs="Arial" w:eastAsia="Arial" w:hAnsi="Arial"/>
          <w:sz w:val="17"/>
          <w:szCs w:val="17"/>
          <w:color w:val="auto"/>
        </w:rPr>
      </w:pPr>
      <w:r>
        <w:rPr>
          <w:rFonts w:ascii="Arial" w:cs="Arial" w:eastAsia="Arial" w:hAnsi="Arial"/>
          <w:sz w:val="17"/>
          <w:szCs w:val="17"/>
          <w:u w:val="single" w:color="auto"/>
          <w:color w:val="auto"/>
        </w:rPr>
        <w:t>Settlement of RSUs into Shares</w:t>
      </w:r>
      <w:r>
        <w:rPr>
          <w:rFonts w:ascii="Arial" w:cs="Arial" w:eastAsia="Arial" w:hAnsi="Arial"/>
          <w:sz w:val="17"/>
          <w:szCs w:val="17"/>
          <w:color w:val="auto"/>
        </w:rPr>
        <w:t>. Subject to the terms of this Award Agreement, on the date all or any portion of the RSUs become nonforfeitable pursuant to the Vesting Schedule, each RSU that becomes nonforfeitable shall immediately and automatically be converted into one Share of the Company’s Common Stock and immediately thereafter shall be granted to Participant.</w:t>
      </w:r>
    </w:p>
    <w:p>
      <w:pPr>
        <w:spacing w:after="0" w:line="171" w:lineRule="exact"/>
        <w:rPr>
          <w:rFonts w:ascii="Arial" w:cs="Arial" w:eastAsia="Arial" w:hAnsi="Arial"/>
          <w:sz w:val="17"/>
          <w:szCs w:val="17"/>
          <w:color w:val="auto"/>
        </w:rPr>
      </w:pPr>
    </w:p>
    <w:p>
      <w:pPr>
        <w:ind w:right="100" w:firstLine="634"/>
        <w:spacing w:after="0" w:line="289" w:lineRule="auto"/>
        <w:tabs>
          <w:tab w:leader="none" w:pos="1258" w:val="left"/>
        </w:tabs>
        <w:numPr>
          <w:ilvl w:val="0"/>
          <w:numId w:val="516"/>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The Participant hereby acknowledges and understands that he or she may suffer adverse tax consequences as a result of the Participant’s receipt of, vesting in, or disposition of, the RSUs.</w:t>
      </w:r>
    </w:p>
    <w:p>
      <w:pPr>
        <w:spacing w:after="0" w:line="158" w:lineRule="exact"/>
        <w:rPr>
          <w:rFonts w:ascii="Arial" w:cs="Arial" w:eastAsia="Arial" w:hAnsi="Arial"/>
          <w:sz w:val="17"/>
          <w:szCs w:val="17"/>
          <w:color w:val="auto"/>
        </w:rPr>
      </w:pPr>
    </w:p>
    <w:p>
      <w:pPr>
        <w:ind w:firstLine="1263"/>
        <w:spacing w:after="0" w:line="265" w:lineRule="auto"/>
        <w:tabs>
          <w:tab w:leader="none" w:pos="1885" w:val="left"/>
        </w:tabs>
        <w:numPr>
          <w:ilvl w:val="1"/>
          <w:numId w:val="516"/>
        </w:numPr>
        <w:rPr>
          <w:rFonts w:ascii="Arial" w:cs="Arial" w:eastAsia="Arial" w:hAnsi="Arial"/>
          <w:sz w:val="17"/>
          <w:szCs w:val="17"/>
          <w:color w:val="auto"/>
        </w:rPr>
      </w:pPr>
      <w:r>
        <w:rPr>
          <w:rFonts w:ascii="Arial" w:cs="Arial" w:eastAsia="Arial" w:hAnsi="Arial"/>
          <w:sz w:val="17"/>
          <w:szCs w:val="17"/>
          <w:u w:val="single" w:color="auto"/>
          <w:color w:val="auto"/>
        </w:rPr>
        <w:t>Representations</w:t>
      </w:r>
      <w:r>
        <w:rPr>
          <w:rFonts w:ascii="Arial" w:cs="Arial" w:eastAsia="Arial" w:hAnsi="Arial"/>
          <w:sz w:val="17"/>
          <w:szCs w:val="17"/>
          <w:color w:val="auto"/>
        </w:rPr>
        <w:t>. The Participant has reviewed with his or her own tax advisors the tax consequences of this Award Agreement and the RSUs granted hereunder, including any U.S. federal, state and local tax laws, and any other applicable taxing jurisdiction. The Participant is relying solely on such advisors and not on any statements or representations of the Company or any of its agents. The Participant hereby acknowledges and understands that he or she (and not the Company) shall be responsible for his or her own tax liability that may arise as a result of his or her receiving this Award Agreement and the RSUs granted hereunder.</w:t>
      </w:r>
    </w:p>
    <w:p>
      <w:pPr>
        <w:spacing w:after="0" w:line="179" w:lineRule="exact"/>
        <w:rPr>
          <w:rFonts w:ascii="Arial" w:cs="Arial" w:eastAsia="Arial" w:hAnsi="Arial"/>
          <w:sz w:val="17"/>
          <w:szCs w:val="17"/>
          <w:color w:val="auto"/>
        </w:rPr>
      </w:pPr>
    </w:p>
    <w:p>
      <w:pPr>
        <w:ind w:right="80" w:firstLine="1263"/>
        <w:spacing w:after="0" w:line="289" w:lineRule="auto"/>
        <w:tabs>
          <w:tab w:leader="none" w:pos="1895" w:val="left"/>
        </w:tabs>
        <w:numPr>
          <w:ilvl w:val="1"/>
          <w:numId w:val="516"/>
        </w:numPr>
        <w:rPr>
          <w:rFonts w:ascii="Arial" w:cs="Arial" w:eastAsia="Arial" w:hAnsi="Arial"/>
          <w:sz w:val="17"/>
          <w:szCs w:val="17"/>
          <w:color w:val="auto"/>
        </w:rPr>
      </w:pPr>
      <w:r>
        <w:rPr>
          <w:rFonts w:ascii="Arial" w:cs="Arial" w:eastAsia="Arial" w:hAnsi="Arial"/>
          <w:sz w:val="17"/>
          <w:szCs w:val="17"/>
          <w:u w:val="single" w:color="auto"/>
          <w:color w:val="auto"/>
        </w:rPr>
        <w:t>Payment of Withholding Taxes</w:t>
      </w:r>
      <w:r>
        <w:rPr>
          <w:rFonts w:ascii="Arial" w:cs="Arial" w:eastAsia="Arial" w:hAnsi="Arial"/>
          <w:sz w:val="17"/>
          <w:szCs w:val="17"/>
          <w:color w:val="auto"/>
        </w:rPr>
        <w:t>. The Participant shall make appropriate arrangements with the Company for the satisfaction of all U.S. Federal, state, local and non-U.S.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income and employment tax withholding requirements applicable to any RSUs that settle in Shares of Common Stock in accordance with Section 2. The Committee shall have the sole authority to determine whether a “net withholding” may be permitted or is required for purposes of Participant satisfying his or her obligations under this Section 3(b). Participant hereby acknowledges his or her understanding that the Company’s obligations under this Award Agreement are fully contingent on Participant first satisfying this Section 3(b). Therefore, a failure of Participant to reasonably satisfy this Section 3 in accordance with the Committee’s sole and absolute discretion shall result in the automatic termination and expiration of this Award Agreement and the Company’s obligations hereunder. Participant hereby agrees that a breach of this Section 3(b) shall be deemed to be a material breach of this Award Agreement.</w:t>
      </w:r>
    </w:p>
    <w:p>
      <w:pPr>
        <w:spacing w:after="0" w:line="167" w:lineRule="exact"/>
        <w:rPr>
          <w:sz w:val="20"/>
          <w:szCs w:val="20"/>
          <w:color w:val="auto"/>
        </w:rPr>
      </w:pPr>
    </w:p>
    <w:p>
      <w:pPr>
        <w:jc w:val="both"/>
        <w:ind w:right="260" w:firstLine="1263"/>
        <w:spacing w:after="0" w:line="290" w:lineRule="auto"/>
        <w:tabs>
          <w:tab w:leader="none" w:pos="1898" w:val="left"/>
        </w:tabs>
        <w:numPr>
          <w:ilvl w:val="1"/>
          <w:numId w:val="517"/>
        </w:numPr>
        <w:rPr>
          <w:rFonts w:ascii="Arial" w:cs="Arial" w:eastAsia="Arial" w:hAnsi="Arial"/>
          <w:sz w:val="16"/>
          <w:szCs w:val="16"/>
          <w:color w:val="auto"/>
        </w:rPr>
      </w:pPr>
      <w:r>
        <w:rPr>
          <w:rFonts w:ascii="Arial" w:cs="Arial" w:eastAsia="Arial" w:hAnsi="Arial"/>
          <w:sz w:val="16"/>
          <w:szCs w:val="16"/>
          <w:u w:val="single" w:color="auto"/>
          <w:color w:val="auto"/>
        </w:rPr>
        <w:t>No Application of Section 409A</w:t>
      </w:r>
      <w:r>
        <w:rPr>
          <w:rFonts w:ascii="Arial" w:cs="Arial" w:eastAsia="Arial" w:hAnsi="Arial"/>
          <w:sz w:val="16"/>
          <w:szCs w:val="16"/>
          <w:color w:val="auto"/>
        </w:rPr>
        <w:t>. The RSUs and this Award Agreement are intended to avoid the application of Section 409A of the Code (“</w:t>
      </w:r>
      <w:r>
        <w:rPr>
          <w:rFonts w:ascii="Arial" w:cs="Arial" w:eastAsia="Arial" w:hAnsi="Arial"/>
          <w:sz w:val="16"/>
          <w:szCs w:val="16"/>
          <w:u w:val="single" w:color="auto"/>
          <w:color w:val="auto"/>
        </w:rPr>
        <w:t>Section 409A</w:t>
      </w:r>
      <w:r>
        <w:rPr>
          <w:rFonts w:ascii="Arial" w:cs="Arial" w:eastAsia="Arial" w:hAnsi="Arial"/>
          <w:sz w:val="16"/>
          <w:szCs w:val="16"/>
          <w:color w:val="auto"/>
        </w:rPr>
        <w:t>”) because there is no deferral arrangement. Notwithstanding any other provision in the Plan or this Award Agreement to the contrary, the Committee shall have the right, in its sole discretion, to adopt such amendments to the Plan or this Award Agreement or take such other actions (including amendments and actions with retroactive effect) as the Committee determines are necessary or appropriate for the RSUs to comply with Section 409A.</w:t>
      </w:r>
    </w:p>
    <w:p>
      <w:pPr>
        <w:spacing w:after="0" w:line="159" w:lineRule="exact"/>
        <w:rPr>
          <w:rFonts w:ascii="Arial" w:cs="Arial" w:eastAsia="Arial" w:hAnsi="Arial"/>
          <w:sz w:val="16"/>
          <w:szCs w:val="16"/>
          <w:color w:val="auto"/>
        </w:rPr>
      </w:pPr>
    </w:p>
    <w:p>
      <w:pPr>
        <w:ind w:right="440" w:firstLine="634"/>
        <w:spacing w:after="0" w:line="268" w:lineRule="auto"/>
        <w:tabs>
          <w:tab w:leader="none" w:pos="1258" w:val="left"/>
        </w:tabs>
        <w:numPr>
          <w:ilvl w:val="0"/>
          <w:numId w:val="518"/>
        </w:numPr>
        <w:rPr>
          <w:rFonts w:ascii="Arial" w:cs="Arial" w:eastAsia="Arial" w:hAnsi="Arial"/>
          <w:sz w:val="17"/>
          <w:szCs w:val="17"/>
          <w:color w:val="auto"/>
        </w:rPr>
      </w:pPr>
      <w:r>
        <w:rPr>
          <w:rFonts w:ascii="Arial" w:cs="Arial" w:eastAsia="Arial" w:hAnsi="Arial"/>
          <w:sz w:val="17"/>
          <w:szCs w:val="17"/>
          <w:u w:val="single" w:color="auto"/>
          <w:color w:val="auto"/>
        </w:rPr>
        <w:t>Transferability of RSUs</w:t>
      </w:r>
      <w:r>
        <w:rPr>
          <w:rFonts w:ascii="Arial" w:cs="Arial" w:eastAsia="Arial" w:hAnsi="Arial"/>
          <w:sz w:val="17"/>
          <w:szCs w:val="17"/>
          <w:color w:val="auto"/>
        </w:rPr>
        <w:t>. The RSUs may not be transferred in any manner other than by will or by the laws of descent and distribution. Notwithstanding the foregoing, Participant may designate one or more beneficiaries of Participant’s RSUs in the event of Participant’s death on a beneficiary designation form provided by the Committee. The terms of this Award Agreement shall be binding upon the executors, administrators, heirs, successors and transferees of Participant.</w:t>
      </w:r>
    </w:p>
    <w:p>
      <w:pPr>
        <w:spacing w:after="0" w:line="175" w:lineRule="exact"/>
        <w:rPr>
          <w:rFonts w:ascii="Arial" w:cs="Arial" w:eastAsia="Arial" w:hAnsi="Arial"/>
          <w:sz w:val="17"/>
          <w:szCs w:val="17"/>
          <w:color w:val="auto"/>
        </w:rPr>
      </w:pPr>
    </w:p>
    <w:p>
      <w:pPr>
        <w:ind w:right="140" w:firstLine="634"/>
        <w:spacing w:after="0" w:line="322" w:lineRule="auto"/>
        <w:tabs>
          <w:tab w:leader="none" w:pos="1258" w:val="left"/>
        </w:tabs>
        <w:numPr>
          <w:ilvl w:val="0"/>
          <w:numId w:val="518"/>
        </w:numPr>
        <w:rPr>
          <w:rFonts w:ascii="Arial" w:cs="Arial" w:eastAsia="Arial" w:hAnsi="Arial"/>
          <w:sz w:val="16"/>
          <w:szCs w:val="16"/>
          <w:color w:val="auto"/>
        </w:rPr>
      </w:pPr>
      <w:r>
        <w:rPr>
          <w:rFonts w:ascii="Arial" w:cs="Arial" w:eastAsia="Arial" w:hAnsi="Arial"/>
          <w:sz w:val="16"/>
          <w:szCs w:val="16"/>
          <w:u w:val="single" w:color="auto"/>
          <w:color w:val="auto"/>
        </w:rPr>
        <w:t>Rights as a Shareholder of the Company</w:t>
      </w:r>
      <w:r>
        <w:rPr>
          <w:rFonts w:ascii="Arial" w:cs="Arial" w:eastAsia="Arial" w:hAnsi="Arial"/>
          <w:sz w:val="16"/>
          <w:szCs w:val="16"/>
          <w:color w:val="auto"/>
        </w:rPr>
        <w:t>. Participant’s receipt of the grant of RSUs pursuant to this Award Agreement shall provide and confer no rights or status as a shareholder of the Company until such time the RSUs are converted in accordance with Section 2 of this Award Agreement.</w:t>
      </w:r>
    </w:p>
    <w:p>
      <w:pPr>
        <w:spacing w:after="0" w:line="135" w:lineRule="exact"/>
        <w:rPr>
          <w:rFonts w:ascii="Arial" w:cs="Arial" w:eastAsia="Arial" w:hAnsi="Arial"/>
          <w:sz w:val="16"/>
          <w:szCs w:val="16"/>
          <w:color w:val="auto"/>
        </w:rPr>
      </w:pPr>
    </w:p>
    <w:p>
      <w:pPr>
        <w:ind w:right="20" w:firstLine="634"/>
        <w:spacing w:after="0" w:line="265" w:lineRule="auto"/>
        <w:tabs>
          <w:tab w:leader="none" w:pos="1258" w:val="left"/>
        </w:tabs>
        <w:numPr>
          <w:ilvl w:val="0"/>
          <w:numId w:val="518"/>
        </w:numPr>
        <w:rPr>
          <w:rFonts w:ascii="Arial" w:cs="Arial" w:eastAsia="Arial" w:hAnsi="Arial"/>
          <w:sz w:val="17"/>
          <w:szCs w:val="17"/>
          <w:color w:val="auto"/>
        </w:rPr>
      </w:pPr>
      <w:r>
        <w:rPr>
          <w:rFonts w:ascii="Arial" w:cs="Arial" w:eastAsia="Arial" w:hAnsi="Arial"/>
          <w:sz w:val="17"/>
          <w:szCs w:val="17"/>
          <w:u w:val="single" w:color="auto"/>
          <w:color w:val="auto"/>
        </w:rPr>
        <w:t>Legality of Initial Issuance</w:t>
      </w:r>
      <w:r>
        <w:rPr>
          <w:rFonts w:ascii="Arial" w:cs="Arial" w:eastAsia="Arial" w:hAnsi="Arial"/>
          <w:sz w:val="17"/>
          <w:szCs w:val="17"/>
          <w:color w:val="auto"/>
        </w:rPr>
        <w:t>. No Shares of Common Stock shall be issued in accordance with Section 2 of this Award Agreement unless and until the Committee has determined that: (i) the Company and Participant have taken all actions required to register the Shares of Common Stock under the Securities Act or to perfect an exemption from the registration requirements thereof, if applicable; (ii) all applicable listing requirements of any stock exchange or other securities market on which the Shares of Common Stock are listed has been satisfied; and (iii) any other applicable provision of state or U.S. federal law or other applicable law has been satisfied.</w:t>
      </w:r>
    </w:p>
    <w:p>
      <w:pPr>
        <w:spacing w:after="0" w:line="179" w:lineRule="exact"/>
        <w:rPr>
          <w:rFonts w:ascii="Arial" w:cs="Arial" w:eastAsia="Arial" w:hAnsi="Arial"/>
          <w:sz w:val="17"/>
          <w:szCs w:val="17"/>
          <w:color w:val="auto"/>
        </w:rPr>
      </w:pPr>
    </w:p>
    <w:p>
      <w:pPr>
        <w:ind w:right="140" w:firstLine="634"/>
        <w:spacing w:after="0" w:line="273" w:lineRule="auto"/>
        <w:tabs>
          <w:tab w:leader="none" w:pos="1258" w:val="left"/>
        </w:tabs>
        <w:numPr>
          <w:ilvl w:val="0"/>
          <w:numId w:val="518"/>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required by the terms of this Award Agreement shall be given in writing and shall be deemed effective upon personal delivery or upon deposit with the U.S. Postal Service, by registered or certified mail, with postage and fees prepaid. Notice shall be addressed to the Company at its principal executive office and to the Participant at the address that he or she most recently provided to the Company.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firstLine="634"/>
        <w:spacing w:after="0" w:line="273" w:lineRule="auto"/>
        <w:tabs>
          <w:tab w:leader="none" w:pos="1258" w:val="left"/>
        </w:tabs>
        <w:numPr>
          <w:ilvl w:val="0"/>
          <w:numId w:val="519"/>
        </w:numPr>
        <w:rPr>
          <w:rFonts w:ascii="Arial" w:cs="Arial" w:eastAsia="Arial" w:hAnsi="Arial"/>
          <w:sz w:val="17"/>
          <w:szCs w:val="17"/>
          <w:color w:val="auto"/>
        </w:rPr>
      </w:pPr>
      <w:r>
        <w:rPr>
          <w:rFonts w:ascii="Arial" w:cs="Arial" w:eastAsia="Arial" w:hAnsi="Arial"/>
          <w:sz w:val="17"/>
          <w:szCs w:val="17"/>
          <w:u w:val="single" w:color="auto"/>
          <w:color w:val="auto"/>
        </w:rPr>
        <w:t>Spousal Consent</w:t>
      </w:r>
      <w:r>
        <w:rPr>
          <w:rFonts w:ascii="Arial" w:cs="Arial" w:eastAsia="Arial" w:hAnsi="Arial"/>
          <w:sz w:val="17"/>
          <w:szCs w:val="17"/>
          <w:color w:val="auto"/>
        </w:rPr>
        <w:t xml:space="preserve">. To the extent Participant is married, Participant agrees to (i) provide Participant’s spouse with a copy of this Award Agreement prior to its execution by Participant and (ii) obtain such spouse’s consent to this Award Agreement as evidenced by such spouse’s execution of the Spousal Consent attached hereto as </w:t>
      </w:r>
      <w:r>
        <w:rPr>
          <w:rFonts w:ascii="Arial" w:cs="Arial" w:eastAsia="Arial" w:hAnsi="Arial"/>
          <w:sz w:val="17"/>
          <w:szCs w:val="17"/>
          <w:b w:val="1"/>
          <w:bCs w:val="1"/>
          <w:color w:val="auto"/>
        </w:rPr>
        <w:t>EXHIBIT A</w:t>
      </w:r>
      <w:r>
        <w:rPr>
          <w:rFonts w:ascii="Arial" w:cs="Arial" w:eastAsia="Arial" w:hAnsi="Arial"/>
          <w:sz w:val="17"/>
          <w:szCs w:val="17"/>
          <w:color w:val="auto"/>
        </w:rPr>
        <w:t>.</w:t>
      </w:r>
    </w:p>
    <w:p>
      <w:pPr>
        <w:sectPr>
          <w:pgSz w:w="11900" w:h="16838" w:orient="portrait"/>
          <w:cols w:equalWidth="0" w:num="1">
            <w:col w:w="11420"/>
          </w:cols>
          <w:pgMar w:left="240" w:top="331" w:right="239" w:bottom="37" w:gutter="0" w:footer="0" w:header="0"/>
        </w:sectPr>
      </w:pPr>
    </w:p>
    <w:bookmarkStart w:id="352" w:name="page353"/>
    <w:bookmarkEnd w:id="352"/>
    <w:p>
      <w:pPr>
        <w:ind w:right="160" w:firstLine="634"/>
        <w:spacing w:after="0" w:line="289" w:lineRule="auto"/>
        <w:tabs>
          <w:tab w:leader="none" w:pos="1258" w:val="left"/>
        </w:tabs>
        <w:numPr>
          <w:ilvl w:val="0"/>
          <w:numId w:val="520"/>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Except as provided herein to the contrary, this Award Agreement shall be binding upon and inure to the benefit of the parties to this Award Agreement, their respective successors and permitted assigns.</w:t>
      </w:r>
    </w:p>
    <w:p>
      <w:pPr>
        <w:spacing w:after="0" w:line="158" w:lineRule="exact"/>
        <w:rPr>
          <w:rFonts w:ascii="Arial" w:cs="Arial" w:eastAsia="Arial" w:hAnsi="Arial"/>
          <w:sz w:val="17"/>
          <w:szCs w:val="17"/>
          <w:color w:val="auto"/>
        </w:rPr>
      </w:pPr>
    </w:p>
    <w:p>
      <w:pPr>
        <w:ind w:right="120" w:firstLine="634"/>
        <w:spacing w:after="0" w:line="298" w:lineRule="auto"/>
        <w:tabs>
          <w:tab w:leader="none" w:pos="1254" w:val="left"/>
        </w:tabs>
        <w:numPr>
          <w:ilvl w:val="0"/>
          <w:numId w:val="520"/>
        </w:numPr>
        <w:rPr>
          <w:rFonts w:ascii="Arial" w:cs="Arial" w:eastAsia="Arial" w:hAnsi="Arial"/>
          <w:sz w:val="16"/>
          <w:szCs w:val="16"/>
          <w:color w:val="auto"/>
        </w:rPr>
      </w:pPr>
      <w:r>
        <w:rPr>
          <w:rFonts w:ascii="Arial" w:cs="Arial" w:eastAsia="Arial" w:hAnsi="Arial"/>
          <w:sz w:val="16"/>
          <w:szCs w:val="16"/>
          <w:u w:val="single" w:color="auto"/>
          <w:color w:val="auto"/>
        </w:rPr>
        <w:t>No Assignment</w:t>
      </w:r>
      <w:r>
        <w:rPr>
          <w:rFonts w:ascii="Arial" w:cs="Arial" w:eastAsia="Arial" w:hAnsi="Arial"/>
          <w:sz w:val="16"/>
          <w:szCs w:val="16"/>
          <w:color w:val="auto"/>
        </w:rPr>
        <w:t>. Except as otherwise provided in this Award Agreement, Participant shall not assign any of his rights under this Award Agreement without the prior written consent of the Company, which consent may be withheld in its sole discretion. The Company shall be permitted to assign its rights or obligations under this Award Agreement, but no such assignment shall release the Company of any obligations pursuant to this Award Agreement.</w:t>
      </w:r>
    </w:p>
    <w:p>
      <w:pPr>
        <w:spacing w:after="0" w:line="153" w:lineRule="exact"/>
        <w:rPr>
          <w:rFonts w:ascii="Arial" w:cs="Arial" w:eastAsia="Arial" w:hAnsi="Arial"/>
          <w:sz w:val="16"/>
          <w:szCs w:val="16"/>
          <w:color w:val="auto"/>
        </w:rPr>
      </w:pPr>
    </w:p>
    <w:p>
      <w:pPr>
        <w:ind w:right="220" w:firstLine="634"/>
        <w:spacing w:after="0" w:line="289" w:lineRule="auto"/>
        <w:tabs>
          <w:tab w:leader="none" w:pos="1248" w:val="left"/>
        </w:tabs>
        <w:numPr>
          <w:ilvl w:val="0"/>
          <w:numId w:val="52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validity, legality or enforceability of the remainder of this Award Agreement shall not be affected even if one or more of the provisions of this Award Agreement shall be held to be invalid, illegal or unenforceable in any respect.</w:t>
      </w:r>
    </w:p>
    <w:p>
      <w:pPr>
        <w:spacing w:after="0" w:line="158" w:lineRule="exact"/>
        <w:rPr>
          <w:rFonts w:ascii="Arial" w:cs="Arial" w:eastAsia="Arial" w:hAnsi="Arial"/>
          <w:sz w:val="17"/>
          <w:szCs w:val="17"/>
          <w:color w:val="auto"/>
        </w:rPr>
      </w:pPr>
    </w:p>
    <w:p>
      <w:pPr>
        <w:ind w:right="420" w:firstLine="634"/>
        <w:spacing w:after="0" w:line="289" w:lineRule="auto"/>
        <w:tabs>
          <w:tab w:leader="none" w:pos="1254" w:val="left"/>
        </w:tabs>
        <w:numPr>
          <w:ilvl w:val="0"/>
          <w:numId w:val="520"/>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Any provision of this Award Agreement may be amended and the observance thereof may be waived (either generally or in a particular instance and either retroactively or prospectively) only by a written instrument signed by the parties hereto.</w:t>
      </w:r>
    </w:p>
    <w:p>
      <w:pPr>
        <w:spacing w:after="0" w:line="158" w:lineRule="exact"/>
        <w:rPr>
          <w:rFonts w:ascii="Arial" w:cs="Arial" w:eastAsia="Arial" w:hAnsi="Arial"/>
          <w:sz w:val="17"/>
          <w:szCs w:val="17"/>
          <w:color w:val="auto"/>
        </w:rPr>
      </w:pPr>
    </w:p>
    <w:p>
      <w:pPr>
        <w:jc w:val="both"/>
        <w:ind w:right="160" w:firstLine="634"/>
        <w:spacing w:after="0" w:line="268" w:lineRule="auto"/>
        <w:tabs>
          <w:tab w:leader="none" w:pos="1254" w:val="left"/>
        </w:tabs>
        <w:numPr>
          <w:ilvl w:val="0"/>
          <w:numId w:val="520"/>
        </w:numPr>
        <w:rPr>
          <w:rFonts w:ascii="Arial" w:cs="Arial" w:eastAsia="Arial" w:hAnsi="Arial"/>
          <w:sz w:val="17"/>
          <w:szCs w:val="17"/>
          <w:color w:val="auto"/>
        </w:rPr>
      </w:pPr>
      <w:r>
        <w:rPr>
          <w:rFonts w:ascii="Arial" w:cs="Arial" w:eastAsia="Arial" w:hAnsi="Arial"/>
          <w:sz w:val="17"/>
          <w:szCs w:val="17"/>
          <w:u w:val="single" w:color="auto"/>
          <w:color w:val="auto"/>
        </w:rPr>
        <w:t>Administration and Interpretation</w:t>
      </w:r>
      <w:r>
        <w:rPr>
          <w:rFonts w:ascii="Arial" w:cs="Arial" w:eastAsia="Arial" w:hAnsi="Arial"/>
          <w:sz w:val="17"/>
          <w:szCs w:val="17"/>
          <w:color w:val="auto"/>
        </w:rPr>
        <w:t>. Any determination by the Committee in connection with any question or issue arising under the Plan or this Award Agreement shall be final, conclusive and binding on Participant, the Company and all other persons. Any question or dispute regarding the interpretation of this Award Agreement or the receipt of the RSUs hereunder shall be submitted by Participant to the Committee. The resolution of such a dispute by the Committee shall be final and binding on all parties.</w:t>
      </w:r>
    </w:p>
    <w:p>
      <w:pPr>
        <w:spacing w:after="0" w:line="175" w:lineRule="exact"/>
        <w:rPr>
          <w:rFonts w:ascii="Arial" w:cs="Arial" w:eastAsia="Arial" w:hAnsi="Arial"/>
          <w:sz w:val="17"/>
          <w:szCs w:val="17"/>
          <w:color w:val="auto"/>
        </w:rPr>
      </w:pPr>
    </w:p>
    <w:p>
      <w:pPr>
        <w:ind w:right="180" w:firstLine="634"/>
        <w:spacing w:after="0" w:line="289" w:lineRule="auto"/>
        <w:tabs>
          <w:tab w:leader="none" w:pos="1254" w:val="left"/>
        </w:tabs>
        <w:numPr>
          <w:ilvl w:val="0"/>
          <w:numId w:val="520"/>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section headings in this Award Agreement are inserted only as a matter of convenience, and in no way define, limit or interpret the scope of this Award Agreement or of any particular section.</w:t>
      </w:r>
    </w:p>
    <w:p>
      <w:pPr>
        <w:spacing w:after="0" w:line="158" w:lineRule="exact"/>
        <w:rPr>
          <w:rFonts w:ascii="Arial" w:cs="Arial" w:eastAsia="Arial" w:hAnsi="Arial"/>
          <w:sz w:val="17"/>
          <w:szCs w:val="17"/>
          <w:color w:val="auto"/>
        </w:rPr>
      </w:pPr>
    </w:p>
    <w:p>
      <w:pPr>
        <w:jc w:val="both"/>
        <w:ind w:right="120" w:firstLine="634"/>
        <w:spacing w:after="0" w:line="273" w:lineRule="auto"/>
        <w:tabs>
          <w:tab w:leader="none" w:pos="1254" w:val="left"/>
        </w:tabs>
        <w:numPr>
          <w:ilvl w:val="0"/>
          <w:numId w:val="52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Award Agreement may be executed simultaneously in two or more counterparts, each of which shall be deemed an original, but all of which together shall constitute one and the same instrument. Any counterpart or other signature delivered by facsimile shall be deemed for all purposes as being a good and valid execution and deliver of this Award Agreement by that party.</w:t>
      </w:r>
    </w:p>
    <w:p>
      <w:pPr>
        <w:spacing w:after="0" w:line="171" w:lineRule="exact"/>
        <w:rPr>
          <w:rFonts w:ascii="Arial" w:cs="Arial" w:eastAsia="Arial" w:hAnsi="Arial"/>
          <w:sz w:val="17"/>
          <w:szCs w:val="17"/>
          <w:color w:val="auto"/>
        </w:rPr>
      </w:pPr>
    </w:p>
    <w:p>
      <w:pPr>
        <w:ind w:right="400" w:firstLine="634"/>
        <w:spacing w:after="0" w:line="268" w:lineRule="auto"/>
        <w:tabs>
          <w:tab w:leader="none" w:pos="1254" w:val="left"/>
        </w:tabs>
        <w:numPr>
          <w:ilvl w:val="0"/>
          <w:numId w:val="520"/>
        </w:numPr>
        <w:rPr>
          <w:rFonts w:ascii="Arial" w:cs="Arial" w:eastAsia="Arial" w:hAnsi="Arial"/>
          <w:sz w:val="17"/>
          <w:szCs w:val="17"/>
          <w:color w:val="auto"/>
        </w:rPr>
      </w:pPr>
      <w:r>
        <w:rPr>
          <w:rFonts w:ascii="Arial" w:cs="Arial" w:eastAsia="Arial" w:hAnsi="Arial"/>
          <w:sz w:val="17"/>
          <w:szCs w:val="17"/>
          <w:u w:val="single" w:color="auto"/>
          <w:color w:val="auto"/>
        </w:rPr>
        <w:t>Entire Agreement; Governing Law</w:t>
      </w:r>
      <w:r>
        <w:rPr>
          <w:rFonts w:ascii="Arial" w:cs="Arial" w:eastAsia="Arial" w:hAnsi="Arial"/>
          <w:sz w:val="17"/>
          <w:szCs w:val="17"/>
          <w:color w:val="auto"/>
        </w:rPr>
        <w:t>. The provisions of the Plan and the Notice are incorporated herein by reference. Except as otherwise provided herein, the Plan, the Notice and this Award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the Participant. This Award Agreement is governed by the laws of the State of Texas applicable to contracts executed in and to be performed in that state.</w:t>
      </w:r>
    </w:p>
    <w:p>
      <w:pPr>
        <w:spacing w:after="0" w:line="236" w:lineRule="exact"/>
        <w:rPr>
          <w:sz w:val="20"/>
          <w:szCs w:val="20"/>
          <w:color w:val="auto"/>
        </w:rPr>
      </w:pPr>
    </w:p>
    <w:p>
      <w:pPr>
        <w:ind w:right="100" w:firstLine="634"/>
        <w:spacing w:after="0" w:line="278" w:lineRule="auto"/>
        <w:tabs>
          <w:tab w:leader="none" w:pos="1254" w:val="left"/>
        </w:tabs>
        <w:numPr>
          <w:ilvl w:val="0"/>
          <w:numId w:val="521"/>
        </w:numPr>
        <w:rPr>
          <w:rFonts w:ascii="Arial" w:cs="Arial" w:eastAsia="Arial" w:hAnsi="Arial"/>
          <w:sz w:val="16"/>
          <w:szCs w:val="16"/>
          <w:color w:val="auto"/>
        </w:rPr>
      </w:pPr>
      <w:r>
        <w:rPr>
          <w:rFonts w:ascii="Arial" w:cs="Arial" w:eastAsia="Arial" w:hAnsi="Arial"/>
          <w:sz w:val="16"/>
          <w:szCs w:val="16"/>
          <w:u w:val="single" w:color="auto"/>
          <w:color w:val="auto"/>
        </w:rPr>
        <w:t>No Guarantee of Service Provider Status</w:t>
      </w:r>
      <w:r>
        <w:rPr>
          <w:rFonts w:ascii="Arial" w:cs="Arial" w:eastAsia="Arial" w:hAnsi="Arial"/>
          <w:sz w:val="16"/>
          <w:szCs w:val="16"/>
          <w:color w:val="auto"/>
        </w:rPr>
        <w:t>. PARTICIPANT ACKNOWLEDGES AND AGREES THAT THE VESTING OF RSUs PURSUANT TO THE VESTING SCHEDULE HEREOF IS EARNED ONLY BY CONTINUOUS SERVICE AS A SERVICE PROVIDER AND AT THE WILL OF THE COMPANY (NOT THROUGH THE ACT OF BEING HIRED, BEING GRANTED RSUs OR ACQUIRING COMMON STOCK HEREUNDER).</w:t>
      </w:r>
    </w:p>
    <w:p>
      <w:pPr>
        <w:spacing w:after="0" w:line="1"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7"/>
          <w:szCs w:val="17"/>
          <w:color w:val="auto"/>
        </w:rPr>
        <w:t>PARTICIPANT FURTHER ACKNOWLEDGES AND AGREES THAT THIS AWARD AGREEMENT, THE RIGHT GRANTED HEREUNDER, THE TRANSACTIONS CONTEMPLATED HEREUNDER AND THE VESTING SCHEDULE SET FORTH IN THIS AWARD AGREEMENT DO NOT CONSTITUTE AN EXPRESS OR IMPLIED PROMISE OF CONTINUED ENGAGEMENT AS A SERVICE PROVIDER FOR THE VESTING PERIOD, FOR ANY PERIOD, OR AT ALL, AND SHALL NOT INTERFERE IN ANY WAY WITH PARTICIPANT’S RIGHT OR THE COMPANY’S/AFFILIATE’S RIGHT TO TERMINATE PARTICIPANT’S RELATIONSHIP AS A SERVICE PROVIDER AT ANY TIME, WITH OR WITHOUT CAUSE.</w:t>
      </w:r>
    </w:p>
    <w:p>
      <w:pPr>
        <w:spacing w:after="0" w:line="183" w:lineRule="exact"/>
        <w:rPr>
          <w:rFonts w:ascii="Arial" w:cs="Arial" w:eastAsia="Arial" w:hAnsi="Arial"/>
          <w:sz w:val="16"/>
          <w:szCs w:val="16"/>
          <w:color w:val="auto"/>
        </w:rPr>
      </w:pPr>
    </w:p>
    <w:p>
      <w:pPr>
        <w:ind w:right="20" w:firstLine="634"/>
        <w:spacing w:after="0" w:line="273" w:lineRule="auto"/>
        <w:tabs>
          <w:tab w:leader="none" w:pos="1254" w:val="left"/>
        </w:tabs>
        <w:numPr>
          <w:ilvl w:val="0"/>
          <w:numId w:val="521"/>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Failure to insist upon strict compliance with any of the terms, covenants, or conditions hereof will not be deemed a waiver of such term, covenant, or condition, nor will any waiver or relinquishment of, or failure to insist upon strict compliance with, any right or power hereunder at any one or more times be deemed a waiver or relinquishment of such right or power at any other time or times.</w:t>
      </w:r>
    </w:p>
    <w:p>
      <w:pPr>
        <w:spacing w:after="0" w:line="165" w:lineRule="exact"/>
        <w:rPr>
          <w:rFonts w:ascii="Arial" w:cs="Arial" w:eastAsia="Arial" w:hAnsi="Arial"/>
          <w:sz w:val="17"/>
          <w:szCs w:val="17"/>
          <w:color w:val="auto"/>
        </w:rPr>
      </w:pPr>
    </w:p>
    <w:p>
      <w:pPr>
        <w:ind w:left="5240"/>
        <w:spacing w:after="0"/>
        <w:rPr>
          <w:rFonts w:ascii="Arial" w:cs="Arial" w:eastAsia="Arial" w:hAnsi="Arial"/>
          <w:sz w:val="17"/>
          <w:szCs w:val="17"/>
          <w:color w:val="auto"/>
        </w:rPr>
      </w:pPr>
      <w:r>
        <w:rPr>
          <w:rFonts w:ascii="Arial" w:cs="Arial" w:eastAsia="Arial" w:hAnsi="Arial"/>
          <w:sz w:val="17"/>
          <w:szCs w:val="17"/>
          <w:b w:val="1"/>
          <w:bCs w:val="1"/>
          <w:color w:val="auto"/>
        </w:rPr>
        <w:t>*  *  *  *  *</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2013 EQUITY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STOCK UNIT AWARD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SPOUSAL CONSENT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 the undersigned, hereby certify that:</w:t>
      </w:r>
    </w:p>
    <w:p>
      <w:pPr>
        <w:spacing w:after="0" w:line="224" w:lineRule="exact"/>
        <w:rPr>
          <w:sz w:val="20"/>
          <w:szCs w:val="20"/>
          <w:color w:val="auto"/>
        </w:rPr>
      </w:pPr>
    </w:p>
    <w:p>
      <w:pPr>
        <w:spacing w:after="0"/>
        <w:tabs>
          <w:tab w:leader="none" w:pos="620" w:val="left"/>
          <w:tab w:leader="none" w:pos="614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I am the spouse of</w:t>
      </w:r>
      <w:r>
        <w:rPr>
          <w:sz w:val="20"/>
          <w:szCs w:val="20"/>
          <w:color w:val="auto"/>
        </w:rPr>
        <w:tab/>
      </w:r>
      <w:r>
        <w:rPr>
          <w:rFonts w:ascii="Arial" w:cs="Arial" w:eastAsia="Arial" w:hAnsi="Arial"/>
          <w:sz w:val="14"/>
          <w:szCs w:val="14"/>
          <w:color w:val="auto"/>
        </w:rPr>
        <w:t>.</w:t>
      </w:r>
    </w:p>
    <w:p>
      <w:pPr>
        <w:spacing w:after="0" w:line="224" w:lineRule="exact"/>
        <w:rPr>
          <w:sz w:val="20"/>
          <w:szCs w:val="20"/>
          <w:color w:val="auto"/>
        </w:rPr>
      </w:pPr>
    </w:p>
    <w:p>
      <w:pPr>
        <w:ind w:left="640" w:hanging="635"/>
        <w:spacing w:after="0"/>
        <w:tabs>
          <w:tab w:leader="none" w:pos="64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Each of the undersigned and the undersigned’s spouse is a resident of</w:t>
      </w:r>
    </w:p>
    <w:p>
      <w:pPr>
        <w:spacing w:after="0" w:line="26"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w:t>
      </w:r>
    </w:p>
    <w:p>
      <w:pPr>
        <w:spacing w:after="0" w:line="212" w:lineRule="exact"/>
        <w:rPr>
          <w:sz w:val="20"/>
          <w:szCs w:val="20"/>
          <w:color w:val="auto"/>
        </w:rPr>
      </w:pPr>
    </w:p>
    <w:p>
      <w:pPr>
        <w:ind w:right="280" w:firstLine="5"/>
        <w:spacing w:after="0" w:line="273" w:lineRule="auto"/>
        <w:tabs>
          <w:tab w:leader="none" w:pos="629" w:val="left"/>
        </w:tabs>
        <w:numPr>
          <w:ilvl w:val="0"/>
          <w:numId w:val="523"/>
        </w:numPr>
        <w:rPr>
          <w:rFonts w:ascii="Arial" w:cs="Arial" w:eastAsia="Arial" w:hAnsi="Arial"/>
          <w:sz w:val="17"/>
          <w:szCs w:val="17"/>
          <w:color w:val="auto"/>
        </w:rPr>
      </w:pPr>
      <w:r>
        <w:rPr>
          <w:rFonts w:ascii="Arial" w:cs="Arial" w:eastAsia="Arial" w:hAnsi="Arial"/>
          <w:sz w:val="17"/>
          <w:szCs w:val="17"/>
          <w:color w:val="auto"/>
        </w:rPr>
        <w:t>I have read the Applied Optoelectronics, Inc. 2013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and the Restricted Stock Unit Award Agreement (the “</w:t>
      </w:r>
      <w:r>
        <w:rPr>
          <w:rFonts w:ascii="Arial" w:cs="Arial" w:eastAsia="Arial" w:hAnsi="Arial"/>
          <w:sz w:val="17"/>
          <w:szCs w:val="17"/>
          <w:u w:val="single" w:color="auto"/>
          <w:color w:val="auto"/>
        </w:rPr>
        <w:t>Award</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by and between Applied Optoelectronics, Inc. (the “</w:t>
      </w:r>
      <w:r>
        <w:rPr>
          <w:rFonts w:ascii="Arial" w:cs="Arial" w:eastAsia="Arial" w:hAnsi="Arial"/>
          <w:sz w:val="17"/>
          <w:szCs w:val="17"/>
          <w:u w:val="single" w:color="auto"/>
          <w:color w:val="auto"/>
        </w:rPr>
        <w:t>Company</w:t>
      </w:r>
      <w:r>
        <w:rPr>
          <w:rFonts w:ascii="Arial" w:cs="Arial" w:eastAsia="Arial" w:hAnsi="Arial"/>
          <w:sz w:val="17"/>
          <w:szCs w:val="17"/>
          <w:color w:val="auto"/>
        </w:rPr>
        <w:t>”), and my spouse. I have had the opportunity to consult independent legal counsel regarding the contents of the Award Agreement and the Plan.</w:t>
      </w:r>
    </w:p>
    <w:p>
      <w:pPr>
        <w:spacing w:after="0" w:line="171" w:lineRule="exact"/>
        <w:rPr>
          <w:rFonts w:ascii="Arial" w:cs="Arial" w:eastAsia="Arial" w:hAnsi="Arial"/>
          <w:sz w:val="17"/>
          <w:szCs w:val="17"/>
          <w:color w:val="auto"/>
        </w:rPr>
      </w:pPr>
    </w:p>
    <w:p>
      <w:pPr>
        <w:ind w:left="640" w:hanging="635"/>
        <w:spacing w:after="0"/>
        <w:tabs>
          <w:tab w:leader="none" w:pos="640" w:val="left"/>
        </w:tabs>
        <w:numPr>
          <w:ilvl w:val="0"/>
          <w:numId w:val="523"/>
        </w:numPr>
        <w:rPr>
          <w:rFonts w:ascii="Arial" w:cs="Arial" w:eastAsia="Arial" w:hAnsi="Arial"/>
          <w:sz w:val="17"/>
          <w:szCs w:val="17"/>
          <w:color w:val="auto"/>
        </w:rPr>
      </w:pPr>
      <w:r>
        <w:rPr>
          <w:rFonts w:ascii="Arial" w:cs="Arial" w:eastAsia="Arial" w:hAnsi="Arial"/>
          <w:sz w:val="17"/>
          <w:szCs w:val="17"/>
          <w:color w:val="auto"/>
        </w:rPr>
        <w:t>I understand the terms and conditions of the Award Agreement and the Plan.</w:t>
      </w:r>
    </w:p>
    <w:p>
      <w:pPr>
        <w:sectPr>
          <w:pgSz w:w="11900" w:h="16838" w:orient="portrait"/>
          <w:cols w:equalWidth="0" w:num="1">
            <w:col w:w="11420"/>
          </w:cols>
          <w:pgMar w:left="240" w:top="127" w:right="239" w:bottom="89" w:gutter="0" w:footer="0" w:header="0"/>
        </w:sectPr>
      </w:pPr>
    </w:p>
    <w:bookmarkStart w:id="353" w:name="page354"/>
    <w:bookmarkEnd w:id="353"/>
    <w:p>
      <w:pPr>
        <w:ind w:firstLine="5"/>
        <w:spacing w:after="0" w:line="273" w:lineRule="auto"/>
        <w:tabs>
          <w:tab w:leader="none" w:pos="629" w:val="left"/>
        </w:tabs>
        <w:numPr>
          <w:ilvl w:val="0"/>
          <w:numId w:val="524"/>
        </w:numPr>
        <w:rPr>
          <w:rFonts w:ascii="Arial" w:cs="Arial" w:eastAsia="Arial" w:hAnsi="Arial"/>
          <w:sz w:val="17"/>
          <w:szCs w:val="17"/>
          <w:color w:val="auto"/>
        </w:rPr>
      </w:pPr>
      <w:r>
        <w:rPr>
          <w:rFonts w:ascii="Arial" w:cs="Arial" w:eastAsia="Arial" w:hAnsi="Arial"/>
          <w:sz w:val="17"/>
          <w:szCs w:val="17"/>
          <w:color w:val="auto"/>
        </w:rPr>
        <w:t>I hereby consent to the terms of the Award Agreement and the Plan and to their application to and binding effect upon any community property or other interest I may have in the RSUs (it being understood that this Spousal Consent shall in no way be construed to create any such interest). I agree that I will take no action at any time to hinder the operation of the transactions contemplated in and by the Award Agreement and the Plan.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00" w:type="dxa"/>
            <w:vAlign w:val="bottom"/>
          </w:tcPr>
          <w:p>
            <w:pPr>
              <w:spacing w:after="0"/>
              <w:rPr>
                <w:sz w:val="20"/>
                <w:szCs w:val="20"/>
                <w:color w:val="auto"/>
              </w:rPr>
            </w:pPr>
            <w:r>
              <w:rPr>
                <w:rFonts w:ascii="Arial" w:cs="Arial" w:eastAsia="Arial" w:hAnsi="Arial"/>
                <w:sz w:val="17"/>
                <w:szCs w:val="17"/>
                <w:color w:val="auto"/>
              </w:rPr>
              <w:t>IN WITNESS WHEREOF, this Spousal Consent has been executed as of</w:t>
            </w:r>
          </w:p>
        </w:tc>
        <w:tc>
          <w:tcPr>
            <w:tcW w:w="1080" w:type="dxa"/>
            <w:vAlign w:val="bottom"/>
          </w:tcPr>
          <w:p>
            <w:pPr>
              <w:jc w:val="right"/>
              <w:spacing w:after="0"/>
              <w:rPr>
                <w:sz w:val="20"/>
                <w:szCs w:val="20"/>
                <w:color w:val="auto"/>
              </w:rPr>
            </w:pPr>
            <w:r>
              <w:rPr>
                <w:rFonts w:ascii="Arial" w:cs="Arial" w:eastAsia="Arial" w:hAnsi="Arial"/>
                <w:sz w:val="17"/>
                <w:szCs w:val="17"/>
                <w:color w:val="auto"/>
              </w:rPr>
              <w:t>, 2013.</w:t>
            </w:r>
          </w:p>
        </w:tc>
      </w:tr>
    </w:tbl>
    <w:p>
      <w:pPr>
        <w:spacing w:after="0" w:line="200" w:lineRule="exact"/>
        <w:rPr>
          <w:sz w:val="20"/>
          <w:szCs w:val="20"/>
          <w:color w:val="auto"/>
        </w:rPr>
      </w:pP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SPOUSE:</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4281805</wp:posOffset>
            </wp:positionH>
            <wp:positionV relativeFrom="paragraph">
              <wp:posOffset>17145</wp:posOffset>
            </wp:positionV>
            <wp:extent cx="297180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17145</wp:posOffset>
            </wp:positionV>
            <wp:extent cx="289687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354" w:name="page355"/>
    <w:bookmarkEnd w:id="354"/>
    <w:p>
      <w:pPr>
        <w:jc w:val="right"/>
        <w:spacing w:after="0"/>
        <w:rPr>
          <w:sz w:val="20"/>
          <w:szCs w:val="20"/>
          <w:color w:val="auto"/>
        </w:rPr>
      </w:pPr>
      <w:r>
        <w:rPr>
          <w:rFonts w:ascii="Arial" w:cs="Arial" w:eastAsia="Arial" w:hAnsi="Arial"/>
          <w:sz w:val="17"/>
          <w:szCs w:val="17"/>
          <w:b w:val="1"/>
          <w:bCs w:val="1"/>
          <w:color w:val="auto"/>
        </w:rPr>
        <w:t>Exhibit 10.6.3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2013 EQUITY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STOCK APPRECIATION RIGHT AWARD</w:t>
      </w:r>
    </w:p>
    <w:p>
      <w:pPr>
        <w:spacing w:after="0" w:line="23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Subject to the terms and conditions of this Notice of Stock Appreciation Right Award (this “</w:t>
      </w:r>
      <w:r>
        <w:rPr>
          <w:rFonts w:ascii="Arial" w:cs="Arial" w:eastAsia="Arial" w:hAnsi="Arial"/>
          <w:sz w:val="17"/>
          <w:szCs w:val="17"/>
          <w:u w:val="single" w:color="auto"/>
          <w:color w:val="auto"/>
        </w:rPr>
        <w:t>Notice</w:t>
      </w:r>
      <w:r>
        <w:rPr>
          <w:rFonts w:ascii="Arial" w:cs="Arial" w:eastAsia="Arial" w:hAnsi="Arial"/>
          <w:sz w:val="17"/>
          <w:szCs w:val="17"/>
          <w:color w:val="auto"/>
        </w:rPr>
        <w:t>”), the Stock Appreciation Right Award Agreement attached hereto (the “</w:t>
      </w:r>
      <w:r>
        <w:rPr>
          <w:rFonts w:ascii="Arial" w:cs="Arial" w:eastAsia="Arial" w:hAnsi="Arial"/>
          <w:sz w:val="17"/>
          <w:szCs w:val="17"/>
          <w:u w:val="single" w:color="auto"/>
          <w:color w:val="auto"/>
        </w:rPr>
        <w:t>Award Agreement</w:t>
      </w:r>
      <w:r>
        <w:rPr>
          <w:rFonts w:ascii="Arial" w:cs="Arial" w:eastAsia="Arial" w:hAnsi="Arial"/>
          <w:sz w:val="17"/>
          <w:szCs w:val="17"/>
          <w:color w:val="auto"/>
        </w:rPr>
        <w:t>”), and the Applied Optoelectronics, Inc. 2013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the below individual (the “</w:t>
      </w:r>
      <w:r>
        <w:rPr>
          <w:rFonts w:ascii="Arial" w:cs="Arial" w:eastAsia="Arial" w:hAnsi="Arial"/>
          <w:sz w:val="17"/>
          <w:szCs w:val="17"/>
          <w:u w:val="single" w:color="auto"/>
          <w:color w:val="auto"/>
        </w:rPr>
        <w:t>Participant</w:t>
      </w:r>
      <w:r>
        <w:rPr>
          <w:rFonts w:ascii="Arial" w:cs="Arial" w:eastAsia="Arial" w:hAnsi="Arial"/>
          <w:sz w:val="17"/>
          <w:szCs w:val="17"/>
          <w:color w:val="auto"/>
        </w:rPr>
        <w:t>”) is hereby granted the below number of Stock Appreciation Rights (the “</w:t>
      </w:r>
      <w:r>
        <w:rPr>
          <w:rFonts w:ascii="Arial" w:cs="Arial" w:eastAsia="Arial" w:hAnsi="Arial"/>
          <w:sz w:val="17"/>
          <w:szCs w:val="17"/>
          <w:u w:val="single" w:color="auto"/>
          <w:color w:val="auto"/>
        </w:rPr>
        <w:t>SARs</w:t>
      </w:r>
      <w:r>
        <w:rPr>
          <w:rFonts w:ascii="Arial" w:cs="Arial" w:eastAsia="Arial" w:hAnsi="Arial"/>
          <w:sz w:val="17"/>
          <w:szCs w:val="17"/>
          <w:color w:val="auto"/>
        </w:rPr>
        <w:t>”) in Applied Optoelectronics, Inc. (the “</w:t>
      </w:r>
      <w:r>
        <w:rPr>
          <w:rFonts w:ascii="Arial" w:cs="Arial" w:eastAsia="Arial" w:hAnsi="Arial"/>
          <w:sz w:val="17"/>
          <w:szCs w:val="17"/>
          <w:u w:val="single" w:color="auto"/>
          <w:color w:val="auto"/>
        </w:rPr>
        <w:t>Company</w:t>
      </w:r>
      <w:r>
        <w:rPr>
          <w:rFonts w:ascii="Arial" w:cs="Arial" w:eastAsia="Arial" w:hAnsi="Arial"/>
          <w:sz w:val="17"/>
          <w:szCs w:val="17"/>
          <w:color w:val="auto"/>
        </w:rPr>
        <w:t>”). Unless otherwise specifically indicated, all terms used in this Notice shall have the meaning as set forth in the Award Agreement or the Plan.</w:t>
      </w:r>
    </w:p>
    <w:p>
      <w:pPr>
        <w:sectPr>
          <w:pgSz w:w="11900" w:h="16838" w:orient="portrait"/>
          <w:cols w:equalWidth="0" w:num="1">
            <w:col w:w="11420"/>
          </w:cols>
          <w:pgMar w:left="240" w:top="357" w:right="239" w:bottom="0" w:gutter="0" w:footer="0" w:header="0"/>
        </w:sectPr>
      </w:pPr>
    </w:p>
    <w:p>
      <w:pPr>
        <w:spacing w:after="0" w:line="176" w:lineRule="exact"/>
        <w:rPr>
          <w:sz w:val="20"/>
          <w:szCs w:val="20"/>
          <w:color w:val="auto"/>
        </w:rPr>
      </w:pPr>
    </w:p>
    <w:p>
      <w:pPr>
        <w:jc w:val="right"/>
        <w:ind w:right="4120"/>
        <w:spacing w:after="0"/>
        <w:rPr>
          <w:sz w:val="20"/>
          <w:szCs w:val="20"/>
          <w:color w:val="auto"/>
        </w:rPr>
      </w:pPr>
      <w:r>
        <w:rPr>
          <w:rFonts w:ascii="Arial" w:cs="Arial" w:eastAsia="Arial" w:hAnsi="Arial"/>
          <w:sz w:val="15"/>
          <w:szCs w:val="15"/>
          <w:color w:val="auto"/>
        </w:rPr>
        <w:t>Participant Name:</w:t>
      </w:r>
    </w:p>
    <w:p>
      <w:pPr>
        <w:spacing w:after="0" w:line="49" w:lineRule="exact"/>
        <w:rPr>
          <w:sz w:val="20"/>
          <w:szCs w:val="20"/>
          <w:color w:val="auto"/>
        </w:rPr>
      </w:pPr>
    </w:p>
    <w:p>
      <w:pPr>
        <w:jc w:val="right"/>
        <w:ind w:right="4120"/>
        <w:spacing w:after="0"/>
        <w:rPr>
          <w:sz w:val="20"/>
          <w:szCs w:val="20"/>
          <w:color w:val="auto"/>
        </w:rPr>
      </w:pPr>
      <w:r>
        <w:rPr>
          <w:rFonts w:ascii="Arial" w:cs="Arial" w:eastAsia="Arial" w:hAnsi="Arial"/>
          <w:sz w:val="17"/>
          <w:szCs w:val="17"/>
          <w:color w:val="auto"/>
        </w:rPr>
        <w:t>and Address: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right"/>
        <w:ind w:right="2280"/>
        <w:spacing w:after="0"/>
        <w:rPr>
          <w:sz w:val="20"/>
          <w:szCs w:val="20"/>
          <w:color w:val="auto"/>
        </w:rPr>
      </w:pPr>
      <w:r>
        <w:rPr>
          <w:rFonts w:ascii="Arial" w:cs="Arial" w:eastAsia="Arial" w:hAnsi="Arial"/>
          <w:sz w:val="17"/>
          <w:szCs w:val="17"/>
          <w:color w:val="auto"/>
        </w:rPr>
        <w:t>Date of Grant:</w:t>
      </w:r>
    </w:p>
    <w:p>
      <w:pPr>
        <w:spacing w:after="0" w:line="26" w:lineRule="exact"/>
        <w:rPr>
          <w:sz w:val="20"/>
          <w:szCs w:val="20"/>
          <w:color w:val="auto"/>
        </w:rPr>
      </w:pPr>
    </w:p>
    <w:p>
      <w:pPr>
        <w:jc w:val="right"/>
        <w:ind w:right="2280"/>
        <w:spacing w:after="0"/>
        <w:rPr>
          <w:sz w:val="20"/>
          <w:szCs w:val="20"/>
          <w:color w:val="auto"/>
        </w:rPr>
      </w:pPr>
      <w:r>
        <w:rPr>
          <w:rFonts w:ascii="Arial" w:cs="Arial" w:eastAsia="Arial" w:hAnsi="Arial"/>
          <w:sz w:val="17"/>
          <w:szCs w:val="17"/>
          <w:color w:val="auto"/>
        </w:rPr>
        <w:t>Number of SARs:</w:t>
      </w:r>
    </w:p>
    <w:p>
      <w:pPr>
        <w:spacing w:after="0" w:line="14" w:lineRule="exact"/>
        <w:rPr>
          <w:sz w:val="20"/>
          <w:szCs w:val="20"/>
          <w:color w:val="auto"/>
        </w:rPr>
      </w:pPr>
    </w:p>
    <w:p>
      <w:pPr>
        <w:jc w:val="right"/>
        <w:ind w:right="2280"/>
        <w:spacing w:after="0"/>
        <w:rPr>
          <w:sz w:val="20"/>
          <w:szCs w:val="20"/>
          <w:color w:val="auto"/>
        </w:rPr>
      </w:pPr>
      <w:r>
        <w:rPr>
          <w:rFonts w:ascii="Arial" w:cs="Arial" w:eastAsia="Arial" w:hAnsi="Arial"/>
          <w:sz w:val="15"/>
          <w:szCs w:val="15"/>
          <w:color w:val="auto"/>
        </w:rPr>
        <w:t>Vesting Commencement Date:</w:t>
      </w:r>
    </w:p>
    <w:p>
      <w:pPr>
        <w:spacing w:after="0" w:line="200" w:lineRule="exact"/>
        <w:rPr>
          <w:sz w:val="20"/>
          <w:szCs w:val="20"/>
          <w:color w:val="auto"/>
        </w:rPr>
      </w:pPr>
    </w:p>
    <w:p>
      <w:pPr>
        <w:sectPr>
          <w:pgSz w:w="11900" w:h="16838" w:orient="portrait"/>
          <w:cols w:equalWidth="0" w:num="2">
            <w:col w:w="6280" w:space="720"/>
            <w:col w:w="4420"/>
          </w:cols>
          <w:pgMar w:left="240" w:top="357" w:right="239" w:bottom="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ectPr>
          <w:pgSz w:w="11900" w:h="16838" w:orient="portrait"/>
          <w:cols w:equalWidth="0" w:num="1">
            <w:col w:w="11420"/>
          </w:cols>
          <w:pgMar w:left="240" w:top="357" w:right="239" w:bottom="0" w:gutter="0" w:footer="0" w:header="0"/>
          <w:type w:val="continuous"/>
        </w:sect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560" w:type="dxa"/>
            <w:vAlign w:val="bottom"/>
            <w:gridSpan w:val="8"/>
          </w:tcPr>
          <w:p>
            <w:pPr>
              <w:spacing w:after="0"/>
              <w:rPr>
                <w:sz w:val="20"/>
                <w:szCs w:val="20"/>
                <w:color w:val="auto"/>
              </w:rPr>
            </w:pPr>
            <w:r>
              <w:rPr>
                <w:rFonts w:ascii="Arial" w:cs="Arial" w:eastAsia="Arial" w:hAnsi="Arial"/>
                <w:sz w:val="17"/>
                <w:szCs w:val="17"/>
                <w:color w:val="auto"/>
                <w:w w:val="93"/>
              </w:rPr>
              <w:t>Subject to the Participant’s continuous status as a Service Provider, and the terms of the Plan and this Award Agreement, the SARs shall vest over a [</w:t>
            </w:r>
          </w:p>
        </w:tc>
        <w:tc>
          <w:tcPr>
            <w:tcW w:w="540" w:type="dxa"/>
            <w:vAlign w:val="bottom"/>
          </w:tcPr>
          <w:p>
            <w:pPr>
              <w:ind w:left="120"/>
              <w:spacing w:after="0"/>
              <w:rPr>
                <w:sz w:val="20"/>
                <w:szCs w:val="20"/>
                <w:color w:val="auto"/>
              </w:rPr>
            </w:pPr>
            <w:r>
              <w:rPr>
                <w:rFonts w:ascii="Arial" w:cs="Arial" w:eastAsia="Arial" w:hAnsi="Arial"/>
                <w:sz w:val="17"/>
                <w:szCs w:val="17"/>
                <w:color w:val="auto"/>
                <w:w w:val="91"/>
              </w:rPr>
              <w:t>]-year</w:t>
            </w:r>
          </w:p>
        </w:tc>
      </w:tr>
      <w:tr>
        <w:trPr>
          <w:trHeight w:val="183"/>
        </w:trPr>
        <w:tc>
          <w:tcPr>
            <w:tcW w:w="6300" w:type="dxa"/>
            <w:vAlign w:val="bottom"/>
            <w:gridSpan w:val="6"/>
          </w:tcPr>
          <w:p>
            <w:pPr>
              <w:spacing w:after="0" w:line="183" w:lineRule="exact"/>
              <w:rPr>
                <w:sz w:val="20"/>
                <w:szCs w:val="20"/>
                <w:color w:val="auto"/>
              </w:rPr>
            </w:pPr>
            <w:r>
              <w:rPr>
                <w:rFonts w:ascii="Arial" w:cs="Arial" w:eastAsia="Arial" w:hAnsi="Arial"/>
                <w:sz w:val="17"/>
                <w:szCs w:val="17"/>
                <w:color w:val="auto"/>
              </w:rPr>
              <w:t>period in accordance with the following vesting schedule (the “Vesting Schedule”):</w:t>
            </w:r>
          </w:p>
        </w:tc>
        <w:tc>
          <w:tcPr>
            <w:tcW w:w="3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373"/>
        </w:trPr>
        <w:tc>
          <w:tcPr>
            <w:tcW w:w="1260" w:type="dxa"/>
            <w:vAlign w:val="bottom"/>
          </w:tcPr>
          <w:p>
            <w:pPr>
              <w:spacing w:after="0"/>
              <w:rPr>
                <w:sz w:val="24"/>
                <w:szCs w:val="24"/>
                <w:color w:val="auto"/>
              </w:rPr>
            </w:pPr>
          </w:p>
        </w:tc>
        <w:tc>
          <w:tcPr>
            <w:tcW w:w="3180" w:type="dxa"/>
            <w:vAlign w:val="bottom"/>
          </w:tcPr>
          <w:p>
            <w:pPr>
              <w:ind w:left="1460"/>
              <w:spacing w:after="0"/>
              <w:rPr>
                <w:sz w:val="20"/>
                <w:szCs w:val="20"/>
                <w:color w:val="auto"/>
              </w:rPr>
            </w:pPr>
            <w:r>
              <w:rPr>
                <w:rFonts w:ascii="Arial" w:cs="Arial" w:eastAsia="Arial" w:hAnsi="Arial"/>
                <w:sz w:val="14"/>
                <w:szCs w:val="14"/>
                <w:b w:val="1"/>
                <w:bCs w:val="1"/>
                <w:color w:val="auto"/>
              </w:rPr>
              <w:t>Vesting Date</w:t>
            </w:r>
          </w:p>
        </w:tc>
        <w:tc>
          <w:tcPr>
            <w:tcW w:w="1200" w:type="dxa"/>
            <w:vAlign w:val="bottom"/>
            <w:tcBorders>
              <w:top w:val="single" w:sz="8" w:color="auto"/>
            </w:tcBorders>
            <w:gridSpan w:val="3"/>
          </w:tcPr>
          <w:p>
            <w:pPr>
              <w:spacing w:after="0"/>
              <w:rPr>
                <w:sz w:val="24"/>
                <w:szCs w:val="24"/>
                <w:color w:val="auto"/>
              </w:rPr>
            </w:pPr>
          </w:p>
        </w:tc>
        <w:tc>
          <w:tcPr>
            <w:tcW w:w="660" w:type="dxa"/>
            <w:vAlign w:val="bottom"/>
          </w:tcPr>
          <w:p>
            <w:pPr>
              <w:spacing w:after="0"/>
              <w:rPr>
                <w:sz w:val="24"/>
                <w:szCs w:val="24"/>
                <w:color w:val="auto"/>
              </w:rPr>
            </w:pPr>
          </w:p>
        </w:tc>
        <w:tc>
          <w:tcPr>
            <w:tcW w:w="4260" w:type="dxa"/>
            <w:vAlign w:val="bottom"/>
            <w:gridSpan w:val="2"/>
          </w:tcPr>
          <w:p>
            <w:pPr>
              <w:ind w:left="460"/>
              <w:spacing w:after="0"/>
              <w:rPr>
                <w:sz w:val="20"/>
                <w:szCs w:val="20"/>
                <w:color w:val="auto"/>
              </w:rPr>
            </w:pPr>
            <w:r>
              <w:rPr>
                <w:rFonts w:ascii="Arial" w:cs="Arial" w:eastAsia="Arial" w:hAnsi="Arial"/>
                <w:sz w:val="14"/>
                <w:szCs w:val="14"/>
                <w:b w:val="1"/>
                <w:bCs w:val="1"/>
                <w:color w:val="auto"/>
              </w:rPr>
              <w:t>Nonforfeitable Percentage</w:t>
            </w:r>
          </w:p>
        </w:tc>
        <w:tc>
          <w:tcPr>
            <w:tcW w:w="540" w:type="dxa"/>
            <w:vAlign w:val="bottom"/>
          </w:tcPr>
          <w:p>
            <w:pPr>
              <w:spacing w:after="0"/>
              <w:rPr>
                <w:sz w:val="24"/>
                <w:szCs w:val="24"/>
                <w:color w:val="auto"/>
              </w:rPr>
            </w:pPr>
          </w:p>
        </w:tc>
      </w:tr>
      <w:tr>
        <w:trPr>
          <w:trHeight w:val="137"/>
        </w:trPr>
        <w:tc>
          <w:tcPr>
            <w:tcW w:w="1260" w:type="dxa"/>
            <w:vAlign w:val="bottom"/>
          </w:tcPr>
          <w:p>
            <w:pPr>
              <w:spacing w:after="0"/>
              <w:rPr>
                <w:sz w:val="11"/>
                <w:szCs w:val="11"/>
                <w:color w:val="auto"/>
              </w:rPr>
            </w:pPr>
          </w:p>
        </w:tc>
        <w:tc>
          <w:tcPr>
            <w:tcW w:w="31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320" w:type="dxa"/>
            <w:vAlign w:val="bottom"/>
            <w:tcBorders>
              <w:top w:val="single" w:sz="8" w:color="auto"/>
            </w:tcBorders>
            <w:shd w:val="clear" w:color="auto" w:fill="CCEEFF"/>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44"/>
        </w:trPr>
        <w:tc>
          <w:tcPr>
            <w:tcW w:w="12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4"/>
        </w:trPr>
        <w:tc>
          <w:tcPr>
            <w:tcW w:w="1260" w:type="dxa"/>
            <w:vAlign w:val="bottom"/>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r>
    </w:tbl>
    <w:p>
      <w:pPr>
        <w:spacing w:after="0" w:line="197" w:lineRule="exact"/>
        <w:rPr>
          <w:sz w:val="20"/>
          <w:szCs w:val="20"/>
          <w:color w:val="auto"/>
        </w:rPr>
      </w:pPr>
    </w:p>
    <w:p>
      <w:pPr>
        <w:ind w:right="240" w:firstLine="699"/>
        <w:spacing w:after="0" w:line="289" w:lineRule="auto"/>
        <w:rPr>
          <w:sz w:val="20"/>
          <w:szCs w:val="20"/>
          <w:color w:val="auto"/>
        </w:rPr>
      </w:pPr>
      <w:r>
        <w:rPr>
          <w:rFonts w:ascii="Arial" w:cs="Arial" w:eastAsia="Arial" w:hAnsi="Arial"/>
          <w:sz w:val="17"/>
          <w:szCs w:val="17"/>
          <w:color w:val="auto"/>
        </w:rPr>
        <w:t>[Notwithstanding the above, the SARs shall automatically become fully vested upon the earlier of: (i) the Participant’s Disability; (ii) the Participant’s death; and (iii) immediately prior to the closing of a Change in Control of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[SIGNATURES ON NEXT PAGE]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firstLine="629"/>
        <w:spacing w:after="0" w:line="289" w:lineRule="auto"/>
        <w:rPr>
          <w:sz w:val="20"/>
          <w:szCs w:val="20"/>
          <w:color w:val="auto"/>
        </w:rPr>
      </w:pPr>
      <w:r>
        <w:rPr>
          <w:rFonts w:ascii="Arial" w:cs="Arial" w:eastAsia="Arial" w:hAnsi="Arial"/>
          <w:sz w:val="17"/>
          <w:szCs w:val="17"/>
          <w:color w:val="auto"/>
        </w:rPr>
        <w:t>By your signature and the signature of the Company’s representative below, the Participant and the Company agree that the SARs granted are governed by the terms and conditions of this Notice, the Award Agreement and the Plan.</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APPLIED OPTOELECTRONICS, INC.</w:t>
      </w:r>
    </w:p>
    <w:p>
      <w:pPr>
        <w:spacing w:after="0" w:line="200" w:lineRule="exact"/>
        <w:rPr>
          <w:sz w:val="20"/>
          <w:szCs w:val="20"/>
          <w:color w:val="auto"/>
        </w:rPr>
      </w:pPr>
    </w:p>
    <w:p>
      <w:pPr>
        <w:spacing w:after="0" w:line="24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17145</wp:posOffset>
            </wp:positionV>
            <wp:extent cx="335470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354705"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17145</wp:posOffset>
            </wp:positionV>
            <wp:extent cx="335470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354705" cy="8255"/>
                    </a:xfrm>
                    <a:prstGeom prst="rect">
                      <a:avLst/>
                    </a:prstGeom>
                    <a:noFill/>
                  </pic:spPr>
                </pic:pic>
              </a:graphicData>
            </a:graphic>
          </wp:anchor>
        </w:drawing>
      </w:r>
    </w:p>
    <w:p>
      <w:pPr>
        <w:spacing w:after="0" w:line="204"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17145</wp:posOffset>
            </wp:positionV>
            <wp:extent cx="321310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213100" cy="8255"/>
                    </a:xfrm>
                    <a:prstGeom prst="rect">
                      <a:avLst/>
                    </a:prstGeom>
                    <a:noFill/>
                  </pic:spPr>
                </pic:pic>
              </a:graphicData>
            </a:graphic>
          </wp:anchor>
        </w:drawing>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PARTICIPANT ACKNOWLEDGMENT</w:t>
      </w:r>
    </w:p>
    <w:p>
      <w:pPr>
        <w:spacing w:after="0" w:line="230"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The Participant acknowledges receipt of a copy of this Notice, the Award Agreement and the Plan, and represents that he or she is familiar with the provisions thereof, and hereby accepts the SARs subject to all of the terms and provisions hereof and thereof. The Participant has reviewed this Notice, the Award Agreement and the Plan in their entirety, has had an opportunity to obtain the advice of legal counsel prior to executing this Notice, the Award Agreement, and fully understands all provisions of this Notice, the Award Agreement and the Plan. The Participant hereby agrees that all questions of interpretation and administration relating to this Notice, the Award Agreement and the Plan shall be resolved by the Committee.</w:t>
      </w:r>
    </w:p>
    <w:p>
      <w:pPr>
        <w:spacing w:after="0" w:line="179" w:lineRule="exact"/>
        <w:rPr>
          <w:sz w:val="20"/>
          <w:szCs w:val="20"/>
          <w:color w:val="auto"/>
        </w:rPr>
      </w:pPr>
    </w:p>
    <w:p>
      <w:pPr>
        <w:ind w:right="100" w:firstLine="629"/>
        <w:spacing w:after="0" w:line="285" w:lineRule="auto"/>
        <w:rPr>
          <w:sz w:val="20"/>
          <w:szCs w:val="20"/>
          <w:color w:val="auto"/>
        </w:rPr>
      </w:pPr>
      <w:r>
        <w:rPr>
          <w:rFonts w:ascii="Arial" w:cs="Arial" w:eastAsia="Arial" w:hAnsi="Arial"/>
          <w:sz w:val="16"/>
          <w:szCs w:val="16"/>
          <w:color w:val="auto"/>
        </w:rPr>
        <w:t>The Participant hereby acknowledges that he or she has had the opportunity to review with his or her own tax advisors the tax consequences of receiving this Notice, the Award Agreement and the Plan, and the transactions contemplated thereby, including any U.S. federal, state and local tax laws, and any other applicable taxing jurisdiction, prior to executing this Notice. The Participant attests that he or she is relying solely on such advisors and not on any statements or representations of the Company or any of its agents or affiliates. Further, the Participant hereby acknowledges and understands that he or she (and not the Company) shall be solely responsible for his or her tax liability that may arise as a result of receiving this Notice and the Award Agreement.</w:t>
      </w:r>
    </w:p>
    <w:p>
      <w:pPr>
        <w:spacing w:after="0" w:line="370"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PARTICIPANT:</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17145</wp:posOffset>
            </wp:positionV>
            <wp:extent cx="29800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980055" cy="8255"/>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4373245</wp:posOffset>
            </wp:positionH>
            <wp:positionV relativeFrom="paragraph">
              <wp:posOffset>17145</wp:posOffset>
            </wp:positionV>
            <wp:extent cx="288036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17145</wp:posOffset>
            </wp:positionV>
            <wp:extent cx="31800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APPLIED OPTOELECTRONICS,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2013 EQUITY INCENTIVE PLAN</w:t>
      </w:r>
    </w:p>
    <w:p>
      <w:pPr>
        <w:sectPr>
          <w:pgSz w:w="11900" w:h="16838" w:orient="portrait"/>
          <w:cols w:equalWidth="0" w:num="1">
            <w:col w:w="11420"/>
          </w:cols>
          <w:pgMar w:left="240" w:top="357" w:right="239" w:bottom="0" w:gutter="0" w:footer="0" w:header="0"/>
          <w:type w:val="continuous"/>
        </w:sectPr>
      </w:pPr>
    </w:p>
    <w:bookmarkStart w:id="355" w:name="page356"/>
    <w:bookmarkEnd w:id="355"/>
    <w:p>
      <w:pPr>
        <w:jc w:val="center"/>
        <w:ind w:right="-19"/>
        <w:spacing w:after="0"/>
        <w:rPr>
          <w:sz w:val="20"/>
          <w:szCs w:val="20"/>
          <w:color w:val="auto"/>
        </w:rPr>
      </w:pPr>
      <w:r>
        <w:rPr>
          <w:rFonts w:ascii="Arial" w:cs="Arial" w:eastAsia="Arial" w:hAnsi="Arial"/>
          <w:sz w:val="17"/>
          <w:szCs w:val="17"/>
          <w:b w:val="1"/>
          <w:bCs w:val="1"/>
          <w:color w:val="auto"/>
        </w:rPr>
        <w:t>STOCK APPRECIATION RIGHT AWARD AGREEMENT</w:t>
      </w:r>
    </w:p>
    <w:p>
      <w:pPr>
        <w:spacing w:after="0" w:line="23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Subject to the terms and conditions of the Notice of Stock Appreciation Right Award (the “</w:t>
      </w:r>
      <w:r>
        <w:rPr>
          <w:rFonts w:ascii="Arial" w:cs="Arial" w:eastAsia="Arial" w:hAnsi="Arial"/>
          <w:sz w:val="17"/>
          <w:szCs w:val="17"/>
          <w:u w:val="single" w:color="auto"/>
          <w:color w:val="auto"/>
        </w:rPr>
        <w:t>Notice</w:t>
      </w:r>
      <w:r>
        <w:rPr>
          <w:rFonts w:ascii="Arial" w:cs="Arial" w:eastAsia="Arial" w:hAnsi="Arial"/>
          <w:sz w:val="17"/>
          <w:szCs w:val="17"/>
          <w:color w:val="auto"/>
        </w:rPr>
        <w:t>”), this Stock Appreciation Right Award Agreement (the “</w:t>
      </w:r>
      <w:r>
        <w:rPr>
          <w:rFonts w:ascii="Arial" w:cs="Arial" w:eastAsia="Arial" w:hAnsi="Arial"/>
          <w:sz w:val="17"/>
          <w:szCs w:val="17"/>
          <w:u w:val="single" w:color="auto"/>
          <w:color w:val="auto"/>
        </w:rPr>
        <w:t>Award</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and the Applied Optoelectronics, Inc. 2013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the individual set forth in the Notice (the “</w:t>
      </w:r>
      <w:r>
        <w:rPr>
          <w:rFonts w:ascii="Arial" w:cs="Arial" w:eastAsia="Arial" w:hAnsi="Arial"/>
          <w:sz w:val="17"/>
          <w:szCs w:val="17"/>
          <w:u w:val="single" w:color="auto"/>
          <w:color w:val="auto"/>
        </w:rPr>
        <w:t>Participant</w:t>
      </w:r>
      <w:r>
        <w:rPr>
          <w:rFonts w:ascii="Arial" w:cs="Arial" w:eastAsia="Arial" w:hAnsi="Arial"/>
          <w:sz w:val="17"/>
          <w:szCs w:val="17"/>
          <w:color w:val="auto"/>
        </w:rPr>
        <w:t>”) is hereby granted Stock Appreciation Rights (the “</w:t>
      </w:r>
      <w:r>
        <w:rPr>
          <w:rFonts w:ascii="Arial" w:cs="Arial" w:eastAsia="Arial" w:hAnsi="Arial"/>
          <w:sz w:val="17"/>
          <w:szCs w:val="17"/>
          <w:u w:val="single" w:color="auto"/>
          <w:color w:val="auto"/>
        </w:rPr>
        <w:t>SARs</w:t>
      </w:r>
      <w:r>
        <w:rPr>
          <w:rFonts w:ascii="Arial" w:cs="Arial" w:eastAsia="Arial" w:hAnsi="Arial"/>
          <w:sz w:val="17"/>
          <w:szCs w:val="17"/>
          <w:color w:val="auto"/>
        </w:rPr>
        <w:t>”) in Applied Optoelectronics, Inc. (the “</w:t>
      </w:r>
      <w:r>
        <w:rPr>
          <w:rFonts w:ascii="Arial" w:cs="Arial" w:eastAsia="Arial" w:hAnsi="Arial"/>
          <w:sz w:val="17"/>
          <w:szCs w:val="17"/>
          <w:u w:val="single" w:color="auto"/>
          <w:color w:val="auto"/>
        </w:rPr>
        <w:t>Company</w:t>
      </w:r>
      <w:r>
        <w:rPr>
          <w:rFonts w:ascii="Arial" w:cs="Arial" w:eastAsia="Arial" w:hAnsi="Arial"/>
          <w:sz w:val="17"/>
          <w:szCs w:val="17"/>
          <w:color w:val="auto"/>
        </w:rPr>
        <w:t>”). Unless otherwise specifically indicated, all terms used in this Award Agreement shall have the meaning as set forth in the Notice or the Plan.</w:t>
      </w:r>
    </w:p>
    <w:p>
      <w:pPr>
        <w:spacing w:after="0" w:line="176" w:lineRule="exact"/>
        <w:rPr>
          <w:sz w:val="20"/>
          <w:szCs w:val="20"/>
          <w:color w:val="auto"/>
        </w:rPr>
      </w:pPr>
    </w:p>
    <w:p>
      <w:pPr>
        <w:jc w:val="both"/>
        <w:ind w:firstLine="634"/>
        <w:spacing w:after="0" w:line="326" w:lineRule="auto"/>
        <w:tabs>
          <w:tab w:leader="none" w:pos="1258" w:val="left"/>
        </w:tabs>
        <w:numPr>
          <w:ilvl w:val="0"/>
          <w:numId w:val="525"/>
        </w:numPr>
        <w:rPr>
          <w:rFonts w:ascii="Arial" w:cs="Arial" w:eastAsia="Arial" w:hAnsi="Arial"/>
          <w:sz w:val="15"/>
          <w:szCs w:val="15"/>
          <w:color w:val="auto"/>
        </w:rPr>
      </w:pPr>
      <w:r>
        <w:rPr>
          <w:rFonts w:ascii="Arial" w:cs="Arial" w:eastAsia="Arial" w:hAnsi="Arial"/>
          <w:sz w:val="15"/>
          <w:szCs w:val="15"/>
          <w:u w:val="single" w:color="auto"/>
          <w:color w:val="auto"/>
        </w:rPr>
        <w:t>Number and Purpose of SARs</w:t>
      </w:r>
      <w:r>
        <w:rPr>
          <w:rFonts w:ascii="Arial" w:cs="Arial" w:eastAsia="Arial" w:hAnsi="Arial"/>
          <w:sz w:val="15"/>
          <w:szCs w:val="15"/>
          <w:color w:val="auto"/>
        </w:rPr>
        <w:t>. Participant has been awarded the number of SARs as set forth in the Notice. Subject to the terms and conditions contained in the Notice and this Award Agreement, the general purpose of the SARs is to provide Participant with the prospective ability to receive a cash payment equal in value to the appreciation of the Company’s common stock from the Date of Grant to the conversion and payment set forth in Section 3, below.</w:t>
      </w:r>
    </w:p>
    <w:p>
      <w:pPr>
        <w:spacing w:after="0" w:line="136" w:lineRule="exact"/>
        <w:rPr>
          <w:rFonts w:ascii="Arial" w:cs="Arial" w:eastAsia="Arial" w:hAnsi="Arial"/>
          <w:sz w:val="15"/>
          <w:szCs w:val="15"/>
          <w:color w:val="auto"/>
        </w:rPr>
      </w:pPr>
    </w:p>
    <w:p>
      <w:pPr>
        <w:ind w:left="1260" w:hanging="626"/>
        <w:spacing w:after="0"/>
        <w:tabs>
          <w:tab w:leader="none" w:pos="1260" w:val="left"/>
        </w:tabs>
        <w:numPr>
          <w:ilvl w:val="0"/>
          <w:numId w:val="525"/>
        </w:numPr>
        <w:rPr>
          <w:rFonts w:ascii="Arial" w:cs="Arial" w:eastAsia="Arial" w:hAnsi="Arial"/>
          <w:sz w:val="17"/>
          <w:szCs w:val="17"/>
          <w:color w:val="auto"/>
        </w:rPr>
      </w:pPr>
      <w:r>
        <w:rPr>
          <w:rFonts w:ascii="Arial" w:cs="Arial" w:eastAsia="Arial" w:hAnsi="Arial"/>
          <w:sz w:val="17"/>
          <w:szCs w:val="17"/>
          <w:u w:val="single" w:color="auto"/>
          <w:color w:val="auto"/>
        </w:rPr>
        <w:t>Vesting Schedule and Risk of Forfeiture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0" w:firstLine="1263"/>
        <w:spacing w:after="0" w:line="289" w:lineRule="auto"/>
        <w:tabs>
          <w:tab w:leader="none" w:pos="1885" w:val="left"/>
        </w:tabs>
        <w:numPr>
          <w:ilvl w:val="1"/>
          <w:numId w:val="525"/>
        </w:numPr>
        <w:rPr>
          <w:rFonts w:ascii="Arial" w:cs="Arial" w:eastAsia="Arial" w:hAnsi="Arial"/>
          <w:sz w:val="17"/>
          <w:szCs w:val="17"/>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 Subject to the Participant’s continuous service with the Company as a Service Provider, and any other limitations set forth in the Notice or this Award Agreement, the SARs shall vest in accordance with the Vesting Schedule provided in the Notice.</w:t>
      </w:r>
    </w:p>
    <w:p>
      <w:pPr>
        <w:spacing w:after="0" w:line="158" w:lineRule="exact"/>
        <w:rPr>
          <w:rFonts w:ascii="Arial" w:cs="Arial" w:eastAsia="Arial" w:hAnsi="Arial"/>
          <w:sz w:val="17"/>
          <w:szCs w:val="17"/>
          <w:color w:val="auto"/>
        </w:rPr>
      </w:pPr>
    </w:p>
    <w:p>
      <w:pPr>
        <w:ind w:right="40" w:firstLine="1263"/>
        <w:spacing w:after="0" w:line="265" w:lineRule="auto"/>
        <w:tabs>
          <w:tab w:leader="none" w:pos="1895" w:val="left"/>
        </w:tabs>
        <w:numPr>
          <w:ilvl w:val="1"/>
          <w:numId w:val="525"/>
        </w:numPr>
        <w:rPr>
          <w:rFonts w:ascii="Arial" w:cs="Arial" w:eastAsia="Arial" w:hAnsi="Arial"/>
          <w:sz w:val="17"/>
          <w:szCs w:val="17"/>
          <w:color w:val="auto"/>
        </w:rPr>
      </w:pPr>
      <w:r>
        <w:rPr>
          <w:rFonts w:ascii="Arial" w:cs="Arial" w:eastAsia="Arial" w:hAnsi="Arial"/>
          <w:sz w:val="17"/>
          <w:szCs w:val="17"/>
          <w:u w:val="single" w:color="auto"/>
          <w:color w:val="auto"/>
        </w:rPr>
        <w:t>Risk of Forfeiture</w:t>
      </w:r>
      <w:r>
        <w:rPr>
          <w:rFonts w:ascii="Arial" w:cs="Arial" w:eastAsia="Arial" w:hAnsi="Arial"/>
          <w:sz w:val="17"/>
          <w:szCs w:val="17"/>
          <w:color w:val="auto"/>
        </w:rPr>
        <w:t>. The SARs shall be subject to a risk of forfeiture until such time the risk of forfeiture lapses in accordance with the above Vesting Schedule. All or any portion of the SARs subject to the foregoing risk of forfeiture shall immediately and automatically be forfeited and terminated upon the first day Participant fails to provide continuous service to the Company as a Service Provider, and the Company shall make no payment to Participant, cash or otherwise, for any such SARs that are forfeited. Additionally, all of the SARs subject to this Award Agreement shall immediately become forfeited if Participant fails to fully satisfy Section 4(b) of this Award Agreement, as determined by the Committee.</w:t>
      </w:r>
    </w:p>
    <w:p>
      <w:pPr>
        <w:spacing w:after="0" w:line="179" w:lineRule="exact"/>
        <w:rPr>
          <w:rFonts w:ascii="Arial" w:cs="Arial" w:eastAsia="Arial" w:hAnsi="Arial"/>
          <w:sz w:val="17"/>
          <w:szCs w:val="17"/>
          <w:color w:val="auto"/>
        </w:rPr>
      </w:pPr>
    </w:p>
    <w:p>
      <w:pPr>
        <w:ind w:right="40" w:firstLine="634"/>
        <w:spacing w:after="0" w:line="268" w:lineRule="auto"/>
        <w:tabs>
          <w:tab w:leader="none" w:pos="1258" w:val="left"/>
        </w:tabs>
        <w:numPr>
          <w:ilvl w:val="0"/>
          <w:numId w:val="525"/>
        </w:numPr>
        <w:rPr>
          <w:rFonts w:ascii="Arial" w:cs="Arial" w:eastAsia="Arial" w:hAnsi="Arial"/>
          <w:sz w:val="17"/>
          <w:szCs w:val="17"/>
          <w:color w:val="auto"/>
        </w:rPr>
      </w:pPr>
      <w:r>
        <w:rPr>
          <w:rFonts w:ascii="Arial" w:cs="Arial" w:eastAsia="Arial" w:hAnsi="Arial"/>
          <w:sz w:val="17"/>
          <w:szCs w:val="17"/>
          <w:u w:val="single" w:color="auto"/>
          <w:color w:val="auto"/>
        </w:rPr>
        <w:t>Conversion, Payment of SARs</w:t>
      </w:r>
      <w:r>
        <w:rPr>
          <w:rFonts w:ascii="Arial" w:cs="Arial" w:eastAsia="Arial" w:hAnsi="Arial"/>
          <w:sz w:val="17"/>
          <w:szCs w:val="17"/>
          <w:color w:val="auto"/>
        </w:rPr>
        <w:t>. Subject to the terms of this Award Agreements, on the Vesting Date, the portion of the SARs that became vested shall automatically and immediately be converted to the right to receive a cash payment from the Company in an amount equal to the positive difference (if any) between the Fair Market Value of the Company’s common stock as of the Vesting Date and the Fair Market Value of the Company’s common stock as of the Date of Grant and immediately thereafter shall be made to the Participant.</w:t>
      </w:r>
    </w:p>
    <w:p>
      <w:pPr>
        <w:spacing w:after="0" w:line="175" w:lineRule="exact"/>
        <w:rPr>
          <w:rFonts w:ascii="Arial" w:cs="Arial" w:eastAsia="Arial" w:hAnsi="Arial"/>
          <w:sz w:val="17"/>
          <w:szCs w:val="17"/>
          <w:color w:val="auto"/>
        </w:rPr>
      </w:pPr>
    </w:p>
    <w:p>
      <w:pPr>
        <w:ind w:left="1260" w:hanging="626"/>
        <w:spacing w:after="0"/>
        <w:tabs>
          <w:tab w:leader="none" w:pos="1260" w:val="left"/>
        </w:tabs>
        <w:numPr>
          <w:ilvl w:val="0"/>
          <w:numId w:val="525"/>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0" w:firstLine="1263"/>
        <w:spacing w:after="0" w:line="289" w:lineRule="auto"/>
        <w:tabs>
          <w:tab w:leader="none" w:pos="1885" w:val="left"/>
        </w:tabs>
        <w:numPr>
          <w:ilvl w:val="1"/>
          <w:numId w:val="525"/>
        </w:numPr>
        <w:rPr>
          <w:rFonts w:ascii="Arial" w:cs="Arial" w:eastAsia="Arial" w:hAnsi="Arial"/>
          <w:sz w:val="17"/>
          <w:szCs w:val="17"/>
          <w:color w:val="auto"/>
        </w:rPr>
      </w:pPr>
      <w:r>
        <w:rPr>
          <w:rFonts w:ascii="Arial" w:cs="Arial" w:eastAsia="Arial" w:hAnsi="Arial"/>
          <w:sz w:val="17"/>
          <w:szCs w:val="17"/>
          <w:u w:val="single" w:color="auto"/>
          <w:color w:val="auto"/>
        </w:rPr>
        <w:t>Tax Liability</w:t>
      </w:r>
      <w:r>
        <w:rPr>
          <w:rFonts w:ascii="Arial" w:cs="Arial" w:eastAsia="Arial" w:hAnsi="Arial"/>
          <w:sz w:val="17"/>
          <w:szCs w:val="17"/>
          <w:color w:val="auto"/>
        </w:rPr>
        <w:t>. Participant is ultimately liable and responsible for all taxes owed by Participant in connection with his or her receipt of SARs and payments made under this Award Agreement, regardless of any action the Company takes with respect to any tax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withholding obligations arising hereunder. The Company makes no representation or undertaking regarding the treatment of any tax withholding in connection with the grant of SARs or payments made pursuant to this Award Agreement. The Company does not commit and is under no obligation to structure the SARs to reduce or eliminate Participant’s tax liability.</w:t>
      </w:r>
    </w:p>
    <w:p>
      <w:pPr>
        <w:spacing w:after="0" w:line="172" w:lineRule="exact"/>
        <w:rPr>
          <w:sz w:val="20"/>
          <w:szCs w:val="20"/>
          <w:color w:val="auto"/>
        </w:rPr>
      </w:pPr>
    </w:p>
    <w:p>
      <w:pPr>
        <w:ind w:right="140" w:firstLine="1263"/>
        <w:spacing w:after="0" w:line="265" w:lineRule="auto"/>
        <w:tabs>
          <w:tab w:leader="none" w:pos="1895" w:val="left"/>
        </w:tabs>
        <w:numPr>
          <w:ilvl w:val="1"/>
          <w:numId w:val="526"/>
        </w:numPr>
        <w:rPr>
          <w:rFonts w:ascii="Arial" w:cs="Arial" w:eastAsia="Arial" w:hAnsi="Arial"/>
          <w:sz w:val="17"/>
          <w:szCs w:val="17"/>
          <w:color w:val="auto"/>
        </w:rPr>
      </w:pPr>
      <w:r>
        <w:rPr>
          <w:rFonts w:ascii="Arial" w:cs="Arial" w:eastAsia="Arial" w:hAnsi="Arial"/>
          <w:sz w:val="17"/>
          <w:szCs w:val="17"/>
          <w:u w:val="single" w:color="auto"/>
          <w:color w:val="auto"/>
        </w:rPr>
        <w:t>Payment of Withholding Taxes</w:t>
      </w:r>
      <w:r>
        <w:rPr>
          <w:rFonts w:ascii="Arial" w:cs="Arial" w:eastAsia="Arial" w:hAnsi="Arial"/>
          <w:sz w:val="17"/>
          <w:szCs w:val="17"/>
          <w:color w:val="auto"/>
        </w:rPr>
        <w:t>. Participant authorizes the Company to withhold from the cash payable to Participant upon any payment made pursuant to this Award Agreement an amount sufficient to satisfy any tax withholding obligation, whether federal, state, local or non-U.S., including any employment tax obligation. Notwithstanding anything in this Award Agreement to the contrary, the Company’s obligation to provide any payment under this Award Agreement shall immediately cease if Participant refuses after reasonable notice to make arrangements with the Company to satisfy any tax withholding obligations imposed upon the Company.</w:t>
      </w:r>
    </w:p>
    <w:p>
      <w:pPr>
        <w:spacing w:after="0" w:line="179" w:lineRule="exact"/>
        <w:rPr>
          <w:rFonts w:ascii="Arial" w:cs="Arial" w:eastAsia="Arial" w:hAnsi="Arial"/>
          <w:sz w:val="17"/>
          <w:szCs w:val="17"/>
          <w:color w:val="auto"/>
        </w:rPr>
      </w:pPr>
    </w:p>
    <w:p>
      <w:pPr>
        <w:ind w:right="440" w:firstLine="634"/>
        <w:spacing w:after="0" w:line="268" w:lineRule="auto"/>
        <w:tabs>
          <w:tab w:leader="none" w:pos="1258" w:val="left"/>
        </w:tabs>
        <w:numPr>
          <w:ilvl w:val="0"/>
          <w:numId w:val="527"/>
        </w:numPr>
        <w:rPr>
          <w:rFonts w:ascii="Arial" w:cs="Arial" w:eastAsia="Arial" w:hAnsi="Arial"/>
          <w:sz w:val="17"/>
          <w:szCs w:val="17"/>
          <w:color w:val="auto"/>
        </w:rPr>
      </w:pPr>
      <w:r>
        <w:rPr>
          <w:rFonts w:ascii="Arial" w:cs="Arial" w:eastAsia="Arial" w:hAnsi="Arial"/>
          <w:sz w:val="17"/>
          <w:szCs w:val="17"/>
          <w:u w:val="single" w:color="auto"/>
          <w:color w:val="auto"/>
        </w:rPr>
        <w:t>Transferability of SARs</w:t>
      </w:r>
      <w:r>
        <w:rPr>
          <w:rFonts w:ascii="Arial" w:cs="Arial" w:eastAsia="Arial" w:hAnsi="Arial"/>
          <w:sz w:val="17"/>
          <w:szCs w:val="17"/>
          <w:color w:val="auto"/>
        </w:rPr>
        <w:t>. The SARs may not be transferred in any manner other than by will or by the laws of descent and distribution. Notwithstanding the foregoing, Participant may designate one or more beneficiaries of Participant’s SARs in the event of Participant’s death on a beneficiary designation form provided by the Committee. The terms of this Award Agreement shall be binding upon the executors, administrators, heirs, successors and transferees of Participant.</w:t>
      </w:r>
    </w:p>
    <w:p>
      <w:pPr>
        <w:spacing w:after="0" w:line="175" w:lineRule="exact"/>
        <w:rPr>
          <w:rFonts w:ascii="Arial" w:cs="Arial" w:eastAsia="Arial" w:hAnsi="Arial"/>
          <w:sz w:val="17"/>
          <w:szCs w:val="17"/>
          <w:color w:val="auto"/>
        </w:rPr>
      </w:pPr>
    </w:p>
    <w:p>
      <w:pPr>
        <w:ind w:right="80" w:firstLine="634"/>
        <w:spacing w:after="0" w:line="268" w:lineRule="auto"/>
        <w:tabs>
          <w:tab w:leader="none" w:pos="1258" w:val="left"/>
        </w:tabs>
        <w:numPr>
          <w:ilvl w:val="0"/>
          <w:numId w:val="527"/>
        </w:numPr>
        <w:rPr>
          <w:rFonts w:ascii="Arial" w:cs="Arial" w:eastAsia="Arial" w:hAnsi="Arial"/>
          <w:sz w:val="17"/>
          <w:szCs w:val="17"/>
          <w:color w:val="auto"/>
        </w:rPr>
      </w:pPr>
      <w:r>
        <w:rPr>
          <w:rFonts w:ascii="Arial" w:cs="Arial" w:eastAsia="Arial" w:hAnsi="Arial"/>
          <w:sz w:val="17"/>
          <w:szCs w:val="17"/>
          <w:u w:val="single" w:color="auto"/>
          <w:color w:val="auto"/>
        </w:rPr>
        <w:t>Rights as a Shareholder of the Company</w:t>
      </w:r>
      <w:r>
        <w:rPr>
          <w:rFonts w:ascii="Arial" w:cs="Arial" w:eastAsia="Arial" w:hAnsi="Arial"/>
          <w:sz w:val="17"/>
          <w:szCs w:val="17"/>
          <w:color w:val="auto"/>
        </w:rPr>
        <w:t>. Participant’s receipt of the grant of SARs pursuant to the Notice and this Award Agreement shall provide and confer no rights to or status as a shareholder or equity holder of the Company. Without limiting the foregoing, the holding of SARs shall NOT confer any right to: (i) vote; (ii) bring derivative actions; (iii) inspect books and records of the Company; (iv) receive dividends or other distributions except as provided in Section 3; or (v) have any other rights accorded owners of the Company’s shareholders or equity holders.</w:t>
      </w:r>
    </w:p>
    <w:p>
      <w:pPr>
        <w:spacing w:after="0" w:line="175" w:lineRule="exact"/>
        <w:rPr>
          <w:rFonts w:ascii="Arial" w:cs="Arial" w:eastAsia="Arial" w:hAnsi="Arial"/>
          <w:sz w:val="17"/>
          <w:szCs w:val="17"/>
          <w:color w:val="auto"/>
        </w:rPr>
      </w:pPr>
    </w:p>
    <w:p>
      <w:pPr>
        <w:ind w:right="140" w:firstLine="634"/>
        <w:spacing w:after="0" w:line="273" w:lineRule="auto"/>
        <w:tabs>
          <w:tab w:leader="none" w:pos="1258" w:val="left"/>
        </w:tabs>
        <w:numPr>
          <w:ilvl w:val="0"/>
          <w:numId w:val="527"/>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required by the terms of this Award Agreement shall be given in writing and shall be deemed effective upon personal delivery or upon deposit with the U.S. Postal Service, by registered or certified mail, with postage and fees prepaid. Notice shall be addressed to the Company at its principal executive office and to the Participant at the address that he or she most recently provided to the Company.</w:t>
      </w:r>
    </w:p>
    <w:p>
      <w:pPr>
        <w:spacing w:after="0" w:line="171" w:lineRule="exact"/>
        <w:rPr>
          <w:rFonts w:ascii="Arial" w:cs="Arial" w:eastAsia="Arial" w:hAnsi="Arial"/>
          <w:sz w:val="17"/>
          <w:szCs w:val="17"/>
          <w:color w:val="auto"/>
        </w:rPr>
      </w:pPr>
    </w:p>
    <w:p>
      <w:pPr>
        <w:ind w:right="380" w:firstLine="634"/>
        <w:spacing w:after="0" w:line="273" w:lineRule="auto"/>
        <w:tabs>
          <w:tab w:leader="none" w:pos="1258" w:val="left"/>
        </w:tabs>
        <w:numPr>
          <w:ilvl w:val="0"/>
          <w:numId w:val="527"/>
        </w:numPr>
        <w:rPr>
          <w:rFonts w:ascii="Arial" w:cs="Arial" w:eastAsia="Arial" w:hAnsi="Arial"/>
          <w:sz w:val="17"/>
          <w:szCs w:val="17"/>
          <w:color w:val="auto"/>
        </w:rPr>
      </w:pPr>
      <w:r>
        <w:rPr>
          <w:rFonts w:ascii="Arial" w:cs="Arial" w:eastAsia="Arial" w:hAnsi="Arial"/>
          <w:sz w:val="17"/>
          <w:szCs w:val="17"/>
          <w:u w:val="single" w:color="auto"/>
          <w:color w:val="auto"/>
        </w:rPr>
        <w:t>Spousal Consent</w:t>
      </w:r>
      <w:r>
        <w:rPr>
          <w:rFonts w:ascii="Arial" w:cs="Arial" w:eastAsia="Arial" w:hAnsi="Arial"/>
          <w:sz w:val="17"/>
          <w:szCs w:val="17"/>
          <w:color w:val="auto"/>
        </w:rPr>
        <w:t xml:space="preserve">. To the extent Participant is married, Participant agrees to (i) provide Participant’s spouse with a copy of this Award Agreement prior to its execution by Participant and (ii) obtain such spouse’s consent to this Award Agreement as evidenced by such spouse’s execution of the Spousal Consent attached hereto as </w:t>
      </w:r>
      <w:r>
        <w:rPr>
          <w:rFonts w:ascii="Arial" w:cs="Arial" w:eastAsia="Arial" w:hAnsi="Arial"/>
          <w:sz w:val="17"/>
          <w:szCs w:val="17"/>
          <w:b w:val="1"/>
          <w:bCs w:val="1"/>
          <w:color w:val="auto"/>
        </w:rPr>
        <w:t>EXHIBIT A</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160" w:firstLine="634"/>
        <w:spacing w:after="0" w:line="289" w:lineRule="auto"/>
        <w:tabs>
          <w:tab w:leader="none" w:pos="1258" w:val="left"/>
        </w:tabs>
        <w:numPr>
          <w:ilvl w:val="0"/>
          <w:numId w:val="527"/>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Except as provided herein to the contrary, this Award Agreement shall be binding upon and inure to the benefit of the parties to this Award Agreement, their respective permitted successors and assigns.</w:t>
      </w:r>
    </w:p>
    <w:p>
      <w:pPr>
        <w:spacing w:after="0" w:line="158" w:lineRule="exact"/>
        <w:rPr>
          <w:rFonts w:ascii="Arial" w:cs="Arial" w:eastAsia="Arial" w:hAnsi="Arial"/>
          <w:sz w:val="17"/>
          <w:szCs w:val="17"/>
          <w:color w:val="auto"/>
        </w:rPr>
      </w:pPr>
    </w:p>
    <w:p>
      <w:pPr>
        <w:ind w:right="240" w:firstLine="634"/>
        <w:spacing w:after="0" w:line="289" w:lineRule="auto"/>
        <w:tabs>
          <w:tab w:leader="none" w:pos="1254" w:val="left"/>
        </w:tabs>
        <w:numPr>
          <w:ilvl w:val="0"/>
          <w:numId w:val="527"/>
        </w:numPr>
        <w:rPr>
          <w:rFonts w:ascii="Arial" w:cs="Arial" w:eastAsia="Arial" w:hAnsi="Arial"/>
          <w:sz w:val="17"/>
          <w:szCs w:val="17"/>
          <w:color w:val="auto"/>
        </w:rPr>
      </w:pPr>
      <w:r>
        <w:rPr>
          <w:rFonts w:ascii="Arial" w:cs="Arial" w:eastAsia="Arial" w:hAnsi="Arial"/>
          <w:sz w:val="17"/>
          <w:szCs w:val="17"/>
          <w:u w:val="single" w:color="auto"/>
          <w:color w:val="auto"/>
        </w:rPr>
        <w:t>No Assignment</w:t>
      </w:r>
      <w:r>
        <w:rPr>
          <w:rFonts w:ascii="Arial" w:cs="Arial" w:eastAsia="Arial" w:hAnsi="Arial"/>
          <w:sz w:val="17"/>
          <w:szCs w:val="17"/>
          <w:color w:val="auto"/>
        </w:rPr>
        <w:t>. Except as otherwise provided in this Award Agreement, Participant shall not assign any of his rights under the Notice or this Award Agreement without the prior written consent of the Company, which consent may be withheld in its sole discretion.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The Company shall be permitted to assign its rights or obligations under the Notice and this Award Agreement, but no such assignment shall release the Company of any obligations pursuant to the Notice or this Award Agreement.</w:t>
      </w:r>
    </w:p>
    <w:p>
      <w:pPr>
        <w:sectPr>
          <w:pgSz w:w="11900" w:h="16838" w:orient="portrait"/>
          <w:cols w:equalWidth="0" w:num="1">
            <w:col w:w="11420"/>
          </w:cols>
          <w:pgMar w:left="240" w:top="121" w:right="239" w:bottom="23" w:gutter="0" w:footer="0" w:header="0"/>
        </w:sectPr>
      </w:pPr>
    </w:p>
    <w:bookmarkStart w:id="356" w:name="page357"/>
    <w:bookmarkEnd w:id="356"/>
    <w:p>
      <w:pPr>
        <w:ind w:right="220" w:firstLine="634"/>
        <w:spacing w:after="0" w:line="289" w:lineRule="auto"/>
        <w:tabs>
          <w:tab w:leader="none" w:pos="1248" w:val="left"/>
        </w:tabs>
        <w:numPr>
          <w:ilvl w:val="0"/>
          <w:numId w:val="528"/>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validity, legality or enforceability of the remainder of this Award Agreement shall not be affected even if one or more of the provisions of this Award Agreement shall be held to be invalid, illegal or unenforceable in any respect.</w:t>
      </w:r>
    </w:p>
    <w:p>
      <w:pPr>
        <w:spacing w:after="0" w:line="158" w:lineRule="exact"/>
        <w:rPr>
          <w:rFonts w:ascii="Arial" w:cs="Arial" w:eastAsia="Arial" w:hAnsi="Arial"/>
          <w:sz w:val="17"/>
          <w:szCs w:val="17"/>
          <w:color w:val="auto"/>
        </w:rPr>
      </w:pPr>
    </w:p>
    <w:p>
      <w:pPr>
        <w:ind w:right="420" w:firstLine="634"/>
        <w:spacing w:after="0" w:line="289" w:lineRule="auto"/>
        <w:tabs>
          <w:tab w:leader="none" w:pos="1254" w:val="left"/>
        </w:tabs>
        <w:numPr>
          <w:ilvl w:val="0"/>
          <w:numId w:val="528"/>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Any provision of this Award Agreement may be amended and the observance thereof may be waived (either generally or in a particular instance and either retroactively or prospectively) only by a written instrument signed by the parties hereto.</w:t>
      </w:r>
    </w:p>
    <w:p>
      <w:pPr>
        <w:spacing w:after="0" w:line="158" w:lineRule="exact"/>
        <w:rPr>
          <w:rFonts w:ascii="Arial" w:cs="Arial" w:eastAsia="Arial" w:hAnsi="Arial"/>
          <w:sz w:val="17"/>
          <w:szCs w:val="17"/>
          <w:color w:val="auto"/>
        </w:rPr>
      </w:pPr>
    </w:p>
    <w:p>
      <w:pPr>
        <w:ind w:right="20" w:firstLine="634"/>
        <w:spacing w:after="0" w:line="273" w:lineRule="auto"/>
        <w:tabs>
          <w:tab w:leader="none" w:pos="1254" w:val="left"/>
        </w:tabs>
        <w:numPr>
          <w:ilvl w:val="0"/>
          <w:numId w:val="528"/>
        </w:numPr>
        <w:rPr>
          <w:rFonts w:ascii="Arial" w:cs="Arial" w:eastAsia="Arial" w:hAnsi="Arial"/>
          <w:sz w:val="17"/>
          <w:szCs w:val="17"/>
          <w:color w:val="auto"/>
        </w:rPr>
      </w:pPr>
      <w:r>
        <w:rPr>
          <w:rFonts w:ascii="Arial" w:cs="Arial" w:eastAsia="Arial" w:hAnsi="Arial"/>
          <w:sz w:val="17"/>
          <w:szCs w:val="17"/>
          <w:u w:val="single" w:color="auto"/>
          <w:color w:val="auto"/>
        </w:rPr>
        <w:t>Administration and Interpretation</w:t>
      </w:r>
      <w:r>
        <w:rPr>
          <w:rFonts w:ascii="Arial" w:cs="Arial" w:eastAsia="Arial" w:hAnsi="Arial"/>
          <w:sz w:val="17"/>
          <w:szCs w:val="17"/>
          <w:color w:val="auto"/>
        </w:rPr>
        <w:t>. Any question or dispute regarding the interpretation of the Notice or this Award Agreement or the receipt of SARs hereunder shall be submitted by Participant to the Company’s board of directors. The resolution of such a dispute by the Company’s board of directors shall be final and binding on all parties.</w:t>
      </w:r>
    </w:p>
    <w:p>
      <w:pPr>
        <w:spacing w:after="0" w:line="171" w:lineRule="exact"/>
        <w:rPr>
          <w:rFonts w:ascii="Arial" w:cs="Arial" w:eastAsia="Arial" w:hAnsi="Arial"/>
          <w:sz w:val="17"/>
          <w:szCs w:val="17"/>
          <w:color w:val="auto"/>
        </w:rPr>
      </w:pPr>
    </w:p>
    <w:p>
      <w:pPr>
        <w:ind w:right="180" w:firstLine="634"/>
        <w:spacing w:after="0" w:line="289" w:lineRule="auto"/>
        <w:tabs>
          <w:tab w:leader="none" w:pos="1254" w:val="left"/>
        </w:tabs>
        <w:numPr>
          <w:ilvl w:val="0"/>
          <w:numId w:val="528"/>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section headings in this Award Agreement are inserted only as a matter of convenience, and in no way define, limit or interpret the scope of this Award Agreement or of any particular section.</w:t>
      </w:r>
    </w:p>
    <w:p>
      <w:pPr>
        <w:spacing w:after="0" w:line="158" w:lineRule="exact"/>
        <w:rPr>
          <w:rFonts w:ascii="Arial" w:cs="Arial" w:eastAsia="Arial" w:hAnsi="Arial"/>
          <w:sz w:val="17"/>
          <w:szCs w:val="17"/>
          <w:color w:val="auto"/>
        </w:rPr>
      </w:pPr>
    </w:p>
    <w:p>
      <w:pPr>
        <w:ind w:right="40" w:firstLine="634"/>
        <w:spacing w:after="0" w:line="273" w:lineRule="auto"/>
        <w:tabs>
          <w:tab w:leader="none" w:pos="1254" w:val="left"/>
        </w:tabs>
        <w:numPr>
          <w:ilvl w:val="0"/>
          <w:numId w:val="528"/>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The Notice may be executed simultaneously in two or more counterparts, each of which shall be deemed an original, but all of which together shall constitute one and the same instrument. Any counterpart or other signature delivered by facsimile shall be deemed for all purposes as being a good and valid execution and delivery of the Notice by that party.</w:t>
      </w:r>
    </w:p>
    <w:p>
      <w:pPr>
        <w:spacing w:after="0" w:line="171" w:lineRule="exact"/>
        <w:rPr>
          <w:rFonts w:ascii="Arial" w:cs="Arial" w:eastAsia="Arial" w:hAnsi="Arial"/>
          <w:sz w:val="17"/>
          <w:szCs w:val="17"/>
          <w:color w:val="auto"/>
        </w:rPr>
      </w:pPr>
    </w:p>
    <w:p>
      <w:pPr>
        <w:ind w:right="100" w:firstLine="634"/>
        <w:spacing w:after="0" w:line="265" w:lineRule="auto"/>
        <w:tabs>
          <w:tab w:leader="none" w:pos="1254" w:val="left"/>
        </w:tabs>
        <w:numPr>
          <w:ilvl w:val="0"/>
          <w:numId w:val="528"/>
        </w:numPr>
        <w:rPr>
          <w:rFonts w:ascii="Arial" w:cs="Arial" w:eastAsia="Arial" w:hAnsi="Arial"/>
          <w:sz w:val="17"/>
          <w:szCs w:val="17"/>
          <w:color w:val="auto"/>
        </w:rPr>
      </w:pPr>
      <w:r>
        <w:rPr>
          <w:rFonts w:ascii="Arial" w:cs="Arial" w:eastAsia="Arial" w:hAnsi="Arial"/>
          <w:sz w:val="17"/>
          <w:szCs w:val="17"/>
          <w:u w:val="single" w:color="auto"/>
          <w:color w:val="auto"/>
        </w:rPr>
        <w:t>Entire Agreement; Governing Law</w:t>
      </w:r>
      <w:r>
        <w:rPr>
          <w:rFonts w:ascii="Arial" w:cs="Arial" w:eastAsia="Arial" w:hAnsi="Arial"/>
          <w:sz w:val="17"/>
          <w:szCs w:val="17"/>
          <w:color w:val="auto"/>
        </w:rPr>
        <w:t>. The Notice and this Award Agreement constitute the entire agreement of the parties with respect to the subject matter hereof and supersedes in its entirety all prior undertakings, representation and agreements of the Company and Participant (whether oral or written, and whether express or implied) with respect to the subject matter hereof. The Notice and this Award Agreement are to be construed in accordance with and governed by the federal laws of the United States of America and by the internal laws of the State of Texas without giving effect to any choice of law rule that would cause the application of the laws of any other jurisdiction.</w:t>
      </w:r>
    </w:p>
    <w:p>
      <w:pPr>
        <w:spacing w:after="0" w:line="179" w:lineRule="exact"/>
        <w:rPr>
          <w:rFonts w:ascii="Arial" w:cs="Arial" w:eastAsia="Arial" w:hAnsi="Arial"/>
          <w:sz w:val="17"/>
          <w:szCs w:val="17"/>
          <w:color w:val="auto"/>
        </w:rPr>
      </w:pPr>
    </w:p>
    <w:p>
      <w:pPr>
        <w:ind w:right="20" w:firstLine="634"/>
        <w:spacing w:after="0" w:line="263" w:lineRule="auto"/>
        <w:tabs>
          <w:tab w:leader="none" w:pos="1254" w:val="left"/>
        </w:tabs>
        <w:numPr>
          <w:ilvl w:val="0"/>
          <w:numId w:val="528"/>
        </w:numPr>
        <w:rPr>
          <w:rFonts w:ascii="Arial" w:cs="Arial" w:eastAsia="Arial" w:hAnsi="Arial"/>
          <w:sz w:val="17"/>
          <w:szCs w:val="17"/>
          <w:color w:val="auto"/>
        </w:rPr>
      </w:pPr>
      <w:r>
        <w:rPr>
          <w:rFonts w:ascii="Arial" w:cs="Arial" w:eastAsia="Arial" w:hAnsi="Arial"/>
          <w:sz w:val="17"/>
          <w:szCs w:val="17"/>
          <w:u w:val="single" w:color="auto"/>
          <w:color w:val="auto"/>
        </w:rPr>
        <w:t>Venue</w:t>
      </w:r>
      <w:r>
        <w:rPr>
          <w:rFonts w:ascii="Arial" w:cs="Arial" w:eastAsia="Arial" w:hAnsi="Arial"/>
          <w:sz w:val="17"/>
          <w:szCs w:val="17"/>
          <w:color w:val="auto"/>
        </w:rPr>
        <w:t>. The Company and Participant agree that any suit, action or proceeding arising out of or related to the Notice or this Award Agreement shall be brought in the United States District Court for the Southern District of Texas (or should such court lack jurisdiction to hear such action, suit or proceeding, in a Texas state court in Harris County), and that all parties shall submit to the jurisdiction of such court. The parties irrevocably waive, to the fullest extent permitted by law, any objection the party may have to the laying of venue for any such suit, action or proceeding brought in such court. If any one or more provisions of this Section 17 shall for any reason be held invalid or unenforceable, it is the specific intent of the parties that such provisions shall be modified to the minimum extent necessary to make it or its application valid and enforceable.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34"/>
        <w:spacing w:after="0" w:line="262" w:lineRule="auto"/>
        <w:tabs>
          <w:tab w:leader="none" w:pos="1254" w:val="left"/>
        </w:tabs>
        <w:numPr>
          <w:ilvl w:val="0"/>
          <w:numId w:val="529"/>
        </w:numPr>
        <w:rPr>
          <w:rFonts w:ascii="Arial" w:cs="Arial" w:eastAsia="Arial" w:hAnsi="Arial"/>
          <w:sz w:val="17"/>
          <w:szCs w:val="17"/>
          <w:color w:val="auto"/>
        </w:rPr>
      </w:pPr>
      <w:r>
        <w:rPr>
          <w:rFonts w:ascii="Arial" w:cs="Arial" w:eastAsia="Arial" w:hAnsi="Arial"/>
          <w:sz w:val="17"/>
          <w:szCs w:val="17"/>
          <w:u w:val="single" w:color="auto"/>
          <w:color w:val="auto"/>
        </w:rPr>
        <w:t>No Guarantee of Service Provider Status</w:t>
      </w:r>
      <w:r>
        <w:rPr>
          <w:rFonts w:ascii="Arial" w:cs="Arial" w:eastAsia="Arial" w:hAnsi="Arial"/>
          <w:sz w:val="17"/>
          <w:szCs w:val="17"/>
          <w:color w:val="auto"/>
        </w:rPr>
        <w:t>. PARTICIPANT ACKNOWLEDGES AND AGREES THAT THE VESTING OF SARs PURSUANT TO THE VESTING SCHEDULE HEREOF IS EARNED ONLY BY CONTINUOUS SERVICE AS A SERVICE PROVIDER AND AT THE WILL OF THE COMPANY (NOT THROUGH THE ACT OF BEING HIRED OR BEING GRANTED SARs). PARTICIPANT FURTHER ACKNOWLEDGES AND AGREES THAT THIS AWARD AGREEMENT, THE RIGHT GRANTED HEREUNDER, THE TRANSACTIONS CONTEMPLATED HEREUNDER AND THE VESTING SCHEDULE SET FORTH IN THIS AWARD AGREEMENT DO NOT CONSTITUTE AN EXPRESS OR IMPLIED PROMISE OF CONTINUED ENGAGEMENT AS A SERVICE PROVIDER FOR THE VESTING PERIOD, FOR ANY PERIOD, OR AT ALL, AND SHALL NOT INTERFERE IN ANY WAY WITH PARTICIPANT’S RIGHT OR THE COMPANY’S/AFFILIATE’S RIGHT TO TERMINATE PARTICIPANT’S RELATIONSHIP AS A SERVICE PROVIDER AT ANY TIME, WITH OR WITHOUT CAUSE.</w:t>
      </w:r>
    </w:p>
    <w:p>
      <w:pPr>
        <w:spacing w:after="0" w:line="180" w:lineRule="exact"/>
        <w:rPr>
          <w:rFonts w:ascii="Arial" w:cs="Arial" w:eastAsia="Arial" w:hAnsi="Arial"/>
          <w:sz w:val="17"/>
          <w:szCs w:val="17"/>
          <w:color w:val="auto"/>
        </w:rPr>
      </w:pPr>
    </w:p>
    <w:p>
      <w:pPr>
        <w:ind w:right="60" w:firstLine="634"/>
        <w:spacing w:after="0" w:line="268" w:lineRule="auto"/>
        <w:tabs>
          <w:tab w:leader="none" w:pos="1254" w:val="left"/>
        </w:tabs>
        <w:numPr>
          <w:ilvl w:val="0"/>
          <w:numId w:val="529"/>
        </w:numPr>
        <w:rPr>
          <w:rFonts w:ascii="Arial" w:cs="Arial" w:eastAsia="Arial" w:hAnsi="Arial"/>
          <w:sz w:val="17"/>
          <w:szCs w:val="17"/>
          <w:color w:val="auto"/>
        </w:rPr>
      </w:pPr>
      <w:r>
        <w:rPr>
          <w:rFonts w:ascii="Arial" w:cs="Arial" w:eastAsia="Arial" w:hAnsi="Arial"/>
          <w:sz w:val="17"/>
          <w:szCs w:val="17"/>
          <w:u w:val="single" w:color="auto"/>
          <w:color w:val="auto"/>
        </w:rPr>
        <w:t>Unsecured General Creditor</w:t>
      </w:r>
      <w:r>
        <w:rPr>
          <w:rFonts w:ascii="Arial" w:cs="Arial" w:eastAsia="Arial" w:hAnsi="Arial"/>
          <w:sz w:val="17"/>
          <w:szCs w:val="17"/>
          <w:color w:val="auto"/>
        </w:rPr>
        <w:t>. Participant shall have no legal or equitable rights, interests or claims in any property or assets of the Company due to the Notice, this Award Agreement and the grant of SARs hereunder. For purposes of the payment of benefits under the Notice and this Award Agreement, Participant shall have no more rights than those of a general creditor of the Company. The Company’s obligation under the Notice and this Award Agreement shall be that of a conditional unfunded and unsecured promise to pay money or property in the future.</w:t>
      </w:r>
    </w:p>
    <w:p>
      <w:pPr>
        <w:spacing w:after="0" w:line="175" w:lineRule="exact"/>
        <w:rPr>
          <w:rFonts w:ascii="Arial" w:cs="Arial" w:eastAsia="Arial" w:hAnsi="Arial"/>
          <w:sz w:val="17"/>
          <w:szCs w:val="17"/>
          <w:color w:val="auto"/>
        </w:rPr>
      </w:pPr>
    </w:p>
    <w:p>
      <w:pPr>
        <w:ind w:right="20" w:firstLine="634"/>
        <w:spacing w:after="0" w:line="273" w:lineRule="auto"/>
        <w:tabs>
          <w:tab w:leader="none" w:pos="1254" w:val="left"/>
        </w:tabs>
        <w:numPr>
          <w:ilvl w:val="0"/>
          <w:numId w:val="529"/>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Failure to insist upon strict compliance with any of the terms, covenants, or conditions hereof will not be deemed a waiver of such term, covenant, or condition, nor will any waiver or relinquishment of, or failure to insist upon strict compliance with, any right or power hereunder at any one or more times be deemed a waiver or relinquishment of such right or power at any other time or times.</w:t>
      </w:r>
    </w:p>
    <w:p>
      <w:pPr>
        <w:spacing w:after="0" w:line="166" w:lineRule="exact"/>
        <w:rPr>
          <w:sz w:val="20"/>
          <w:szCs w:val="20"/>
          <w:color w:val="auto"/>
        </w:rPr>
      </w:pPr>
    </w:p>
    <w:p>
      <w:pPr>
        <w:jc w:val="center"/>
        <w:spacing w:after="0"/>
        <w:tabs>
          <w:tab w:leader="none" w:pos="200" w:val="left"/>
          <w:tab w:leader="none" w:pos="200" w:val="left"/>
          <w:tab w:leader="none" w:pos="200" w:val="left"/>
          <w:tab w:leader="none" w:pos="200" w:val="left"/>
        </w:tabs>
        <w:rPr>
          <w:sz w:val="20"/>
          <w:szCs w:val="20"/>
          <w:color w:val="auto"/>
        </w:rPr>
      </w:pPr>
      <w:r>
        <w:rPr>
          <w:rFonts w:ascii="Arial" w:cs="Arial" w:eastAsia="Arial" w:hAnsi="Arial"/>
          <w:sz w:val="17"/>
          <w:szCs w:val="17"/>
          <w:b w:val="1"/>
          <w:bCs w:val="1"/>
          <w:color w:val="auto"/>
        </w:rPr>
        <w:t>*</w:t>
        <w:tab/>
        <w:t>*</w:t>
        <w:tab/>
        <w:t>*</w:t>
        <w:tab/>
        <w:t>*</w:t>
        <w:tab/>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2013 EQUITY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APPRECIATION RIGHT AWARD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SPOUSAL CONSENT</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 the undersigned, hereby certify that:</w:t>
      </w:r>
    </w:p>
    <w:p>
      <w:pPr>
        <w:spacing w:after="0" w:line="224" w:lineRule="exact"/>
        <w:rPr>
          <w:sz w:val="20"/>
          <w:szCs w:val="20"/>
          <w:color w:val="auto"/>
        </w:rPr>
      </w:pPr>
    </w:p>
    <w:p>
      <w:pPr>
        <w:ind w:left="640"/>
        <w:spacing w:after="0"/>
        <w:tabs>
          <w:tab w:leader="none" w:pos="1240" w:val="left"/>
          <w:tab w:leader="none" w:pos="676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I am the spouse of</w:t>
      </w:r>
      <w:r>
        <w:rPr>
          <w:sz w:val="20"/>
          <w:szCs w:val="20"/>
          <w:color w:val="auto"/>
        </w:rPr>
        <w:tab/>
      </w:r>
      <w:r>
        <w:rPr>
          <w:rFonts w:ascii="Arial" w:cs="Arial" w:eastAsia="Arial" w:hAnsi="Arial"/>
          <w:sz w:val="14"/>
          <w:szCs w:val="14"/>
          <w:color w:val="auto"/>
        </w:rPr>
        <w:t>.</w:t>
      </w:r>
    </w:p>
    <w:p>
      <w:pPr>
        <w:spacing w:after="0" w:line="224" w:lineRule="exact"/>
        <w:rPr>
          <w:sz w:val="20"/>
          <w:szCs w:val="20"/>
          <w:color w:val="auto"/>
        </w:rPr>
      </w:pPr>
    </w:p>
    <w:p>
      <w:pPr>
        <w:ind w:left="1260" w:hanging="626"/>
        <w:spacing w:after="0"/>
        <w:tabs>
          <w:tab w:leader="none" w:pos="126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Each of the undersigned and the undersigned’s spouse is a resident of</w:t>
      </w:r>
    </w:p>
    <w:p>
      <w:pPr>
        <w:spacing w:after="0" w:line="26"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w:t>
      </w:r>
    </w:p>
    <w:p>
      <w:pPr>
        <w:spacing w:after="0" w:line="212" w:lineRule="exact"/>
        <w:rPr>
          <w:sz w:val="20"/>
          <w:szCs w:val="20"/>
          <w:color w:val="auto"/>
        </w:rPr>
      </w:pPr>
    </w:p>
    <w:p>
      <w:pPr>
        <w:ind w:right="160" w:firstLine="634"/>
        <w:spacing w:after="0" w:line="273" w:lineRule="auto"/>
        <w:tabs>
          <w:tab w:leader="none" w:pos="1258" w:val="left"/>
        </w:tabs>
        <w:numPr>
          <w:ilvl w:val="0"/>
          <w:numId w:val="531"/>
        </w:numPr>
        <w:rPr>
          <w:rFonts w:ascii="Arial" w:cs="Arial" w:eastAsia="Arial" w:hAnsi="Arial"/>
          <w:sz w:val="17"/>
          <w:szCs w:val="17"/>
          <w:color w:val="auto"/>
        </w:rPr>
      </w:pPr>
      <w:r>
        <w:rPr>
          <w:rFonts w:ascii="Arial" w:cs="Arial" w:eastAsia="Arial" w:hAnsi="Arial"/>
          <w:sz w:val="17"/>
          <w:szCs w:val="17"/>
          <w:color w:val="auto"/>
        </w:rPr>
        <w:t>I have read the Applied Optoelectronics, Inc. 2013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and the Stock Appreciation Right Award Agreement (the “</w:t>
      </w:r>
      <w:r>
        <w:rPr>
          <w:rFonts w:ascii="Arial" w:cs="Arial" w:eastAsia="Arial" w:hAnsi="Arial"/>
          <w:sz w:val="17"/>
          <w:szCs w:val="17"/>
          <w:u w:val="single" w:color="auto"/>
          <w:color w:val="auto"/>
        </w:rPr>
        <w:t>Award Agreement</w:t>
      </w:r>
      <w:r>
        <w:rPr>
          <w:rFonts w:ascii="Arial" w:cs="Arial" w:eastAsia="Arial" w:hAnsi="Arial"/>
          <w:sz w:val="17"/>
          <w:szCs w:val="17"/>
          <w:color w:val="auto"/>
        </w:rPr>
        <w:t>”), by and between Applied Optoelectronics, Inc. (the “</w:t>
      </w:r>
      <w:r>
        <w:rPr>
          <w:rFonts w:ascii="Arial" w:cs="Arial" w:eastAsia="Arial" w:hAnsi="Arial"/>
          <w:sz w:val="17"/>
          <w:szCs w:val="17"/>
          <w:u w:val="single" w:color="auto"/>
          <w:color w:val="auto"/>
        </w:rPr>
        <w:t>Company</w:t>
      </w:r>
      <w:r>
        <w:rPr>
          <w:rFonts w:ascii="Arial" w:cs="Arial" w:eastAsia="Arial" w:hAnsi="Arial"/>
          <w:sz w:val="17"/>
          <w:szCs w:val="17"/>
          <w:color w:val="auto"/>
        </w:rPr>
        <w:t>”), and my spouse. I have had the opportunity to consult independent legal counsel regarding the contents of the Award Agreement and the Plan.</w:t>
      </w:r>
    </w:p>
    <w:p>
      <w:pPr>
        <w:sectPr>
          <w:pgSz w:w="11900" w:h="16838" w:orient="portrait"/>
          <w:cols w:equalWidth="0" w:num="1">
            <w:col w:w="11420"/>
          </w:cols>
          <w:pgMar w:left="240" w:top="127" w:right="239" w:bottom="0" w:gutter="0" w:footer="0" w:header="0"/>
        </w:sectPr>
      </w:pPr>
    </w:p>
    <w:bookmarkStart w:id="357" w:name="page358"/>
    <w:bookmarkEnd w:id="357"/>
    <w:p>
      <w:pPr>
        <w:ind w:left="1200" w:hanging="626"/>
        <w:spacing w:after="0"/>
        <w:tabs>
          <w:tab w:leader="none" w:pos="120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I understand the terms and conditions of the Award Agreement and the Plan.</w:t>
      </w:r>
    </w:p>
    <w:p>
      <w:pPr>
        <w:spacing w:after="0" w:line="224" w:lineRule="exact"/>
        <w:rPr>
          <w:rFonts w:ascii="Arial" w:cs="Arial" w:eastAsia="Arial" w:hAnsi="Arial"/>
          <w:sz w:val="17"/>
          <w:szCs w:val="17"/>
          <w:color w:val="auto"/>
        </w:rPr>
      </w:pPr>
    </w:p>
    <w:p>
      <w:pPr>
        <w:ind w:left="-60" w:firstLine="634"/>
        <w:spacing w:after="0" w:line="298" w:lineRule="auto"/>
        <w:tabs>
          <w:tab w:leader="none" w:pos="1198" w:val="left"/>
        </w:tabs>
        <w:numPr>
          <w:ilvl w:val="0"/>
          <w:numId w:val="532"/>
        </w:numPr>
        <w:rPr>
          <w:rFonts w:ascii="Arial" w:cs="Arial" w:eastAsia="Arial" w:hAnsi="Arial"/>
          <w:sz w:val="16"/>
          <w:szCs w:val="16"/>
          <w:color w:val="auto"/>
        </w:rPr>
      </w:pPr>
      <w:r>
        <w:rPr>
          <w:rFonts w:ascii="Arial" w:cs="Arial" w:eastAsia="Arial" w:hAnsi="Arial"/>
          <w:sz w:val="16"/>
          <w:szCs w:val="16"/>
          <w:color w:val="auto"/>
        </w:rPr>
        <w:t>I hereby consent to the terms of the Award Agreement and the Plan and to their application to and binding effect upon any community property or other interest I may have in the SARs (it being understood that this Spousal Consent shall in no way be construed to create any such interest). I agree that I will take no action at any time to hinder the operation of the transactions contemplated in and by the Award Agreement and the Plan.</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5680" w:type="dxa"/>
            <w:vAlign w:val="bottom"/>
          </w:tcPr>
          <w:p>
            <w:pPr>
              <w:spacing w:after="0"/>
              <w:rPr>
                <w:sz w:val="20"/>
                <w:szCs w:val="20"/>
                <w:color w:val="auto"/>
              </w:rPr>
            </w:pPr>
            <w:r>
              <w:rPr>
                <w:rFonts w:ascii="Arial" w:cs="Arial" w:eastAsia="Arial" w:hAnsi="Arial"/>
                <w:sz w:val="17"/>
                <w:szCs w:val="17"/>
                <w:color w:val="auto"/>
              </w:rPr>
              <w:t>IN WITNESS WHEREOF, this Spousal Consent has been executed as of</w:t>
            </w:r>
          </w:p>
        </w:tc>
        <w:tc>
          <w:tcPr>
            <w:tcW w:w="1080" w:type="dxa"/>
            <w:vAlign w:val="bottom"/>
          </w:tcPr>
          <w:p>
            <w:pPr>
              <w:jc w:val="right"/>
              <w:spacing w:after="0"/>
              <w:rPr>
                <w:sz w:val="20"/>
                <w:szCs w:val="20"/>
                <w:color w:val="auto"/>
              </w:rPr>
            </w:pPr>
            <w:r>
              <w:rPr>
                <w:rFonts w:ascii="Arial" w:cs="Arial" w:eastAsia="Arial" w:hAnsi="Arial"/>
                <w:sz w:val="17"/>
                <w:szCs w:val="17"/>
                <w:color w:val="auto"/>
              </w:rPr>
              <w:t>, 2013.</w:t>
            </w:r>
          </w:p>
        </w:tc>
      </w:tr>
    </w:tbl>
    <w:p>
      <w:pPr>
        <w:spacing w:after="0" w:line="200" w:lineRule="exact"/>
        <w:rPr>
          <w:sz w:val="20"/>
          <w:szCs w:val="20"/>
          <w:color w:val="auto"/>
        </w:rPr>
      </w:pPr>
    </w:p>
    <w:p>
      <w:pPr>
        <w:spacing w:after="0" w:line="202"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SPOUSE:</w:t>
      </w: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17145</wp:posOffset>
            </wp:positionV>
            <wp:extent cx="297180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20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17145</wp:posOffset>
            </wp:positionV>
            <wp:extent cx="289687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81280</wp:posOffset>
            </wp:positionV>
            <wp:extent cx="7271385" cy="2921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20"/>
          </w:cols>
          <w:pgMar w:left="300" w:top="127" w:right="279" w:bottom="1440" w:gutter="0" w:footer="0" w:header="0"/>
        </w:sectPr>
      </w:pPr>
    </w:p>
    <w:bookmarkStart w:id="358" w:name="page359"/>
    <w:bookmarkEnd w:id="358"/>
    <w:p>
      <w:pPr>
        <w:jc w:val="right"/>
        <w:ind w:right="40"/>
        <w:spacing w:after="0"/>
        <w:rPr>
          <w:sz w:val="20"/>
          <w:szCs w:val="20"/>
          <w:color w:val="auto"/>
        </w:rPr>
      </w:pPr>
      <w:r>
        <w:rPr>
          <w:rFonts w:ascii="Arial" w:cs="Arial" w:eastAsia="Arial" w:hAnsi="Arial"/>
          <w:sz w:val="17"/>
          <w:szCs w:val="17"/>
          <w:b w:val="1"/>
          <w:bCs w:val="1"/>
          <w:color w:val="auto"/>
        </w:rPr>
        <w:t>Exhibit 10.6.4</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APPLIED OPTOELECTRONICS, INC.</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2013 EQUITY INCENTIVE PLAN</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NOTICE OF STOCK OPTION AWARD</w:t>
      </w:r>
    </w:p>
    <w:p>
      <w:pPr>
        <w:spacing w:after="0" w:line="230"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Subject to the terms and conditions of this Notice of Stock Option Award (this “</w:t>
      </w:r>
      <w:r>
        <w:rPr>
          <w:rFonts w:ascii="Arial" w:cs="Arial" w:eastAsia="Arial" w:hAnsi="Arial"/>
          <w:sz w:val="17"/>
          <w:szCs w:val="17"/>
          <w:u w:val="single" w:color="auto"/>
          <w:color w:val="auto"/>
        </w:rPr>
        <w:t>Notice</w:t>
      </w:r>
      <w:r>
        <w:rPr>
          <w:rFonts w:ascii="Arial" w:cs="Arial" w:eastAsia="Arial" w:hAnsi="Arial"/>
          <w:sz w:val="17"/>
          <w:szCs w:val="17"/>
          <w:color w:val="auto"/>
        </w:rPr>
        <w:t>”), the Stock Option Award Agreement attached hereto (the “</w:t>
      </w:r>
      <w:r>
        <w:rPr>
          <w:rFonts w:ascii="Arial" w:cs="Arial" w:eastAsia="Arial" w:hAnsi="Arial"/>
          <w:sz w:val="17"/>
          <w:szCs w:val="17"/>
          <w:u w:val="single" w:color="auto"/>
          <w:color w:val="auto"/>
        </w:rPr>
        <w:t>Award</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and the Applied Optoelectronics, Inc. 2013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the below individual (the “</w:t>
      </w:r>
      <w:r>
        <w:rPr>
          <w:rFonts w:ascii="Arial" w:cs="Arial" w:eastAsia="Arial" w:hAnsi="Arial"/>
          <w:sz w:val="17"/>
          <w:szCs w:val="17"/>
          <w:u w:val="single" w:color="auto"/>
          <w:color w:val="auto"/>
        </w:rPr>
        <w:t>Participant</w:t>
      </w:r>
      <w:r>
        <w:rPr>
          <w:rFonts w:ascii="Arial" w:cs="Arial" w:eastAsia="Arial" w:hAnsi="Arial"/>
          <w:sz w:val="17"/>
          <w:szCs w:val="17"/>
          <w:color w:val="auto"/>
        </w:rPr>
        <w:t>”) is hereby granted an option (the “</w:t>
      </w:r>
      <w:r>
        <w:rPr>
          <w:rFonts w:ascii="Arial" w:cs="Arial" w:eastAsia="Arial" w:hAnsi="Arial"/>
          <w:sz w:val="17"/>
          <w:szCs w:val="17"/>
          <w:u w:val="single" w:color="auto"/>
          <w:color w:val="auto"/>
        </w:rPr>
        <w:t>Option</w:t>
      </w:r>
      <w:r>
        <w:rPr>
          <w:rFonts w:ascii="Arial" w:cs="Arial" w:eastAsia="Arial" w:hAnsi="Arial"/>
          <w:sz w:val="17"/>
          <w:szCs w:val="17"/>
          <w:color w:val="auto"/>
        </w:rPr>
        <w:t>”) to purchase the below number of Shares of common stock in Applied Optoelectronics, Inc. (the “</w:t>
      </w:r>
      <w:r>
        <w:rPr>
          <w:rFonts w:ascii="Arial" w:cs="Arial" w:eastAsia="Arial" w:hAnsi="Arial"/>
          <w:sz w:val="17"/>
          <w:szCs w:val="17"/>
          <w:u w:val="single" w:color="auto"/>
          <w:color w:val="auto"/>
        </w:rPr>
        <w:t>Company</w:t>
      </w:r>
      <w:r>
        <w:rPr>
          <w:rFonts w:ascii="Arial" w:cs="Arial" w:eastAsia="Arial" w:hAnsi="Arial"/>
          <w:sz w:val="17"/>
          <w:szCs w:val="17"/>
          <w:color w:val="auto"/>
        </w:rPr>
        <w:t>”). Unless otherwise specifically indicated, all terms used in this Notice shall have the meaning as set forth in the Award Agreement or the Plan.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40" w:type="dxa"/>
            <w:vAlign w:val="bottom"/>
          </w:tcPr>
          <w:p>
            <w:pPr>
              <w:jc w:val="right"/>
              <w:ind w:right="313"/>
              <w:spacing w:after="0"/>
              <w:rPr>
                <w:sz w:val="20"/>
                <w:szCs w:val="20"/>
                <w:color w:val="auto"/>
              </w:rPr>
            </w:pPr>
            <w:r>
              <w:rPr>
                <w:rFonts w:ascii="Arial" w:cs="Arial" w:eastAsia="Arial" w:hAnsi="Arial"/>
                <w:sz w:val="17"/>
                <w:szCs w:val="17"/>
                <w:b w:val="1"/>
                <w:bCs w:val="1"/>
                <w:color w:val="auto"/>
                <w:w w:val="95"/>
              </w:rPr>
              <w:t>Identifying Information:</w:t>
            </w:r>
          </w:p>
        </w:tc>
        <w:tc>
          <w:tcPr>
            <w:tcW w:w="352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08"/>
        </w:trPr>
        <w:tc>
          <w:tcPr>
            <w:tcW w:w="2240" w:type="dxa"/>
            <w:vAlign w:val="bottom"/>
          </w:tcPr>
          <w:p>
            <w:pPr>
              <w:jc w:val="right"/>
              <w:spacing w:after="0"/>
              <w:rPr>
                <w:sz w:val="20"/>
                <w:szCs w:val="20"/>
                <w:color w:val="auto"/>
              </w:rPr>
            </w:pPr>
            <w:r>
              <w:rPr>
                <w:rFonts w:ascii="Arial" w:cs="Arial" w:eastAsia="Arial" w:hAnsi="Arial"/>
                <w:sz w:val="17"/>
                <w:szCs w:val="17"/>
                <w:color w:val="auto"/>
              </w:rPr>
              <w:t>Participant</w:t>
            </w:r>
          </w:p>
        </w:tc>
        <w:tc>
          <w:tcPr>
            <w:tcW w:w="3520" w:type="dxa"/>
            <w:vAlign w:val="bottom"/>
          </w:tcPr>
          <w:p>
            <w:pPr>
              <w:spacing w:after="0"/>
              <w:rPr>
                <w:sz w:val="24"/>
                <w:szCs w:val="24"/>
                <w:color w:val="auto"/>
              </w:rPr>
            </w:pPr>
          </w:p>
        </w:tc>
        <w:tc>
          <w:tcPr>
            <w:tcW w:w="3400" w:type="dxa"/>
            <w:vAlign w:val="bottom"/>
          </w:tcPr>
          <w:p>
            <w:pPr>
              <w:jc w:val="right"/>
              <w:spacing w:after="0"/>
              <w:rPr>
                <w:sz w:val="20"/>
                <w:szCs w:val="20"/>
                <w:color w:val="auto"/>
              </w:rPr>
            </w:pPr>
            <w:r>
              <w:rPr>
                <w:rFonts w:ascii="Arial" w:cs="Arial" w:eastAsia="Arial" w:hAnsi="Arial"/>
                <w:sz w:val="17"/>
                <w:szCs w:val="17"/>
                <w:color w:val="auto"/>
              </w:rPr>
              <w:t>Date of Grant:</w:t>
            </w:r>
          </w:p>
        </w:tc>
      </w:tr>
      <w:tr>
        <w:trPr>
          <w:trHeight w:val="210"/>
        </w:trPr>
        <w:tc>
          <w:tcPr>
            <w:tcW w:w="2240" w:type="dxa"/>
            <w:vAlign w:val="bottom"/>
          </w:tcPr>
          <w:p>
            <w:pPr>
              <w:jc w:val="right"/>
              <w:spacing w:after="0"/>
              <w:rPr>
                <w:sz w:val="20"/>
                <w:szCs w:val="20"/>
                <w:color w:val="auto"/>
              </w:rPr>
            </w:pPr>
            <w:r>
              <w:rPr>
                <w:rFonts w:ascii="Arial" w:cs="Arial" w:eastAsia="Arial" w:hAnsi="Arial"/>
                <w:sz w:val="17"/>
                <w:szCs w:val="17"/>
                <w:color w:val="auto"/>
              </w:rPr>
              <w:t>Name:</w:t>
            </w:r>
          </w:p>
        </w:tc>
        <w:tc>
          <w:tcPr>
            <w:tcW w:w="352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0"/>
        </w:trPr>
        <w:tc>
          <w:tcPr>
            <w:tcW w:w="2240" w:type="dxa"/>
            <w:vAlign w:val="bottom"/>
          </w:tcPr>
          <w:p>
            <w:pPr>
              <w:jc w:val="right"/>
              <w:spacing w:after="0"/>
              <w:rPr>
                <w:sz w:val="20"/>
                <w:szCs w:val="20"/>
                <w:color w:val="auto"/>
              </w:rPr>
            </w:pPr>
            <w:r>
              <w:rPr>
                <w:rFonts w:ascii="Arial" w:cs="Arial" w:eastAsia="Arial" w:hAnsi="Arial"/>
                <w:sz w:val="17"/>
                <w:szCs w:val="17"/>
                <w:color w:val="auto"/>
              </w:rPr>
              <w:t>and Address:</w:t>
            </w:r>
          </w:p>
        </w:tc>
        <w:tc>
          <w:tcPr>
            <w:tcW w:w="3520" w:type="dxa"/>
            <w:vAlign w:val="bottom"/>
          </w:tcPr>
          <w:p>
            <w:pPr>
              <w:spacing w:after="0"/>
              <w:rPr>
                <w:sz w:val="18"/>
                <w:szCs w:val="18"/>
                <w:color w:val="auto"/>
              </w:rPr>
            </w:pPr>
          </w:p>
        </w:tc>
        <w:tc>
          <w:tcPr>
            <w:tcW w:w="3400" w:type="dxa"/>
            <w:vAlign w:val="bottom"/>
          </w:tcPr>
          <w:p>
            <w:pPr>
              <w:jc w:val="right"/>
              <w:spacing w:after="0"/>
              <w:rPr>
                <w:sz w:val="20"/>
                <w:szCs w:val="20"/>
                <w:color w:val="auto"/>
              </w:rPr>
            </w:pPr>
            <w:r>
              <w:rPr>
                <w:rFonts w:ascii="Arial" w:cs="Arial" w:eastAsia="Arial" w:hAnsi="Arial"/>
                <w:sz w:val="17"/>
                <w:szCs w:val="17"/>
                <w:color w:val="auto"/>
              </w:rPr>
              <w:t>Vesting Commencement Date:</w:t>
            </w:r>
          </w:p>
        </w:tc>
      </w:tr>
      <w:tr>
        <w:trPr>
          <w:trHeight w:val="210"/>
        </w:trPr>
        <w:tc>
          <w:tcPr>
            <w:tcW w:w="2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400" w:type="dxa"/>
            <w:vAlign w:val="bottom"/>
          </w:tcPr>
          <w:p>
            <w:pPr>
              <w:jc w:val="right"/>
              <w:spacing w:after="0"/>
              <w:rPr>
                <w:sz w:val="20"/>
                <w:szCs w:val="20"/>
                <w:color w:val="auto"/>
              </w:rPr>
            </w:pPr>
            <w:r>
              <w:rPr>
                <w:rFonts w:ascii="Arial" w:cs="Arial" w:eastAsia="Arial" w:hAnsi="Arial"/>
                <w:sz w:val="17"/>
                <w:szCs w:val="17"/>
                <w:color w:val="auto"/>
              </w:rPr>
              <w:t>Exercise Price per Share:</w:t>
            </w:r>
          </w:p>
        </w:tc>
      </w:tr>
      <w:tr>
        <w:trPr>
          <w:trHeight w:val="177"/>
        </w:trPr>
        <w:tc>
          <w:tcPr>
            <w:tcW w:w="2240" w:type="dxa"/>
            <w:vAlign w:val="bottom"/>
          </w:tcPr>
          <w:p>
            <w:pPr>
              <w:jc w:val="right"/>
              <w:spacing w:after="0" w:line="177" w:lineRule="exact"/>
              <w:rPr>
                <w:sz w:val="20"/>
                <w:szCs w:val="20"/>
                <w:color w:val="auto"/>
              </w:rPr>
            </w:pPr>
            <w:r>
              <w:rPr>
                <w:rFonts w:ascii="Arial" w:cs="Arial" w:eastAsia="Arial" w:hAnsi="Arial"/>
                <w:sz w:val="17"/>
                <w:szCs w:val="17"/>
                <w:color w:val="auto"/>
              </w:rPr>
              <w:t>Type of Option:</w:t>
            </w:r>
          </w:p>
        </w:tc>
        <w:tc>
          <w:tcPr>
            <w:tcW w:w="3520" w:type="dxa"/>
            <w:vAlign w:val="bottom"/>
          </w:tcPr>
          <w:p>
            <w:pPr>
              <w:ind w:left="80"/>
              <w:spacing w:after="0" w:line="177" w:lineRule="exact"/>
              <w:rPr>
                <w:sz w:val="20"/>
                <w:szCs w:val="20"/>
                <w:color w:val="auto"/>
              </w:rPr>
            </w:pPr>
            <w:r>
              <w:rPr>
                <w:rFonts w:ascii="Arial" w:cs="Arial" w:eastAsia="Arial" w:hAnsi="Arial"/>
                <w:sz w:val="17"/>
                <w:szCs w:val="17"/>
                <w:color w:val="auto"/>
              </w:rPr>
              <w:t>o Nonstatutory Stock Option</w:t>
            </w:r>
          </w:p>
        </w:tc>
        <w:tc>
          <w:tcPr>
            <w:tcW w:w="3400" w:type="dxa"/>
            <w:vAlign w:val="bottom"/>
          </w:tcPr>
          <w:p>
            <w:pPr>
              <w:jc w:val="right"/>
              <w:spacing w:after="0" w:line="177" w:lineRule="exact"/>
              <w:rPr>
                <w:sz w:val="20"/>
                <w:szCs w:val="20"/>
                <w:color w:val="auto"/>
              </w:rPr>
            </w:pPr>
            <w:r>
              <w:rPr>
                <w:rFonts w:ascii="Arial" w:cs="Arial" w:eastAsia="Arial" w:hAnsi="Arial"/>
                <w:sz w:val="17"/>
                <w:szCs w:val="17"/>
                <w:color w:val="auto"/>
              </w:rPr>
              <w:t>Total Number of Shares (“Optioned</w:t>
            </w:r>
          </w:p>
        </w:tc>
      </w:tr>
      <w:tr>
        <w:trPr>
          <w:trHeight w:val="242"/>
        </w:trPr>
        <w:tc>
          <w:tcPr>
            <w:tcW w:w="2240" w:type="dxa"/>
            <w:vAlign w:val="bottom"/>
          </w:tcPr>
          <w:p>
            <w:pPr>
              <w:spacing w:after="0"/>
              <w:rPr>
                <w:sz w:val="21"/>
                <w:szCs w:val="21"/>
                <w:color w:val="auto"/>
              </w:rPr>
            </w:pPr>
          </w:p>
        </w:tc>
        <w:tc>
          <w:tcPr>
            <w:tcW w:w="3520" w:type="dxa"/>
            <w:vAlign w:val="bottom"/>
          </w:tcPr>
          <w:p>
            <w:pPr>
              <w:ind w:left="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Incentive Stock Option</w:t>
            </w:r>
          </w:p>
        </w:tc>
        <w:tc>
          <w:tcPr>
            <w:tcW w:w="3400" w:type="dxa"/>
            <w:vAlign w:val="bottom"/>
          </w:tcPr>
          <w:p>
            <w:pPr>
              <w:jc w:val="right"/>
              <w:spacing w:after="0"/>
              <w:rPr>
                <w:sz w:val="20"/>
                <w:szCs w:val="20"/>
                <w:color w:val="auto"/>
              </w:rPr>
            </w:pPr>
            <w:r>
              <w:rPr>
                <w:rFonts w:ascii="Arial" w:cs="Arial" w:eastAsia="Arial" w:hAnsi="Arial"/>
                <w:sz w:val="17"/>
                <w:szCs w:val="17"/>
                <w:color w:val="auto"/>
              </w:rPr>
              <w:t>Shares”):</w:t>
            </w:r>
          </w:p>
        </w:tc>
      </w:tr>
      <w:tr>
        <w:trPr>
          <w:trHeight w:val="222"/>
        </w:trPr>
        <w:tc>
          <w:tcPr>
            <w:tcW w:w="2240" w:type="dxa"/>
            <w:vAlign w:val="bottom"/>
          </w:tcPr>
          <w:p>
            <w:pPr>
              <w:jc w:val="right"/>
              <w:spacing w:after="0"/>
              <w:rPr>
                <w:sz w:val="20"/>
                <w:szCs w:val="20"/>
                <w:color w:val="auto"/>
              </w:rPr>
            </w:pPr>
            <w:r>
              <w:rPr>
                <w:rFonts w:ascii="Arial" w:cs="Arial" w:eastAsia="Arial" w:hAnsi="Arial"/>
                <w:sz w:val="17"/>
                <w:szCs w:val="17"/>
                <w:color w:val="auto"/>
              </w:rPr>
              <w:t>Expiration Date:</w:t>
            </w:r>
          </w:p>
        </w:tc>
        <w:tc>
          <w:tcPr>
            <w:tcW w:w="3520" w:type="dxa"/>
            <w:vAlign w:val="bottom"/>
          </w:tcPr>
          <w:p>
            <w:pPr>
              <w:ind w:left="80"/>
              <w:spacing w:after="0"/>
              <w:rPr>
                <w:sz w:val="20"/>
                <w:szCs w:val="20"/>
                <w:color w:val="auto"/>
              </w:rPr>
            </w:pPr>
            <w:r>
              <w:rPr>
                <w:rFonts w:ascii="Arial" w:cs="Arial" w:eastAsia="Arial" w:hAnsi="Arial"/>
                <w:sz w:val="17"/>
                <w:szCs w:val="17"/>
                <w:color w:val="auto"/>
              </w:rPr>
              <w:t>[Insert 10 years from Date of Grant]</w:t>
            </w:r>
          </w:p>
        </w:tc>
        <w:tc>
          <w:tcPr>
            <w:tcW w:w="3400" w:type="dxa"/>
            <w:vAlign w:val="bottom"/>
          </w:tcPr>
          <w:p>
            <w:pPr>
              <w:spacing w:after="0"/>
              <w:rPr>
                <w:sz w:val="19"/>
                <w:szCs w:val="19"/>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gridSpan w:val="5"/>
          </w:tcPr>
          <w:p>
            <w:pPr>
              <w:spacing w:after="0"/>
              <w:rPr>
                <w:sz w:val="20"/>
                <w:szCs w:val="20"/>
                <w:color w:val="auto"/>
              </w:rPr>
            </w:pPr>
            <w:r>
              <w:rPr>
                <w:rFonts w:ascii="Arial" w:cs="Arial" w:eastAsia="Arial" w:hAnsi="Arial"/>
                <w:sz w:val="17"/>
                <w:szCs w:val="17"/>
                <w:b w:val="1"/>
                <w:bCs w:val="1"/>
                <w:color w:val="auto"/>
              </w:rPr>
              <w:t>Vesting Schedule:</w:t>
            </w:r>
          </w:p>
        </w:tc>
        <w:tc>
          <w:tcPr>
            <w:tcW w:w="19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08"/>
        </w:trPr>
        <w:tc>
          <w:tcPr>
            <w:tcW w:w="7660" w:type="dxa"/>
            <w:vAlign w:val="bottom"/>
            <w:gridSpan w:val="6"/>
          </w:tcPr>
          <w:p>
            <w:pPr>
              <w:spacing w:after="0"/>
              <w:rPr>
                <w:sz w:val="20"/>
                <w:szCs w:val="20"/>
                <w:color w:val="auto"/>
              </w:rPr>
            </w:pPr>
            <w:r>
              <w:rPr>
                <w:rFonts w:ascii="Arial" w:cs="Arial" w:eastAsia="Arial" w:hAnsi="Arial"/>
                <w:sz w:val="17"/>
                <w:szCs w:val="17"/>
                <w:color w:val="auto"/>
                <w:w w:val="93"/>
              </w:rPr>
              <w:t>Subject to the Participant’s continuous service as a Service Provider, the Optioned Shares shall vest over a [</w:t>
            </w:r>
          </w:p>
        </w:tc>
        <w:tc>
          <w:tcPr>
            <w:tcW w:w="3380" w:type="dxa"/>
            <w:vAlign w:val="bottom"/>
            <w:gridSpan w:val="2"/>
          </w:tcPr>
          <w:p>
            <w:pPr>
              <w:ind w:left="140"/>
              <w:spacing w:after="0"/>
              <w:rPr>
                <w:sz w:val="20"/>
                <w:szCs w:val="20"/>
                <w:color w:val="auto"/>
              </w:rPr>
            </w:pPr>
            <w:r>
              <w:rPr>
                <w:rFonts w:ascii="Arial" w:cs="Arial" w:eastAsia="Arial" w:hAnsi="Arial"/>
                <w:sz w:val="17"/>
                <w:szCs w:val="17"/>
                <w:color w:val="auto"/>
                <w:w w:val="94"/>
              </w:rPr>
              <w:t>]-year period in accordance with the following</w:t>
            </w:r>
          </w:p>
        </w:tc>
      </w:tr>
      <w:tr>
        <w:trPr>
          <w:trHeight w:val="183"/>
        </w:trPr>
        <w:tc>
          <w:tcPr>
            <w:tcW w:w="5720" w:type="dxa"/>
            <w:vAlign w:val="bottom"/>
            <w:gridSpan w:val="5"/>
          </w:tcPr>
          <w:p>
            <w:pPr>
              <w:spacing w:after="0" w:line="183" w:lineRule="exact"/>
              <w:rPr>
                <w:sz w:val="20"/>
                <w:szCs w:val="20"/>
                <w:color w:val="auto"/>
              </w:rPr>
            </w:pPr>
            <w:r>
              <w:rPr>
                <w:rFonts w:ascii="Arial" w:cs="Arial" w:eastAsia="Arial" w:hAnsi="Arial"/>
                <w:sz w:val="17"/>
                <w:szCs w:val="17"/>
                <w:color w:val="auto"/>
              </w:rPr>
              <w:t>vesting schedule (the “Vesting Schedule”):</w:t>
            </w:r>
          </w:p>
        </w:tc>
        <w:tc>
          <w:tcPr>
            <w:tcW w:w="19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r>
      <w:tr>
        <w:trPr>
          <w:trHeight w:val="373"/>
        </w:trPr>
        <w:tc>
          <w:tcPr>
            <w:tcW w:w="1260" w:type="dxa"/>
            <w:vAlign w:val="bottom"/>
          </w:tcPr>
          <w:p>
            <w:pPr>
              <w:spacing w:after="0"/>
              <w:rPr>
                <w:sz w:val="24"/>
                <w:szCs w:val="24"/>
                <w:color w:val="auto"/>
              </w:rPr>
            </w:pPr>
          </w:p>
        </w:tc>
        <w:tc>
          <w:tcPr>
            <w:tcW w:w="4460" w:type="dxa"/>
            <w:vAlign w:val="bottom"/>
            <w:gridSpan w:val="4"/>
          </w:tcPr>
          <w:p>
            <w:pPr>
              <w:spacing w:after="0"/>
              <w:rPr>
                <w:sz w:val="20"/>
                <w:szCs w:val="20"/>
                <w:color w:val="auto"/>
              </w:rPr>
            </w:pPr>
            <w:r>
              <w:rPr>
                <w:rFonts w:ascii="Arial" w:cs="Arial" w:eastAsia="Arial" w:hAnsi="Arial"/>
                <w:sz w:val="14"/>
                <w:szCs w:val="14"/>
                <w:b w:val="1"/>
                <w:bCs w:val="1"/>
                <w:color w:val="auto"/>
              </w:rPr>
              <w:t>Vesting Date</w:t>
            </w:r>
          </w:p>
        </w:tc>
        <w:tc>
          <w:tcPr>
            <w:tcW w:w="5320" w:type="dxa"/>
            <w:vAlign w:val="bottom"/>
            <w:gridSpan w:val="3"/>
          </w:tcPr>
          <w:p>
            <w:pPr>
              <w:ind w:left="1180"/>
              <w:spacing w:after="0"/>
              <w:rPr>
                <w:sz w:val="20"/>
                <w:szCs w:val="20"/>
                <w:color w:val="auto"/>
              </w:rPr>
            </w:pPr>
            <w:r>
              <w:rPr>
                <w:rFonts w:ascii="Arial" w:cs="Arial" w:eastAsia="Arial" w:hAnsi="Arial"/>
                <w:sz w:val="14"/>
                <w:szCs w:val="14"/>
                <w:b w:val="1"/>
                <w:bCs w:val="1"/>
                <w:color w:val="auto"/>
              </w:rPr>
              <w:t>Nonforfeitable Percentage</w:t>
            </w:r>
          </w:p>
        </w:tc>
      </w:tr>
      <w:tr>
        <w:trPr>
          <w:trHeight w:val="137"/>
        </w:trPr>
        <w:tc>
          <w:tcPr>
            <w:tcW w:w="1260" w:type="dxa"/>
            <w:vAlign w:val="bottom"/>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27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spacing w:after="0"/>
              <w:rPr>
                <w:sz w:val="11"/>
                <w:szCs w:val="11"/>
                <w:color w:val="auto"/>
              </w:rPr>
            </w:pPr>
          </w:p>
        </w:tc>
        <w:tc>
          <w:tcPr>
            <w:tcW w:w="1960" w:type="dxa"/>
            <w:vAlign w:val="bottom"/>
            <w:tcBorders>
              <w:top w:val="single" w:sz="8" w:color="auto"/>
            </w:tcBorders>
            <w:shd w:val="clear" w:color="auto" w:fill="CCEEFF"/>
          </w:tcPr>
          <w:p>
            <w:pPr>
              <w:spacing w:after="0"/>
              <w:rPr>
                <w:sz w:val="11"/>
                <w:szCs w:val="11"/>
                <w:color w:val="auto"/>
              </w:rPr>
            </w:pPr>
          </w:p>
        </w:tc>
        <w:tc>
          <w:tcPr>
            <w:tcW w:w="1420" w:type="dxa"/>
            <w:vAlign w:val="bottom"/>
          </w:tcPr>
          <w:p>
            <w:pPr>
              <w:spacing w:after="0"/>
              <w:rPr>
                <w:sz w:val="11"/>
                <w:szCs w:val="11"/>
                <w:color w:val="auto"/>
              </w:rPr>
            </w:pPr>
          </w:p>
        </w:tc>
      </w:tr>
      <w:tr>
        <w:trPr>
          <w:trHeight w:val="144"/>
        </w:trPr>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44"/>
        </w:trPr>
        <w:tc>
          <w:tcPr>
            <w:tcW w:w="126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420" w:type="dxa"/>
            <w:vAlign w:val="bottom"/>
          </w:tcPr>
          <w:p>
            <w:pPr>
              <w:spacing w:after="0"/>
              <w:rPr>
                <w:sz w:val="12"/>
                <w:szCs w:val="12"/>
                <w:color w:val="auto"/>
              </w:rPr>
            </w:pPr>
          </w:p>
        </w:tc>
      </w:tr>
    </w:tbl>
    <w:p>
      <w:pPr>
        <w:spacing w:after="0" w:line="197" w:lineRule="exact"/>
        <w:rPr>
          <w:sz w:val="20"/>
          <w:szCs w:val="20"/>
          <w:color w:val="auto"/>
        </w:rPr>
      </w:pPr>
    </w:p>
    <w:p>
      <w:pPr>
        <w:ind w:right="880"/>
        <w:spacing w:after="0" w:line="289" w:lineRule="auto"/>
        <w:rPr>
          <w:sz w:val="20"/>
          <w:szCs w:val="20"/>
          <w:color w:val="auto"/>
        </w:rPr>
      </w:pPr>
      <w:r>
        <w:rPr>
          <w:rFonts w:ascii="Arial" w:cs="Arial" w:eastAsia="Arial" w:hAnsi="Arial"/>
          <w:sz w:val="17"/>
          <w:szCs w:val="17"/>
          <w:color w:val="auto"/>
        </w:rPr>
        <w:t>[Notwithstanding the foregoing, the Optioned Shares shall automatically become fully vested upon the earlier of: (i) the Participant’s Disability, (ii) the Participant’s death, and (iii) immediately prior to the closing of a Change in Control of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Maximum Exercise Period: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Pursuant to Section 4 of the Award Agreement and Section 7(d) of the Plan, the post-termination exercise period shall be: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6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Event Triggering Termination of Option</w:t>
            </w:r>
          </w:p>
        </w:tc>
        <w:tc>
          <w:tcPr>
            <w:tcW w:w="3120" w:type="dxa"/>
            <w:vAlign w:val="bottom"/>
          </w:tcPr>
          <w:p>
            <w:pPr>
              <w:jc w:val="center"/>
              <w:ind w:right="500"/>
              <w:spacing w:after="0"/>
              <w:rPr>
                <w:sz w:val="20"/>
                <w:szCs w:val="20"/>
                <w:color w:val="auto"/>
              </w:rPr>
            </w:pPr>
            <w:r>
              <w:rPr>
                <w:rFonts w:ascii="Arial" w:cs="Arial" w:eastAsia="Arial" w:hAnsi="Arial"/>
                <w:sz w:val="14"/>
                <w:szCs w:val="14"/>
                <w:b w:val="1"/>
                <w:bCs w:val="1"/>
                <w:color w:val="auto"/>
                <w:w w:val="91"/>
              </w:rPr>
              <w:t>Max Time to Exercise</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40" w:type="dxa"/>
            <w:vAlign w:val="bottom"/>
          </w:tcPr>
          <w:p>
            <w:pPr>
              <w:spacing w:after="0"/>
              <w:rPr>
                <w:sz w:val="14"/>
                <w:szCs w:val="14"/>
                <w:color w:val="auto"/>
              </w:rPr>
            </w:pPr>
          </w:p>
        </w:tc>
        <w:tc>
          <w:tcPr>
            <w:tcW w:w="6760" w:type="dxa"/>
            <w:vAlign w:val="bottom"/>
            <w:gridSpan w:val="3"/>
            <w:vMerge w:val="continue"/>
          </w:tcPr>
          <w:p>
            <w:pPr>
              <w:spacing w:after="0"/>
              <w:rPr>
                <w:sz w:val="14"/>
                <w:szCs w:val="14"/>
                <w:color w:val="auto"/>
              </w:rPr>
            </w:pPr>
          </w:p>
        </w:tc>
        <w:tc>
          <w:tcPr>
            <w:tcW w:w="3120" w:type="dxa"/>
            <w:vAlign w:val="bottom"/>
          </w:tcPr>
          <w:p>
            <w:pPr>
              <w:jc w:val="center"/>
              <w:ind w:right="480"/>
              <w:spacing w:after="0"/>
              <w:rPr>
                <w:sz w:val="20"/>
                <w:szCs w:val="20"/>
                <w:color w:val="auto"/>
              </w:rPr>
            </w:pPr>
            <w:r>
              <w:rPr>
                <w:rFonts w:ascii="Arial" w:cs="Arial" w:eastAsia="Arial" w:hAnsi="Arial"/>
                <w:sz w:val="14"/>
                <w:szCs w:val="14"/>
                <w:b w:val="1"/>
                <w:bCs w:val="1"/>
                <w:color w:val="auto"/>
                <w:w w:val="90"/>
              </w:rPr>
              <w:t>Following Triggering Event</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5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Termination of Service Provider status (except as provided below)</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120" w:type="dxa"/>
            <w:vAlign w:val="bottom"/>
            <w:tcBorders>
              <w:top w:val="single" w:sz="8" w:color="auto"/>
            </w:tcBorders>
            <w:shd w:val="clear" w:color="auto" w:fill="CCEEFF"/>
          </w:tcPr>
          <w:p>
            <w:pPr>
              <w:jc w:val="center"/>
              <w:ind w:right="500"/>
              <w:spacing w:after="0"/>
              <w:rPr>
                <w:sz w:val="20"/>
                <w:szCs w:val="20"/>
                <w:color w:val="auto"/>
              </w:rPr>
            </w:pPr>
            <w:r>
              <w:rPr>
                <w:rFonts w:ascii="Arial" w:cs="Arial" w:eastAsia="Arial" w:hAnsi="Arial"/>
                <w:sz w:val="17"/>
                <w:szCs w:val="17"/>
                <w:color w:val="auto"/>
                <w:w w:val="90"/>
              </w:rPr>
              <w:t>30 days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6760" w:type="dxa"/>
            <w:vAlign w:val="bottom"/>
            <w:gridSpan w:val="3"/>
          </w:tcPr>
          <w:p>
            <w:pPr>
              <w:jc w:val="center"/>
              <w:ind w:right="820"/>
              <w:spacing w:after="0"/>
              <w:rPr>
                <w:sz w:val="20"/>
                <w:szCs w:val="20"/>
                <w:color w:val="auto"/>
              </w:rPr>
            </w:pPr>
            <w:r>
              <w:rPr>
                <w:rFonts w:ascii="Arial" w:cs="Arial" w:eastAsia="Arial" w:hAnsi="Arial"/>
                <w:sz w:val="17"/>
                <w:szCs w:val="17"/>
                <w:color w:val="auto"/>
                <w:w w:val="94"/>
              </w:rPr>
              <w:t>Termination of Service Provider status due to Disability</w:t>
            </w:r>
          </w:p>
        </w:tc>
        <w:tc>
          <w:tcPr>
            <w:tcW w:w="3120" w:type="dxa"/>
            <w:vAlign w:val="bottom"/>
          </w:tcPr>
          <w:p>
            <w:pPr>
              <w:jc w:val="center"/>
              <w:ind w:right="480"/>
              <w:spacing w:after="0"/>
              <w:rPr>
                <w:sz w:val="20"/>
                <w:szCs w:val="20"/>
                <w:color w:val="auto"/>
              </w:rPr>
            </w:pPr>
            <w:r>
              <w:rPr>
                <w:rFonts w:ascii="Arial" w:cs="Arial" w:eastAsia="Arial" w:hAnsi="Arial"/>
                <w:sz w:val="17"/>
                <w:szCs w:val="17"/>
                <w:color w:val="auto"/>
                <w:w w:val="90"/>
              </w:rPr>
              <w:t>24 months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6760" w:type="dxa"/>
            <w:vAlign w:val="bottom"/>
            <w:gridSpan w:val="3"/>
            <w:shd w:val="clear" w:color="auto" w:fill="CCEEFF"/>
          </w:tcPr>
          <w:p>
            <w:pPr>
              <w:jc w:val="center"/>
              <w:ind w:right="840"/>
              <w:spacing w:after="0"/>
              <w:rPr>
                <w:sz w:val="20"/>
                <w:szCs w:val="20"/>
                <w:color w:val="auto"/>
              </w:rPr>
            </w:pPr>
            <w:r>
              <w:rPr>
                <w:rFonts w:ascii="Arial" w:cs="Arial" w:eastAsia="Arial" w:hAnsi="Arial"/>
                <w:sz w:val="17"/>
                <w:szCs w:val="17"/>
                <w:color w:val="auto"/>
                <w:w w:val="92"/>
              </w:rPr>
              <w:t>Termination of Service Provider status due to death</w:t>
            </w:r>
          </w:p>
        </w:tc>
        <w:tc>
          <w:tcPr>
            <w:tcW w:w="3120" w:type="dxa"/>
            <w:vAlign w:val="bottom"/>
            <w:shd w:val="clear" w:color="auto" w:fill="CCEEFF"/>
          </w:tcPr>
          <w:p>
            <w:pPr>
              <w:jc w:val="center"/>
              <w:ind w:right="480"/>
              <w:spacing w:after="0"/>
              <w:rPr>
                <w:sz w:val="20"/>
                <w:szCs w:val="20"/>
                <w:color w:val="auto"/>
              </w:rPr>
            </w:pPr>
            <w:r>
              <w:rPr>
                <w:rFonts w:ascii="Arial" w:cs="Arial" w:eastAsia="Arial" w:hAnsi="Arial"/>
                <w:sz w:val="17"/>
                <w:szCs w:val="17"/>
                <w:color w:val="auto"/>
                <w:w w:val="90"/>
              </w:rPr>
              <w:t>24 months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640" w:type="dxa"/>
            <w:vAlign w:val="bottom"/>
          </w:tcPr>
          <w:p>
            <w:pPr>
              <w:spacing w:after="0"/>
              <w:rPr>
                <w:sz w:val="24"/>
                <w:szCs w:val="24"/>
                <w:color w:val="auto"/>
              </w:rPr>
            </w:pPr>
          </w:p>
        </w:tc>
        <w:tc>
          <w:tcPr>
            <w:tcW w:w="6760" w:type="dxa"/>
            <w:vAlign w:val="bottom"/>
            <w:gridSpan w:val="3"/>
          </w:tcPr>
          <w:p>
            <w:pPr>
              <w:ind w:left="3840"/>
              <w:spacing w:after="0"/>
              <w:rPr>
                <w:sz w:val="20"/>
                <w:szCs w:val="20"/>
                <w:color w:val="auto"/>
              </w:rPr>
            </w:pPr>
            <w:r>
              <w:rPr>
                <w:rFonts w:ascii="Arial" w:cs="Arial" w:eastAsia="Arial" w:hAnsi="Arial"/>
                <w:sz w:val="17"/>
                <w:szCs w:val="17"/>
                <w:color w:val="auto"/>
              </w:rPr>
              <w:t>[SIGNATURES ON NEXT PAGE]</w:t>
            </w:r>
          </w:p>
        </w:tc>
        <w:tc>
          <w:tcPr>
            <w:tcW w:w="3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40" w:type="dxa"/>
            <w:vAlign w:val="bottom"/>
            <w:tcBorders>
              <w:bottom w:val="single" w:sz="8" w:color="010101"/>
            </w:tcBorders>
          </w:tcPr>
          <w:p>
            <w:pPr>
              <w:spacing w:after="0"/>
              <w:rPr>
                <w:sz w:val="24"/>
                <w:szCs w:val="24"/>
                <w:color w:val="auto"/>
              </w:rPr>
            </w:pPr>
          </w:p>
        </w:tc>
        <w:tc>
          <w:tcPr>
            <w:tcW w:w="59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312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By the Participant’s signature and the signature of the Company’s representative below, the Participant and Company agree that the Option granted herein is governed by the terms and conditions of this Notice, the Award Agreement and the Plan.</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APPLIED OPTOELECTRONICS, INC.</w:t>
      </w:r>
    </w:p>
    <w:p>
      <w:pPr>
        <w:spacing w:after="0" w:line="200" w:lineRule="exact"/>
        <w:rPr>
          <w:sz w:val="20"/>
          <w:szCs w:val="20"/>
          <w:color w:val="auto"/>
        </w:rPr>
      </w:pPr>
    </w:p>
    <w:p>
      <w:pPr>
        <w:spacing w:after="0" w:line="24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3998595</wp:posOffset>
            </wp:positionH>
            <wp:positionV relativeFrom="paragraph">
              <wp:posOffset>17145</wp:posOffset>
            </wp:positionV>
            <wp:extent cx="325501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255010" cy="8255"/>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329628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204"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313817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PARTICIPANT ACKNOWLEDGMENT</w:t>
      </w:r>
    </w:p>
    <w:p>
      <w:pPr>
        <w:spacing w:after="0" w:line="230" w:lineRule="exact"/>
        <w:rPr>
          <w:sz w:val="20"/>
          <w:szCs w:val="20"/>
          <w:color w:val="auto"/>
        </w:rPr>
      </w:pPr>
    </w:p>
    <w:p>
      <w:pPr>
        <w:ind w:right="220" w:firstLine="629"/>
        <w:spacing w:after="0" w:line="265" w:lineRule="auto"/>
        <w:rPr>
          <w:sz w:val="20"/>
          <w:szCs w:val="20"/>
          <w:color w:val="auto"/>
        </w:rPr>
      </w:pPr>
      <w:r>
        <w:rPr>
          <w:rFonts w:ascii="Arial" w:cs="Arial" w:eastAsia="Arial" w:hAnsi="Arial"/>
          <w:sz w:val="17"/>
          <w:szCs w:val="17"/>
          <w:color w:val="auto"/>
        </w:rPr>
        <w:t>The Participant acknowledges receipt of a copy of this Notice, the Award Agreement and the Plan and represents that he or she is familiar with the provisions thereof, and hereby accepts the Option subject to all of the terms and provisions hereof and thereof. The Participant has reviewed this Notice, the Award Agreement and the Plan in their entirety, has had an opportunity to obtain the advice of legal counsel prior to executing this Notice, and fully understands all provisions of this Notice, the Award Agreement and the Plan. The Participant hereby agrees that all questions of interpretation and administration relating to this Notice, the Award Agreement and the Plan shall be solely resolved by the Company’s Board.</w:t>
      </w:r>
    </w:p>
    <w:p>
      <w:pPr>
        <w:spacing w:after="0" w:line="179"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The Participant hereby acknowledges that he has had the opportunity to review with his own tax advisors the tax consequences of receiving this Notice, the Award Agreement and the Plan, and the transactions contemplated thereby, including any U.S. federal, state and local tax laws, and any other applicable taxing jurisdiction, prior to executing this Notice. Participant attests that he is relying solely on such advisors and not on any statements or representations of the Company or any of its agents or affiliates. Further, Participant hereby acknowledges and understands that he (and not the Company) shall be solely responsible for his tax liability that may arise as a result of receiving this Notice and the Award Agreement.</w:t>
      </w:r>
    </w:p>
    <w:p>
      <w:pPr>
        <w:spacing w:after="0" w:line="173"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PARTICIPANT:</w:t>
      </w:r>
    </w:p>
    <w:p>
      <w:pPr>
        <w:sectPr>
          <w:pgSz w:w="11900" w:h="16838" w:orient="portrait"/>
          <w:cols w:equalWidth="0" w:num="1">
            <w:col w:w="11460"/>
          </w:cols>
          <w:pgMar w:left="240" w:top="357" w:right="199" w:bottom="68" w:gutter="0" w:footer="0" w:header="0"/>
        </w:sectPr>
      </w:pPr>
    </w:p>
    <w:bookmarkStart w:id="359" w:name="page360"/>
    <w:bookmarkEnd w:id="359"/>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3785235</wp:posOffset>
            </wp:positionH>
            <wp:positionV relativeFrom="page">
              <wp:posOffset>222250</wp:posOffset>
            </wp:positionV>
            <wp:extent cx="362140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283210</wp:posOffset>
            </wp:positionV>
            <wp:extent cx="362140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Print Name</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313817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2013 EQUITY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OPTION AWARD AGREEMENT</w:t>
      </w:r>
    </w:p>
    <w:p>
      <w:pPr>
        <w:spacing w:after="0" w:line="230"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Subject to the terms and conditions of the Notice of Stock Option Award (the “</w:t>
      </w:r>
      <w:r>
        <w:rPr>
          <w:rFonts w:ascii="Arial" w:cs="Arial" w:eastAsia="Arial" w:hAnsi="Arial"/>
          <w:sz w:val="17"/>
          <w:szCs w:val="17"/>
          <w:u w:val="single" w:color="auto"/>
          <w:color w:val="auto"/>
        </w:rPr>
        <w:t>Notice</w:t>
      </w:r>
      <w:r>
        <w:rPr>
          <w:rFonts w:ascii="Arial" w:cs="Arial" w:eastAsia="Arial" w:hAnsi="Arial"/>
          <w:sz w:val="17"/>
          <w:szCs w:val="17"/>
          <w:color w:val="auto"/>
        </w:rPr>
        <w:t>”), this Stock Option Award Agreement (this “</w:t>
      </w:r>
      <w:r>
        <w:rPr>
          <w:rFonts w:ascii="Arial" w:cs="Arial" w:eastAsia="Arial" w:hAnsi="Arial"/>
          <w:sz w:val="17"/>
          <w:szCs w:val="17"/>
          <w:u w:val="single" w:color="auto"/>
          <w:color w:val="auto"/>
        </w:rPr>
        <w:t>Award Agreement</w:t>
      </w:r>
      <w:r>
        <w:rPr>
          <w:rFonts w:ascii="Arial" w:cs="Arial" w:eastAsia="Arial" w:hAnsi="Arial"/>
          <w:sz w:val="17"/>
          <w:szCs w:val="17"/>
          <w:color w:val="auto"/>
        </w:rPr>
        <w:t>”) and the 2013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Applied Optoelectronics, Inc. (the “</w:t>
      </w:r>
      <w:r>
        <w:rPr>
          <w:rFonts w:ascii="Arial" w:cs="Arial" w:eastAsia="Arial" w:hAnsi="Arial"/>
          <w:sz w:val="17"/>
          <w:szCs w:val="17"/>
          <w:u w:val="single" w:color="auto"/>
          <w:color w:val="auto"/>
        </w:rPr>
        <w:t>Company</w:t>
      </w:r>
      <w:r>
        <w:rPr>
          <w:rFonts w:ascii="Arial" w:cs="Arial" w:eastAsia="Arial" w:hAnsi="Arial"/>
          <w:sz w:val="17"/>
          <w:szCs w:val="17"/>
          <w:color w:val="auto"/>
        </w:rPr>
        <w:t>”) hereby grants the individual set forth in the Notice (the “</w:t>
      </w:r>
      <w:r>
        <w:rPr>
          <w:rFonts w:ascii="Arial" w:cs="Arial" w:eastAsia="Arial" w:hAnsi="Arial"/>
          <w:sz w:val="17"/>
          <w:szCs w:val="17"/>
          <w:u w:val="single" w:color="auto"/>
          <w:color w:val="auto"/>
        </w:rPr>
        <w:t>Participant</w:t>
      </w:r>
      <w:r>
        <w:rPr>
          <w:rFonts w:ascii="Arial" w:cs="Arial" w:eastAsia="Arial" w:hAnsi="Arial"/>
          <w:sz w:val="17"/>
          <w:szCs w:val="17"/>
          <w:color w:val="auto"/>
        </w:rPr>
        <w:t>”) an option (the “</w:t>
      </w:r>
      <w:r>
        <w:rPr>
          <w:rFonts w:ascii="Arial" w:cs="Arial" w:eastAsia="Arial" w:hAnsi="Arial"/>
          <w:sz w:val="17"/>
          <w:szCs w:val="17"/>
          <w:u w:val="single" w:color="auto"/>
          <w:color w:val="auto"/>
        </w:rPr>
        <w:t>Option</w:t>
      </w:r>
      <w:r>
        <w:rPr>
          <w:rFonts w:ascii="Arial" w:cs="Arial" w:eastAsia="Arial" w:hAnsi="Arial"/>
          <w:sz w:val="17"/>
          <w:szCs w:val="17"/>
          <w:color w:val="auto"/>
        </w:rPr>
        <w:t>”) to purchase shares of the Company’s common stock. Unless otherwise specifically indicated, all terms used in this Award Agreement shall have the meaning as set forth in the Notice or the Plan.</w:t>
      </w:r>
    </w:p>
    <w:p>
      <w:pPr>
        <w:spacing w:after="0" w:line="176" w:lineRule="exact"/>
        <w:rPr>
          <w:sz w:val="20"/>
          <w:szCs w:val="20"/>
          <w:color w:val="auto"/>
        </w:rPr>
      </w:pPr>
    </w:p>
    <w:p>
      <w:pPr>
        <w:ind w:left="1260" w:hanging="626"/>
        <w:spacing w:after="0"/>
        <w:tabs>
          <w:tab w:leader="none" w:pos="1260" w:val="left"/>
        </w:tabs>
        <w:numPr>
          <w:ilvl w:val="0"/>
          <w:numId w:val="533"/>
        </w:numPr>
        <w:rPr>
          <w:rFonts w:ascii="Arial" w:cs="Arial" w:eastAsia="Arial" w:hAnsi="Arial"/>
          <w:sz w:val="16"/>
          <w:szCs w:val="16"/>
          <w:color w:val="auto"/>
        </w:rPr>
      </w:pPr>
      <w:r>
        <w:rPr>
          <w:rFonts w:ascii="Arial" w:cs="Arial" w:eastAsia="Arial" w:hAnsi="Arial"/>
          <w:sz w:val="16"/>
          <w:szCs w:val="16"/>
          <w:u w:val="single" w:color="auto"/>
          <w:color w:val="auto"/>
        </w:rPr>
        <w:t>Grant of the Option</w:t>
      </w:r>
      <w:r>
        <w:rPr>
          <w:rFonts w:ascii="Arial" w:cs="Arial" w:eastAsia="Arial" w:hAnsi="Arial"/>
          <w:sz w:val="16"/>
          <w:szCs w:val="16"/>
          <w:color w:val="auto"/>
        </w:rPr>
        <w:t>. The principal features of the Option, including the number of Optioned Shares subject to the Option, are set forth in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Notice.</w:t>
      </w:r>
    </w:p>
    <w:p>
      <w:pPr>
        <w:spacing w:after="0" w:line="212" w:lineRule="exact"/>
        <w:rPr>
          <w:sz w:val="20"/>
          <w:szCs w:val="20"/>
          <w:color w:val="auto"/>
        </w:rPr>
      </w:pPr>
    </w:p>
    <w:p>
      <w:pPr>
        <w:ind w:right="260" w:firstLine="634"/>
        <w:spacing w:after="0" w:line="289" w:lineRule="auto"/>
        <w:tabs>
          <w:tab w:leader="none" w:pos="1258" w:val="left"/>
        </w:tabs>
        <w:numPr>
          <w:ilvl w:val="0"/>
          <w:numId w:val="534"/>
        </w:numPr>
        <w:rPr>
          <w:rFonts w:ascii="Arial" w:cs="Arial" w:eastAsia="Arial" w:hAnsi="Arial"/>
          <w:sz w:val="17"/>
          <w:szCs w:val="17"/>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 Subject to the Participant’s continuous service as a Service Provider, the Optioned Shares shall vest in accordance with the Vesting Schedule provided in the Notice.</w:t>
      </w:r>
    </w:p>
    <w:p>
      <w:pPr>
        <w:spacing w:after="0" w:line="158" w:lineRule="exact"/>
        <w:rPr>
          <w:rFonts w:ascii="Arial" w:cs="Arial" w:eastAsia="Arial" w:hAnsi="Arial"/>
          <w:sz w:val="17"/>
          <w:szCs w:val="17"/>
          <w:color w:val="auto"/>
        </w:rPr>
      </w:pPr>
    </w:p>
    <w:p>
      <w:pPr>
        <w:ind w:right="20" w:firstLine="634"/>
        <w:spacing w:after="0" w:line="263" w:lineRule="auto"/>
        <w:tabs>
          <w:tab w:leader="none" w:pos="1258" w:val="left"/>
        </w:tabs>
        <w:numPr>
          <w:ilvl w:val="0"/>
          <w:numId w:val="534"/>
        </w:numPr>
        <w:rPr>
          <w:rFonts w:ascii="Arial" w:cs="Arial" w:eastAsia="Arial" w:hAnsi="Arial"/>
          <w:sz w:val="17"/>
          <w:szCs w:val="17"/>
          <w:color w:val="auto"/>
        </w:rPr>
      </w:pPr>
      <w:r>
        <w:rPr>
          <w:rFonts w:ascii="Arial" w:cs="Arial" w:eastAsia="Arial" w:hAnsi="Arial"/>
          <w:sz w:val="17"/>
          <w:szCs w:val="17"/>
          <w:u w:val="single" w:color="auto"/>
          <w:color w:val="auto"/>
        </w:rPr>
        <w:t>Risk of Forfeiture</w:t>
      </w:r>
      <w:r>
        <w:rPr>
          <w:rFonts w:ascii="Arial" w:cs="Arial" w:eastAsia="Arial" w:hAnsi="Arial"/>
          <w:sz w:val="17"/>
          <w:szCs w:val="17"/>
          <w:color w:val="auto"/>
        </w:rPr>
        <w:t>. The Optioned Shares shall be subject to a risk of forfeiture until such time the risk of forfeiture lapses in accordance with the Vesting Schedule. All or any portion of the Optioned Shares subject to a risk of forfeiture shall automatically be forfeited and immediately returned to the Company if Participant’s continuous status as a Service Provider is interrupted or terminated for any reason other than as permitted under the Plan. Additionally, and notwithstanding anything in the Notice or this Award Agreement to the contrary, the vested and unvested Optioned Shares shall be forfeited if the Participant’s continuous service as a Service Provider is terminated for Cause or if the Participant breaches (as determined by the Board) any provisions of the Notice, this Award Agreement or the Plan.</w:t>
      </w:r>
    </w:p>
    <w:p>
      <w:pPr>
        <w:spacing w:after="0" w:line="183" w:lineRule="exact"/>
        <w:rPr>
          <w:rFonts w:ascii="Arial" w:cs="Arial" w:eastAsia="Arial" w:hAnsi="Arial"/>
          <w:sz w:val="17"/>
          <w:szCs w:val="17"/>
          <w:color w:val="auto"/>
        </w:rPr>
      </w:pPr>
    </w:p>
    <w:p>
      <w:pPr>
        <w:ind w:left="1260" w:hanging="626"/>
        <w:spacing w:after="0"/>
        <w:tabs>
          <w:tab w:leader="none" w:pos="1260" w:val="left"/>
        </w:tabs>
        <w:numPr>
          <w:ilvl w:val="0"/>
          <w:numId w:val="534"/>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0" w:firstLine="1263"/>
        <w:spacing w:after="0" w:line="280" w:lineRule="auto"/>
        <w:tabs>
          <w:tab w:leader="none" w:pos="1885" w:val="left"/>
        </w:tabs>
        <w:numPr>
          <w:ilvl w:val="1"/>
          <w:numId w:val="534"/>
        </w:numPr>
        <w:rPr>
          <w:rFonts w:ascii="Arial" w:cs="Arial" w:eastAsia="Arial" w:hAnsi="Arial"/>
          <w:sz w:val="16"/>
          <w:szCs w:val="16"/>
          <w:color w:val="auto"/>
        </w:rPr>
      </w:pPr>
      <w:r>
        <w:rPr>
          <w:rFonts w:ascii="Arial" w:cs="Arial" w:eastAsia="Arial" w:hAnsi="Arial"/>
          <w:sz w:val="16"/>
          <w:szCs w:val="16"/>
          <w:u w:val="single" w:color="auto"/>
          <w:color w:val="auto"/>
        </w:rPr>
        <w:t>Right to Exercise</w:t>
      </w:r>
      <w:r>
        <w:rPr>
          <w:rFonts w:ascii="Arial" w:cs="Arial" w:eastAsia="Arial" w:hAnsi="Arial"/>
          <w:sz w:val="16"/>
          <w:szCs w:val="16"/>
          <w:color w:val="auto"/>
        </w:rPr>
        <w:t>. The Optioned Shares shall be exercisable during its term cumulatively according to the Vesting Schedule set forth above and the applicable provisions of the Plan; however, the Optioned Shares shall not be exercised for a fraction of a Share. Additionally, and notwithstanding anything in the Notice, this Award Agreement, the Plan or any other agreement to the contrary, the Participant’s right to exercise vested Optioned Shares shall automatically expire, and the vested Optioned Shares shall automatically terminate, upon the end of the period (the “</w:t>
      </w:r>
      <w:r>
        <w:rPr>
          <w:rFonts w:ascii="Arial" w:cs="Arial" w:eastAsia="Arial" w:hAnsi="Arial"/>
          <w:sz w:val="16"/>
          <w:szCs w:val="16"/>
          <w:u w:val="single" w:color="auto"/>
          <w:color w:val="auto"/>
        </w:rPr>
        <w:t>Maximum Exercise Period</w:t>
      </w:r>
      <w:r>
        <w:rPr>
          <w:rFonts w:ascii="Arial" w:cs="Arial" w:eastAsia="Arial" w:hAnsi="Arial"/>
          <w:sz w:val="16"/>
          <w:szCs w:val="16"/>
          <w:color w:val="auto"/>
        </w:rPr>
        <w:t>”) prescribed in the Notice following the earliest of these events: (i) the termination of the status of the Participant as a Service Provider (except as provided below); (ii) the termination of the status of the Participant as a Service Provider due to Disability; and (iii) the termination of the status of the Participant as a Service Provider due to death. As provided under the Plan, and notwithstanding anything to the contrary, all Optioned Shares shall automatically expire and terminate upon the Expiration Date (as set forth in the Notice) to the extent not then exercised. Thereafter, no vested Optioned Shares may be exercised.</w:t>
      </w:r>
    </w:p>
    <w:p>
      <w:pPr>
        <w:spacing w:after="0" w:line="170" w:lineRule="exact"/>
        <w:rPr>
          <w:rFonts w:ascii="Arial" w:cs="Arial" w:eastAsia="Arial" w:hAnsi="Arial"/>
          <w:sz w:val="16"/>
          <w:szCs w:val="16"/>
          <w:color w:val="auto"/>
        </w:rPr>
      </w:pPr>
    </w:p>
    <w:p>
      <w:pPr>
        <w:ind w:right="600" w:firstLine="1263"/>
        <w:spacing w:after="0" w:line="289" w:lineRule="auto"/>
        <w:tabs>
          <w:tab w:leader="none" w:pos="1895" w:val="left"/>
        </w:tabs>
        <w:numPr>
          <w:ilvl w:val="1"/>
          <w:numId w:val="534"/>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The Option shall be exercisable to the extent then vested by delivery of a written exercise notice in a form acceptable to the Administrator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Exercise Notice</w:t>
      </w:r>
      <w:r>
        <w:rPr>
          <w:rFonts w:ascii="Arial" w:cs="Arial" w:eastAsia="Arial" w:hAnsi="Arial"/>
          <w:sz w:val="16"/>
          <w:szCs w:val="16"/>
          <w:color w:val="auto"/>
        </w:rPr>
        <w:t>”), which shall state the election to exercise the Option, the number of Shares with respect to which the Option is being exercised, and such other representations and agreements as may be required by the Company. The Exercise Notice shall be signed by the Participant (or by the Participant’s beneficiary or other person entitled to exercise the Option in the event of the Participant’s death under the Plan) and shall be delivered in person or by certified mail to the Secretary of the Company. The Exercise Notice shall be accompanied by payment of the aggregate Exercise Price as to all Shares exercised. The Option shall be deemed to be exercised as of the date (the “</w:t>
      </w:r>
      <w:r>
        <w:rPr>
          <w:rFonts w:ascii="Arial" w:cs="Arial" w:eastAsia="Arial" w:hAnsi="Arial"/>
          <w:sz w:val="16"/>
          <w:szCs w:val="16"/>
          <w:u w:val="single" w:color="auto"/>
          <w:color w:val="auto"/>
        </w:rPr>
        <w:t>Exercise Date</w:t>
      </w:r>
      <w:r>
        <w:rPr>
          <w:rFonts w:ascii="Arial" w:cs="Arial" w:eastAsia="Arial" w:hAnsi="Arial"/>
          <w:sz w:val="16"/>
          <w:szCs w:val="16"/>
          <w:color w:val="auto"/>
        </w:rPr>
        <w:t>”): (i) the date the Company receives (as determined by the Administrator in its sole, but reasonable, discretion) the fully executed Exercise Notice accompanied by payment of the aggregate Exercise Price, and (ii) all other applicable terms and conditions of the Award Agreement are satisfied in the sole discretion of the Administrator.</w:t>
      </w:r>
    </w:p>
    <w:p>
      <w:pPr>
        <w:spacing w:after="0" w:line="170" w:lineRule="exact"/>
        <w:rPr>
          <w:sz w:val="20"/>
          <w:szCs w:val="20"/>
          <w:color w:val="auto"/>
        </w:rPr>
      </w:pPr>
    </w:p>
    <w:p>
      <w:pPr>
        <w:ind w:right="80" w:firstLine="1263"/>
        <w:spacing w:after="0" w:line="268" w:lineRule="auto"/>
        <w:tabs>
          <w:tab w:leader="none" w:pos="1898" w:val="left"/>
        </w:tabs>
        <w:numPr>
          <w:ilvl w:val="1"/>
          <w:numId w:val="535"/>
        </w:numPr>
        <w:rPr>
          <w:rFonts w:ascii="Arial" w:cs="Arial" w:eastAsia="Arial" w:hAnsi="Arial"/>
          <w:sz w:val="17"/>
          <w:szCs w:val="17"/>
          <w:color w:val="auto"/>
        </w:rPr>
      </w:pPr>
      <w:r>
        <w:rPr>
          <w:rFonts w:ascii="Arial" w:cs="Arial" w:eastAsia="Arial" w:hAnsi="Arial"/>
          <w:sz w:val="17"/>
          <w:szCs w:val="17"/>
          <w:u w:val="single" w:color="auto"/>
          <w:color w:val="auto"/>
        </w:rPr>
        <w:t>Approval by Shareholders and Compliance Restrictions on Exercise</w:t>
      </w:r>
      <w:r>
        <w:rPr>
          <w:rFonts w:ascii="Arial" w:cs="Arial" w:eastAsia="Arial" w:hAnsi="Arial"/>
          <w:sz w:val="17"/>
          <w:szCs w:val="17"/>
          <w:color w:val="auto"/>
        </w:rPr>
        <w:t>. Notwithstanding any other provision of this Award Agreement to the contrary, no portion of the Option shall be exercisable at any time prior to the approval of the Plan by the shareholders of the Company. No Shares shall be issued pursuant to the exercise of an Option unless the issuance and exercise, including the form of consideration used to pay the Exercise Price, comply with Applicable Laws.</w:t>
      </w:r>
    </w:p>
    <w:p>
      <w:pPr>
        <w:spacing w:after="0" w:line="175" w:lineRule="exact"/>
        <w:rPr>
          <w:rFonts w:ascii="Arial" w:cs="Arial" w:eastAsia="Arial" w:hAnsi="Arial"/>
          <w:sz w:val="17"/>
          <w:szCs w:val="17"/>
          <w:color w:val="auto"/>
        </w:rPr>
      </w:pPr>
    </w:p>
    <w:p>
      <w:pPr>
        <w:ind w:firstLine="1263"/>
        <w:spacing w:after="0" w:line="268" w:lineRule="auto"/>
        <w:tabs>
          <w:tab w:leader="none" w:pos="1895" w:val="left"/>
        </w:tabs>
        <w:numPr>
          <w:ilvl w:val="1"/>
          <w:numId w:val="535"/>
        </w:numPr>
        <w:rPr>
          <w:rFonts w:ascii="Arial" w:cs="Arial" w:eastAsia="Arial" w:hAnsi="Arial"/>
          <w:sz w:val="17"/>
          <w:szCs w:val="17"/>
          <w:color w:val="auto"/>
        </w:rPr>
      </w:pPr>
      <w:r>
        <w:rPr>
          <w:rFonts w:ascii="Arial" w:cs="Arial" w:eastAsia="Arial" w:hAnsi="Arial"/>
          <w:sz w:val="17"/>
          <w:szCs w:val="17"/>
          <w:u w:val="single" w:color="auto"/>
          <w:color w:val="auto"/>
        </w:rPr>
        <w:t>Issuance of Shares</w:t>
      </w:r>
      <w:r>
        <w:rPr>
          <w:rFonts w:ascii="Arial" w:cs="Arial" w:eastAsia="Arial" w:hAnsi="Arial"/>
          <w:sz w:val="17"/>
          <w:szCs w:val="17"/>
          <w:color w:val="auto"/>
        </w:rPr>
        <w:t>. After receiving the Exercise Notice, the Company shall cause to be issued a certificate or certificates for the Shares as to which the Option has been exercised, registered in the name of the person exercising this Option (or in the names of such person and his or her spouse as community property or as joint tenants with right of survivorship). The Company shall cause the certificate or certificates to be deposited in escrow or delivered to or upon the order of the person exercising the Option.</w:t>
      </w:r>
    </w:p>
    <w:p>
      <w:pPr>
        <w:spacing w:after="0" w:line="175" w:lineRule="exact"/>
        <w:rPr>
          <w:rFonts w:ascii="Arial" w:cs="Arial" w:eastAsia="Arial" w:hAnsi="Arial"/>
          <w:sz w:val="17"/>
          <w:szCs w:val="17"/>
          <w:color w:val="auto"/>
        </w:rPr>
      </w:pPr>
    </w:p>
    <w:p>
      <w:pPr>
        <w:ind w:right="60" w:firstLine="634"/>
        <w:spacing w:after="0" w:line="289" w:lineRule="auto"/>
        <w:tabs>
          <w:tab w:leader="none" w:pos="1258" w:val="left"/>
        </w:tabs>
        <w:numPr>
          <w:ilvl w:val="0"/>
          <w:numId w:val="536"/>
        </w:numPr>
        <w:rPr>
          <w:rFonts w:ascii="Arial" w:cs="Arial" w:eastAsia="Arial" w:hAnsi="Arial"/>
          <w:sz w:val="17"/>
          <w:szCs w:val="17"/>
          <w:color w:val="auto"/>
        </w:rPr>
      </w:pPr>
      <w:r>
        <w:rPr>
          <w:rFonts w:ascii="Arial" w:cs="Arial" w:eastAsia="Arial" w:hAnsi="Arial"/>
          <w:sz w:val="17"/>
          <w:szCs w:val="17"/>
          <w:u w:val="single" w:color="auto"/>
          <w:color w:val="auto"/>
        </w:rPr>
        <w:t>Method of Payment</w:t>
      </w:r>
      <w:r>
        <w:rPr>
          <w:rFonts w:ascii="Arial" w:cs="Arial" w:eastAsia="Arial" w:hAnsi="Arial"/>
          <w:sz w:val="17"/>
          <w:szCs w:val="17"/>
          <w:color w:val="auto"/>
        </w:rPr>
        <w:t>. Payment of the aggregate Exercise Price shall be by any of the following forms of consideration, or a combination thereof, at the election of the Participant:</w:t>
      </w:r>
    </w:p>
    <w:p>
      <w:pPr>
        <w:spacing w:after="0" w:line="158" w:lineRule="exact"/>
        <w:rPr>
          <w:rFonts w:ascii="Arial" w:cs="Arial" w:eastAsia="Arial" w:hAnsi="Arial"/>
          <w:sz w:val="17"/>
          <w:szCs w:val="17"/>
          <w:color w:val="auto"/>
        </w:rPr>
      </w:pPr>
    </w:p>
    <w:p>
      <w:pPr>
        <w:ind w:left="1880" w:hanging="617"/>
        <w:spacing w:after="0"/>
        <w:tabs>
          <w:tab w:leader="none" w:pos="1880" w:val="left"/>
        </w:tabs>
        <w:numPr>
          <w:ilvl w:val="1"/>
          <w:numId w:val="536"/>
        </w:numPr>
        <w:rPr>
          <w:rFonts w:ascii="Arial" w:cs="Arial" w:eastAsia="Arial" w:hAnsi="Arial"/>
          <w:sz w:val="17"/>
          <w:szCs w:val="17"/>
          <w:color w:val="auto"/>
        </w:rPr>
      </w:pPr>
      <w:r>
        <w:rPr>
          <w:rFonts w:ascii="Arial" w:cs="Arial" w:eastAsia="Arial" w:hAnsi="Arial"/>
          <w:sz w:val="17"/>
          <w:szCs w:val="17"/>
          <w:color w:val="auto"/>
        </w:rPr>
        <w:t>cash or check;</w:t>
      </w:r>
    </w:p>
    <w:p>
      <w:pPr>
        <w:spacing w:after="0" w:line="224" w:lineRule="exact"/>
        <w:rPr>
          <w:rFonts w:ascii="Arial" w:cs="Arial" w:eastAsia="Arial" w:hAnsi="Arial"/>
          <w:sz w:val="17"/>
          <w:szCs w:val="17"/>
          <w:color w:val="auto"/>
        </w:rPr>
      </w:pPr>
    </w:p>
    <w:p>
      <w:pPr>
        <w:ind w:right="500" w:firstLine="1263"/>
        <w:spacing w:after="0" w:line="289" w:lineRule="auto"/>
        <w:tabs>
          <w:tab w:leader="none" w:pos="1895" w:val="left"/>
        </w:tabs>
        <w:numPr>
          <w:ilvl w:val="1"/>
          <w:numId w:val="536"/>
        </w:numPr>
        <w:rPr>
          <w:rFonts w:ascii="Arial" w:cs="Arial" w:eastAsia="Arial" w:hAnsi="Arial"/>
          <w:sz w:val="17"/>
          <w:szCs w:val="17"/>
          <w:color w:val="auto"/>
        </w:rPr>
      </w:pPr>
      <w:r>
        <w:rPr>
          <w:rFonts w:ascii="Arial" w:cs="Arial" w:eastAsia="Arial" w:hAnsi="Arial"/>
          <w:sz w:val="17"/>
          <w:szCs w:val="17"/>
          <w:color w:val="auto"/>
        </w:rPr>
        <w:t>if approved by the Administrator (in its sole discretion), consideration received by the Company under a formal cashless exercise program adopted by the Company in connection with the Plan or a net exercise feature; or</w:t>
      </w:r>
    </w:p>
    <w:p>
      <w:pPr>
        <w:sectPr>
          <w:pgSz w:w="11900" w:h="16910" w:orient="portrait"/>
          <w:cols w:equalWidth="0" w:num="1">
            <w:col w:w="11420"/>
          </w:cols>
          <w:pgMar w:left="240" w:top="350" w:right="239" w:bottom="0" w:gutter="0" w:footer="0" w:header="0"/>
        </w:sectPr>
      </w:pPr>
    </w:p>
    <w:bookmarkStart w:id="360" w:name="page361"/>
    <w:bookmarkEnd w:id="360"/>
    <w:p>
      <w:pPr>
        <w:spacing w:after="0" w:line="79" w:lineRule="exact"/>
        <w:rPr>
          <w:sz w:val="20"/>
          <w:szCs w:val="20"/>
          <w:color w:val="auto"/>
        </w:rPr>
      </w:pPr>
    </w:p>
    <w:p>
      <w:pPr>
        <w:ind w:right="500" w:firstLine="1263"/>
        <w:spacing w:after="0" w:line="289" w:lineRule="auto"/>
        <w:tabs>
          <w:tab w:leader="none" w:pos="1898" w:val="left"/>
        </w:tabs>
        <w:numPr>
          <w:ilvl w:val="1"/>
          <w:numId w:val="537"/>
        </w:numPr>
        <w:rPr>
          <w:rFonts w:ascii="Arial" w:cs="Arial" w:eastAsia="Arial" w:hAnsi="Arial"/>
          <w:sz w:val="17"/>
          <w:szCs w:val="17"/>
          <w:color w:val="auto"/>
        </w:rPr>
      </w:pPr>
      <w:r>
        <w:rPr>
          <w:rFonts w:ascii="Arial" w:cs="Arial" w:eastAsia="Arial" w:hAnsi="Arial"/>
          <w:sz w:val="17"/>
          <w:szCs w:val="17"/>
          <w:color w:val="auto"/>
        </w:rPr>
        <w:t>if approved by the Administrator (in its sole discretion), surrender of other Shares which, if accepted by the Company, would not subject the Company to adverse accounting as determined by the Administrator.</w:t>
      </w:r>
    </w:p>
    <w:p>
      <w:pPr>
        <w:spacing w:after="0" w:line="158" w:lineRule="exact"/>
        <w:rPr>
          <w:rFonts w:ascii="Arial" w:cs="Arial" w:eastAsia="Arial" w:hAnsi="Arial"/>
          <w:sz w:val="17"/>
          <w:szCs w:val="17"/>
          <w:color w:val="auto"/>
        </w:rPr>
      </w:pPr>
    </w:p>
    <w:p>
      <w:pPr>
        <w:ind w:right="300" w:firstLine="634"/>
        <w:spacing w:after="0" w:line="290" w:lineRule="auto"/>
        <w:tabs>
          <w:tab w:leader="none" w:pos="1258" w:val="left"/>
        </w:tabs>
        <w:numPr>
          <w:ilvl w:val="0"/>
          <w:numId w:val="538"/>
        </w:numPr>
        <w:rPr>
          <w:rFonts w:ascii="Arial" w:cs="Arial" w:eastAsia="Arial" w:hAnsi="Arial"/>
          <w:sz w:val="16"/>
          <w:szCs w:val="16"/>
          <w:color w:val="auto"/>
        </w:rPr>
      </w:pPr>
      <w:r>
        <w:rPr>
          <w:rFonts w:ascii="Arial" w:cs="Arial" w:eastAsia="Arial" w:hAnsi="Arial"/>
          <w:sz w:val="16"/>
          <w:szCs w:val="16"/>
          <w:u w:val="single" w:color="auto"/>
          <w:color w:val="auto"/>
        </w:rPr>
        <w:t>Non-Transferability of Option</w:t>
      </w:r>
      <w:r>
        <w:rPr>
          <w:rFonts w:ascii="Arial" w:cs="Arial" w:eastAsia="Arial" w:hAnsi="Arial"/>
          <w:sz w:val="16"/>
          <w:szCs w:val="16"/>
          <w:color w:val="auto"/>
        </w:rPr>
        <w:t>. The Option and the rights and privileges conferred hereby shall not be sold, pledged or otherwise transferred (whether by operation of law or otherwise) in any manner otherwise than by will or by the laws of descent or distribution, shall not be subject to sale under execution, attachment, levy or similar process and may be exercised during the lifetime of the Participant only by the Participant. The terms of the Notice, this Award Agreement and the Plan shall be binding upon the executors, administrators, heirs, successors and assigns of the Participant.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780" w:firstLine="634"/>
        <w:spacing w:after="0" w:line="289" w:lineRule="auto"/>
        <w:tabs>
          <w:tab w:leader="none" w:pos="1258" w:val="left"/>
        </w:tabs>
        <w:numPr>
          <w:ilvl w:val="0"/>
          <w:numId w:val="539"/>
        </w:numPr>
        <w:rPr>
          <w:rFonts w:ascii="Arial" w:cs="Arial" w:eastAsia="Arial" w:hAnsi="Arial"/>
          <w:sz w:val="17"/>
          <w:szCs w:val="17"/>
          <w:color w:val="auto"/>
        </w:rPr>
      </w:pPr>
      <w:r>
        <w:rPr>
          <w:rFonts w:ascii="Arial" w:cs="Arial" w:eastAsia="Arial" w:hAnsi="Arial"/>
          <w:sz w:val="17"/>
          <w:szCs w:val="17"/>
          <w:u w:val="single" w:color="auto"/>
          <w:color w:val="auto"/>
        </w:rPr>
        <w:t>Term of Option</w:t>
      </w:r>
      <w:r>
        <w:rPr>
          <w:rFonts w:ascii="Arial" w:cs="Arial" w:eastAsia="Arial" w:hAnsi="Arial"/>
          <w:sz w:val="17"/>
          <w:szCs w:val="17"/>
          <w:color w:val="auto"/>
        </w:rPr>
        <w:t>. The Option shall in any event expire on the Expiration Date set forth in the Notice, and may be exercised prior to the Expiration Date only in accordance with the Plan and the terms of this Award Agreement.</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539"/>
        </w:numPr>
        <w:rPr>
          <w:rFonts w:ascii="Arial" w:cs="Arial" w:eastAsia="Arial" w:hAnsi="Arial"/>
          <w:sz w:val="17"/>
          <w:szCs w:val="17"/>
          <w:color w:val="auto"/>
        </w:rPr>
      </w:pPr>
      <w:r>
        <w:rPr>
          <w:rFonts w:ascii="Arial" w:cs="Arial" w:eastAsia="Arial" w:hAnsi="Arial"/>
          <w:sz w:val="17"/>
          <w:szCs w:val="17"/>
          <w:u w:val="single" w:color="auto"/>
          <w:color w:val="auto"/>
        </w:rPr>
        <w:t>Tax Obligations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right="100" w:firstLine="1263"/>
        <w:spacing w:after="0" w:line="268" w:lineRule="auto"/>
        <w:tabs>
          <w:tab w:leader="none" w:pos="1885" w:val="left"/>
        </w:tabs>
        <w:numPr>
          <w:ilvl w:val="1"/>
          <w:numId w:val="539"/>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The Participant shall make appropriate arrangements with the Company (or the Parent or Subsidiary employing or retaining the Participant) for the satisfaction of all U.S. Federal, state, local and non-U.S. income and employment tax withholding requirements applicable to the Option exercise. The Participant hereby acknowledges, understands and agrees that the Company may refuse to honor the exercise and refuse to deliver Shares if the withholding amounts are not delivered at the time of exercise.</w:t>
      </w:r>
    </w:p>
    <w:p>
      <w:pPr>
        <w:spacing w:after="0" w:line="175" w:lineRule="exact"/>
        <w:rPr>
          <w:rFonts w:ascii="Arial" w:cs="Arial" w:eastAsia="Arial" w:hAnsi="Arial"/>
          <w:sz w:val="17"/>
          <w:szCs w:val="17"/>
          <w:color w:val="auto"/>
        </w:rPr>
      </w:pPr>
    </w:p>
    <w:p>
      <w:pPr>
        <w:ind w:right="80" w:firstLine="1263"/>
        <w:spacing w:after="0" w:line="265" w:lineRule="auto"/>
        <w:tabs>
          <w:tab w:leader="none" w:pos="1895" w:val="left"/>
        </w:tabs>
        <w:numPr>
          <w:ilvl w:val="1"/>
          <w:numId w:val="539"/>
        </w:numPr>
        <w:rPr>
          <w:rFonts w:ascii="Arial" w:cs="Arial" w:eastAsia="Arial" w:hAnsi="Arial"/>
          <w:sz w:val="17"/>
          <w:szCs w:val="17"/>
          <w:color w:val="auto"/>
        </w:rPr>
      </w:pPr>
      <w:r>
        <w:rPr>
          <w:rFonts w:ascii="Arial" w:cs="Arial" w:eastAsia="Arial" w:hAnsi="Arial"/>
          <w:sz w:val="17"/>
          <w:szCs w:val="17"/>
          <w:u w:val="single" w:color="auto"/>
          <w:color w:val="auto"/>
        </w:rPr>
        <w:t>Notice of Disqualifying Disposition of Shares</w:t>
      </w:r>
      <w:r>
        <w:rPr>
          <w:rFonts w:ascii="Arial" w:cs="Arial" w:eastAsia="Arial" w:hAnsi="Arial"/>
          <w:sz w:val="17"/>
          <w:szCs w:val="17"/>
          <w:color w:val="auto"/>
        </w:rPr>
        <w:t>. If the Option granted to the Participant herein is designated as an Incentive Stock Option, and if the Participant sells or otherwise disposes of any of the Shares acquired pursuant to the Incentive Stock Option on or before the later of: (i) the date two years after the Date of Grant and (ii) the date one year after the date of exercise, the Participant shall immediately notify the Company in writing of such disposition. The Participant hereby acknowledges and agrees that the Participant may be subject to income tax withholding by the Company on the compensation income recognized by the Participant in connection with the exercise of the Option.</w:t>
      </w:r>
    </w:p>
    <w:p>
      <w:pPr>
        <w:spacing w:after="0" w:line="179" w:lineRule="exact"/>
        <w:rPr>
          <w:rFonts w:ascii="Arial" w:cs="Arial" w:eastAsia="Arial" w:hAnsi="Arial"/>
          <w:sz w:val="17"/>
          <w:szCs w:val="17"/>
          <w:color w:val="auto"/>
        </w:rPr>
      </w:pPr>
    </w:p>
    <w:p>
      <w:pPr>
        <w:ind w:right="40" w:firstLine="634"/>
        <w:spacing w:after="0" w:line="268" w:lineRule="auto"/>
        <w:tabs>
          <w:tab w:leader="none" w:pos="1258" w:val="left"/>
        </w:tabs>
        <w:numPr>
          <w:ilvl w:val="0"/>
          <w:numId w:val="539"/>
        </w:numPr>
        <w:rPr>
          <w:rFonts w:ascii="Arial" w:cs="Arial" w:eastAsia="Arial" w:hAnsi="Arial"/>
          <w:sz w:val="17"/>
          <w:szCs w:val="17"/>
          <w:color w:val="auto"/>
        </w:rPr>
      </w:pPr>
      <w:r>
        <w:rPr>
          <w:rFonts w:ascii="Arial" w:cs="Arial" w:eastAsia="Arial" w:hAnsi="Arial"/>
          <w:sz w:val="17"/>
          <w:szCs w:val="17"/>
          <w:u w:val="single" w:color="auto"/>
          <w:color w:val="auto"/>
        </w:rPr>
        <w:t>Adjustment of Shares</w:t>
      </w:r>
      <w:r>
        <w:rPr>
          <w:rFonts w:ascii="Arial" w:cs="Arial" w:eastAsia="Arial" w:hAnsi="Arial"/>
          <w:sz w:val="17"/>
          <w:szCs w:val="17"/>
          <w:color w:val="auto"/>
        </w:rPr>
        <w:t>. In the event of any transaction described in Section 15(a) of the Plan, the terms of the Option (including, without limitation, the number and kind of the Optioned Shares and the Exercise Price) may be adjusted as set forth therein. This Award Agreement shall in no way affect the right of the Company to adjust, reclassify, reorganize or otherwise change its capital or business structure or to merge, consolidate, dissolve, liquidate or sell or transfer any part of its business or assets.</w:t>
      </w:r>
    </w:p>
    <w:p>
      <w:pPr>
        <w:spacing w:after="0" w:line="175" w:lineRule="exact"/>
        <w:rPr>
          <w:rFonts w:ascii="Arial" w:cs="Arial" w:eastAsia="Arial" w:hAnsi="Arial"/>
          <w:sz w:val="17"/>
          <w:szCs w:val="17"/>
          <w:color w:val="auto"/>
        </w:rPr>
      </w:pPr>
    </w:p>
    <w:p>
      <w:pPr>
        <w:ind w:right="80" w:firstLine="634"/>
        <w:spacing w:after="0" w:line="268" w:lineRule="auto"/>
        <w:tabs>
          <w:tab w:leader="none" w:pos="1254" w:val="left"/>
        </w:tabs>
        <w:numPr>
          <w:ilvl w:val="0"/>
          <w:numId w:val="539"/>
        </w:numPr>
        <w:rPr>
          <w:rFonts w:ascii="Arial" w:cs="Arial" w:eastAsia="Arial" w:hAnsi="Arial"/>
          <w:sz w:val="17"/>
          <w:szCs w:val="17"/>
          <w:color w:val="auto"/>
        </w:rPr>
      </w:pPr>
      <w:r>
        <w:rPr>
          <w:rFonts w:ascii="Arial" w:cs="Arial" w:eastAsia="Arial" w:hAnsi="Arial"/>
          <w:sz w:val="17"/>
          <w:szCs w:val="17"/>
          <w:u w:val="single" w:color="auto"/>
          <w:color w:val="auto"/>
        </w:rPr>
        <w:t>Legality of Initial Issuance</w:t>
      </w:r>
      <w:r>
        <w:rPr>
          <w:rFonts w:ascii="Arial" w:cs="Arial" w:eastAsia="Arial" w:hAnsi="Arial"/>
          <w:sz w:val="17"/>
          <w:szCs w:val="17"/>
          <w:color w:val="auto"/>
        </w:rPr>
        <w:t>. No Shares shall be issued upon the exercise of the Option unless and until the Company has determined that: (i) the Company and the Participant have taken all actions required to register the Shares under the Securities Act or to perfect an exemption from the registration requirements thereof, if applicable; (ii) all applicable listing requirements of any stock exchange or other securities market on which the Shares are listed has been satisfied; and (iii) any other applicable provision of state or U.S. federal law or other Applicable Laws has been satisfied.</w:t>
      </w:r>
    </w:p>
    <w:p>
      <w:pPr>
        <w:spacing w:after="0" w:line="175" w:lineRule="exact"/>
        <w:rPr>
          <w:rFonts w:ascii="Arial" w:cs="Arial" w:eastAsia="Arial" w:hAnsi="Arial"/>
          <w:sz w:val="17"/>
          <w:szCs w:val="17"/>
          <w:color w:val="auto"/>
        </w:rPr>
      </w:pPr>
    </w:p>
    <w:p>
      <w:pPr>
        <w:ind w:right="240" w:firstLine="634"/>
        <w:spacing w:after="0" w:line="273" w:lineRule="auto"/>
        <w:tabs>
          <w:tab w:leader="none" w:pos="1248" w:val="left"/>
        </w:tabs>
        <w:numPr>
          <w:ilvl w:val="0"/>
          <w:numId w:val="539"/>
        </w:numPr>
        <w:rPr>
          <w:rFonts w:ascii="Arial" w:cs="Arial" w:eastAsia="Arial" w:hAnsi="Arial"/>
          <w:sz w:val="17"/>
          <w:szCs w:val="17"/>
          <w:color w:val="auto"/>
        </w:rPr>
      </w:pPr>
      <w:r>
        <w:rPr>
          <w:rFonts w:ascii="Arial" w:cs="Arial" w:eastAsia="Arial" w:hAnsi="Arial"/>
          <w:sz w:val="17"/>
          <w:szCs w:val="17"/>
          <w:u w:val="single" w:color="auto"/>
          <w:color w:val="auto"/>
        </w:rPr>
        <w:t>No Registration Rights</w:t>
      </w:r>
      <w:r>
        <w:rPr>
          <w:rFonts w:ascii="Arial" w:cs="Arial" w:eastAsia="Arial" w:hAnsi="Arial"/>
          <w:sz w:val="17"/>
          <w:szCs w:val="17"/>
          <w:color w:val="auto"/>
        </w:rPr>
        <w:t>. The Company may, but shall not be obligated to, register or qualify the sale of Shares under the Securities Act or any other Applicable Laws. The Company shall not be obligated to take any affirmative action in order to cause the sale of Shares under this Award Agreement to comply with any law.</w:t>
      </w:r>
    </w:p>
    <w:p>
      <w:pPr>
        <w:spacing w:after="0" w:line="171" w:lineRule="exact"/>
        <w:rPr>
          <w:rFonts w:ascii="Arial" w:cs="Arial" w:eastAsia="Arial" w:hAnsi="Arial"/>
          <w:sz w:val="17"/>
          <w:szCs w:val="17"/>
          <w:color w:val="auto"/>
        </w:rPr>
      </w:pPr>
    </w:p>
    <w:p>
      <w:pPr>
        <w:jc w:val="both"/>
        <w:ind w:right="260" w:firstLine="634"/>
        <w:spacing w:after="0" w:line="273" w:lineRule="auto"/>
        <w:tabs>
          <w:tab w:leader="none" w:pos="1254" w:val="left"/>
        </w:tabs>
        <w:numPr>
          <w:ilvl w:val="0"/>
          <w:numId w:val="539"/>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Regardless of whether the offering and sale of Shares under the Plan have been registered under the Securities Act or have been registered or qualified under the securities laws of any state, the Company at its discretion may impose restrictions upon the sale, pledge or other transfer of the Shares (including the placement of appropriate legends on share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color w:val="auto"/>
        </w:rPr>
        <w:t>certificates or the imposition of stop-transfer instructions) if, in the judgment of the Company, such restrictions are necessary or desirable in order to achieve compliance with Applicable Laws.</w:t>
      </w:r>
    </w:p>
    <w:p>
      <w:pPr>
        <w:spacing w:after="0" w:line="158" w:lineRule="exact"/>
        <w:rPr>
          <w:sz w:val="20"/>
          <w:szCs w:val="20"/>
          <w:color w:val="auto"/>
        </w:rPr>
      </w:pPr>
    </w:p>
    <w:p>
      <w:pPr>
        <w:ind w:right="400" w:firstLine="634"/>
        <w:spacing w:after="0" w:line="298" w:lineRule="auto"/>
        <w:tabs>
          <w:tab w:leader="none" w:pos="1254" w:val="left"/>
        </w:tabs>
        <w:numPr>
          <w:ilvl w:val="0"/>
          <w:numId w:val="540"/>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Any notice required by the terms of this Award Agreement shall be given in writing and shall be deemed effective upon personal delivery or upon deposit with the United States Postal Service, by registered or certified mail, with postage and fees prepaid. Notice shall be addressed to the Company at its principal executive office and to the Participant at the address that he or she most recently provided to the Company.</w:t>
      </w:r>
    </w:p>
    <w:p>
      <w:pPr>
        <w:spacing w:after="0" w:line="153" w:lineRule="exact"/>
        <w:rPr>
          <w:rFonts w:ascii="Arial" w:cs="Arial" w:eastAsia="Arial" w:hAnsi="Arial"/>
          <w:sz w:val="16"/>
          <w:szCs w:val="16"/>
          <w:color w:val="auto"/>
        </w:rPr>
      </w:pPr>
    </w:p>
    <w:p>
      <w:pPr>
        <w:ind w:right="180" w:firstLine="634"/>
        <w:spacing w:after="0" w:line="289" w:lineRule="auto"/>
        <w:tabs>
          <w:tab w:leader="none" w:pos="1254" w:val="left"/>
        </w:tabs>
        <w:numPr>
          <w:ilvl w:val="0"/>
          <w:numId w:val="540"/>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Except as provided herein to the contrary, this Award Agreement shall be binding upon and inure to the benefit of the parties to this Award Agreement, their respective successors and permitted assigns.</w:t>
      </w:r>
    </w:p>
    <w:p>
      <w:pPr>
        <w:spacing w:after="0" w:line="158" w:lineRule="exact"/>
        <w:rPr>
          <w:rFonts w:ascii="Arial" w:cs="Arial" w:eastAsia="Arial" w:hAnsi="Arial"/>
          <w:sz w:val="17"/>
          <w:szCs w:val="17"/>
          <w:color w:val="auto"/>
        </w:rPr>
      </w:pPr>
    </w:p>
    <w:p>
      <w:pPr>
        <w:ind w:right="300" w:firstLine="634"/>
        <w:spacing w:after="0" w:line="268" w:lineRule="auto"/>
        <w:tabs>
          <w:tab w:leader="none" w:pos="1254" w:val="left"/>
        </w:tabs>
        <w:numPr>
          <w:ilvl w:val="0"/>
          <w:numId w:val="540"/>
        </w:numPr>
        <w:rPr>
          <w:rFonts w:ascii="Arial" w:cs="Arial" w:eastAsia="Arial" w:hAnsi="Arial"/>
          <w:sz w:val="17"/>
          <w:szCs w:val="17"/>
          <w:color w:val="auto"/>
        </w:rPr>
      </w:pPr>
      <w:r>
        <w:rPr>
          <w:rFonts w:ascii="Arial" w:cs="Arial" w:eastAsia="Arial" w:hAnsi="Arial"/>
          <w:sz w:val="17"/>
          <w:szCs w:val="17"/>
          <w:u w:val="single" w:color="auto"/>
          <w:color w:val="auto"/>
        </w:rPr>
        <w:t>No Assignment</w:t>
      </w:r>
      <w:r>
        <w:rPr>
          <w:rFonts w:ascii="Arial" w:cs="Arial" w:eastAsia="Arial" w:hAnsi="Arial"/>
          <w:sz w:val="17"/>
          <w:szCs w:val="17"/>
          <w:color w:val="auto"/>
        </w:rPr>
        <w:t>. Except as otherwise provided in this Award Agreement, the Participant shall not assign any of his or her rights under this Award Agreement without the prior written consent of the Company, which consent may be withheld in its sole discretion. The Company shall be permitted to assign its rights or obligations under this Award Agreement, but no such assignment shall release the Company of any obligations pursuant to this Award Agreement.</w:t>
      </w:r>
    </w:p>
    <w:p>
      <w:pPr>
        <w:spacing w:after="0" w:line="175" w:lineRule="exact"/>
        <w:rPr>
          <w:rFonts w:ascii="Arial" w:cs="Arial" w:eastAsia="Arial" w:hAnsi="Arial"/>
          <w:sz w:val="17"/>
          <w:szCs w:val="17"/>
          <w:color w:val="auto"/>
        </w:rPr>
      </w:pPr>
    </w:p>
    <w:p>
      <w:pPr>
        <w:ind w:right="220" w:firstLine="634"/>
        <w:spacing w:after="0" w:line="289" w:lineRule="auto"/>
        <w:tabs>
          <w:tab w:leader="none" w:pos="1254" w:val="left"/>
        </w:tabs>
        <w:numPr>
          <w:ilvl w:val="0"/>
          <w:numId w:val="54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validity, legality or enforceability of the remainder of this Award Agreement shall not be affected even if one or more of the provisions of this Award Agreement shall be held to be invalid, illegal or unenforceable in any respect.</w:t>
      </w:r>
    </w:p>
    <w:p>
      <w:pPr>
        <w:spacing w:after="0" w:line="158" w:lineRule="exact"/>
        <w:rPr>
          <w:rFonts w:ascii="Arial" w:cs="Arial" w:eastAsia="Arial" w:hAnsi="Arial"/>
          <w:sz w:val="17"/>
          <w:szCs w:val="17"/>
          <w:color w:val="auto"/>
        </w:rPr>
      </w:pPr>
    </w:p>
    <w:p>
      <w:pPr>
        <w:ind w:right="740" w:firstLine="634"/>
        <w:spacing w:after="0" w:line="289" w:lineRule="auto"/>
        <w:tabs>
          <w:tab w:leader="none" w:pos="1254" w:val="left"/>
        </w:tabs>
        <w:numPr>
          <w:ilvl w:val="0"/>
          <w:numId w:val="540"/>
        </w:numPr>
        <w:rPr>
          <w:rFonts w:ascii="Arial" w:cs="Arial" w:eastAsia="Arial" w:hAnsi="Arial"/>
          <w:sz w:val="17"/>
          <w:szCs w:val="17"/>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Any determination by the Administrator in connection with any question or issue arising under the Plan or this Award Agreement shall be final, conclusive, and binding on the Participant, the Company, and all other persons.</w:t>
      </w:r>
    </w:p>
    <w:p>
      <w:pPr>
        <w:spacing w:after="0" w:line="158" w:lineRule="exact"/>
        <w:rPr>
          <w:rFonts w:ascii="Arial" w:cs="Arial" w:eastAsia="Arial" w:hAnsi="Arial"/>
          <w:sz w:val="17"/>
          <w:szCs w:val="17"/>
          <w:color w:val="auto"/>
        </w:rPr>
      </w:pPr>
    </w:p>
    <w:p>
      <w:pPr>
        <w:ind w:firstLine="634"/>
        <w:spacing w:after="0" w:line="273" w:lineRule="auto"/>
        <w:tabs>
          <w:tab w:leader="none" w:pos="1254" w:val="left"/>
        </w:tabs>
        <w:numPr>
          <w:ilvl w:val="0"/>
          <w:numId w:val="540"/>
        </w:numPr>
        <w:rPr>
          <w:rFonts w:ascii="Arial" w:cs="Arial" w:eastAsia="Arial" w:hAnsi="Arial"/>
          <w:sz w:val="17"/>
          <w:szCs w:val="17"/>
          <w:color w:val="auto"/>
        </w:rPr>
      </w:pPr>
      <w:r>
        <w:rPr>
          <w:rFonts w:ascii="Arial" w:cs="Arial" w:eastAsia="Arial" w:hAnsi="Arial"/>
          <w:sz w:val="17"/>
          <w:szCs w:val="17"/>
          <w:u w:val="single" w:color="auto"/>
          <w:color w:val="auto"/>
        </w:rPr>
        <w:t>Spousal Consent</w:t>
      </w:r>
      <w:r>
        <w:rPr>
          <w:rFonts w:ascii="Arial" w:cs="Arial" w:eastAsia="Arial" w:hAnsi="Arial"/>
          <w:sz w:val="17"/>
          <w:szCs w:val="17"/>
          <w:color w:val="auto"/>
        </w:rPr>
        <w:t xml:space="preserve">. To the extent Participant is married, Participant agrees to (i) provide Participant’s spouse with a copy of this Award Agreement prior to its execution by Participant and (ii) obtain such spouse’s consent to this Award Agreement as evidenced by such spouse’s execution of the Spousal Consent attached hereto as </w:t>
      </w:r>
      <w:r>
        <w:rPr>
          <w:rFonts w:ascii="Arial" w:cs="Arial" w:eastAsia="Arial" w:hAnsi="Arial"/>
          <w:sz w:val="17"/>
          <w:szCs w:val="17"/>
          <w:b w:val="1"/>
          <w:bCs w:val="1"/>
          <w:color w:val="auto"/>
        </w:rPr>
        <w:t>Exhibit A</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380" w:firstLine="634"/>
        <w:spacing w:after="0" w:line="360" w:lineRule="auto"/>
        <w:tabs>
          <w:tab w:leader="none" w:pos="1254" w:val="left"/>
        </w:tabs>
        <w:numPr>
          <w:ilvl w:val="0"/>
          <w:numId w:val="540"/>
        </w:numPr>
        <w:rPr>
          <w:rFonts w:ascii="Arial" w:cs="Arial" w:eastAsia="Arial" w:hAnsi="Arial"/>
          <w:sz w:val="15"/>
          <w:szCs w:val="15"/>
          <w:color w:val="auto"/>
        </w:rPr>
      </w:pPr>
      <w:r>
        <w:rPr>
          <w:rFonts w:ascii="Arial" w:cs="Arial" w:eastAsia="Arial" w:hAnsi="Arial"/>
          <w:sz w:val="15"/>
          <w:szCs w:val="15"/>
          <w:u w:val="single" w:color="auto"/>
          <w:color w:val="auto"/>
        </w:rPr>
        <w:t>Venue</w:t>
      </w:r>
      <w:r>
        <w:rPr>
          <w:rFonts w:ascii="Arial" w:cs="Arial" w:eastAsia="Arial" w:hAnsi="Arial"/>
          <w:sz w:val="15"/>
          <w:szCs w:val="15"/>
          <w:color w:val="auto"/>
        </w:rPr>
        <w:t>. The Company, the Participant and the Participant’s assignees agree that any suit, action or proceeding arising out of or related to the Notice, this Award Agreement or the Plan shall be brought in the United States District Court for the Southern District of Texas (or should such court lack</w:t>
      </w:r>
    </w:p>
    <w:p>
      <w:pPr>
        <w:sectPr>
          <w:pgSz w:w="11900" w:h="16917" w:orient="portrait"/>
          <w:cols w:equalWidth="0" w:num="1">
            <w:col w:w="11420"/>
          </w:cols>
          <w:pgMar w:left="240" w:top="337" w:right="239" w:bottom="0" w:gutter="0" w:footer="0" w:header="0"/>
        </w:sectPr>
      </w:pPr>
    </w:p>
    <w:bookmarkStart w:id="361" w:name="page362"/>
    <w:bookmarkEnd w:id="361"/>
    <w:p>
      <w:pPr>
        <w:ind w:right="40"/>
        <w:spacing w:after="0" w:line="268" w:lineRule="auto"/>
        <w:rPr>
          <w:sz w:val="20"/>
          <w:szCs w:val="20"/>
          <w:color w:val="auto"/>
        </w:rPr>
      </w:pPr>
      <w:r>
        <w:rPr>
          <w:rFonts w:ascii="Arial" w:cs="Arial" w:eastAsia="Arial" w:hAnsi="Arial"/>
          <w:sz w:val="17"/>
          <w:szCs w:val="17"/>
          <w:color w:val="auto"/>
        </w:rPr>
        <w:t>jurisdiction to hear such action, suit or proceeding, in a state court in Harris County) and that all parties shall submit to the jurisdiction of such court. The parties irrevocably waive, to the fullest extent permitted by law, any objection the party may have to the laying of venue for any such suit, action or proceeding brought in such court. If any one or more provisions of this Section 19 shall for any reason be held invalid or unenforceable, it is the specific intent of the parties that such provisions shall be modified to the minimum extent necessary to make it or its application valid and enforceable.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firstLine="634"/>
        <w:spacing w:after="0" w:line="289" w:lineRule="auto"/>
        <w:tabs>
          <w:tab w:leader="none" w:pos="1254" w:val="left"/>
        </w:tabs>
        <w:numPr>
          <w:ilvl w:val="0"/>
          <w:numId w:val="541"/>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section headings in this Award Agreement are inserted only as a matter of convenience, and in no way define, limit or interpret the scope of this Award Agreement or of any particular section.</w:t>
      </w:r>
    </w:p>
    <w:p>
      <w:pPr>
        <w:spacing w:after="0" w:line="158" w:lineRule="exact"/>
        <w:rPr>
          <w:rFonts w:ascii="Arial" w:cs="Arial" w:eastAsia="Arial" w:hAnsi="Arial"/>
          <w:sz w:val="17"/>
          <w:szCs w:val="17"/>
          <w:color w:val="auto"/>
        </w:rPr>
      </w:pPr>
    </w:p>
    <w:p>
      <w:pPr>
        <w:ind w:right="120" w:firstLine="634"/>
        <w:spacing w:after="0" w:line="289" w:lineRule="auto"/>
        <w:tabs>
          <w:tab w:leader="none" w:pos="1254" w:val="left"/>
        </w:tabs>
        <w:numPr>
          <w:ilvl w:val="0"/>
          <w:numId w:val="541"/>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Award Agreement may be executed simultaneously in two or more counterparts, each of which shall be deemed an original, but all of which together shall constitute one and the same instrument.</w:t>
      </w:r>
    </w:p>
    <w:p>
      <w:pPr>
        <w:spacing w:after="0" w:line="158" w:lineRule="exact"/>
        <w:rPr>
          <w:rFonts w:ascii="Arial" w:cs="Arial" w:eastAsia="Arial" w:hAnsi="Arial"/>
          <w:sz w:val="17"/>
          <w:szCs w:val="17"/>
          <w:color w:val="auto"/>
        </w:rPr>
      </w:pPr>
    </w:p>
    <w:p>
      <w:pPr>
        <w:ind w:right="40" w:firstLine="634"/>
        <w:spacing w:after="0" w:line="265" w:lineRule="auto"/>
        <w:tabs>
          <w:tab w:leader="none" w:pos="1254" w:val="left"/>
        </w:tabs>
        <w:numPr>
          <w:ilvl w:val="0"/>
          <w:numId w:val="541"/>
        </w:numPr>
        <w:rPr>
          <w:rFonts w:ascii="Arial" w:cs="Arial" w:eastAsia="Arial" w:hAnsi="Arial"/>
          <w:sz w:val="17"/>
          <w:szCs w:val="17"/>
          <w:color w:val="auto"/>
        </w:rPr>
      </w:pPr>
      <w:r>
        <w:rPr>
          <w:rFonts w:ascii="Arial" w:cs="Arial" w:eastAsia="Arial" w:hAnsi="Arial"/>
          <w:sz w:val="17"/>
          <w:szCs w:val="17"/>
          <w:u w:val="single" w:color="auto"/>
          <w:color w:val="auto"/>
        </w:rPr>
        <w:t>Entire Agreement; Governing Law</w:t>
      </w:r>
      <w:r>
        <w:rPr>
          <w:rFonts w:ascii="Arial" w:cs="Arial" w:eastAsia="Arial" w:hAnsi="Arial"/>
          <w:sz w:val="17"/>
          <w:szCs w:val="17"/>
          <w:color w:val="auto"/>
        </w:rPr>
        <w:t>. The provisions of the Plan are incorporated herein by reference. The Notice, this Award Agreement and the Plan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 This Award Agreement is governed by the laws of the State of Texas applicable to contracts executed in and to be performed in that State.</w:t>
      </w:r>
    </w:p>
    <w:p>
      <w:pPr>
        <w:spacing w:after="0" w:line="179" w:lineRule="exact"/>
        <w:rPr>
          <w:rFonts w:ascii="Arial" w:cs="Arial" w:eastAsia="Arial" w:hAnsi="Arial"/>
          <w:sz w:val="17"/>
          <w:szCs w:val="17"/>
          <w:color w:val="auto"/>
        </w:rPr>
      </w:pPr>
    </w:p>
    <w:p>
      <w:pPr>
        <w:ind w:right="20" w:firstLine="634"/>
        <w:spacing w:after="0" w:line="262" w:lineRule="auto"/>
        <w:tabs>
          <w:tab w:leader="none" w:pos="1254" w:val="left"/>
        </w:tabs>
        <w:numPr>
          <w:ilvl w:val="0"/>
          <w:numId w:val="541"/>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THE PARTICIPANT ACKNOWLEDGES AND AGREES THAT THE VESTING OF SHARES PURSUANT TO THE VESTING SCHEDULE HEREOF IS EARNED ONLY BY CONTINUING AS A SERVICE PROVIDER AT THE WILL OF THE COMPANY (NOT THROUGH THE ACT OF BEING HIRED, BEING GRANTED THE OPTION OR ACQUIRING SHARES HEREUNDER). THE PARTICIPANT FURTHER ACKNOWLEDGES AND AGREES THAT THIS AWARD AGREEMENT, THE OPTION GRANTED HEREUNDER, THE TRANSACTIONS CONTEMPLATED HEREUNDER AND THE VESTING SCHEDULE SET FORTH HEREIN DO NOT CONSTITUTE AN EXPRESS OR IMPLIED PROMISE OF CONTINUED ENGAGEMENT AS A SERVICE PROVIDER FOR THE VESTING PERIOD, FOR ANY PERIOD, OR AT ALL, AND SHALL NOT INTERFERE IN ANY WAY WITH THE PARTICIPANT’S RIGHT OR THE COMPANY’S RIGHT TO TERMINATE THE PARTICIPANT’S RELATIONSHIP AS A SERVICE PROVIDER AT ANY TIME, WITH OR WITHOUT CAUSE.</w:t>
      </w:r>
    </w:p>
    <w:p>
      <w:pPr>
        <w:spacing w:after="0" w:line="181" w:lineRule="exact"/>
        <w:rPr>
          <w:sz w:val="20"/>
          <w:szCs w:val="20"/>
          <w:color w:val="auto"/>
        </w:rPr>
      </w:pPr>
    </w:p>
    <w:p>
      <w:pPr>
        <w:jc w:val="center"/>
        <w:spacing w:after="0"/>
        <w:tabs>
          <w:tab w:leader="none" w:pos="200" w:val="left"/>
          <w:tab w:leader="none" w:pos="200" w:val="left"/>
          <w:tab w:leader="none" w:pos="200" w:val="left"/>
          <w:tab w:leader="none" w:pos="200" w:val="left"/>
        </w:tabs>
        <w:rPr>
          <w:sz w:val="20"/>
          <w:szCs w:val="20"/>
          <w:color w:val="auto"/>
        </w:rPr>
      </w:pPr>
      <w:r>
        <w:rPr>
          <w:rFonts w:ascii="Arial" w:cs="Arial" w:eastAsia="Arial" w:hAnsi="Arial"/>
          <w:sz w:val="17"/>
          <w:szCs w:val="17"/>
          <w:color w:val="auto"/>
        </w:rPr>
        <w:t>*</w:t>
        <w:tab/>
        <w:t>*</w:t>
        <w:tab/>
        <w:t>*</w:t>
        <w:tab/>
        <w:t>*</w:t>
        <w:tab/>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2013 EQUITY INCENTIVE PLAN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OPTION AWARD AGREEMENT</w:t>
      </w: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100" w:type="dxa"/>
            <w:vAlign w:val="bottom"/>
          </w:tcPr>
          <w:p>
            <w:pPr>
              <w:jc w:val="right"/>
              <w:ind w:right="413"/>
              <w:spacing w:after="0"/>
              <w:rPr>
                <w:sz w:val="20"/>
                <w:szCs w:val="20"/>
                <w:color w:val="auto"/>
              </w:rPr>
            </w:pPr>
            <w:r>
              <w:rPr>
                <w:rFonts w:ascii="Arial" w:cs="Arial" w:eastAsia="Arial" w:hAnsi="Arial"/>
                <w:sz w:val="17"/>
                <w:szCs w:val="17"/>
                <w:b w:val="1"/>
                <w:bCs w:val="1"/>
                <w:color w:val="auto"/>
              </w:rPr>
              <w:t>SPOUSAL CONSENT</w:t>
            </w:r>
          </w:p>
        </w:tc>
        <w:tc>
          <w:tcPr>
            <w:tcW w:w="540" w:type="dxa"/>
            <w:vAlign w:val="bottom"/>
          </w:tcPr>
          <w:p>
            <w:pPr>
              <w:spacing w:after="0"/>
              <w:rPr>
                <w:sz w:val="19"/>
                <w:szCs w:val="19"/>
                <w:color w:val="auto"/>
              </w:rPr>
            </w:pPr>
          </w:p>
        </w:tc>
      </w:tr>
      <w:tr>
        <w:trPr>
          <w:trHeight w:val="419"/>
        </w:trPr>
        <w:tc>
          <w:tcPr>
            <w:tcW w:w="3320" w:type="dxa"/>
            <w:vAlign w:val="bottom"/>
            <w:gridSpan w:val="2"/>
          </w:tcPr>
          <w:p>
            <w:pPr>
              <w:spacing w:after="0"/>
              <w:rPr>
                <w:sz w:val="20"/>
                <w:szCs w:val="20"/>
                <w:color w:val="auto"/>
              </w:rPr>
            </w:pPr>
            <w:r>
              <w:rPr>
                <w:rFonts w:ascii="Arial" w:cs="Arial" w:eastAsia="Arial" w:hAnsi="Arial"/>
                <w:sz w:val="17"/>
                <w:szCs w:val="17"/>
                <w:color w:val="auto"/>
              </w:rPr>
              <w:t>I, the undersigned, hereby certify that:</w:t>
            </w:r>
          </w:p>
        </w:tc>
        <w:tc>
          <w:tcPr>
            <w:tcW w:w="3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7"/>
                <w:szCs w:val="17"/>
                <w:color w:val="auto"/>
              </w:rPr>
              <w:t>1.</w:t>
            </w:r>
          </w:p>
        </w:tc>
        <w:tc>
          <w:tcPr>
            <w:tcW w:w="2940" w:type="dxa"/>
            <w:vAlign w:val="bottom"/>
          </w:tcPr>
          <w:p>
            <w:pPr>
              <w:ind w:left="240"/>
              <w:spacing w:after="0"/>
              <w:rPr>
                <w:sz w:val="20"/>
                <w:szCs w:val="20"/>
                <w:color w:val="auto"/>
              </w:rPr>
            </w:pPr>
            <w:r>
              <w:rPr>
                <w:rFonts w:ascii="Arial" w:cs="Arial" w:eastAsia="Arial" w:hAnsi="Arial"/>
                <w:sz w:val="17"/>
                <w:szCs w:val="17"/>
                <w:color w:val="auto"/>
              </w:rPr>
              <w:t>I am the spouse of</w:t>
            </w:r>
          </w:p>
        </w:tc>
        <w:tc>
          <w:tcPr>
            <w:tcW w:w="3100" w:type="dxa"/>
            <w:vAlign w:val="bottom"/>
          </w:tcPr>
          <w:p>
            <w:pPr>
              <w:jc w:val="right"/>
              <w:ind w:right="2333"/>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4"/>
                <w:szCs w:val="24"/>
                <w:color w:val="auto"/>
              </w:rPr>
            </w:pPr>
          </w:p>
        </w:tc>
      </w:tr>
      <w:tr>
        <w:trPr>
          <w:trHeight w:val="419"/>
        </w:trPr>
        <w:tc>
          <w:tcPr>
            <w:tcW w:w="380" w:type="dxa"/>
            <w:vAlign w:val="bottom"/>
          </w:tcPr>
          <w:p>
            <w:pPr>
              <w:spacing w:after="0"/>
              <w:rPr>
                <w:sz w:val="20"/>
                <w:szCs w:val="20"/>
                <w:color w:val="auto"/>
              </w:rPr>
            </w:pPr>
            <w:r>
              <w:rPr>
                <w:rFonts w:ascii="Arial" w:cs="Arial" w:eastAsia="Arial" w:hAnsi="Arial"/>
                <w:sz w:val="17"/>
                <w:szCs w:val="17"/>
                <w:color w:val="auto"/>
              </w:rPr>
              <w:t>2.</w:t>
            </w:r>
          </w:p>
        </w:tc>
        <w:tc>
          <w:tcPr>
            <w:tcW w:w="6040" w:type="dxa"/>
            <w:vAlign w:val="bottom"/>
            <w:gridSpan w:val="2"/>
          </w:tcPr>
          <w:p>
            <w:pPr>
              <w:ind w:left="240"/>
              <w:spacing w:after="0"/>
              <w:rPr>
                <w:sz w:val="20"/>
                <w:szCs w:val="20"/>
                <w:color w:val="auto"/>
              </w:rPr>
            </w:pPr>
            <w:r>
              <w:rPr>
                <w:rFonts w:ascii="Arial" w:cs="Arial" w:eastAsia="Arial" w:hAnsi="Arial"/>
                <w:sz w:val="17"/>
                <w:szCs w:val="17"/>
                <w:color w:val="auto"/>
              </w:rPr>
              <w:t>Each of the undersigned and the undersigned’s spouse is a resident of</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98" w:lineRule="exact"/>
        <w:rPr>
          <w:sz w:val="20"/>
          <w:szCs w:val="20"/>
          <w:color w:val="auto"/>
        </w:rPr>
      </w:pPr>
    </w:p>
    <w:p>
      <w:pPr>
        <w:ind w:firstLine="634"/>
        <w:spacing w:after="0" w:line="273" w:lineRule="auto"/>
        <w:tabs>
          <w:tab w:leader="none" w:pos="1258" w:val="left"/>
        </w:tabs>
        <w:numPr>
          <w:ilvl w:val="0"/>
          <w:numId w:val="542"/>
        </w:numPr>
        <w:rPr>
          <w:rFonts w:ascii="Arial" w:cs="Arial" w:eastAsia="Arial" w:hAnsi="Arial"/>
          <w:sz w:val="17"/>
          <w:szCs w:val="17"/>
          <w:color w:val="auto"/>
        </w:rPr>
      </w:pPr>
      <w:r>
        <w:rPr>
          <w:rFonts w:ascii="Arial" w:cs="Arial" w:eastAsia="Arial" w:hAnsi="Arial"/>
          <w:sz w:val="17"/>
          <w:szCs w:val="17"/>
          <w:color w:val="auto"/>
        </w:rPr>
        <w:t>I have read the Applied Optoelectronics, Inc. 2013 Equity Incentive Plan and the Stock Option Award Agreement (the “Agreement”), by and between Applied Optoelectronics, Inc. (the “Company”), and my spouse. I have had the opportunity to consult independent legal counsel regarding the contents of the Plan and Agreement.</w:t>
      </w:r>
    </w:p>
    <w:p>
      <w:pPr>
        <w:spacing w:after="0" w:line="171" w:lineRule="exact"/>
        <w:rPr>
          <w:rFonts w:ascii="Arial" w:cs="Arial" w:eastAsia="Arial" w:hAnsi="Arial"/>
          <w:sz w:val="17"/>
          <w:szCs w:val="17"/>
          <w:color w:val="auto"/>
        </w:rPr>
      </w:pPr>
    </w:p>
    <w:p>
      <w:pPr>
        <w:ind w:left="1260" w:hanging="626"/>
        <w:spacing w:after="0"/>
        <w:tabs>
          <w:tab w:leader="none" w:pos="1260" w:val="left"/>
        </w:tabs>
        <w:numPr>
          <w:ilvl w:val="0"/>
          <w:numId w:val="542"/>
        </w:numPr>
        <w:rPr>
          <w:rFonts w:ascii="Arial" w:cs="Arial" w:eastAsia="Arial" w:hAnsi="Arial"/>
          <w:sz w:val="17"/>
          <w:szCs w:val="17"/>
          <w:color w:val="auto"/>
        </w:rPr>
      </w:pPr>
      <w:r>
        <w:rPr>
          <w:rFonts w:ascii="Arial" w:cs="Arial" w:eastAsia="Arial" w:hAnsi="Arial"/>
          <w:sz w:val="17"/>
          <w:szCs w:val="17"/>
          <w:color w:val="auto"/>
        </w:rPr>
        <w:t>I understand the terms and conditions of the Award Agreement and the Plan.</w:t>
      </w:r>
    </w:p>
    <w:p>
      <w:pPr>
        <w:spacing w:after="0" w:line="224" w:lineRule="exact"/>
        <w:rPr>
          <w:rFonts w:ascii="Arial" w:cs="Arial" w:eastAsia="Arial" w:hAnsi="Arial"/>
          <w:sz w:val="17"/>
          <w:szCs w:val="17"/>
          <w:color w:val="auto"/>
        </w:rPr>
      </w:pPr>
    </w:p>
    <w:p>
      <w:pPr>
        <w:jc w:val="both"/>
        <w:ind w:firstLine="634"/>
        <w:spacing w:after="0" w:line="273" w:lineRule="auto"/>
        <w:tabs>
          <w:tab w:leader="none" w:pos="1258" w:val="left"/>
        </w:tabs>
        <w:numPr>
          <w:ilvl w:val="0"/>
          <w:numId w:val="542"/>
        </w:numPr>
        <w:rPr>
          <w:rFonts w:ascii="Arial" w:cs="Arial" w:eastAsia="Arial" w:hAnsi="Arial"/>
          <w:sz w:val="17"/>
          <w:szCs w:val="17"/>
          <w:color w:val="auto"/>
        </w:rPr>
      </w:pPr>
      <w:r>
        <w:rPr>
          <w:rFonts w:ascii="Arial" w:cs="Arial" w:eastAsia="Arial" w:hAnsi="Arial"/>
          <w:sz w:val="17"/>
          <w:szCs w:val="17"/>
          <w:color w:val="auto"/>
        </w:rPr>
        <w:t>I hereby consent to the terms of the Agreement and the Plan and to their application to and binding effect upon any community property or other interest I may have in the Option (it being understood that this Spousal Consent shall in no way be construed to create any such interest). I agree that I will take no action at any time to hinder the operation of the transactions contemplated in and by the Agreement and the Plan.</w:t>
      </w:r>
    </w:p>
    <w:p>
      <w:pPr>
        <w:spacing w:after="0" w:line="172"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5680" w:type="dxa"/>
            <w:vAlign w:val="bottom"/>
          </w:tcPr>
          <w:p>
            <w:pPr>
              <w:spacing w:after="0"/>
              <w:rPr>
                <w:sz w:val="20"/>
                <w:szCs w:val="20"/>
                <w:color w:val="auto"/>
              </w:rPr>
            </w:pPr>
            <w:r>
              <w:rPr>
                <w:rFonts w:ascii="Arial" w:cs="Arial" w:eastAsia="Arial" w:hAnsi="Arial"/>
                <w:sz w:val="17"/>
                <w:szCs w:val="17"/>
                <w:color w:val="auto"/>
              </w:rPr>
              <w:t>IN WITNESS WHEREOF, this Spousal Consent has been executed as of</w:t>
            </w:r>
          </w:p>
        </w:tc>
        <w:tc>
          <w:tcPr>
            <w:tcW w:w="1080" w:type="dxa"/>
            <w:vAlign w:val="bottom"/>
          </w:tcPr>
          <w:p>
            <w:pPr>
              <w:jc w:val="right"/>
              <w:spacing w:after="0"/>
              <w:rPr>
                <w:sz w:val="20"/>
                <w:szCs w:val="20"/>
                <w:color w:val="auto"/>
              </w:rPr>
            </w:pPr>
            <w:r>
              <w:rPr>
                <w:rFonts w:ascii="Arial" w:cs="Arial" w:eastAsia="Arial" w:hAnsi="Arial"/>
                <w:sz w:val="17"/>
                <w:szCs w:val="17"/>
                <w:color w:val="auto"/>
              </w:rPr>
              <w:t>, 2013.</w:t>
            </w:r>
          </w:p>
        </w:tc>
      </w:tr>
    </w:tbl>
    <w:p>
      <w:pPr>
        <w:spacing w:after="0" w:line="200" w:lineRule="exact"/>
        <w:rPr>
          <w:sz w:val="20"/>
          <w:szCs w:val="20"/>
          <w:color w:val="auto"/>
        </w:rPr>
      </w:pPr>
    </w:p>
    <w:p>
      <w:pPr>
        <w:spacing w:after="0" w:line="208"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313817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7" w:lineRule="exact"/>
        <w:rPr>
          <w:sz w:val="20"/>
          <w:szCs w:val="20"/>
          <w:color w:val="auto"/>
        </w:rPr>
      </w:pPr>
    </w:p>
    <w:p>
      <w:pPr>
        <w:ind w:left="64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283210</wp:posOffset>
            </wp:positionV>
            <wp:extent cx="313817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648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62" w:name="page363"/>
    <w:bookmarkEnd w:id="362"/>
    <w:p>
      <w:pPr>
        <w:jc w:val="right"/>
        <w:spacing w:after="0"/>
        <w:rPr>
          <w:sz w:val="20"/>
          <w:szCs w:val="20"/>
          <w:color w:val="auto"/>
        </w:rPr>
      </w:pPr>
      <w:r>
        <w:rPr>
          <w:rFonts w:ascii="Arial" w:cs="Arial" w:eastAsia="Arial" w:hAnsi="Arial"/>
          <w:sz w:val="17"/>
          <w:szCs w:val="17"/>
          <w:b w:val="1"/>
          <w:bCs w:val="1"/>
          <w:color w:val="auto"/>
        </w:rPr>
        <w:t>Exhibit 10.7</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LEASE</w:t>
      </w:r>
    </w:p>
    <w:p>
      <w:pPr>
        <w:spacing w:after="0" w:line="230"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DEFINITION OF LEASE TERMS</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*See attached Lease Provisions pages 1-3 and Building Rules and Regulations page ‘Rule-1’</w:t>
      </w:r>
    </w:p>
    <w:p>
      <w:pPr>
        <w:spacing w:after="0" w:line="206" w:lineRule="exact"/>
        <w:rPr>
          <w:sz w:val="20"/>
          <w:szCs w:val="20"/>
          <w:color w:val="auto"/>
        </w:rPr>
      </w:pPr>
    </w:p>
    <w:tbl>
      <w:tblPr>
        <w:tblLayout w:type="fixed"/>
        <w:tblInd w:w="600" w:type="dxa"/>
        <w:tblCellMar>
          <w:top w:w="0" w:type="dxa"/>
          <w:left w:w="0" w:type="dxa"/>
          <w:bottom w:w="0" w:type="dxa"/>
          <w:right w:w="0" w:type="dxa"/>
        </w:tblCellMar>
      </w:tblPr>
      <w:tr>
        <w:trPr>
          <w:trHeight w:val="228"/>
        </w:trPr>
        <w:tc>
          <w:tcPr>
            <w:tcW w:w="1220" w:type="dxa"/>
            <w:vAlign w:val="bottom"/>
          </w:tcPr>
          <w:p>
            <w:pPr>
              <w:spacing w:after="0"/>
              <w:rPr>
                <w:sz w:val="20"/>
                <w:szCs w:val="20"/>
                <w:color w:val="auto"/>
              </w:rPr>
            </w:pPr>
            <w:r>
              <w:rPr>
                <w:rFonts w:ascii="Arial" w:cs="Arial" w:eastAsia="Arial" w:hAnsi="Arial"/>
                <w:sz w:val="17"/>
                <w:szCs w:val="17"/>
                <w:b w:val="1"/>
                <w:bCs w:val="1"/>
                <w:color w:val="auto"/>
              </w:rPr>
              <w:t>LANDLORD:</w:t>
            </w:r>
          </w:p>
        </w:tc>
        <w:tc>
          <w:tcPr>
            <w:tcW w:w="2380" w:type="dxa"/>
            <w:vAlign w:val="bottom"/>
            <w:gridSpan w:val="2"/>
          </w:tcPr>
          <w:p>
            <w:pPr>
              <w:ind w:left="320"/>
              <w:spacing w:after="0"/>
              <w:rPr>
                <w:sz w:val="20"/>
                <w:szCs w:val="20"/>
                <w:color w:val="auto"/>
              </w:rPr>
            </w:pPr>
            <w:r>
              <w:rPr>
                <w:rFonts w:ascii="Arial" w:cs="Arial" w:eastAsia="Arial" w:hAnsi="Arial"/>
                <w:sz w:val="17"/>
                <w:szCs w:val="17"/>
                <w:b w:val="1"/>
                <w:bCs w:val="1"/>
                <w:color w:val="auto"/>
              </w:rPr>
              <w:t>12808 W. AIRPORT, LLC</w:t>
            </w:r>
          </w:p>
        </w:tc>
        <w:tc>
          <w:tcPr>
            <w:tcW w:w="2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1220" w:type="dxa"/>
            <w:vAlign w:val="bottom"/>
          </w:tcPr>
          <w:p>
            <w:pPr>
              <w:spacing w:after="0"/>
              <w:rPr>
                <w:sz w:val="20"/>
                <w:szCs w:val="20"/>
                <w:color w:val="auto"/>
              </w:rPr>
            </w:pPr>
            <w:r>
              <w:rPr>
                <w:rFonts w:ascii="Arial" w:cs="Arial" w:eastAsia="Arial" w:hAnsi="Arial"/>
                <w:sz w:val="17"/>
                <w:szCs w:val="17"/>
                <w:b w:val="1"/>
                <w:bCs w:val="1"/>
                <w:color w:val="auto"/>
              </w:rPr>
              <w:t>TENANT:</w:t>
            </w:r>
          </w:p>
        </w:tc>
        <w:tc>
          <w:tcPr>
            <w:tcW w:w="2380" w:type="dxa"/>
            <w:vAlign w:val="bottom"/>
            <w:gridSpan w:val="2"/>
          </w:tcPr>
          <w:p>
            <w:pPr>
              <w:ind w:left="160"/>
              <w:spacing w:after="0"/>
              <w:rPr>
                <w:sz w:val="20"/>
                <w:szCs w:val="20"/>
                <w:color w:val="auto"/>
              </w:rPr>
            </w:pPr>
            <w:r>
              <w:rPr>
                <w:rFonts w:ascii="Arial" w:cs="Arial" w:eastAsia="Arial" w:hAnsi="Arial"/>
                <w:sz w:val="17"/>
                <w:szCs w:val="17"/>
                <w:color w:val="auto"/>
              </w:rPr>
              <w:t>Applied Optoelectronics, Inc.</w:t>
            </w:r>
          </w:p>
        </w:tc>
        <w:tc>
          <w:tcPr>
            <w:tcW w:w="2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60" w:type="dxa"/>
            <w:vAlign w:val="bottom"/>
          </w:tcPr>
          <w:p>
            <w:pPr>
              <w:ind w:left="120"/>
              <w:spacing w:after="0"/>
              <w:rPr>
                <w:sz w:val="20"/>
                <w:szCs w:val="20"/>
                <w:color w:val="auto"/>
              </w:rPr>
            </w:pPr>
            <w:r>
              <w:rPr>
                <w:rFonts w:ascii="Arial" w:cs="Arial" w:eastAsia="Arial" w:hAnsi="Arial"/>
                <w:sz w:val="17"/>
                <w:szCs w:val="17"/>
                <w:b w:val="1"/>
                <w:bCs w:val="1"/>
                <w:color w:val="auto"/>
              </w:rPr>
              <w:t>SUITE</w:t>
            </w: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Arial" w:cs="Arial" w:eastAsia="Arial" w:hAnsi="Arial"/>
                <w:sz w:val="17"/>
                <w:szCs w:val="17"/>
                <w:b w:val="1"/>
                <w:bCs w:val="1"/>
                <w:color w:val="auto"/>
              </w:rPr>
              <w:t>#175</w:t>
            </w:r>
          </w:p>
        </w:tc>
        <w:tc>
          <w:tcPr>
            <w:tcW w:w="0" w:type="dxa"/>
            <w:vAlign w:val="bottom"/>
          </w:tcPr>
          <w:p>
            <w:pPr>
              <w:spacing w:after="0"/>
              <w:rPr>
                <w:sz w:val="1"/>
                <w:szCs w:val="1"/>
                <w:color w:val="auto"/>
              </w:rPr>
            </w:pPr>
          </w:p>
        </w:tc>
      </w:tr>
      <w:tr>
        <w:trPr>
          <w:trHeight w:val="419"/>
        </w:trPr>
        <w:tc>
          <w:tcPr>
            <w:tcW w:w="1220" w:type="dxa"/>
            <w:vAlign w:val="bottom"/>
          </w:tcPr>
          <w:p>
            <w:pPr>
              <w:spacing w:after="0"/>
              <w:rPr>
                <w:sz w:val="20"/>
                <w:szCs w:val="20"/>
                <w:color w:val="auto"/>
              </w:rPr>
            </w:pPr>
            <w:r>
              <w:rPr>
                <w:rFonts w:ascii="Arial" w:cs="Arial" w:eastAsia="Arial" w:hAnsi="Arial"/>
                <w:sz w:val="17"/>
                <w:szCs w:val="17"/>
                <w:b w:val="1"/>
                <w:bCs w:val="1"/>
                <w:color w:val="auto"/>
              </w:rPr>
              <w:t>BUILDING:</w:t>
            </w:r>
          </w:p>
        </w:tc>
        <w:tc>
          <w:tcPr>
            <w:tcW w:w="1720" w:type="dxa"/>
            <w:vAlign w:val="bottom"/>
          </w:tcPr>
          <w:p>
            <w:pPr>
              <w:ind w:left="160"/>
              <w:spacing w:after="0"/>
              <w:rPr>
                <w:sz w:val="20"/>
                <w:szCs w:val="20"/>
                <w:color w:val="auto"/>
              </w:rPr>
            </w:pPr>
            <w:r>
              <w:rPr>
                <w:rFonts w:ascii="Arial" w:cs="Arial" w:eastAsia="Arial" w:hAnsi="Arial"/>
                <w:sz w:val="17"/>
                <w:szCs w:val="17"/>
                <w:b w:val="1"/>
                <w:bCs w:val="1"/>
                <w:color w:val="auto"/>
                <w:w w:val="99"/>
              </w:rPr>
              <w:t>12808 W. AIRPORT</w:t>
            </w:r>
          </w:p>
        </w:tc>
        <w:tc>
          <w:tcPr>
            <w:tcW w:w="660" w:type="dxa"/>
            <w:vAlign w:val="bottom"/>
          </w:tcPr>
          <w:p>
            <w:pPr>
              <w:spacing w:after="0"/>
              <w:rPr>
                <w:sz w:val="24"/>
                <w:szCs w:val="24"/>
                <w:color w:val="auto"/>
              </w:rPr>
            </w:pPr>
          </w:p>
        </w:tc>
        <w:tc>
          <w:tcPr>
            <w:tcW w:w="3580" w:type="dxa"/>
            <w:vAlign w:val="bottom"/>
            <w:gridSpan w:val="2"/>
          </w:tcPr>
          <w:p>
            <w:pPr>
              <w:ind w:left="1760"/>
              <w:spacing w:after="0"/>
              <w:rPr>
                <w:sz w:val="20"/>
                <w:szCs w:val="20"/>
                <w:color w:val="auto"/>
              </w:rPr>
            </w:pPr>
            <w:r>
              <w:rPr>
                <w:rFonts w:ascii="Arial" w:cs="Arial" w:eastAsia="Arial" w:hAnsi="Arial"/>
                <w:sz w:val="17"/>
                <w:szCs w:val="17"/>
                <w:b w:val="1"/>
                <w:bCs w:val="1"/>
                <w:color w:val="auto"/>
              </w:rPr>
              <w:t>ADDRESS:</w:t>
            </w:r>
          </w:p>
        </w:tc>
        <w:tc>
          <w:tcPr>
            <w:tcW w:w="2820" w:type="dxa"/>
            <w:vAlign w:val="bottom"/>
          </w:tcPr>
          <w:p>
            <w:pPr>
              <w:ind w:left="40"/>
              <w:spacing w:after="0"/>
              <w:rPr>
                <w:sz w:val="20"/>
                <w:szCs w:val="20"/>
                <w:color w:val="auto"/>
              </w:rPr>
            </w:pPr>
            <w:r>
              <w:rPr>
                <w:rFonts w:ascii="Arial" w:cs="Arial" w:eastAsia="Arial" w:hAnsi="Arial"/>
                <w:sz w:val="17"/>
                <w:szCs w:val="17"/>
                <w:b w:val="1"/>
                <w:bCs w:val="1"/>
                <w:color w:val="auto"/>
              </w:rPr>
              <w:t>12808 W. AIRPORT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220" w:type="dxa"/>
            <w:vAlign w:val="bottom"/>
          </w:tcPr>
          <w:p>
            <w:pPr>
              <w:spacing w:after="0"/>
              <w:rPr>
                <w:sz w:val="24"/>
                <w:szCs w:val="24"/>
                <w:color w:val="auto"/>
              </w:rPr>
            </w:pPr>
          </w:p>
        </w:tc>
        <w:tc>
          <w:tcPr>
            <w:tcW w:w="1720" w:type="dxa"/>
            <w:vAlign w:val="bottom"/>
          </w:tcPr>
          <w:p>
            <w:pPr>
              <w:ind w:left="160"/>
              <w:spacing w:after="0"/>
              <w:rPr>
                <w:sz w:val="20"/>
                <w:szCs w:val="20"/>
                <w:color w:val="auto"/>
              </w:rPr>
            </w:pPr>
            <w:r>
              <w:rPr>
                <w:rFonts w:ascii="Arial" w:cs="Arial" w:eastAsia="Arial" w:hAnsi="Arial"/>
                <w:sz w:val="17"/>
                <w:szCs w:val="17"/>
                <w:color w:val="auto"/>
              </w:rPr>
              <w:t>(name)</w:t>
            </w: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20" w:type="dxa"/>
            <w:vAlign w:val="bottom"/>
          </w:tcPr>
          <w:p>
            <w:pPr>
              <w:ind w:left="40"/>
              <w:spacing w:after="0"/>
              <w:rPr>
                <w:sz w:val="20"/>
                <w:szCs w:val="20"/>
                <w:color w:val="auto"/>
              </w:rPr>
            </w:pPr>
            <w:r>
              <w:rPr>
                <w:rFonts w:ascii="Arial" w:cs="Arial" w:eastAsia="Arial" w:hAnsi="Arial"/>
                <w:sz w:val="17"/>
                <w:szCs w:val="17"/>
                <w:b w:val="1"/>
                <w:bCs w:val="1"/>
                <w:color w:val="auto"/>
              </w:rPr>
              <w:t>SUGAR LAND, TX 77478</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3600" w:type="dxa"/>
            <w:vAlign w:val="bottom"/>
            <w:gridSpan w:val="3"/>
          </w:tcPr>
          <w:p>
            <w:pPr>
              <w:spacing w:after="0"/>
              <w:rPr>
                <w:sz w:val="20"/>
                <w:szCs w:val="20"/>
                <w:color w:val="auto"/>
              </w:rPr>
            </w:pPr>
            <w:r>
              <w:rPr>
                <w:rFonts w:ascii="Arial" w:cs="Arial" w:eastAsia="Arial" w:hAnsi="Arial"/>
                <w:sz w:val="17"/>
                <w:szCs w:val="17"/>
                <w:b w:val="1"/>
                <w:bCs w:val="1"/>
                <w:color w:val="auto"/>
              </w:rPr>
              <w:t>TERM: TWO (2) years ZERO (0) months</w:t>
            </w:r>
          </w:p>
        </w:tc>
        <w:tc>
          <w:tcPr>
            <w:tcW w:w="2080" w:type="dxa"/>
            <w:vAlign w:val="bottom"/>
          </w:tcPr>
          <w:p>
            <w:pPr>
              <w:ind w:left="1200"/>
              <w:spacing w:after="0"/>
              <w:rPr>
                <w:sz w:val="20"/>
                <w:szCs w:val="20"/>
                <w:color w:val="auto"/>
              </w:rPr>
            </w:pPr>
            <w:r>
              <w:rPr>
                <w:rFonts w:ascii="Arial" w:cs="Arial" w:eastAsia="Arial" w:hAnsi="Arial"/>
                <w:sz w:val="17"/>
                <w:szCs w:val="17"/>
                <w:b w:val="1"/>
                <w:bCs w:val="1"/>
                <w:color w:val="auto"/>
              </w:rPr>
              <w:t>OR</w:t>
            </w:r>
          </w:p>
        </w:tc>
        <w:tc>
          <w:tcPr>
            <w:tcW w:w="4320" w:type="dxa"/>
            <w:vAlign w:val="bottom"/>
            <w:gridSpan w:val="2"/>
          </w:tcPr>
          <w:p>
            <w:pPr>
              <w:ind w:left="280"/>
              <w:spacing w:after="0"/>
              <w:rPr>
                <w:sz w:val="20"/>
                <w:szCs w:val="20"/>
                <w:color w:val="auto"/>
              </w:rPr>
            </w:pPr>
            <w:r>
              <w:rPr>
                <w:rFonts w:ascii="Arial" w:cs="Arial" w:eastAsia="Arial" w:hAnsi="Arial"/>
                <w:sz w:val="17"/>
                <w:szCs w:val="17"/>
                <w:b w:val="1"/>
                <w:bCs w:val="1"/>
                <w:color w:val="auto"/>
              </w:rPr>
              <w:t>_______________month-to-month</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500" w:type="dxa"/>
            <w:vAlign w:val="bottom"/>
          </w:tcPr>
          <w:p>
            <w:pPr>
              <w:ind w:left="320"/>
              <w:spacing w:after="0"/>
              <w:rPr>
                <w:sz w:val="20"/>
                <w:szCs w:val="20"/>
                <w:color w:val="auto"/>
              </w:rPr>
            </w:pPr>
            <w:r>
              <w:rPr>
                <w:rFonts w:ascii="Arial" w:cs="Arial" w:eastAsia="Arial" w:hAnsi="Arial"/>
                <w:sz w:val="17"/>
                <w:szCs w:val="17"/>
                <w:b w:val="1"/>
                <w:bCs w:val="1"/>
                <w:color w:val="auto"/>
                <w:w w:val="92"/>
              </w:rPr>
              <w:t>(Tenant initials)</w:t>
            </w:r>
          </w:p>
        </w:tc>
        <w:tc>
          <w:tcPr>
            <w:tcW w:w="2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3600" w:type="dxa"/>
            <w:vAlign w:val="bottom"/>
            <w:gridSpan w:val="3"/>
          </w:tcPr>
          <w:p>
            <w:pPr>
              <w:spacing w:after="0"/>
              <w:rPr>
                <w:sz w:val="20"/>
                <w:szCs w:val="20"/>
                <w:color w:val="auto"/>
              </w:rPr>
            </w:pPr>
            <w:r>
              <w:rPr>
                <w:rFonts w:ascii="Arial" w:cs="Arial" w:eastAsia="Arial" w:hAnsi="Arial"/>
                <w:sz w:val="17"/>
                <w:szCs w:val="17"/>
                <w:b w:val="1"/>
                <w:bCs w:val="1"/>
                <w:color w:val="auto"/>
              </w:rPr>
              <w:t>COMMENCEMENT DATE: MAY 1, 2012</w:t>
            </w:r>
          </w:p>
        </w:tc>
        <w:tc>
          <w:tcPr>
            <w:tcW w:w="2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940" w:type="dxa"/>
            <w:vAlign w:val="bottom"/>
            <w:gridSpan w:val="2"/>
          </w:tcPr>
          <w:p>
            <w:pPr>
              <w:spacing w:after="0"/>
              <w:rPr>
                <w:sz w:val="20"/>
                <w:szCs w:val="20"/>
                <w:color w:val="auto"/>
              </w:rPr>
            </w:pPr>
            <w:r>
              <w:rPr>
                <w:rFonts w:ascii="Arial" w:cs="Arial" w:eastAsia="Arial" w:hAnsi="Arial"/>
                <w:sz w:val="17"/>
                <w:szCs w:val="17"/>
                <w:b w:val="1"/>
                <w:bCs w:val="1"/>
                <w:color w:val="auto"/>
              </w:rPr>
              <w:t>BASIC RENT (monthly): $4,041.34</w:t>
            </w:r>
          </w:p>
        </w:tc>
        <w:tc>
          <w:tcPr>
            <w:tcW w:w="660" w:type="dxa"/>
            <w:vAlign w:val="bottom"/>
          </w:tcPr>
          <w:p>
            <w:pPr>
              <w:spacing w:after="0"/>
              <w:rPr>
                <w:sz w:val="24"/>
                <w:szCs w:val="24"/>
                <w:color w:val="auto"/>
              </w:rPr>
            </w:pPr>
          </w:p>
        </w:tc>
        <w:tc>
          <w:tcPr>
            <w:tcW w:w="6400" w:type="dxa"/>
            <w:vAlign w:val="bottom"/>
            <w:gridSpan w:val="3"/>
          </w:tcPr>
          <w:p>
            <w:pPr>
              <w:ind w:left="1200"/>
              <w:spacing w:after="0"/>
              <w:rPr>
                <w:sz w:val="20"/>
                <w:szCs w:val="20"/>
                <w:color w:val="auto"/>
              </w:rPr>
            </w:pPr>
            <w:r>
              <w:rPr>
                <w:rFonts w:ascii="Arial" w:cs="Arial" w:eastAsia="Arial" w:hAnsi="Arial"/>
                <w:sz w:val="17"/>
                <w:szCs w:val="17"/>
                <w:b w:val="1"/>
                <w:bCs w:val="1"/>
                <w:color w:val="auto"/>
              </w:rPr>
              <w:t>SECURITY DEPOSIT: $4,041.34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940" w:type="dxa"/>
            <w:vAlign w:val="bottom"/>
            <w:gridSpan w:val="2"/>
          </w:tcPr>
          <w:p>
            <w:pPr>
              <w:ind w:left="20"/>
              <w:spacing w:after="0"/>
              <w:rPr>
                <w:sz w:val="20"/>
                <w:szCs w:val="20"/>
                <w:color w:val="auto"/>
              </w:rPr>
            </w:pPr>
            <w:r>
              <w:rPr>
                <w:rFonts w:ascii="Arial" w:cs="Arial" w:eastAsia="Arial" w:hAnsi="Arial"/>
                <w:sz w:val="17"/>
                <w:szCs w:val="17"/>
                <w:b w:val="1"/>
                <w:bCs w:val="1"/>
                <w:color w:val="auto"/>
                <w:w w:val="98"/>
              </w:rPr>
              <w:t>TENANT ADDRESS (not in building):</w:t>
            </w:r>
          </w:p>
        </w:tc>
        <w:tc>
          <w:tcPr>
            <w:tcW w:w="660" w:type="dxa"/>
            <w:vAlign w:val="bottom"/>
          </w:tcPr>
          <w:p>
            <w:pPr>
              <w:spacing w:after="0"/>
              <w:rPr>
                <w:sz w:val="24"/>
                <w:szCs w:val="24"/>
                <w:color w:val="auto"/>
              </w:rPr>
            </w:pPr>
          </w:p>
        </w:tc>
        <w:tc>
          <w:tcPr>
            <w:tcW w:w="2080" w:type="dxa"/>
            <w:vAlign w:val="bottom"/>
          </w:tcPr>
          <w:p>
            <w:pPr>
              <w:ind w:left="120"/>
              <w:spacing w:after="0"/>
              <w:rPr>
                <w:sz w:val="20"/>
                <w:szCs w:val="20"/>
                <w:color w:val="auto"/>
              </w:rPr>
            </w:pPr>
            <w:r>
              <w:rPr>
                <w:rFonts w:ascii="Arial" w:cs="Arial" w:eastAsia="Arial" w:hAnsi="Arial"/>
                <w:sz w:val="17"/>
                <w:szCs w:val="17"/>
                <w:color w:val="auto"/>
              </w:rPr>
              <w:t>13115 Jess Pirtle Blvd.</w:t>
            </w:r>
          </w:p>
        </w:tc>
        <w:tc>
          <w:tcPr>
            <w:tcW w:w="1500" w:type="dxa"/>
            <w:vAlign w:val="bottom"/>
          </w:tcPr>
          <w:p>
            <w:pPr>
              <w:spacing w:after="0"/>
              <w:rPr>
                <w:sz w:val="24"/>
                <w:szCs w:val="24"/>
                <w:color w:val="auto"/>
              </w:rPr>
            </w:pPr>
          </w:p>
        </w:tc>
        <w:tc>
          <w:tcPr>
            <w:tcW w:w="3480" w:type="dxa"/>
            <w:vAlign w:val="bottom"/>
            <w:gridSpan w:val="2"/>
          </w:tcPr>
          <w:p>
            <w:pPr>
              <w:ind w:left="1700"/>
              <w:spacing w:after="0"/>
              <w:rPr>
                <w:sz w:val="20"/>
                <w:szCs w:val="20"/>
                <w:color w:val="auto"/>
              </w:rPr>
            </w:pPr>
            <w:r>
              <w:rPr>
                <w:rFonts w:ascii="Arial" w:cs="Arial" w:eastAsia="Arial" w:hAnsi="Arial"/>
                <w:sz w:val="17"/>
                <w:szCs w:val="17"/>
                <w:b w:val="1"/>
                <w:bCs w:val="1"/>
                <w:color w:val="auto"/>
              </w:rPr>
              <w:t>Drivers License #</w:t>
            </w:r>
          </w:p>
        </w:tc>
        <w:tc>
          <w:tcPr>
            <w:tcW w:w="0" w:type="dxa"/>
            <w:vAlign w:val="bottom"/>
          </w:tcPr>
          <w:p>
            <w:pPr>
              <w:spacing w:after="0"/>
              <w:rPr>
                <w:sz w:val="1"/>
                <w:szCs w:val="1"/>
                <w:color w:val="auto"/>
              </w:rPr>
            </w:pPr>
          </w:p>
        </w:tc>
      </w:tr>
      <w:tr>
        <w:trPr>
          <w:trHeight w:val="210"/>
        </w:trPr>
        <w:tc>
          <w:tcPr>
            <w:tcW w:w="1220" w:type="dxa"/>
            <w:vAlign w:val="bottom"/>
          </w:tcPr>
          <w:p>
            <w:pPr>
              <w:ind w:left="20"/>
              <w:spacing w:after="0"/>
              <w:rPr>
                <w:sz w:val="20"/>
                <w:szCs w:val="20"/>
                <w:color w:val="auto"/>
              </w:rPr>
            </w:pPr>
            <w:r>
              <w:rPr>
                <w:rFonts w:ascii="Arial" w:cs="Arial" w:eastAsia="Arial" w:hAnsi="Arial"/>
                <w:sz w:val="17"/>
                <w:szCs w:val="17"/>
                <w:b w:val="1"/>
                <w:bCs w:val="1"/>
                <w:color w:val="auto"/>
              </w:rPr>
              <w:t>PHONE #:</w:t>
            </w:r>
          </w:p>
        </w:tc>
        <w:tc>
          <w:tcPr>
            <w:tcW w:w="1720" w:type="dxa"/>
            <w:vAlign w:val="bottom"/>
          </w:tcPr>
          <w:p>
            <w:pPr>
              <w:ind w:left="160"/>
              <w:spacing w:after="0"/>
              <w:rPr>
                <w:sz w:val="20"/>
                <w:szCs w:val="20"/>
                <w:color w:val="auto"/>
              </w:rPr>
            </w:pPr>
            <w:r>
              <w:rPr>
                <w:rFonts w:ascii="Arial" w:cs="Arial" w:eastAsia="Arial" w:hAnsi="Arial"/>
                <w:sz w:val="17"/>
                <w:szCs w:val="17"/>
                <w:color w:val="auto"/>
              </w:rPr>
              <w:t>(281) 295-1800</w:t>
            </w:r>
          </w:p>
        </w:tc>
        <w:tc>
          <w:tcPr>
            <w:tcW w:w="660" w:type="dxa"/>
            <w:vAlign w:val="bottom"/>
          </w:tcPr>
          <w:p>
            <w:pPr>
              <w:spacing w:after="0"/>
              <w:rPr>
                <w:sz w:val="18"/>
                <w:szCs w:val="18"/>
                <w:color w:val="auto"/>
              </w:rPr>
            </w:pPr>
          </w:p>
        </w:tc>
        <w:tc>
          <w:tcPr>
            <w:tcW w:w="2080" w:type="dxa"/>
            <w:vAlign w:val="bottom"/>
          </w:tcPr>
          <w:p>
            <w:pPr>
              <w:ind w:left="120"/>
              <w:spacing w:after="0"/>
              <w:rPr>
                <w:sz w:val="20"/>
                <w:szCs w:val="20"/>
                <w:color w:val="auto"/>
              </w:rPr>
            </w:pPr>
            <w:r>
              <w:rPr>
                <w:rFonts w:ascii="Arial" w:cs="Arial" w:eastAsia="Arial" w:hAnsi="Arial"/>
                <w:sz w:val="17"/>
                <w:szCs w:val="17"/>
                <w:color w:val="auto"/>
              </w:rPr>
              <w:t>Sugar Land, TX 77478</w:t>
            </w:r>
          </w:p>
        </w:tc>
        <w:tc>
          <w:tcPr>
            <w:tcW w:w="1500" w:type="dxa"/>
            <w:vAlign w:val="bottom"/>
          </w:tcPr>
          <w:p>
            <w:pPr>
              <w:spacing w:after="0"/>
              <w:rPr>
                <w:sz w:val="18"/>
                <w:szCs w:val="18"/>
                <w:color w:val="auto"/>
              </w:rPr>
            </w:pPr>
          </w:p>
        </w:tc>
        <w:tc>
          <w:tcPr>
            <w:tcW w:w="2820" w:type="dxa"/>
            <w:vAlign w:val="bottom"/>
          </w:tcPr>
          <w:p>
            <w:pPr>
              <w:ind w:left="1700"/>
              <w:spacing w:after="0"/>
              <w:rPr>
                <w:sz w:val="20"/>
                <w:szCs w:val="20"/>
                <w:color w:val="auto"/>
              </w:rPr>
            </w:pPr>
            <w:r>
              <w:rPr>
                <w:rFonts w:ascii="Arial" w:cs="Arial" w:eastAsia="Arial" w:hAnsi="Arial"/>
                <w:sz w:val="17"/>
                <w:szCs w:val="17"/>
                <w:b w:val="1"/>
                <w:bCs w:val="1"/>
                <w:color w:val="auto"/>
              </w:rPr>
              <w:t>State:</w:t>
            </w:r>
          </w:p>
        </w:tc>
        <w:tc>
          <w:tcPr>
            <w:tcW w:w="660" w:type="dxa"/>
            <w:vAlign w:val="bottom"/>
          </w:tcPr>
          <w:p>
            <w:pPr>
              <w:ind w:left="360"/>
              <w:spacing w:after="0"/>
              <w:rPr>
                <w:sz w:val="20"/>
                <w:szCs w:val="20"/>
                <w:color w:val="auto"/>
              </w:rPr>
            </w:pPr>
            <w:r>
              <w:rPr>
                <w:rFonts w:ascii="Arial" w:cs="Arial" w:eastAsia="Arial" w:hAnsi="Arial"/>
                <w:sz w:val="17"/>
                <w:szCs w:val="17"/>
                <w:color w:val="auto"/>
              </w:rPr>
              <w:t>TX</w:t>
            </w:r>
          </w:p>
        </w:tc>
        <w:tc>
          <w:tcPr>
            <w:tcW w:w="0" w:type="dxa"/>
            <w:vAlign w:val="bottom"/>
          </w:tcPr>
          <w:p>
            <w:pPr>
              <w:spacing w:after="0"/>
              <w:rPr>
                <w:sz w:val="1"/>
                <w:szCs w:val="1"/>
                <w:color w:val="auto"/>
              </w:rPr>
            </w:pPr>
          </w:p>
        </w:tc>
      </w:tr>
      <w:tr>
        <w:trPr>
          <w:trHeight w:val="210"/>
        </w:trPr>
        <w:tc>
          <w:tcPr>
            <w:tcW w:w="1220" w:type="dxa"/>
            <w:vAlign w:val="bottom"/>
          </w:tcPr>
          <w:p>
            <w:pPr>
              <w:ind w:left="20"/>
              <w:spacing w:after="0"/>
              <w:rPr>
                <w:sz w:val="20"/>
                <w:szCs w:val="20"/>
                <w:color w:val="auto"/>
              </w:rPr>
            </w:pPr>
            <w:r>
              <w:rPr>
                <w:rFonts w:ascii="Arial" w:cs="Arial" w:eastAsia="Arial" w:hAnsi="Arial"/>
                <w:sz w:val="17"/>
                <w:szCs w:val="17"/>
                <w:b w:val="1"/>
                <w:bCs w:val="1"/>
                <w:color w:val="auto"/>
              </w:rPr>
              <w:t>FAX #:</w:t>
            </w:r>
          </w:p>
        </w:tc>
        <w:tc>
          <w:tcPr>
            <w:tcW w:w="1720" w:type="dxa"/>
            <w:vAlign w:val="bottom"/>
          </w:tcPr>
          <w:p>
            <w:pPr>
              <w:ind w:left="160"/>
              <w:spacing w:after="0"/>
              <w:rPr>
                <w:sz w:val="20"/>
                <w:szCs w:val="20"/>
                <w:color w:val="auto"/>
              </w:rPr>
            </w:pPr>
            <w:r>
              <w:rPr>
                <w:rFonts w:ascii="Arial" w:cs="Arial" w:eastAsia="Arial" w:hAnsi="Arial"/>
                <w:sz w:val="17"/>
                <w:szCs w:val="17"/>
                <w:color w:val="auto"/>
              </w:rPr>
              <w:t>(281) 295-1888</w:t>
            </w: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80" w:type="dxa"/>
            <w:vAlign w:val="bottom"/>
            <w:gridSpan w:val="2"/>
          </w:tcPr>
          <w:p>
            <w:pPr>
              <w:ind w:left="1700"/>
              <w:spacing w:after="0"/>
              <w:rPr>
                <w:sz w:val="20"/>
                <w:szCs w:val="20"/>
                <w:color w:val="auto"/>
              </w:rPr>
            </w:pPr>
            <w:r>
              <w:rPr>
                <w:rFonts w:ascii="Arial" w:cs="Arial" w:eastAsia="Arial" w:hAnsi="Arial"/>
                <w:sz w:val="17"/>
                <w:szCs w:val="17"/>
                <w:b w:val="1"/>
                <w:bCs w:val="1"/>
                <w:color w:val="auto"/>
              </w:rPr>
              <w:t>Social Security #:</w:t>
            </w:r>
          </w:p>
        </w:tc>
        <w:tc>
          <w:tcPr>
            <w:tcW w:w="0" w:type="dxa"/>
            <w:vAlign w:val="bottom"/>
          </w:tcPr>
          <w:p>
            <w:pPr>
              <w:spacing w:after="0"/>
              <w:rPr>
                <w:sz w:val="1"/>
                <w:szCs w:val="1"/>
                <w:color w:val="auto"/>
              </w:rPr>
            </w:pPr>
          </w:p>
        </w:tc>
      </w:tr>
      <w:tr>
        <w:trPr>
          <w:trHeight w:val="228"/>
        </w:trPr>
        <w:tc>
          <w:tcPr>
            <w:tcW w:w="1220" w:type="dxa"/>
            <w:vAlign w:val="bottom"/>
          </w:tcPr>
          <w:p>
            <w:pPr>
              <w:ind w:left="20"/>
              <w:spacing w:after="0"/>
              <w:rPr>
                <w:sz w:val="20"/>
                <w:szCs w:val="20"/>
                <w:color w:val="auto"/>
              </w:rPr>
            </w:pPr>
            <w:r>
              <w:rPr>
                <w:rFonts w:ascii="Arial" w:cs="Arial" w:eastAsia="Arial" w:hAnsi="Arial"/>
                <w:sz w:val="17"/>
                <w:szCs w:val="17"/>
                <w:b w:val="1"/>
                <w:bCs w:val="1"/>
                <w:color w:val="auto"/>
              </w:rPr>
              <w:t>EMAIL:</w:t>
            </w:r>
          </w:p>
        </w:tc>
        <w:tc>
          <w:tcPr>
            <w:tcW w:w="1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0" w:type="dxa"/>
            <w:vAlign w:val="bottom"/>
            <w:gridSpan w:val="3"/>
          </w:tcPr>
          <w:p>
            <w:pPr>
              <w:ind w:left="260"/>
              <w:spacing w:after="0"/>
              <w:rPr>
                <w:sz w:val="20"/>
                <w:szCs w:val="20"/>
                <w:color w:val="auto"/>
              </w:rPr>
            </w:pPr>
            <w:r>
              <w:rPr>
                <w:rFonts w:ascii="Arial" w:cs="Arial" w:eastAsia="Arial" w:hAnsi="Arial"/>
                <w:sz w:val="17"/>
                <w:szCs w:val="17"/>
                <w:color w:val="auto"/>
              </w:rPr>
              <w:t>(Tenant shall notify Landlord of any changes to its address or email account)</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680" w:type="dxa"/>
            <w:vAlign w:val="bottom"/>
            <w:gridSpan w:val="4"/>
          </w:tcPr>
          <w:p>
            <w:pPr>
              <w:spacing w:after="0"/>
              <w:rPr>
                <w:sz w:val="20"/>
                <w:szCs w:val="20"/>
                <w:color w:val="auto"/>
              </w:rPr>
            </w:pPr>
            <w:r>
              <w:rPr>
                <w:rFonts w:ascii="Arial" w:cs="Arial" w:eastAsia="Arial" w:hAnsi="Arial"/>
                <w:sz w:val="17"/>
                <w:szCs w:val="17"/>
                <w:b w:val="1"/>
                <w:bCs w:val="1"/>
                <w:color w:val="auto"/>
              </w:rPr>
              <w:t>Leasing Representative for Landlord: AUDRA TRINH</w:t>
            </w:r>
          </w:p>
        </w:tc>
        <w:tc>
          <w:tcPr>
            <w:tcW w:w="15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940" w:type="dxa"/>
            <w:vAlign w:val="bottom"/>
            <w:gridSpan w:val="2"/>
          </w:tcPr>
          <w:p>
            <w:pPr>
              <w:spacing w:after="0"/>
              <w:rPr>
                <w:sz w:val="20"/>
                <w:szCs w:val="20"/>
                <w:color w:val="auto"/>
              </w:rPr>
            </w:pPr>
            <w:r>
              <w:rPr>
                <w:rFonts w:ascii="Arial" w:cs="Arial" w:eastAsia="Arial" w:hAnsi="Arial"/>
                <w:sz w:val="17"/>
                <w:szCs w:val="17"/>
                <w:b w:val="1"/>
                <w:bCs w:val="1"/>
                <w:color w:val="auto"/>
              </w:rPr>
              <w:t>LANDLORD ADDRESS:</w:t>
            </w:r>
          </w:p>
        </w:tc>
        <w:tc>
          <w:tcPr>
            <w:tcW w:w="2740" w:type="dxa"/>
            <w:vAlign w:val="bottom"/>
            <w:gridSpan w:val="2"/>
          </w:tcPr>
          <w:p>
            <w:pPr>
              <w:ind w:left="20"/>
              <w:spacing w:after="0"/>
              <w:rPr>
                <w:sz w:val="20"/>
                <w:szCs w:val="20"/>
                <w:color w:val="auto"/>
              </w:rPr>
            </w:pPr>
            <w:r>
              <w:rPr>
                <w:rFonts w:ascii="Arial" w:cs="Arial" w:eastAsia="Arial" w:hAnsi="Arial"/>
                <w:sz w:val="17"/>
                <w:szCs w:val="17"/>
                <w:b w:val="1"/>
                <w:bCs w:val="1"/>
                <w:color w:val="auto"/>
              </w:rPr>
              <w:t>12808 W. AIRPORT, LLC</w:t>
            </w:r>
          </w:p>
        </w:tc>
        <w:tc>
          <w:tcPr>
            <w:tcW w:w="1500" w:type="dxa"/>
            <w:vAlign w:val="bottom"/>
          </w:tcPr>
          <w:p>
            <w:pPr>
              <w:spacing w:after="0"/>
              <w:rPr>
                <w:sz w:val="24"/>
                <w:szCs w:val="24"/>
                <w:color w:val="auto"/>
              </w:rPr>
            </w:pPr>
          </w:p>
        </w:tc>
        <w:tc>
          <w:tcPr>
            <w:tcW w:w="2820" w:type="dxa"/>
            <w:vAlign w:val="bottom"/>
          </w:tcPr>
          <w:p>
            <w:pPr>
              <w:ind w:left="20"/>
              <w:spacing w:after="0"/>
              <w:rPr>
                <w:sz w:val="20"/>
                <w:szCs w:val="20"/>
                <w:color w:val="auto"/>
              </w:rPr>
            </w:pPr>
            <w:r>
              <w:rPr>
                <w:rFonts w:ascii="Arial" w:cs="Arial" w:eastAsia="Arial" w:hAnsi="Arial"/>
                <w:sz w:val="17"/>
                <w:szCs w:val="17"/>
                <w:color w:val="auto"/>
              </w:rPr>
              <w:t>(FOR ALL OTHER PURPOSES):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40" w:type="dxa"/>
            <w:vAlign w:val="bottom"/>
            <w:gridSpan w:val="2"/>
          </w:tcPr>
          <w:p>
            <w:pPr>
              <w:spacing w:after="0"/>
              <w:rPr>
                <w:sz w:val="20"/>
                <w:szCs w:val="20"/>
                <w:color w:val="auto"/>
              </w:rPr>
            </w:pPr>
            <w:r>
              <w:rPr>
                <w:rFonts w:ascii="Arial" w:cs="Arial" w:eastAsia="Arial" w:hAnsi="Arial"/>
                <w:sz w:val="17"/>
                <w:szCs w:val="17"/>
                <w:color w:val="auto"/>
              </w:rPr>
              <w:t>(FOR RENT PAYMENTS)</w:t>
            </w:r>
          </w:p>
        </w:tc>
        <w:tc>
          <w:tcPr>
            <w:tcW w:w="2740" w:type="dxa"/>
            <w:vAlign w:val="bottom"/>
            <w:gridSpan w:val="2"/>
          </w:tcPr>
          <w:p>
            <w:pPr>
              <w:ind w:left="20"/>
              <w:spacing w:after="0"/>
              <w:rPr>
                <w:sz w:val="20"/>
                <w:szCs w:val="20"/>
                <w:color w:val="auto"/>
              </w:rPr>
            </w:pPr>
            <w:r>
              <w:rPr>
                <w:rFonts w:ascii="Arial" w:cs="Arial" w:eastAsia="Arial" w:hAnsi="Arial"/>
                <w:sz w:val="17"/>
                <w:szCs w:val="17"/>
                <w:b w:val="1"/>
                <w:bCs w:val="1"/>
                <w:color w:val="auto"/>
              </w:rPr>
              <w:t>P.O. BOX 4737</w:t>
            </w:r>
          </w:p>
        </w:tc>
        <w:tc>
          <w:tcPr>
            <w:tcW w:w="15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Arial" w:cs="Arial" w:eastAsia="Arial" w:hAnsi="Arial"/>
                <w:sz w:val="17"/>
                <w:szCs w:val="17"/>
                <w:b w:val="1"/>
                <w:bCs w:val="1"/>
                <w:color w:val="auto"/>
              </w:rPr>
              <w:t>720 N. POST OAK RD., SUITE 500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SPECIAL PROVISIONS:</w:t>
            </w:r>
          </w:p>
        </w:tc>
        <w:tc>
          <w:tcPr>
            <w:tcW w:w="2740" w:type="dxa"/>
            <w:vAlign w:val="bottom"/>
            <w:gridSpan w:val="2"/>
          </w:tcPr>
          <w:p>
            <w:pPr>
              <w:ind w:left="20"/>
              <w:spacing w:after="0"/>
              <w:rPr>
                <w:sz w:val="20"/>
                <w:szCs w:val="20"/>
                <w:color w:val="auto"/>
              </w:rPr>
            </w:pPr>
            <w:r>
              <w:rPr>
                <w:rFonts w:ascii="Arial" w:cs="Arial" w:eastAsia="Arial" w:hAnsi="Arial"/>
                <w:sz w:val="17"/>
                <w:szCs w:val="17"/>
                <w:b w:val="1"/>
                <w:bCs w:val="1"/>
                <w:color w:val="auto"/>
              </w:rPr>
              <w:t>HOUSTON, TEXAS 77210-4737</w:t>
            </w:r>
          </w:p>
        </w:tc>
        <w:tc>
          <w:tcPr>
            <w:tcW w:w="150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7"/>
                <w:szCs w:val="17"/>
                <w:b w:val="1"/>
                <w:bCs w:val="1"/>
                <w:color w:val="auto"/>
              </w:rPr>
              <w:t>HOUSTON, TEXAS 77024</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4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See Attached Landlord’s waiver and consent form X</w:t>
      </w:r>
    </w:p>
    <w:p>
      <w:pPr>
        <w:spacing w:after="0" w:line="22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See Attached Exhibit “P” X</w:t>
      </w:r>
    </w:p>
    <w:p>
      <w:pPr>
        <w:spacing w:after="0" w:line="200" w:lineRule="exact"/>
        <w:rPr>
          <w:sz w:val="20"/>
          <w:szCs w:val="20"/>
          <w:color w:val="auto"/>
        </w:rPr>
      </w:pPr>
    </w:p>
    <w:p>
      <w:pPr>
        <w:spacing w:after="0" w:line="266" w:lineRule="exact"/>
        <w:rPr>
          <w:sz w:val="20"/>
          <w:szCs w:val="20"/>
          <w:color w:val="auto"/>
        </w:rPr>
      </w:pPr>
    </w:p>
    <w:tbl>
      <w:tblPr>
        <w:tblLayout w:type="fixed"/>
        <w:tblInd w:w="780" w:type="dxa"/>
        <w:tblCellMar>
          <w:top w:w="0" w:type="dxa"/>
          <w:left w:w="0" w:type="dxa"/>
          <w:bottom w:w="0" w:type="dxa"/>
          <w:right w:w="0" w:type="dxa"/>
        </w:tblCellMar>
      </w:tblPr>
      <w:tr>
        <w:trPr>
          <w:trHeight w:val="222"/>
        </w:trPr>
        <w:tc>
          <w:tcPr>
            <w:tcW w:w="3560" w:type="dxa"/>
            <w:vAlign w:val="bottom"/>
            <w:gridSpan w:val="2"/>
          </w:tcPr>
          <w:p>
            <w:pPr>
              <w:spacing w:after="0"/>
              <w:rPr>
                <w:sz w:val="20"/>
                <w:szCs w:val="20"/>
                <w:color w:val="auto"/>
              </w:rPr>
            </w:pPr>
            <w:r>
              <w:rPr>
                <w:rFonts w:ascii="Arial" w:cs="Arial" w:eastAsia="Arial" w:hAnsi="Arial"/>
                <w:sz w:val="17"/>
                <w:szCs w:val="17"/>
                <w:color w:val="auto"/>
              </w:rPr>
              <w:t>Attested by:</w:t>
            </w:r>
          </w:p>
        </w:tc>
        <w:tc>
          <w:tcPr>
            <w:tcW w:w="3840" w:type="dxa"/>
            <w:vAlign w:val="bottom"/>
          </w:tcPr>
          <w:p>
            <w:pPr>
              <w:ind w:left="260"/>
              <w:spacing w:after="0"/>
              <w:rPr>
                <w:sz w:val="20"/>
                <w:szCs w:val="20"/>
                <w:color w:val="auto"/>
              </w:rPr>
            </w:pPr>
            <w:r>
              <w:rPr>
                <w:rFonts w:ascii="Arial" w:cs="Arial" w:eastAsia="Arial" w:hAnsi="Arial"/>
                <w:sz w:val="17"/>
                <w:szCs w:val="17"/>
                <w:color w:val="auto"/>
              </w:rPr>
              <w:t>Attested by:</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3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Chih-Hsiang (Thompson) Lin</w:t>
            </w:r>
          </w:p>
        </w:tc>
        <w:tc>
          <w:tcPr>
            <w:tcW w:w="3840" w:type="dxa"/>
            <w:vAlign w:val="bottom"/>
          </w:tcPr>
          <w:p>
            <w:pPr>
              <w:ind w:left="260"/>
              <w:spacing w:after="0"/>
              <w:rPr>
                <w:sz w:val="20"/>
                <w:szCs w:val="20"/>
                <w:color w:val="auto"/>
              </w:rPr>
            </w:pPr>
            <w:r>
              <w:rPr>
                <w:rFonts w:ascii="Arial" w:cs="Arial" w:eastAsia="Arial" w:hAnsi="Arial"/>
                <w:sz w:val="17"/>
                <w:szCs w:val="17"/>
                <w:b w:val="1"/>
                <w:bCs w:val="1"/>
                <w:color w:val="auto"/>
              </w:rPr>
              <w:t>LANDLORD: 12808 W. AIRPORT, LLC</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560" w:type="dxa"/>
            <w:vAlign w:val="bottom"/>
            <w:gridSpan w:val="2"/>
          </w:tcPr>
          <w:p>
            <w:pPr>
              <w:spacing w:after="0"/>
              <w:rPr>
                <w:sz w:val="20"/>
                <w:szCs w:val="20"/>
                <w:color w:val="auto"/>
              </w:rPr>
            </w:pPr>
            <w:r>
              <w:rPr>
                <w:rFonts w:ascii="Arial" w:cs="Arial" w:eastAsia="Arial" w:hAnsi="Arial"/>
                <w:sz w:val="17"/>
                <w:szCs w:val="17"/>
                <w:b w:val="1"/>
                <w:bCs w:val="1"/>
                <w:color w:val="auto"/>
              </w:rPr>
              <w:t>TENANT (signature)</w:t>
            </w:r>
          </w:p>
        </w:tc>
        <w:tc>
          <w:tcPr>
            <w:tcW w:w="3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3560" w:type="dxa"/>
            <w:vAlign w:val="bottom"/>
            <w:gridSpan w:val="2"/>
          </w:tcPr>
          <w:p>
            <w:pPr>
              <w:spacing w:after="0"/>
              <w:rPr>
                <w:sz w:val="20"/>
                <w:szCs w:val="20"/>
                <w:color w:val="auto"/>
              </w:rPr>
            </w:pPr>
            <w:r>
              <w:rPr>
                <w:rFonts w:ascii="Arial" w:cs="Arial" w:eastAsia="Arial" w:hAnsi="Arial"/>
                <w:sz w:val="17"/>
                <w:szCs w:val="17"/>
                <w:color w:val="auto"/>
              </w:rPr>
              <w:t>Chih-Hsiang (Thompson) Lin</w:t>
            </w:r>
          </w:p>
        </w:tc>
        <w:tc>
          <w:tcPr>
            <w:tcW w:w="3840" w:type="dxa"/>
            <w:vAlign w:val="bottom"/>
          </w:tcPr>
          <w:p>
            <w:pPr>
              <w:ind w:left="260"/>
              <w:spacing w:after="0"/>
              <w:rPr>
                <w:sz w:val="20"/>
                <w:szCs w:val="20"/>
                <w:color w:val="auto"/>
              </w:rPr>
            </w:pPr>
            <w:r>
              <w:rPr>
                <w:rFonts w:ascii="Arial" w:cs="Arial" w:eastAsia="Arial" w:hAnsi="Arial"/>
                <w:sz w:val="17"/>
                <w:szCs w:val="17"/>
                <w:b w:val="1"/>
                <w:bCs w:val="1"/>
                <w:color w:val="auto"/>
              </w:rPr>
              <w:t>By: Boxer Property Management Corp.</w:t>
            </w:r>
          </w:p>
        </w:tc>
        <w:tc>
          <w:tcPr>
            <w:tcW w:w="3240" w:type="dxa"/>
            <w:vAlign w:val="bottom"/>
            <w:gridSpan w:val="3"/>
          </w:tcPr>
          <w:p>
            <w:pPr>
              <w:ind w:left="340"/>
              <w:spacing w:after="0"/>
              <w:rPr>
                <w:sz w:val="20"/>
                <w:szCs w:val="20"/>
                <w:color w:val="auto"/>
              </w:rPr>
            </w:pPr>
            <w:r>
              <w:rPr>
                <w:rFonts w:ascii="Arial" w:cs="Arial" w:eastAsia="Arial" w:hAnsi="Arial"/>
                <w:sz w:val="17"/>
                <w:szCs w:val="17"/>
                <w:color w:val="auto"/>
              </w:rPr>
              <w:t>/s/ John Rentz, Vice President</w:t>
            </w:r>
          </w:p>
        </w:tc>
        <w:tc>
          <w:tcPr>
            <w:tcW w:w="0" w:type="dxa"/>
            <w:vAlign w:val="bottom"/>
          </w:tcPr>
          <w:p>
            <w:pPr>
              <w:spacing w:after="0"/>
              <w:rPr>
                <w:sz w:val="1"/>
                <w:szCs w:val="1"/>
                <w:color w:val="auto"/>
              </w:rPr>
            </w:pPr>
          </w:p>
        </w:tc>
      </w:tr>
      <w:tr>
        <w:trPr>
          <w:trHeight w:val="185"/>
        </w:trPr>
        <w:tc>
          <w:tcPr>
            <w:tcW w:w="3560" w:type="dxa"/>
            <w:vAlign w:val="bottom"/>
            <w:tcBorders>
              <w:top w:val="single" w:sz="8" w:color="auto"/>
            </w:tcBorders>
            <w:gridSpan w:val="2"/>
          </w:tcPr>
          <w:p>
            <w:pPr>
              <w:spacing w:after="0" w:line="185" w:lineRule="exact"/>
              <w:rPr>
                <w:sz w:val="20"/>
                <w:szCs w:val="20"/>
                <w:color w:val="auto"/>
              </w:rPr>
            </w:pPr>
            <w:r>
              <w:rPr>
                <w:rFonts w:ascii="Arial" w:cs="Arial" w:eastAsia="Arial" w:hAnsi="Arial"/>
                <w:sz w:val="17"/>
                <w:szCs w:val="17"/>
                <w:b w:val="1"/>
                <w:bCs w:val="1"/>
                <w:color w:val="auto"/>
              </w:rPr>
              <w:t>TENANT (print name)</w:t>
            </w:r>
          </w:p>
        </w:tc>
        <w:tc>
          <w:tcPr>
            <w:tcW w:w="3840" w:type="dxa"/>
            <w:vAlign w:val="bottom"/>
          </w:tcPr>
          <w:p>
            <w:pPr>
              <w:ind w:left="620"/>
              <w:spacing w:after="0" w:line="185" w:lineRule="exact"/>
              <w:rPr>
                <w:sz w:val="20"/>
                <w:szCs w:val="20"/>
                <w:color w:val="auto"/>
              </w:rPr>
            </w:pPr>
            <w:r>
              <w:rPr>
                <w:rFonts w:ascii="Arial" w:cs="Arial" w:eastAsia="Arial" w:hAnsi="Arial"/>
                <w:sz w:val="17"/>
                <w:szCs w:val="17"/>
                <w:b w:val="1"/>
                <w:bCs w:val="1"/>
                <w:color w:val="auto"/>
              </w:rPr>
              <w:t>A Texas Corporation</w:t>
            </w:r>
          </w:p>
        </w:tc>
        <w:tc>
          <w:tcPr>
            <w:tcW w:w="3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60" w:type="dxa"/>
            <w:vAlign w:val="bottom"/>
            <w:gridSpan w:val="2"/>
            <w:vMerge w:val="restart"/>
          </w:tcPr>
          <w:p>
            <w:pPr>
              <w:spacing w:after="0"/>
              <w:rPr>
                <w:sz w:val="20"/>
                <w:szCs w:val="20"/>
                <w:color w:val="auto"/>
              </w:rPr>
            </w:pPr>
            <w:r>
              <w:rPr>
                <w:rFonts w:ascii="Arial" w:cs="Arial" w:eastAsia="Arial" w:hAnsi="Arial"/>
                <w:sz w:val="17"/>
                <w:szCs w:val="17"/>
                <w:color w:val="auto"/>
              </w:rPr>
              <w:t>Date:   3/21/2012</w:t>
            </w:r>
          </w:p>
        </w:tc>
        <w:tc>
          <w:tcPr>
            <w:tcW w:w="3840" w:type="dxa"/>
            <w:vAlign w:val="bottom"/>
          </w:tcPr>
          <w:p>
            <w:pPr>
              <w:ind w:left="620"/>
              <w:spacing w:after="0"/>
              <w:rPr>
                <w:sz w:val="20"/>
                <w:szCs w:val="20"/>
                <w:color w:val="auto"/>
              </w:rPr>
            </w:pPr>
            <w:r>
              <w:rPr>
                <w:rFonts w:ascii="Arial" w:cs="Arial" w:eastAsia="Arial" w:hAnsi="Arial"/>
                <w:sz w:val="17"/>
                <w:szCs w:val="17"/>
                <w:b w:val="1"/>
                <w:bCs w:val="1"/>
                <w:color w:val="auto"/>
              </w:rPr>
              <w:t>(Management Company for Landlord)</w:t>
            </w:r>
          </w:p>
        </w:tc>
        <w:tc>
          <w:tcPr>
            <w:tcW w:w="3240" w:type="dxa"/>
            <w:vAlign w:val="bottom"/>
            <w:gridSpan w:val="3"/>
            <w:vMerge w:val="restart"/>
          </w:tcPr>
          <w:p>
            <w:pPr>
              <w:ind w:left="340"/>
              <w:spacing w:after="0"/>
              <w:rPr>
                <w:sz w:val="20"/>
                <w:szCs w:val="20"/>
                <w:color w:val="auto"/>
              </w:rPr>
            </w:pPr>
            <w:r>
              <w:rPr>
                <w:rFonts w:ascii="Arial" w:cs="Arial" w:eastAsia="Arial" w:hAnsi="Arial"/>
                <w:sz w:val="17"/>
                <w:szCs w:val="17"/>
                <w:color w:val="auto"/>
              </w:rPr>
              <w:t>Date:   5/11/12</w:t>
            </w:r>
          </w:p>
        </w:tc>
        <w:tc>
          <w:tcPr>
            <w:tcW w:w="0" w:type="dxa"/>
            <w:vAlign w:val="bottom"/>
          </w:tcPr>
          <w:p>
            <w:pPr>
              <w:spacing w:after="0"/>
              <w:rPr>
                <w:sz w:val="1"/>
                <w:szCs w:val="1"/>
                <w:color w:val="auto"/>
              </w:rPr>
            </w:pPr>
          </w:p>
        </w:tc>
      </w:tr>
      <w:tr>
        <w:trPr>
          <w:trHeight w:val="210"/>
        </w:trPr>
        <w:tc>
          <w:tcPr>
            <w:tcW w:w="3560" w:type="dxa"/>
            <w:vAlign w:val="bottom"/>
            <w:gridSpan w:val="2"/>
            <w:vMerge w:val="continue"/>
          </w:tcPr>
          <w:p>
            <w:pPr>
              <w:spacing w:after="0"/>
              <w:rPr>
                <w:sz w:val="18"/>
                <w:szCs w:val="18"/>
                <w:color w:val="auto"/>
              </w:rPr>
            </w:pPr>
          </w:p>
        </w:tc>
        <w:tc>
          <w:tcPr>
            <w:tcW w:w="3840" w:type="dxa"/>
            <w:vAlign w:val="bottom"/>
          </w:tcPr>
          <w:p>
            <w:pPr>
              <w:spacing w:after="0"/>
              <w:rPr>
                <w:sz w:val="18"/>
                <w:szCs w:val="18"/>
                <w:color w:val="auto"/>
              </w:rPr>
            </w:pPr>
          </w:p>
        </w:tc>
        <w:tc>
          <w:tcPr>
            <w:tcW w:w="3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640" w:type="dxa"/>
            <w:vAlign w:val="bottom"/>
          </w:tcPr>
          <w:p>
            <w:pPr>
              <w:spacing w:after="0"/>
              <w:rPr>
                <w:sz w:val="24"/>
                <w:szCs w:val="24"/>
                <w:color w:val="auto"/>
              </w:rPr>
            </w:pPr>
          </w:p>
        </w:tc>
        <w:tc>
          <w:tcPr>
            <w:tcW w:w="2920" w:type="dxa"/>
            <w:vAlign w:val="bottom"/>
            <w:tcBorders>
              <w:top w:val="single" w:sz="8" w:color="auto"/>
            </w:tcBorders>
          </w:tcPr>
          <w:p>
            <w:pPr>
              <w:spacing w:after="0"/>
              <w:rPr>
                <w:sz w:val="24"/>
                <w:szCs w:val="24"/>
                <w:color w:val="auto"/>
              </w:rPr>
            </w:pPr>
          </w:p>
        </w:tc>
        <w:tc>
          <w:tcPr>
            <w:tcW w:w="3840" w:type="dxa"/>
            <w:vAlign w:val="bottom"/>
          </w:tcPr>
          <w:p>
            <w:pPr>
              <w:ind w:left="520"/>
              <w:spacing w:after="0"/>
              <w:rPr>
                <w:sz w:val="20"/>
                <w:szCs w:val="20"/>
                <w:color w:val="auto"/>
              </w:rPr>
            </w:pPr>
            <w:r>
              <w:rPr>
                <w:rFonts w:ascii="Arial" w:cs="Arial" w:eastAsia="Arial" w:hAnsi="Arial"/>
                <w:sz w:val="17"/>
                <w:szCs w:val="17"/>
                <w:b w:val="1"/>
                <w:bCs w:val="1"/>
                <w:color w:val="auto"/>
              </w:rPr>
              <w:t>LEASE PROVISIONS</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THIS LEASE (“Lease”) is made by and between LANDLORD and TENANT. In consideration of the mutual covenants and agreements herein set forth, and any other consideration, Landlord leases to Tenant and Tenant leases from Landlord the area generally outlined on the floor plan attached hereto as “Exhibit A”, hereinafter referred to as the “Premises” which is part of the Building (hereinafter referred to as the “Building”).</w:t>
      </w:r>
    </w:p>
    <w:p>
      <w:pPr>
        <w:spacing w:after="0" w:line="166" w:lineRule="exact"/>
        <w:rPr>
          <w:sz w:val="20"/>
          <w:szCs w:val="20"/>
          <w:color w:val="auto"/>
        </w:rPr>
      </w:pPr>
    </w:p>
    <w:p>
      <w:pPr>
        <w:ind w:left="560" w:hanging="555"/>
        <w:spacing w:after="0"/>
        <w:tabs>
          <w:tab w:leader="none" w:pos="560" w:val="left"/>
        </w:tabs>
        <w:numPr>
          <w:ilvl w:val="0"/>
          <w:numId w:val="543"/>
        </w:numPr>
        <w:rPr>
          <w:rFonts w:ascii="Arial" w:cs="Arial" w:eastAsia="Arial" w:hAnsi="Arial"/>
          <w:sz w:val="17"/>
          <w:szCs w:val="17"/>
          <w:color w:val="auto"/>
        </w:rPr>
      </w:pPr>
      <w:r>
        <w:rPr>
          <w:rFonts w:ascii="Arial" w:cs="Arial" w:eastAsia="Arial" w:hAnsi="Arial"/>
          <w:sz w:val="17"/>
          <w:szCs w:val="17"/>
          <w:b w:val="1"/>
          <w:bCs w:val="1"/>
          <w:color w:val="auto"/>
        </w:rPr>
        <w:t xml:space="preserve">TERM. </w:t>
      </w:r>
      <w:r>
        <w:rPr>
          <w:rFonts w:ascii="Arial" w:cs="Arial" w:eastAsia="Arial" w:hAnsi="Arial"/>
          <w:sz w:val="17"/>
          <w:szCs w:val="17"/>
          <w:color w:val="auto"/>
        </w:rPr>
        <w:t>The Term of this Lease shall continue, unless sooner terminated as provided hereinafter. If the Term is month-to-month, either party may</w:t>
      </w:r>
    </w:p>
    <w:p>
      <w:pPr>
        <w:spacing w:after="0" w:line="32" w:lineRule="exact"/>
        <w:rPr>
          <w:rFonts w:ascii="Arial" w:cs="Arial" w:eastAsia="Arial" w:hAnsi="Arial"/>
          <w:sz w:val="17"/>
          <w:szCs w:val="17"/>
          <w:color w:val="auto"/>
        </w:rPr>
      </w:pPr>
    </w:p>
    <w:p>
      <w:pPr>
        <w:ind w:right="80"/>
        <w:spacing w:after="0" w:line="307" w:lineRule="auto"/>
        <w:rPr>
          <w:rFonts w:ascii="Arial" w:cs="Arial" w:eastAsia="Arial" w:hAnsi="Arial"/>
          <w:sz w:val="17"/>
          <w:szCs w:val="17"/>
          <w:color w:val="auto"/>
        </w:rPr>
      </w:pPr>
      <w:r>
        <w:rPr>
          <w:rFonts w:ascii="Arial" w:cs="Arial" w:eastAsia="Arial" w:hAnsi="Arial"/>
          <w:sz w:val="16"/>
          <w:szCs w:val="16"/>
          <w:color w:val="auto"/>
        </w:rPr>
        <w:t>terminate with a thirty (30) day written notice. Landlord may increase monthly Rent for any month-to-month lease with a thirty (30) day written notice to Tenant. In the event Tenant occupies the Premises prior to the Commencement Date, all terms and conditions of the Lease shall apply to the period of occupancy.</w:t>
      </w:r>
    </w:p>
    <w:p>
      <w:pPr>
        <w:spacing w:after="0" w:line="140" w:lineRule="exact"/>
        <w:rPr>
          <w:rFonts w:ascii="Arial" w:cs="Arial" w:eastAsia="Arial" w:hAnsi="Arial"/>
          <w:sz w:val="17"/>
          <w:szCs w:val="17"/>
          <w:color w:val="auto"/>
        </w:rPr>
      </w:pPr>
    </w:p>
    <w:p>
      <w:pPr>
        <w:ind w:right="140" w:firstLine="5"/>
        <w:spacing w:after="0" w:line="279" w:lineRule="auto"/>
        <w:tabs>
          <w:tab w:leader="none" w:pos="550" w:val="left"/>
        </w:tabs>
        <w:numPr>
          <w:ilvl w:val="0"/>
          <w:numId w:val="543"/>
        </w:numPr>
        <w:rPr>
          <w:rFonts w:ascii="Arial" w:cs="Arial" w:eastAsia="Arial" w:hAnsi="Arial"/>
          <w:sz w:val="16"/>
          <w:szCs w:val="16"/>
          <w:color w:val="auto"/>
        </w:rPr>
      </w:pPr>
      <w:r>
        <w:rPr>
          <w:rFonts w:ascii="Arial" w:cs="Arial" w:eastAsia="Arial" w:hAnsi="Arial"/>
          <w:sz w:val="16"/>
          <w:szCs w:val="16"/>
          <w:b w:val="1"/>
          <w:bCs w:val="1"/>
          <w:color w:val="auto"/>
        </w:rPr>
        <w:t xml:space="preserve">BASIC RENT AND SECURITY DEPOSIT. </w:t>
      </w:r>
      <w:r>
        <w:rPr>
          <w:rFonts w:ascii="Arial" w:cs="Arial" w:eastAsia="Arial" w:hAnsi="Arial"/>
          <w:sz w:val="16"/>
          <w:szCs w:val="16"/>
          <w:color w:val="auto"/>
        </w:rPr>
        <w:t>Except as provided for in this Lease, Tenant will pay to Landlord without deduction or setoff, Basic Rent</w:t>
      </w:r>
      <w:r>
        <w:rPr>
          <w:rFonts w:ascii="Arial" w:cs="Arial" w:eastAsia="Arial" w:hAnsi="Arial"/>
          <w:sz w:val="16"/>
          <w:szCs w:val="16"/>
          <w:b w:val="1"/>
          <w:bCs w:val="1"/>
          <w:color w:val="auto"/>
        </w:rPr>
        <w:t xml:space="preserve"> </w:t>
      </w:r>
      <w:r>
        <w:rPr>
          <w:rFonts w:ascii="Arial" w:cs="Arial" w:eastAsia="Arial" w:hAnsi="Arial"/>
          <w:sz w:val="16"/>
          <w:szCs w:val="16"/>
          <w:color w:val="auto"/>
        </w:rPr>
        <w:t>for each month of the Lease Term. “Rent” means Basic Rent plus all other amounts payable by Tenant under this Lease, including any charges and late fees. The Security Deposit shall be held by Landlord, without interest, as security for Tenant’s performance under this Lease, and not as an advance payment of rent or a measure of Landlord’s damages. Upon an Event of Default (defined below) or any damage to the Building or Premises caused by Tenant, its employees or invitees, Landlord may, without prejudice to any other remedy, use the Security Deposit to cure such Event of Default or repair any damage. Following any application of the Security Deposit, Tenant shall, on demand, restore the Security Deposit to its original amount. If Tenant is not in default hereunder, any remaining balance of the Security Deposit shall be returned to Tenant upon termination of this Lease. If Landlord transfers its interest in the Premises, Landlord may assign the Security Deposit to the transferee and thereafter shall have no further liability for the Security Deposit. Rent is due, and must be received by Landlord, by the first day of every month, at address specified by Landlord. Landlord and its manager will not accept cash payments. Tenant agrees to pay by check, EFT, cashier’s check, certified funds, or credit cards only.</w:t>
      </w:r>
    </w:p>
    <w:p>
      <w:pPr>
        <w:spacing w:after="0" w:line="168" w:lineRule="exact"/>
        <w:rPr>
          <w:rFonts w:ascii="Arial" w:cs="Arial" w:eastAsia="Arial" w:hAnsi="Arial"/>
          <w:sz w:val="16"/>
          <w:szCs w:val="16"/>
          <w:color w:val="auto"/>
        </w:rPr>
      </w:pPr>
    </w:p>
    <w:p>
      <w:pPr>
        <w:ind w:left="560" w:hanging="555"/>
        <w:spacing w:after="0"/>
        <w:tabs>
          <w:tab w:leader="none" w:pos="560" w:val="left"/>
        </w:tabs>
        <w:numPr>
          <w:ilvl w:val="0"/>
          <w:numId w:val="543"/>
        </w:numPr>
        <w:rPr>
          <w:rFonts w:ascii="Arial" w:cs="Arial" w:eastAsia="Arial" w:hAnsi="Arial"/>
          <w:sz w:val="17"/>
          <w:szCs w:val="17"/>
          <w:color w:val="auto"/>
        </w:rPr>
      </w:pPr>
      <w:r>
        <w:rPr>
          <w:rFonts w:ascii="Arial" w:cs="Arial" w:eastAsia="Arial" w:hAnsi="Arial"/>
          <w:sz w:val="17"/>
          <w:szCs w:val="17"/>
          <w:b w:val="1"/>
          <w:bCs w:val="1"/>
          <w:color w:val="auto"/>
        </w:rPr>
        <w:t>LANDLORD’S OBLIGATIONS.</w:t>
      </w:r>
    </w:p>
    <w:p>
      <w:pPr>
        <w:spacing w:after="0" w:line="230" w:lineRule="exact"/>
        <w:rPr>
          <w:rFonts w:ascii="Arial" w:cs="Arial" w:eastAsia="Arial" w:hAnsi="Arial"/>
          <w:sz w:val="17"/>
          <w:szCs w:val="17"/>
          <w:color w:val="auto"/>
        </w:rPr>
      </w:pPr>
    </w:p>
    <w:p>
      <w:pPr>
        <w:ind w:left="560" w:hanging="450"/>
        <w:spacing w:after="0"/>
        <w:tabs>
          <w:tab w:leader="none" w:pos="560" w:val="left"/>
        </w:tabs>
        <w:numPr>
          <w:ilvl w:val="1"/>
          <w:numId w:val="543"/>
        </w:numPr>
        <w:rPr>
          <w:rFonts w:ascii="Arial" w:cs="Arial" w:eastAsia="Arial" w:hAnsi="Arial"/>
          <w:sz w:val="17"/>
          <w:szCs w:val="17"/>
          <w:color w:val="auto"/>
        </w:rPr>
      </w:pPr>
      <w:r>
        <w:rPr>
          <w:rFonts w:ascii="Arial" w:cs="Arial" w:eastAsia="Arial" w:hAnsi="Arial"/>
          <w:sz w:val="17"/>
          <w:szCs w:val="17"/>
          <w:color w:val="auto"/>
        </w:rPr>
        <w:t>Landlord will furnish to Tenant at Landlord’s expense:</w:t>
      </w:r>
    </w:p>
    <w:p>
      <w:pPr>
        <w:spacing w:after="0" w:line="224" w:lineRule="exact"/>
        <w:rPr>
          <w:rFonts w:ascii="Arial" w:cs="Arial" w:eastAsia="Arial" w:hAnsi="Arial"/>
          <w:sz w:val="17"/>
          <w:szCs w:val="17"/>
          <w:color w:val="auto"/>
        </w:rPr>
      </w:pPr>
    </w:p>
    <w:p>
      <w:pPr>
        <w:ind w:left="560" w:hanging="241"/>
        <w:spacing w:after="0"/>
        <w:tabs>
          <w:tab w:leader="none" w:pos="560" w:val="left"/>
        </w:tabs>
        <w:numPr>
          <w:ilvl w:val="2"/>
          <w:numId w:val="543"/>
        </w:numPr>
        <w:rPr>
          <w:rFonts w:ascii="Arial" w:cs="Arial" w:eastAsia="Arial" w:hAnsi="Arial"/>
          <w:sz w:val="17"/>
          <w:szCs w:val="17"/>
          <w:color w:val="auto"/>
        </w:rPr>
      </w:pPr>
      <w:r>
        <w:rPr>
          <w:rFonts w:ascii="Arial" w:cs="Arial" w:eastAsia="Arial" w:hAnsi="Arial"/>
          <w:sz w:val="17"/>
          <w:szCs w:val="17"/>
          <w:color w:val="auto"/>
        </w:rPr>
        <w:t>water at those points of supply provided for the general use of tenants of the Building;</w:t>
      </w:r>
    </w:p>
    <w:p>
      <w:pPr>
        <w:sectPr>
          <w:pgSz w:w="11900" w:h="16838" w:orient="portrait"/>
          <w:cols w:equalWidth="0" w:num="1">
            <w:col w:w="11420"/>
          </w:cols>
          <w:pgMar w:left="240" w:top="357" w:right="239" w:bottom="0" w:gutter="0" w:footer="0" w:header="0"/>
        </w:sectPr>
      </w:pPr>
    </w:p>
    <w:bookmarkStart w:id="363" w:name="page364"/>
    <w:bookmarkEnd w:id="363"/>
    <w:p>
      <w:pPr>
        <w:ind w:left="635" w:right="80" w:hanging="6"/>
        <w:spacing w:after="0" w:line="265" w:lineRule="auto"/>
        <w:tabs>
          <w:tab w:leader="none" w:pos="883" w:val="left"/>
        </w:tabs>
        <w:numPr>
          <w:ilvl w:val="2"/>
          <w:numId w:val="544"/>
        </w:numPr>
        <w:rPr>
          <w:rFonts w:ascii="Arial" w:cs="Arial" w:eastAsia="Arial" w:hAnsi="Arial"/>
          <w:sz w:val="17"/>
          <w:szCs w:val="17"/>
          <w:color w:val="auto"/>
        </w:rPr>
      </w:pPr>
      <w:r>
        <w:rPr>
          <w:rFonts w:ascii="Arial" w:cs="Arial" w:eastAsia="Arial" w:hAnsi="Arial"/>
          <w:sz w:val="17"/>
          <w:szCs w:val="17"/>
          <w:color w:val="auto"/>
        </w:rPr>
        <w:t xml:space="preserve">heated and refrigerated air conditioning in season, at such times as Landlord determines, and at such temperatures and in such amounts as reasonably considered necessary by Landlord; service on Sundays, Saturdays, and holidays are optional on the part of the Landlord; </w:t>
      </w:r>
      <w:r>
        <w:rPr>
          <w:rFonts w:ascii="Arial" w:cs="Arial" w:eastAsia="Arial" w:hAnsi="Arial"/>
          <w:sz w:val="17"/>
          <w:szCs w:val="17"/>
          <w:u w:val="single" w:color="auto"/>
          <w:color w:val="auto"/>
        </w:rPr>
        <w:t>HVAC will be off on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following days: New Years Day, Memorial Day, Fourth of July, Independence Day (observed), Labor Day, Thanksgiving Day, Christmas Eve, and Christmas Day. HVAC hours are typically as follows: Monday through Friday 7:00 a.m. to 6:00p.m., Saturday 7:00 a.m. to 2:00 p.m. and Sunday the HVAC is off. Times are subject to holidays and Landlord’s reasonable discretion.</w:t>
      </w:r>
    </w:p>
    <w:p>
      <w:pPr>
        <w:spacing w:after="0" w:line="179" w:lineRule="exact"/>
        <w:rPr>
          <w:rFonts w:ascii="Arial" w:cs="Arial" w:eastAsia="Arial" w:hAnsi="Arial"/>
          <w:sz w:val="17"/>
          <w:szCs w:val="17"/>
          <w:color w:val="auto"/>
        </w:rPr>
      </w:pPr>
    </w:p>
    <w:p>
      <w:pPr>
        <w:ind w:left="555" w:hanging="241"/>
        <w:spacing w:after="0"/>
        <w:tabs>
          <w:tab w:leader="none" w:pos="555" w:val="left"/>
        </w:tabs>
        <w:numPr>
          <w:ilvl w:val="1"/>
          <w:numId w:val="545"/>
        </w:numPr>
        <w:rPr>
          <w:rFonts w:ascii="Arial" w:cs="Arial" w:eastAsia="Arial" w:hAnsi="Arial"/>
          <w:sz w:val="16"/>
          <w:szCs w:val="16"/>
          <w:color w:val="auto"/>
        </w:rPr>
      </w:pPr>
      <w:r>
        <w:rPr>
          <w:rFonts w:ascii="Arial" w:cs="Arial" w:eastAsia="Arial" w:hAnsi="Arial"/>
          <w:sz w:val="16"/>
          <w:szCs w:val="16"/>
          <w:color w:val="auto"/>
        </w:rPr>
        <w:t>janitorial services to the Premises on weekdays other than holidays and window washing as may, in Landlord’s judgment, be reasonably required;</w:t>
      </w:r>
    </w:p>
    <w:p>
      <w:pPr>
        <w:spacing w:after="0" w:line="235" w:lineRule="exact"/>
        <w:rPr>
          <w:rFonts w:ascii="Arial" w:cs="Arial" w:eastAsia="Arial" w:hAnsi="Arial"/>
          <w:sz w:val="16"/>
          <w:szCs w:val="16"/>
          <w:color w:val="auto"/>
        </w:rPr>
      </w:pPr>
    </w:p>
    <w:p>
      <w:pPr>
        <w:ind w:left="555" w:hanging="241"/>
        <w:spacing w:after="0"/>
        <w:tabs>
          <w:tab w:leader="none" w:pos="555" w:val="left"/>
        </w:tabs>
        <w:numPr>
          <w:ilvl w:val="1"/>
          <w:numId w:val="545"/>
        </w:numPr>
        <w:rPr>
          <w:rFonts w:ascii="Arial" w:cs="Arial" w:eastAsia="Arial" w:hAnsi="Arial"/>
          <w:sz w:val="17"/>
          <w:szCs w:val="17"/>
          <w:color w:val="auto"/>
        </w:rPr>
      </w:pPr>
      <w:r>
        <w:rPr>
          <w:rFonts w:ascii="Arial" w:cs="Arial" w:eastAsia="Arial" w:hAnsi="Arial"/>
          <w:sz w:val="17"/>
          <w:szCs w:val="17"/>
          <w:color w:val="auto"/>
        </w:rPr>
        <w:t>passenger elevators for ingress to and egress from the Premises, in common with other tenants;</w:t>
      </w:r>
    </w:p>
    <w:p>
      <w:pPr>
        <w:spacing w:after="0" w:line="224" w:lineRule="exact"/>
        <w:rPr>
          <w:rFonts w:ascii="Arial" w:cs="Arial" w:eastAsia="Arial" w:hAnsi="Arial"/>
          <w:sz w:val="17"/>
          <w:szCs w:val="17"/>
          <w:color w:val="auto"/>
        </w:rPr>
      </w:pPr>
    </w:p>
    <w:p>
      <w:pPr>
        <w:ind w:left="555" w:hanging="241"/>
        <w:spacing w:after="0"/>
        <w:tabs>
          <w:tab w:leader="none" w:pos="555" w:val="left"/>
        </w:tabs>
        <w:numPr>
          <w:ilvl w:val="1"/>
          <w:numId w:val="545"/>
        </w:numPr>
        <w:rPr>
          <w:rFonts w:ascii="Arial" w:cs="Arial" w:eastAsia="Arial" w:hAnsi="Arial"/>
          <w:sz w:val="17"/>
          <w:szCs w:val="17"/>
          <w:color w:val="auto"/>
        </w:rPr>
      </w:pPr>
      <w:r>
        <w:rPr>
          <w:rFonts w:ascii="Arial" w:cs="Arial" w:eastAsia="Arial" w:hAnsi="Arial"/>
          <w:sz w:val="17"/>
          <w:szCs w:val="17"/>
          <w:color w:val="auto"/>
        </w:rPr>
        <w:t>replacement of Building standard light fixtures; and</w:t>
      </w:r>
    </w:p>
    <w:p>
      <w:pPr>
        <w:spacing w:after="0" w:line="224" w:lineRule="exact"/>
        <w:rPr>
          <w:rFonts w:ascii="Arial" w:cs="Arial" w:eastAsia="Arial" w:hAnsi="Arial"/>
          <w:sz w:val="17"/>
          <w:szCs w:val="17"/>
          <w:color w:val="auto"/>
        </w:rPr>
      </w:pPr>
    </w:p>
    <w:p>
      <w:pPr>
        <w:ind w:left="555" w:hanging="241"/>
        <w:spacing w:after="0"/>
        <w:tabs>
          <w:tab w:leader="none" w:pos="555" w:val="left"/>
        </w:tabs>
        <w:numPr>
          <w:ilvl w:val="1"/>
          <w:numId w:val="545"/>
        </w:numPr>
        <w:rPr>
          <w:rFonts w:ascii="Arial" w:cs="Arial" w:eastAsia="Arial" w:hAnsi="Arial"/>
          <w:sz w:val="17"/>
          <w:szCs w:val="17"/>
          <w:color w:val="auto"/>
        </w:rPr>
      </w:pPr>
      <w:r>
        <w:rPr>
          <w:rFonts w:ascii="Arial" w:cs="Arial" w:eastAsia="Arial" w:hAnsi="Arial"/>
          <w:sz w:val="17"/>
          <w:szCs w:val="17"/>
          <w:color w:val="auto"/>
        </w:rPr>
        <w:t>electric lighting for public areas and special service areas of the Building to the extent deemed by the Landlord to be reasonable.</w:t>
      </w:r>
    </w:p>
    <w:p>
      <w:pPr>
        <w:spacing w:after="0" w:line="224" w:lineRule="exact"/>
        <w:rPr>
          <w:rFonts w:ascii="Arial" w:cs="Arial" w:eastAsia="Arial" w:hAnsi="Arial"/>
          <w:sz w:val="17"/>
          <w:szCs w:val="17"/>
          <w:color w:val="auto"/>
        </w:rPr>
      </w:pPr>
    </w:p>
    <w:p>
      <w:pPr>
        <w:ind w:left="-5" w:right="160" w:firstLine="84"/>
        <w:spacing w:after="0" w:line="263" w:lineRule="auto"/>
        <w:tabs>
          <w:tab w:leader="none" w:pos="553" w:val="left"/>
        </w:tabs>
        <w:numPr>
          <w:ilvl w:val="0"/>
          <w:numId w:val="546"/>
        </w:numPr>
        <w:rPr>
          <w:rFonts w:ascii="Arial" w:cs="Arial" w:eastAsia="Arial" w:hAnsi="Arial"/>
          <w:sz w:val="17"/>
          <w:szCs w:val="17"/>
          <w:color w:val="auto"/>
        </w:rPr>
      </w:pPr>
      <w:r>
        <w:rPr>
          <w:rFonts w:ascii="Arial" w:cs="Arial" w:eastAsia="Arial" w:hAnsi="Arial"/>
          <w:sz w:val="17"/>
          <w:szCs w:val="17"/>
          <w:color w:val="auto"/>
        </w:rPr>
        <w:t xml:space="preserve">Landlord shall furnish electrical current required for normal </w:t>
      </w:r>
      <w:r>
        <w:rPr>
          <w:rFonts w:ascii="Arial" w:cs="Arial" w:eastAsia="Arial" w:hAnsi="Arial"/>
          <w:sz w:val="17"/>
          <w:szCs w:val="17"/>
          <w:u w:val="single" w:color="auto"/>
          <w:color w:val="auto"/>
        </w:rPr>
        <w:t>business</w:t>
      </w:r>
      <w:r>
        <w:rPr>
          <w:rFonts w:ascii="Arial" w:cs="Arial" w:eastAsia="Arial" w:hAnsi="Arial"/>
          <w:sz w:val="17"/>
          <w:szCs w:val="17"/>
          <w:color w:val="auto"/>
        </w:rPr>
        <w:t xml:space="preserve"> use of the Premises. Tenant shall pay Landlord’s cost for any such excess use of electricity within ten (10) days after being invoiced therefor. Additionally, if the cost of electricity per kilowatt hour (“kwh”) for electricity serving the Building increases by thirty percent (30%) or more from the Commencement Date of this Lease, Landlord may pass through any such increase (including all charges assessed as part of the electricity bill) above the thirty percent (30%) threshold to Tenant based on Tenant’s pro-rata share of the total square footage of the Building. Tenant agrees to pay such charge immediately upon receipt of written notice thereof. Landlord and its management company shall calculate said charges, and its determination shall be binding on all parties.</w:t>
      </w:r>
    </w:p>
    <w:p>
      <w:pPr>
        <w:spacing w:after="0" w:line="183" w:lineRule="exact"/>
        <w:rPr>
          <w:rFonts w:ascii="Arial" w:cs="Arial" w:eastAsia="Arial" w:hAnsi="Arial"/>
          <w:sz w:val="17"/>
          <w:szCs w:val="17"/>
          <w:color w:val="auto"/>
        </w:rPr>
      </w:pPr>
    </w:p>
    <w:p>
      <w:pPr>
        <w:ind w:left="-5" w:right="40" w:firstLine="84"/>
        <w:spacing w:after="0" w:line="297" w:lineRule="auto"/>
        <w:tabs>
          <w:tab w:leader="none" w:pos="556" w:val="left"/>
        </w:tabs>
        <w:numPr>
          <w:ilvl w:val="0"/>
          <w:numId w:val="546"/>
        </w:numPr>
        <w:rPr>
          <w:rFonts w:ascii="Arial" w:cs="Arial" w:eastAsia="Arial" w:hAnsi="Arial"/>
          <w:sz w:val="15"/>
          <w:szCs w:val="15"/>
          <w:color w:val="auto"/>
        </w:rPr>
      </w:pPr>
      <w:r>
        <w:rPr>
          <w:rFonts w:ascii="Arial" w:cs="Arial" w:eastAsia="Arial" w:hAnsi="Arial"/>
          <w:sz w:val="15"/>
          <w:szCs w:val="15"/>
          <w:color w:val="auto"/>
        </w:rPr>
        <w:t xml:space="preserve">Failure to furnish, stoppage, or interruption of these services resulting from any cause shall not render Landlord liable in any respect for damages to either person, property or business, or be construed as an eviction of Tenant, work an abatement of rent, or relieve Tenant from performance of its obligations. Should any equipment furnished by Landlord cease to function properly, Landlord shall use reasonable diligence to repair the same promptly. Landlord shall not be obligated to furnish these services if Tenant is in default under this Lease. </w:t>
      </w:r>
      <w:r>
        <w:rPr>
          <w:rFonts w:ascii="Arial" w:cs="Arial" w:eastAsia="Arial" w:hAnsi="Arial"/>
          <w:sz w:val="15"/>
          <w:szCs w:val="15"/>
          <w:u w:val="single" w:color="auto"/>
          <w:color w:val="auto"/>
        </w:rPr>
        <w:t>Notwithstanding the foregoing, if there is an interruption or cessation of any essential</w:t>
      </w:r>
      <w:r>
        <w:rPr>
          <w:rFonts w:ascii="Arial" w:cs="Arial" w:eastAsia="Arial" w:hAnsi="Arial"/>
          <w:sz w:val="15"/>
          <w:szCs w:val="15"/>
          <w:color w:val="auto"/>
        </w:rPr>
        <w:t xml:space="preserve"> </w:t>
      </w:r>
      <w:r>
        <w:rPr>
          <w:rFonts w:ascii="Arial" w:cs="Arial" w:eastAsia="Arial" w:hAnsi="Arial"/>
          <w:sz w:val="15"/>
          <w:szCs w:val="15"/>
          <w:u w:val="single" w:color="auto"/>
          <w:color w:val="auto"/>
        </w:rPr>
        <w:t>service to substantially all the Leased Premises (the essential services being defines as air conditioning and heating service, electrical service or elevator service) and (i) such interruption is not a result of casualty or condemnation, (ii) the result of the negligence or willful misconduct of Tenant, (iii) restoration of such essential services is within the reasonable control of Landlord; and (iv) such interruption continues for a period of five (5) consecutive business days after written notice from Tenant, Tenant shall be entitled to an abatement of rent (commensurate with that portion of the Leased Premises to which Landlord’s services have been interrupted, calculated on a per square foot basis) for the period commencing with the expiration of the fifth(5th) business day until such services are restored, but only to the extent that such interruption interferes with the normal use of the Leased Premises by the Tenant in the ordinary course of business and Tenant does not actually use such portion of the Leased Premises in the ordinary course of its business. If an interruption of essential services continues of the nature stated above for a period of thirty (30) consecutive days after Landlord receives notice from Tenant of such interruption of essential services and Landlord is not diligently and faithfully pursuing the correction of such cessation, then Tenant shall have the right to terminate the Lease.</w:t>
      </w:r>
    </w:p>
    <w:p>
      <w:pPr>
        <w:spacing w:after="0" w:line="162" w:lineRule="exact"/>
        <w:rPr>
          <w:sz w:val="20"/>
          <w:szCs w:val="20"/>
          <w:color w:val="auto"/>
        </w:rPr>
      </w:pPr>
    </w:p>
    <w:p>
      <w:pPr>
        <w:jc w:val="center"/>
        <w:ind w:left="10020"/>
        <w:spacing w:after="0"/>
        <w:rPr>
          <w:sz w:val="20"/>
          <w:szCs w:val="20"/>
          <w:color w:val="auto"/>
        </w:rPr>
      </w:pPr>
      <w:r>
        <w:rPr>
          <w:rFonts w:ascii="Arial" w:cs="Arial" w:eastAsia="Arial" w:hAnsi="Arial"/>
          <w:sz w:val="17"/>
          <w:szCs w:val="17"/>
          <w:color w:val="auto"/>
        </w:rPr>
        <w:t>CHL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6368415</wp:posOffset>
            </wp:positionH>
            <wp:positionV relativeFrom="paragraph">
              <wp:posOffset>17145</wp:posOffset>
            </wp:positionV>
            <wp:extent cx="88265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7" w:lineRule="exact"/>
        <w:rPr>
          <w:sz w:val="20"/>
          <w:szCs w:val="20"/>
          <w:color w:val="auto"/>
        </w:rPr>
      </w:pPr>
    </w:p>
    <w:p>
      <w:pPr>
        <w:jc w:val="center"/>
        <w:ind w:left="10020"/>
        <w:spacing w:after="0"/>
        <w:rPr>
          <w:sz w:val="20"/>
          <w:szCs w:val="20"/>
          <w:color w:val="auto"/>
        </w:rPr>
      </w:pPr>
      <w:r>
        <w:rPr>
          <w:rFonts w:ascii="Arial" w:cs="Arial" w:eastAsia="Arial" w:hAnsi="Arial"/>
          <w:sz w:val="17"/>
          <w:szCs w:val="17"/>
          <w:color w:val="auto"/>
        </w:rPr>
        <w:t>Tenant Initials</w:t>
      </w:r>
    </w:p>
    <w:p>
      <w:pPr>
        <w:spacing w:after="0" w:line="224"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 w:right="280" w:firstLine="5"/>
        <w:spacing w:after="0" w:line="277" w:lineRule="auto"/>
        <w:tabs>
          <w:tab w:leader="none" w:pos="546" w:val="left"/>
        </w:tabs>
        <w:numPr>
          <w:ilvl w:val="0"/>
          <w:numId w:val="547"/>
        </w:numPr>
        <w:rPr>
          <w:rFonts w:ascii="Arial" w:cs="Arial" w:eastAsia="Arial" w:hAnsi="Arial"/>
          <w:sz w:val="17"/>
          <w:szCs w:val="17"/>
          <w:color w:val="auto"/>
        </w:rPr>
      </w:pPr>
      <w:r>
        <w:rPr>
          <w:rFonts w:ascii="Arial" w:cs="Arial" w:eastAsia="Arial" w:hAnsi="Arial"/>
          <w:sz w:val="17"/>
          <w:szCs w:val="17"/>
          <w:b w:val="1"/>
          <w:bCs w:val="1"/>
          <w:color w:val="auto"/>
        </w:rPr>
        <w:t xml:space="preserve">IMPROVEMENTS. </w:t>
      </w:r>
      <w:r>
        <w:rPr>
          <w:rFonts w:ascii="Arial" w:cs="Arial" w:eastAsia="Arial" w:hAnsi="Arial"/>
          <w:sz w:val="17"/>
          <w:szCs w:val="17"/>
          <w:color w:val="auto"/>
        </w:rPr>
        <w:t>Landlord leases to Tenant the space and improvements described in “Exhibit B” attached hereto, hereinafter referred to as the</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All other improvements to the Premises shall be installed at Tenant’s expense only in accordance with plans and specifications and by contractors approved, in writing, by Landlord.</w:t>
      </w:r>
    </w:p>
    <w:p>
      <w:pPr>
        <w:spacing w:after="0" w:line="162" w:lineRule="exact"/>
        <w:rPr>
          <w:sz w:val="20"/>
          <w:szCs w:val="20"/>
          <w:color w:val="auto"/>
        </w:rPr>
      </w:pPr>
    </w:p>
    <w:p>
      <w:pPr>
        <w:ind w:left="-5" w:right="20" w:firstLine="5"/>
        <w:spacing w:after="0" w:line="297" w:lineRule="auto"/>
        <w:tabs>
          <w:tab w:leader="none" w:pos="546" w:val="left"/>
        </w:tabs>
        <w:numPr>
          <w:ilvl w:val="0"/>
          <w:numId w:val="548"/>
        </w:numPr>
        <w:rPr>
          <w:rFonts w:ascii="Arial" w:cs="Arial" w:eastAsia="Arial" w:hAnsi="Arial"/>
          <w:sz w:val="15"/>
          <w:szCs w:val="15"/>
          <w:color w:val="auto"/>
        </w:rPr>
      </w:pPr>
      <w:r>
        <w:rPr>
          <w:rFonts w:ascii="Arial" w:cs="Arial" w:eastAsia="Arial" w:hAnsi="Arial"/>
          <w:sz w:val="15"/>
          <w:szCs w:val="15"/>
          <w:b w:val="1"/>
          <w:bCs w:val="1"/>
          <w:color w:val="auto"/>
        </w:rPr>
        <w:t xml:space="preserve">USE OF PREMISES. </w:t>
      </w:r>
      <w:r>
        <w:rPr>
          <w:rFonts w:ascii="Arial" w:cs="Arial" w:eastAsia="Arial" w:hAnsi="Arial"/>
          <w:sz w:val="15"/>
          <w:szCs w:val="15"/>
          <w:color w:val="auto"/>
        </w:rPr>
        <w:t>Tenant will use the Premises for</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business operation</w:t>
      </w:r>
      <w:r>
        <w:rPr>
          <w:rFonts w:ascii="Arial" w:cs="Arial" w:eastAsia="Arial" w:hAnsi="Arial"/>
          <w:sz w:val="15"/>
          <w:szCs w:val="15"/>
          <w:b w:val="1"/>
          <w:bCs w:val="1"/>
          <w:color w:val="auto"/>
        </w:rPr>
        <w:t xml:space="preserve"> </w:t>
      </w:r>
      <w:r>
        <w:rPr>
          <w:rFonts w:ascii="Arial" w:cs="Arial" w:eastAsia="Arial" w:hAnsi="Arial"/>
          <w:sz w:val="15"/>
          <w:szCs w:val="15"/>
          <w:color w:val="auto"/>
        </w:rPr>
        <w:t>purposes only. Tenant shall not: permit more than five (5) persons per 1,000</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square feet to occupy the premises at any time; use or occupy the Building for any purpose which is unlawful or dangerous; permit the maintenance of any nuisance, disturb the quiet enjoyment for all of the Building, emit offensive odors or conditions into other portions of the Building; sell, purchase, or give away, or permit the sale, purchase or gift of food in the Building, or use any apparatus which might create undue noise or vibrations. Tenant shall not permit anything to be done which would increase any insurance rates on the Building or its contents, and if there is any increase, </w:t>
      </w:r>
      <w:r>
        <w:rPr>
          <w:rFonts w:ascii="Arial" w:cs="Arial" w:eastAsia="Arial" w:hAnsi="Arial"/>
          <w:sz w:val="15"/>
          <w:szCs w:val="15"/>
          <w:u w:val="single" w:color="auto"/>
          <w:color w:val="auto"/>
        </w:rPr>
        <w:t>Landlord must provide a written notice to the Tenant</w:t>
      </w:r>
      <w:r>
        <w:rPr>
          <w:rFonts w:ascii="Arial" w:cs="Arial" w:eastAsia="Arial" w:hAnsi="Arial"/>
          <w:sz w:val="15"/>
          <w:szCs w:val="15"/>
          <w:color w:val="auto"/>
        </w:rPr>
        <w:t xml:space="preserve"> </w:t>
      </w:r>
      <w:r>
        <w:rPr>
          <w:rFonts w:ascii="Arial" w:cs="Arial" w:eastAsia="Arial" w:hAnsi="Arial"/>
          <w:sz w:val="15"/>
          <w:szCs w:val="15"/>
          <w:u w:val="single" w:color="auto"/>
          <w:color w:val="auto"/>
        </w:rPr>
        <w:t>regarding the violation and if Tenant does not remedy the violation within ten (10) business days</w:t>
      </w:r>
      <w:r>
        <w:rPr>
          <w:rFonts w:ascii="Arial" w:cs="Arial" w:eastAsia="Arial" w:hAnsi="Arial"/>
          <w:sz w:val="15"/>
          <w:szCs w:val="15"/>
          <w:color w:val="auto"/>
        </w:rPr>
        <w:t xml:space="preserve">, then Tenant agrees to pay such increase promptly upon demand therefor by Landlord; however, any such payment shall not waive Tenant’s duty to comply with this Lease. Landlord and any agent thereof does not represent or warrant that the Premises or Building conforms to applicable restrictions, ordinances, requirements, or other matters that may relate to Tenant’s intended use, or with respect to the presence on, in or near the Premises or Building of hazardous substances, biological matter (including, but not limited to, mold, mildew and fungi) or materials which are categorized as hazardous or toxic. Tenant accepts the Premises “as is.” </w:t>
      </w:r>
      <w:r>
        <w:rPr>
          <w:rFonts w:ascii="Arial" w:cs="Arial" w:eastAsia="Arial" w:hAnsi="Arial"/>
          <w:sz w:val="15"/>
          <w:szCs w:val="15"/>
          <w:i w:val="1"/>
          <w:iCs w:val="1"/>
          <w:color w:val="auto"/>
        </w:rPr>
        <w:t>Landlord does not make any representations as to the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suitability, condition, layout, footage, expenses or operation of the Premises, except as specifically set forth herein, and tenant expressly acknowledges that no such representations have been made. Landlord makes no other warranties, express or implied, or merchantability, marketability, or fitness, and any implied warranties are hereby expressly disclaimed. </w:t>
      </w:r>
      <w:r>
        <w:rPr>
          <w:rFonts w:ascii="Arial" w:cs="Arial" w:eastAsia="Arial" w:hAnsi="Arial"/>
          <w:sz w:val="15"/>
          <w:szCs w:val="15"/>
          <w:color w:val="auto"/>
        </w:rPr>
        <w:t>Tenant must satisfy itself that the Premises may be used as Tenant intends by independently investigating all matters</w:t>
      </w:r>
      <w:r>
        <w:rPr>
          <w:rFonts w:ascii="Arial" w:cs="Arial" w:eastAsia="Arial" w:hAnsi="Arial"/>
          <w:sz w:val="15"/>
          <w:szCs w:val="15"/>
          <w:i w:val="1"/>
          <w:iCs w:val="1"/>
          <w:color w:val="auto"/>
        </w:rPr>
        <w:t xml:space="preserve"> </w:t>
      </w:r>
      <w:r>
        <w:rPr>
          <w:rFonts w:ascii="Arial" w:cs="Arial" w:eastAsia="Arial" w:hAnsi="Arial"/>
          <w:sz w:val="15"/>
          <w:szCs w:val="15"/>
          <w:color w:val="auto"/>
        </w:rPr>
        <w:t>related to its intended use. Tenant agrees the terms of the Lease, including it’s name, may be publicized in press releases and industry publications.</w:t>
      </w:r>
    </w:p>
    <w:p>
      <w:pPr>
        <w:spacing w:after="0" w:line="157" w:lineRule="exact"/>
        <w:rPr>
          <w:rFonts w:ascii="Arial" w:cs="Arial" w:eastAsia="Arial" w:hAnsi="Arial"/>
          <w:sz w:val="15"/>
          <w:szCs w:val="15"/>
          <w:color w:val="auto"/>
        </w:rPr>
      </w:pPr>
    </w:p>
    <w:p>
      <w:pPr>
        <w:ind w:left="-5" w:right="80" w:firstLine="5"/>
        <w:spacing w:after="0" w:line="279" w:lineRule="auto"/>
        <w:tabs>
          <w:tab w:leader="none" w:pos="546" w:val="left"/>
        </w:tabs>
        <w:numPr>
          <w:ilvl w:val="0"/>
          <w:numId w:val="548"/>
        </w:numPr>
        <w:rPr>
          <w:rFonts w:ascii="Arial" w:cs="Arial" w:eastAsia="Arial" w:hAnsi="Arial"/>
          <w:sz w:val="16"/>
          <w:szCs w:val="16"/>
          <w:color w:val="auto"/>
        </w:rPr>
      </w:pPr>
      <w:r>
        <w:rPr>
          <w:rFonts w:ascii="Arial" w:cs="Arial" w:eastAsia="Arial" w:hAnsi="Arial"/>
          <w:sz w:val="16"/>
          <w:szCs w:val="16"/>
          <w:b w:val="1"/>
          <w:bCs w:val="1"/>
          <w:color w:val="auto"/>
        </w:rPr>
        <w:t>TENANT’S OBLIGATIONS</w:t>
      </w:r>
      <w:r>
        <w:rPr>
          <w:rFonts w:ascii="Arial" w:cs="Arial" w:eastAsia="Arial" w:hAnsi="Arial"/>
          <w:sz w:val="16"/>
          <w:szCs w:val="16"/>
          <w:color w:val="auto"/>
        </w:rPr>
        <w:t>. Tenant will not damage the Building and will pay the cost of repairing any damage done to the Building by Tenant or</w:t>
      </w:r>
      <w:r>
        <w:rPr>
          <w:rFonts w:ascii="Arial" w:cs="Arial" w:eastAsia="Arial" w:hAnsi="Arial"/>
          <w:sz w:val="16"/>
          <w:szCs w:val="16"/>
          <w:b w:val="1"/>
          <w:bCs w:val="1"/>
          <w:color w:val="auto"/>
        </w:rPr>
        <w:t xml:space="preserve"> </w:t>
      </w:r>
      <w:r>
        <w:rPr>
          <w:rFonts w:ascii="Arial" w:cs="Arial" w:eastAsia="Arial" w:hAnsi="Arial"/>
          <w:sz w:val="16"/>
          <w:szCs w:val="16"/>
          <w:color w:val="auto"/>
        </w:rPr>
        <w:t>Tenant’s agents, employees, or invitees. Tenant shall take good care of the Premises and keep them free of waste and nuisance. Tenant must immediately notify Landlord in writing of any water leaks, mold, electrical problems, malfunctioning lights, broken or missing locks, or any other condition that might pose a hazard to property, health, or safety. Tenant will keep the Premises and all fixtures in good condition and repair. If Tenant fails to make necessary repairs within fifteen (15) days after notice from Landlord, Landlord may, at its option, make such repairs and Tenant shall, upon demand, pay Landlord the cost thereof. At the end of the Term, Tenant shall deliver to Landlord the Premises and all improvements in good repair and condition, and all keys to the Premises in Tenant’s possession. Tenant will not make or allow to be made any alterations or physical additions in or to the Premises without prior written consent of Landlord. At the end of the Term, Tenant shall, if Landlord requires, remove all alterations, physical additions or improvements as directed by Landlord and restore the Premises to substantially the same condition as on the Commencement Date. All of Tenant’s fixtures, and any personal property not removed from the Premises at the end of the Term, shall be presumed to have been abandoned by Tenant and shall become the property of the Landlord.</w:t>
      </w:r>
    </w:p>
    <w:p>
      <w:pPr>
        <w:spacing w:after="0" w:line="168" w:lineRule="exact"/>
        <w:rPr>
          <w:rFonts w:ascii="Arial" w:cs="Arial" w:eastAsia="Arial" w:hAnsi="Arial"/>
          <w:sz w:val="16"/>
          <w:szCs w:val="16"/>
          <w:color w:val="auto"/>
        </w:rPr>
      </w:pPr>
    </w:p>
    <w:p>
      <w:pPr>
        <w:ind w:left="-5" w:firstLine="5"/>
        <w:spacing w:after="0" w:line="311" w:lineRule="auto"/>
        <w:tabs>
          <w:tab w:leader="none" w:pos="546" w:val="left"/>
        </w:tabs>
        <w:numPr>
          <w:ilvl w:val="0"/>
          <w:numId w:val="548"/>
        </w:numPr>
        <w:rPr>
          <w:rFonts w:ascii="Arial" w:cs="Arial" w:eastAsia="Arial" w:hAnsi="Arial"/>
          <w:sz w:val="15"/>
          <w:szCs w:val="15"/>
          <w:color w:val="auto"/>
        </w:rPr>
      </w:pPr>
      <w:r>
        <w:rPr>
          <w:rFonts w:ascii="Arial" w:cs="Arial" w:eastAsia="Arial" w:hAnsi="Arial"/>
          <w:sz w:val="15"/>
          <w:szCs w:val="15"/>
          <w:b w:val="1"/>
          <w:bCs w:val="1"/>
          <w:color w:val="auto"/>
        </w:rPr>
        <w:t>INDEMNITY</w:t>
      </w:r>
      <w:r>
        <w:rPr>
          <w:rFonts w:ascii="Arial" w:cs="Arial" w:eastAsia="Arial" w:hAnsi="Arial"/>
          <w:sz w:val="15"/>
          <w:szCs w:val="15"/>
          <w:color w:val="auto"/>
        </w:rPr>
        <w:t>. Landlord shall not be liable for and Tenant will defend, indemnify and hold harmless Landlord from all fines, suits, claims, demands,</w:t>
      </w:r>
      <w:r>
        <w:rPr>
          <w:rFonts w:ascii="Arial" w:cs="Arial" w:eastAsia="Arial" w:hAnsi="Arial"/>
          <w:sz w:val="15"/>
          <w:szCs w:val="15"/>
          <w:b w:val="1"/>
          <w:bCs w:val="1"/>
          <w:color w:val="auto"/>
        </w:rPr>
        <w:t xml:space="preserve"> </w:t>
      </w:r>
      <w:r>
        <w:rPr>
          <w:rFonts w:ascii="Arial" w:cs="Arial" w:eastAsia="Arial" w:hAnsi="Arial"/>
          <w:sz w:val="15"/>
          <w:szCs w:val="15"/>
          <w:color w:val="auto"/>
        </w:rPr>
        <w:t>losses, and actions, including attorney’s fees, for any injury to persons or damage to or loss of property on or about the Premises or in or about the Building caused by the Tenant, its employees, invitees, licensees, or by an other person entering the Premises or the Building under express or implied invitation of the Tenant, or arising out of Tenant’s use of Premises or Landlord’s maintenance of the Premises, or caused by fire, flood, water leaks, wind, ice, snow, hail, explosion, smoke, riot, strike, interruption of utilities, theft, burglary, robbery, assault, vandalism, other persons, environmental contaminants, or other occurrences or casualty losses.</w:t>
      </w:r>
    </w:p>
    <w:p>
      <w:pPr>
        <w:sectPr>
          <w:pgSz w:w="11900" w:h="16838" w:orient="portrait"/>
          <w:cols w:equalWidth="0" w:num="1">
            <w:col w:w="11375"/>
          </w:cols>
          <w:pgMar w:left="245" w:top="127" w:right="279" w:bottom="0" w:gutter="0" w:footer="0" w:header="0"/>
        </w:sectPr>
      </w:pPr>
    </w:p>
    <w:bookmarkStart w:id="364" w:name="page365"/>
    <w:bookmarkEnd w:id="364"/>
    <w:p>
      <w:pPr>
        <w:spacing w:after="0" w:line="33"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This provision is intended to waive any claims against Landlord and its agents for the consequences of their own negligence or fault. This waiver and indemnity obligation shall survive the termination or expiration of the Lease.</w:t>
      </w:r>
    </w:p>
    <w:p>
      <w:pPr>
        <w:spacing w:after="0" w:line="152" w:lineRule="exact"/>
        <w:rPr>
          <w:sz w:val="20"/>
          <w:szCs w:val="20"/>
          <w:color w:val="auto"/>
        </w:rPr>
      </w:pPr>
    </w:p>
    <w:p>
      <w:pPr>
        <w:ind w:right="60" w:firstLine="5"/>
        <w:spacing w:after="0" w:line="267" w:lineRule="auto"/>
        <w:tabs>
          <w:tab w:leader="none" w:pos="550" w:val="left"/>
        </w:tabs>
        <w:numPr>
          <w:ilvl w:val="0"/>
          <w:numId w:val="549"/>
        </w:numPr>
        <w:rPr>
          <w:rFonts w:ascii="Arial" w:cs="Arial" w:eastAsia="Arial" w:hAnsi="Arial"/>
          <w:sz w:val="17"/>
          <w:szCs w:val="17"/>
          <w:color w:val="auto"/>
        </w:rPr>
      </w:pPr>
      <w:r>
        <w:rPr>
          <w:rFonts w:ascii="Arial" w:cs="Arial" w:eastAsia="Arial" w:hAnsi="Arial"/>
          <w:sz w:val="17"/>
          <w:szCs w:val="17"/>
          <w:b w:val="1"/>
          <w:bCs w:val="1"/>
          <w:color w:val="auto"/>
        </w:rPr>
        <w:t xml:space="preserve">MORTGAGES. </w:t>
      </w:r>
      <w:r>
        <w:rPr>
          <w:rFonts w:ascii="Arial" w:cs="Arial" w:eastAsia="Arial" w:hAnsi="Arial"/>
          <w:sz w:val="17"/>
          <w:szCs w:val="17"/>
          <w:color w:val="auto"/>
        </w:rPr>
        <w:t>Tenant accepts this Lease subordinate to any deeds of trust, mortgages or other security interests which might now or hereafter constitute</w:t>
      </w:r>
      <w:r>
        <w:rPr>
          <w:rFonts w:ascii="Arial" w:cs="Arial" w:eastAsia="Arial" w:hAnsi="Arial"/>
          <w:sz w:val="17"/>
          <w:szCs w:val="17"/>
          <w:b w:val="1"/>
          <w:bCs w:val="1"/>
          <w:color w:val="auto"/>
        </w:rPr>
        <w:t xml:space="preserve"> </w:t>
      </w:r>
      <w:r>
        <w:rPr>
          <w:rFonts w:ascii="Arial" w:cs="Arial" w:eastAsia="Arial" w:hAnsi="Arial"/>
          <w:sz w:val="17"/>
          <w:szCs w:val="17"/>
          <w:color w:val="auto"/>
        </w:rPr>
        <w:t>a lien upon the Building or the Premises, and shall attorn to the lender thereunder, with such attornment to be effective upon lender’s acquisition of the Building. Furthermore, such lender, as successor landlord, shall not be liable for any act, omission or obligation of any prior landlord, and lender shall have the option to reject such attornment. Tenant shall, immediately upon request, execute such documents, including estoppel letters, as may be required for the purposes of subordinating or verifying this Lease.</w:t>
      </w:r>
    </w:p>
    <w:p>
      <w:pPr>
        <w:spacing w:after="0" w:line="171" w:lineRule="exact"/>
        <w:rPr>
          <w:rFonts w:ascii="Arial" w:cs="Arial" w:eastAsia="Arial" w:hAnsi="Arial"/>
          <w:sz w:val="17"/>
          <w:szCs w:val="17"/>
          <w:color w:val="auto"/>
        </w:rPr>
      </w:pPr>
    </w:p>
    <w:p>
      <w:pPr>
        <w:ind w:right="20" w:firstLine="5"/>
        <w:spacing w:after="0" w:line="280" w:lineRule="auto"/>
        <w:tabs>
          <w:tab w:leader="none" w:pos="625" w:val="left"/>
        </w:tabs>
        <w:numPr>
          <w:ilvl w:val="0"/>
          <w:numId w:val="549"/>
        </w:numPr>
        <w:rPr>
          <w:rFonts w:ascii="Arial" w:cs="Arial" w:eastAsia="Arial" w:hAnsi="Arial"/>
          <w:sz w:val="16"/>
          <w:szCs w:val="16"/>
          <w:color w:val="auto"/>
        </w:rPr>
      </w:pPr>
      <w:r>
        <w:rPr>
          <w:rFonts w:ascii="Arial" w:cs="Arial" w:eastAsia="Arial" w:hAnsi="Arial"/>
          <w:sz w:val="16"/>
          <w:szCs w:val="16"/>
          <w:b w:val="1"/>
          <w:bCs w:val="1"/>
          <w:color w:val="auto"/>
        </w:rPr>
        <w:t xml:space="preserve">ASSIGNMENT; SUBLEASING. </w:t>
      </w:r>
      <w:r>
        <w:rPr>
          <w:rFonts w:ascii="Arial" w:cs="Arial" w:eastAsia="Arial" w:hAnsi="Arial"/>
          <w:sz w:val="16"/>
          <w:szCs w:val="16"/>
          <w:color w:val="auto"/>
        </w:rPr>
        <w:t>Tenant shall not assign this Lease by operation of law or otherwise (including without limitation by transfer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merger, or dissolution), mortgage or pledge the same, or sublet the Premises or any part thereof, without prior written consent of Landlord, which Landlord may grant or deny in its sole discretion. Landlord’s consent to an assignment or subletting shall not release Tenant from any obligation hereunder, and Landlord’s consent shall be required for any subsequent assignment or subletting. If Tenant desires to assign or sublet the Premises, it shall so notify Landlord at least sixty (60) days in advance, and shall provide Landlord with a copy of the proposed assignment or sublease and any additional information requested to allow Landlord to make informed judgments as to the proposed transferee. After receipt of notice, Landlord may elect to: (i) Cancel the Lease as to the Premises or portion thereof proposed to be assigned or sublet; or (ii) Consent to the proposed assignment or sublease; and if the Rent and other consideration payable in respect thereof exceeds the Rent payable hereunder, Tenant shall pay to Landlord such excess within ten (10) days following receipt thereof by Tenant: or (iii) Withhold its consent, which shall be deemed to be elected unless Landlord gives Tenant written notice otherwise.</w:t>
      </w:r>
    </w:p>
    <w:p>
      <w:pPr>
        <w:spacing w:after="0" w:line="165" w:lineRule="exact"/>
        <w:rPr>
          <w:rFonts w:ascii="Arial" w:cs="Arial" w:eastAsia="Arial" w:hAnsi="Arial"/>
          <w:sz w:val="16"/>
          <w:szCs w:val="16"/>
          <w:color w:val="auto"/>
        </w:rPr>
      </w:pPr>
    </w:p>
    <w:p>
      <w:pPr>
        <w:ind w:right="60" w:firstLine="5"/>
        <w:spacing w:after="0" w:line="330" w:lineRule="auto"/>
        <w:tabs>
          <w:tab w:leader="none" w:pos="540" w:val="left"/>
        </w:tabs>
        <w:numPr>
          <w:ilvl w:val="0"/>
          <w:numId w:val="549"/>
        </w:numPr>
        <w:rPr>
          <w:rFonts w:ascii="Arial" w:cs="Arial" w:eastAsia="Arial" w:hAnsi="Arial"/>
          <w:sz w:val="16"/>
          <w:szCs w:val="16"/>
          <w:color w:val="auto"/>
        </w:rPr>
      </w:pPr>
      <w:r>
        <w:rPr>
          <w:rFonts w:ascii="Arial" w:cs="Arial" w:eastAsia="Arial" w:hAnsi="Arial"/>
          <w:sz w:val="16"/>
          <w:szCs w:val="16"/>
          <w:b w:val="1"/>
          <w:bCs w:val="1"/>
          <w:color w:val="auto"/>
        </w:rPr>
        <w:t xml:space="preserve">EMINENT DOMAIN. </w:t>
      </w:r>
      <w:r>
        <w:rPr>
          <w:rFonts w:ascii="Arial" w:cs="Arial" w:eastAsia="Arial" w:hAnsi="Arial"/>
          <w:sz w:val="16"/>
          <w:szCs w:val="16"/>
          <w:color w:val="auto"/>
        </w:rPr>
        <w:t>If the Premises are taken or condemned in whole or in part for public purposes or are sold under threat of condemnation,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may terminate this Lease. Landlord shall be entitled to receive the entire award of any condemnation or the proceeds of any sale in lieu thereof.</w:t>
      </w:r>
    </w:p>
    <w:p>
      <w:pPr>
        <w:spacing w:after="0" w:line="123" w:lineRule="exact"/>
        <w:rPr>
          <w:rFonts w:ascii="Arial" w:cs="Arial" w:eastAsia="Arial" w:hAnsi="Arial"/>
          <w:sz w:val="16"/>
          <w:szCs w:val="16"/>
          <w:color w:val="auto"/>
        </w:rPr>
      </w:pPr>
    </w:p>
    <w:p>
      <w:pPr>
        <w:ind w:right="120" w:firstLine="5"/>
        <w:spacing w:after="0" w:line="283" w:lineRule="auto"/>
        <w:tabs>
          <w:tab w:leader="none" w:pos="546" w:val="left"/>
        </w:tabs>
        <w:numPr>
          <w:ilvl w:val="0"/>
          <w:numId w:val="549"/>
        </w:numPr>
        <w:rPr>
          <w:rFonts w:ascii="Arial" w:cs="Arial" w:eastAsia="Arial" w:hAnsi="Arial"/>
          <w:sz w:val="16"/>
          <w:szCs w:val="16"/>
          <w:color w:val="auto"/>
        </w:rPr>
      </w:pPr>
      <w:r>
        <w:rPr>
          <w:rFonts w:ascii="Arial" w:cs="Arial" w:eastAsia="Arial" w:hAnsi="Arial"/>
          <w:sz w:val="16"/>
          <w:szCs w:val="16"/>
          <w:b w:val="1"/>
          <w:bCs w:val="1"/>
          <w:color w:val="auto"/>
        </w:rPr>
        <w:t>ACCESS</w:t>
      </w:r>
      <w:r>
        <w:rPr>
          <w:rFonts w:ascii="Arial" w:cs="Arial" w:eastAsia="Arial" w:hAnsi="Arial"/>
          <w:sz w:val="16"/>
          <w:szCs w:val="16"/>
          <w:color w:val="auto"/>
        </w:rPr>
        <w:t>. Landlord and its agents may, at any time, enter the Premises to: inspect, supply janitorial or other services; show the Premises to prospective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lenders, purchasers or tenants; alter, improve, or repair the Premises or the Building (including erecting scaffolding and other necessary structures where reasonably required by the character of the work to be performed, provided the business of Tenant shall be interfered with as little as is reasonably practicable). Tenant waives any claim for damages for any injury or inconvenience to or interference with Tenant’s business, any loss of occupancy or quiet enjoyment of the Premises, or any other loss occasioned by Landlord’s entry into the Premises in accordance with this Section 12. Landlord shall at all times have a key to the Premises. Landlord may use any means which it deems proper to open any door in an emergency without liability therefor. Landlord reserves the right to prevent access to or close the Building as determined by Landlord for the protection of the Building, its tenants, and visitors.</w:t>
      </w:r>
    </w:p>
    <w:p>
      <w:pPr>
        <w:spacing w:after="0" w:line="159" w:lineRule="exact"/>
        <w:rPr>
          <w:rFonts w:ascii="Arial" w:cs="Arial" w:eastAsia="Arial" w:hAnsi="Arial"/>
          <w:sz w:val="16"/>
          <w:szCs w:val="16"/>
          <w:color w:val="auto"/>
        </w:rPr>
      </w:pPr>
    </w:p>
    <w:p>
      <w:pPr>
        <w:jc w:val="both"/>
        <w:ind w:right="20" w:firstLine="5"/>
        <w:spacing w:after="0" w:line="285" w:lineRule="auto"/>
        <w:tabs>
          <w:tab w:leader="none" w:pos="546" w:val="left"/>
        </w:tabs>
        <w:numPr>
          <w:ilvl w:val="0"/>
          <w:numId w:val="549"/>
        </w:numPr>
        <w:rPr>
          <w:rFonts w:ascii="Arial" w:cs="Arial" w:eastAsia="Arial" w:hAnsi="Arial"/>
          <w:sz w:val="16"/>
          <w:szCs w:val="16"/>
          <w:color w:val="auto"/>
        </w:rPr>
      </w:pPr>
      <w:r>
        <w:rPr>
          <w:rFonts w:ascii="Arial" w:cs="Arial" w:eastAsia="Arial" w:hAnsi="Arial"/>
          <w:sz w:val="16"/>
          <w:szCs w:val="16"/>
          <w:b w:val="1"/>
          <w:bCs w:val="1"/>
          <w:color w:val="auto"/>
        </w:rPr>
        <w:t xml:space="preserve">CASUALTY. </w:t>
      </w:r>
      <w:r>
        <w:rPr>
          <w:rFonts w:ascii="Arial" w:cs="Arial" w:eastAsia="Arial" w:hAnsi="Arial"/>
          <w:sz w:val="16"/>
          <w:szCs w:val="16"/>
          <w:color w:val="auto"/>
        </w:rPr>
        <w:t>If the Building should be totally destroyed by casualty or if the Premises or the Building be so damaged that Landlord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or Tenant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determines that repairs cannot be completed within one hundred twenty (120) days after the date of such damage, Landlord </w:t>
      </w:r>
      <w:r>
        <w:rPr>
          <w:rFonts w:ascii="Arial" w:cs="Arial" w:eastAsia="Arial" w:hAnsi="Arial"/>
          <w:sz w:val="16"/>
          <w:szCs w:val="16"/>
          <w:u w:val="single" w:color="auto"/>
          <w:color w:val="auto"/>
        </w:rPr>
        <w:t>or Tenant</w:t>
      </w:r>
      <w:r>
        <w:rPr>
          <w:rFonts w:ascii="Arial" w:cs="Arial" w:eastAsia="Arial" w:hAnsi="Arial"/>
          <w:sz w:val="16"/>
          <w:szCs w:val="16"/>
          <w:color w:val="auto"/>
        </w:rPr>
        <w:t xml:space="preserve"> may terminate this Lease. </w:t>
      </w:r>
      <w:r>
        <w:rPr>
          <w:rFonts w:ascii="Arial" w:cs="Arial" w:eastAsia="Arial" w:hAnsi="Arial"/>
          <w:sz w:val="16"/>
          <w:szCs w:val="16"/>
          <w:u w:val="single" w:color="auto"/>
          <w:color w:val="auto"/>
        </w:rPr>
        <w:t>In</w:t>
      </w:r>
      <w:r>
        <w:rPr>
          <w:rFonts w:ascii="Arial" w:cs="Arial" w:eastAsia="Arial" w:hAnsi="Arial"/>
          <w:sz w:val="16"/>
          <w:szCs w:val="16"/>
          <w:color w:val="auto"/>
        </w:rPr>
        <w:t xml:space="preserve"> </w:t>
      </w:r>
      <w:r>
        <w:rPr>
          <w:rFonts w:ascii="Arial" w:cs="Arial" w:eastAsia="Arial" w:hAnsi="Arial"/>
          <w:sz w:val="16"/>
          <w:szCs w:val="16"/>
          <w:u w:val="single" w:color="auto"/>
          <w:color w:val="auto"/>
        </w:rPr>
        <w:t>addition, if in Landlord’s reasonable discretion, Tenant is unable to substantially occupy and use the Premised due to such damage, destruction, casualty, or repair, Tenant will not be obligated to pay any Rent during such period of destruction or casualty or repair.</w:t>
      </w:r>
      <w:r>
        <w:rPr>
          <w:rFonts w:ascii="Arial" w:cs="Arial" w:eastAsia="Arial" w:hAnsi="Arial"/>
          <w:sz w:val="16"/>
          <w:szCs w:val="16"/>
          <w:color w:val="auto"/>
        </w:rPr>
        <w:t xml:space="preserve"> Landlord shall not be required to rebuild, repair, or replace any part of the furniture, equipment, fixtures, and other improvements which may have been placed by Tenant in the Premises. Any insurance which may be carried by Landlord or Tenant against loss or damage to the Building or the Premises shall be for the sole benefit of the party carrying such insurance.</w:t>
      </w:r>
    </w:p>
    <w:p>
      <w:pPr>
        <w:spacing w:after="0" w:line="157" w:lineRule="exact"/>
        <w:rPr>
          <w:rFonts w:ascii="Arial" w:cs="Arial" w:eastAsia="Arial" w:hAnsi="Arial"/>
          <w:sz w:val="16"/>
          <w:szCs w:val="16"/>
          <w:color w:val="auto"/>
        </w:rPr>
      </w:pPr>
    </w:p>
    <w:p>
      <w:pPr>
        <w:ind w:firstLine="5"/>
        <w:spacing w:after="0" w:line="264" w:lineRule="auto"/>
        <w:tabs>
          <w:tab w:leader="none" w:pos="546" w:val="left"/>
        </w:tabs>
        <w:numPr>
          <w:ilvl w:val="0"/>
          <w:numId w:val="549"/>
        </w:numPr>
        <w:rPr>
          <w:rFonts w:ascii="Arial" w:cs="Arial" w:eastAsia="Arial" w:hAnsi="Arial"/>
          <w:sz w:val="17"/>
          <w:szCs w:val="17"/>
          <w:color w:val="auto"/>
        </w:rPr>
      </w:pPr>
      <w:r>
        <w:rPr>
          <w:rFonts w:ascii="Arial" w:cs="Arial" w:eastAsia="Arial" w:hAnsi="Arial"/>
          <w:sz w:val="17"/>
          <w:szCs w:val="17"/>
          <w:b w:val="1"/>
          <w:bCs w:val="1"/>
          <w:color w:val="auto"/>
        </w:rPr>
        <w:t>WAIVER OF SUBROGATION. Tenant waives every claim that arises or may arise in its favor against the Landlord or any other tenant of the Building during the Term, for any injury to or death of any person or any loss of or damage to any of Tenant’s property located within or upon or constituting a part of the Premises, to the extent such injury, death, loss or damage is or could be covered by any insurance policies, whether or not such loss or damage is recoverable thereunder. This waiver shall be in addition to, and not in limitation of, any other waiver or release contained in this Lease. Tenant shall give to each insurance company, which has issued to it any insurance policy covering the Premises or Tenant’s operations, written notice of this waiver and have its insurance policies endorsed, if necessary, to prevent their invalidation by reason of this waiver. This waiver obligation shall survive the termination or expiration of the Lease.</w:t>
      </w:r>
    </w:p>
    <w:p>
      <w:pPr>
        <w:spacing w:after="0" w:line="172" w:lineRule="exact"/>
        <w:rPr>
          <w:rFonts w:ascii="Arial" w:cs="Arial" w:eastAsia="Arial" w:hAnsi="Arial"/>
          <w:sz w:val="17"/>
          <w:szCs w:val="17"/>
          <w:color w:val="auto"/>
        </w:rPr>
      </w:pPr>
    </w:p>
    <w:p>
      <w:pPr>
        <w:ind w:right="160" w:firstLine="5"/>
        <w:spacing w:after="0" w:line="270" w:lineRule="auto"/>
        <w:tabs>
          <w:tab w:leader="none" w:pos="546" w:val="left"/>
        </w:tabs>
        <w:numPr>
          <w:ilvl w:val="0"/>
          <w:numId w:val="549"/>
        </w:numPr>
        <w:rPr>
          <w:rFonts w:ascii="Arial" w:cs="Arial" w:eastAsia="Arial" w:hAnsi="Arial"/>
          <w:sz w:val="17"/>
          <w:szCs w:val="17"/>
          <w:color w:val="auto"/>
        </w:rPr>
      </w:pPr>
      <w:r>
        <w:rPr>
          <w:rFonts w:ascii="Arial" w:cs="Arial" w:eastAsia="Arial" w:hAnsi="Arial"/>
          <w:sz w:val="17"/>
          <w:szCs w:val="17"/>
          <w:b w:val="1"/>
          <w:bCs w:val="1"/>
          <w:color w:val="auto"/>
        </w:rPr>
        <w:t xml:space="preserve">HOLDING OVER. </w:t>
      </w:r>
      <w:r>
        <w:rPr>
          <w:rFonts w:ascii="Arial" w:cs="Arial" w:eastAsia="Arial" w:hAnsi="Arial"/>
          <w:sz w:val="17"/>
          <w:szCs w:val="17"/>
          <w:color w:val="auto"/>
        </w:rPr>
        <w:t>If Tenant fails to vacate at the end of the Term, then Tenant shall be a tenant at will and subject to all terms and conditions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in addition to all other damages and remedies to which Landlord may be entitled, Tenant shall pay, in addition to the other Rent, a daily Basic Rent, payable in full in advance each month, equal to the greater of: (a) twice the Basic Rent payable during the last month of the Term, or (b) the prevailing rental rate in the Building for similar space.</w:t>
      </w:r>
    </w:p>
    <w:p>
      <w:pPr>
        <w:spacing w:after="0" w:line="169" w:lineRule="exact"/>
        <w:rPr>
          <w:rFonts w:ascii="Arial" w:cs="Arial" w:eastAsia="Arial" w:hAnsi="Arial"/>
          <w:sz w:val="17"/>
          <w:szCs w:val="17"/>
          <w:color w:val="auto"/>
        </w:rPr>
      </w:pPr>
    </w:p>
    <w:p>
      <w:pPr>
        <w:jc w:val="both"/>
        <w:ind w:right="20" w:firstLine="5"/>
        <w:spacing w:after="0" w:line="302" w:lineRule="auto"/>
        <w:tabs>
          <w:tab w:leader="none" w:pos="546" w:val="left"/>
        </w:tabs>
        <w:numPr>
          <w:ilvl w:val="0"/>
          <w:numId w:val="549"/>
        </w:numPr>
        <w:rPr>
          <w:rFonts w:ascii="Arial" w:cs="Arial" w:eastAsia="Arial" w:hAnsi="Arial"/>
          <w:sz w:val="16"/>
          <w:szCs w:val="16"/>
          <w:color w:val="auto"/>
        </w:rPr>
      </w:pPr>
      <w:r>
        <w:rPr>
          <w:rFonts w:ascii="Arial" w:cs="Arial" w:eastAsia="Arial" w:hAnsi="Arial"/>
          <w:sz w:val="16"/>
          <w:szCs w:val="16"/>
          <w:b w:val="1"/>
          <w:bCs w:val="1"/>
          <w:color w:val="auto"/>
        </w:rPr>
        <w:t xml:space="preserve">TAXES ON TENANT’S PROPERTY. </w:t>
      </w:r>
      <w:r>
        <w:rPr>
          <w:rFonts w:ascii="Arial" w:cs="Arial" w:eastAsia="Arial" w:hAnsi="Arial"/>
          <w:sz w:val="16"/>
          <w:szCs w:val="16"/>
          <w:color w:val="auto"/>
        </w:rPr>
        <w:t>Tenant shall be liable for all taxes levied or assessed against personal property or fixtures placed by Tenant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If any such taxes are assessed against Landlord or Landlord’s property, Landlord may pay the same, and Tenant shall upon demand, reimburse Landlord therefor. Any claim arising against Tenant by Landlord under this provision shall be assessed interest at fifteen percent (15%) per year until satisfied.</w:t>
      </w:r>
    </w:p>
    <w:p>
      <w:pPr>
        <w:spacing w:after="0" w:line="144" w:lineRule="exact"/>
        <w:rPr>
          <w:rFonts w:ascii="Arial" w:cs="Arial" w:eastAsia="Arial" w:hAnsi="Arial"/>
          <w:sz w:val="16"/>
          <w:szCs w:val="16"/>
          <w:color w:val="auto"/>
        </w:rPr>
      </w:pPr>
    </w:p>
    <w:p>
      <w:pPr>
        <w:ind w:right="20" w:firstLine="5"/>
        <w:spacing w:after="0" w:line="261" w:lineRule="auto"/>
        <w:tabs>
          <w:tab w:leader="none" w:pos="546" w:val="left"/>
        </w:tabs>
        <w:numPr>
          <w:ilvl w:val="0"/>
          <w:numId w:val="549"/>
        </w:numPr>
        <w:rPr>
          <w:rFonts w:ascii="Arial" w:cs="Arial" w:eastAsia="Arial" w:hAnsi="Arial"/>
          <w:sz w:val="17"/>
          <w:szCs w:val="17"/>
          <w:color w:val="auto"/>
        </w:rPr>
      </w:pPr>
      <w:r>
        <w:rPr>
          <w:rFonts w:ascii="Arial" w:cs="Arial" w:eastAsia="Arial" w:hAnsi="Arial"/>
          <w:sz w:val="17"/>
          <w:szCs w:val="17"/>
          <w:b w:val="1"/>
          <w:bCs w:val="1"/>
          <w:color w:val="auto"/>
        </w:rPr>
        <w:t xml:space="preserve">LANDLORDS LIEN. </w:t>
      </w:r>
      <w:r>
        <w:rPr>
          <w:rFonts w:ascii="Arial" w:cs="Arial" w:eastAsia="Arial" w:hAnsi="Arial"/>
          <w:sz w:val="17"/>
          <w:szCs w:val="17"/>
          <w:color w:val="auto"/>
        </w:rPr>
        <w:t>In addition to any statutory Landlord’s lien, Tenant grants to Landlord a security interest to secure payment of all Rent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performance of all of Tenant’s other obligations hereunder, in all equipment, furniture, fixtures, improvements and other personal property located in or on the Premises, and all proceeds therefrom. Such property shall not be removed from the Premises without Landlord’s written consent until all Rent due and all Tenant’s other obligations have been performed. In addition to any other remedies, upon an Event of Default, Landlord may exercise the rights afforded a secured party under the Uniform Commercial Code Secured Transactions for the state in which the Building is located. Tenant grants to Landlord a power of attorney to execute and file financing statements and continuation statements necessary to perfect Landlord’s security interest, which power is coupled with an interest and shall be irrevocable during the Term. Any property left in the Premises at the time of a default, or termination of the Lease for whatever reason, shall be deemed abandoned, and after thirty (30) days from default or termination, the Landlord and its representative may dispose of it by any means they deem appropriate without notice to Tenant. </w:t>
      </w:r>
      <w:r>
        <w:rPr>
          <w:rFonts w:ascii="Arial" w:cs="Arial" w:eastAsia="Arial" w:hAnsi="Arial"/>
          <w:sz w:val="17"/>
          <w:szCs w:val="17"/>
          <w:u w:val="single" w:color="auto"/>
          <w:color w:val="auto"/>
        </w:rPr>
        <w:t>Upon Tenant’s request, Landlord will execute its standard form of Landlord’s waiver and consent form in favor of a third party, arm’s</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length lender to Tenant.</w:t>
      </w:r>
    </w:p>
    <w:p>
      <w:pPr>
        <w:spacing w:after="0" w:line="181" w:lineRule="exact"/>
        <w:rPr>
          <w:rFonts w:ascii="Arial" w:cs="Arial" w:eastAsia="Arial" w:hAnsi="Arial"/>
          <w:sz w:val="17"/>
          <w:szCs w:val="17"/>
          <w:color w:val="auto"/>
        </w:rPr>
      </w:pPr>
    </w:p>
    <w:p>
      <w:pPr>
        <w:ind w:right="60" w:firstLine="5"/>
        <w:spacing w:after="0" w:line="292" w:lineRule="auto"/>
        <w:tabs>
          <w:tab w:leader="none" w:pos="546" w:val="left"/>
        </w:tabs>
        <w:numPr>
          <w:ilvl w:val="0"/>
          <w:numId w:val="549"/>
        </w:numPr>
        <w:rPr>
          <w:rFonts w:ascii="Arial" w:cs="Arial" w:eastAsia="Arial" w:hAnsi="Arial"/>
          <w:sz w:val="16"/>
          <w:szCs w:val="16"/>
          <w:color w:val="auto"/>
        </w:rPr>
      </w:pPr>
      <w:r>
        <w:rPr>
          <w:rFonts w:ascii="Arial" w:cs="Arial" w:eastAsia="Arial" w:hAnsi="Arial"/>
          <w:sz w:val="16"/>
          <w:szCs w:val="16"/>
          <w:b w:val="1"/>
          <w:bCs w:val="1"/>
          <w:color w:val="auto"/>
        </w:rPr>
        <w:t xml:space="preserve">MECHANIC’S LIENS. </w:t>
      </w:r>
      <w:r>
        <w:rPr>
          <w:rFonts w:ascii="Arial" w:cs="Arial" w:eastAsia="Arial" w:hAnsi="Arial"/>
          <w:sz w:val="16"/>
          <w:szCs w:val="16"/>
          <w:color w:val="auto"/>
        </w:rPr>
        <w:t>Tenant shall not permit any mechanic’s or other liens to be filed against the Premises or the Building for any work performed,</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furnished or obligation incurred by or at the request of Tenant. Tenant shall, within ten (10) days following the imposition of any such lien, cause it to be released of record by payment or posting of a proper bond, failing which Landlord may cause it to be released, and Tenant shall immediately reimburse Landlord for all costs incurred in connection therewith. The Tenant’s obligations under this section shall survive any termination of or default under the Lease.</w:t>
      </w:r>
    </w:p>
    <w:p>
      <w:pPr>
        <w:spacing w:after="0" w:line="153" w:lineRule="exact"/>
        <w:rPr>
          <w:rFonts w:ascii="Arial" w:cs="Arial" w:eastAsia="Arial" w:hAnsi="Arial"/>
          <w:sz w:val="16"/>
          <w:szCs w:val="16"/>
          <w:color w:val="auto"/>
        </w:rPr>
      </w:pPr>
    </w:p>
    <w:p>
      <w:pPr>
        <w:ind w:left="560" w:hanging="555"/>
        <w:spacing w:after="0"/>
        <w:tabs>
          <w:tab w:leader="none" w:pos="560" w:val="left"/>
        </w:tabs>
        <w:numPr>
          <w:ilvl w:val="0"/>
          <w:numId w:val="549"/>
        </w:numPr>
        <w:rPr>
          <w:rFonts w:ascii="Arial" w:cs="Arial" w:eastAsia="Arial" w:hAnsi="Arial"/>
          <w:sz w:val="17"/>
          <w:szCs w:val="17"/>
          <w:color w:val="auto"/>
        </w:rPr>
      </w:pPr>
      <w:r>
        <w:rPr>
          <w:rFonts w:ascii="Arial" w:cs="Arial" w:eastAsia="Arial" w:hAnsi="Arial"/>
          <w:sz w:val="17"/>
          <w:szCs w:val="17"/>
          <w:b w:val="1"/>
          <w:bCs w:val="1"/>
          <w:color w:val="auto"/>
        </w:rPr>
        <w:t>EVENTS OF DEFAULT</w:t>
      </w:r>
      <w:r>
        <w:rPr>
          <w:rFonts w:ascii="Arial" w:cs="Arial" w:eastAsia="Arial" w:hAnsi="Arial"/>
          <w:sz w:val="17"/>
          <w:szCs w:val="17"/>
          <w:color w:val="auto"/>
        </w:rPr>
        <w:t>. Any of the following shall constitute an event of default (“Event of Default”) hereunder:</w:t>
      </w:r>
    </w:p>
    <w:p>
      <w:pPr>
        <w:spacing w:after="0" w:line="230" w:lineRule="exact"/>
        <w:rPr>
          <w:rFonts w:ascii="Arial" w:cs="Arial" w:eastAsia="Arial" w:hAnsi="Arial"/>
          <w:sz w:val="17"/>
          <w:szCs w:val="17"/>
          <w:color w:val="auto"/>
        </w:rPr>
      </w:pPr>
    </w:p>
    <w:p>
      <w:pPr>
        <w:ind w:left="640" w:hanging="530"/>
        <w:spacing w:after="0"/>
        <w:tabs>
          <w:tab w:leader="none" w:pos="640" w:val="left"/>
        </w:tabs>
        <w:numPr>
          <w:ilvl w:val="1"/>
          <w:numId w:val="549"/>
        </w:numPr>
        <w:rPr>
          <w:rFonts w:ascii="Arial" w:cs="Arial" w:eastAsia="Arial" w:hAnsi="Arial"/>
          <w:sz w:val="17"/>
          <w:szCs w:val="17"/>
          <w:color w:val="auto"/>
        </w:rPr>
      </w:pPr>
      <w:r>
        <w:rPr>
          <w:rFonts w:ascii="Arial" w:cs="Arial" w:eastAsia="Arial" w:hAnsi="Arial"/>
          <w:sz w:val="17"/>
          <w:szCs w:val="17"/>
          <w:color w:val="auto"/>
        </w:rPr>
        <w:t>Any failure by Tenant to pay the Rent when due. Landlord shall not be required to provide Tenant with notice of failure to pay Rent.</w:t>
      </w:r>
    </w:p>
    <w:p>
      <w:pPr>
        <w:spacing w:after="0" w:line="224" w:lineRule="exact"/>
        <w:rPr>
          <w:rFonts w:ascii="Arial" w:cs="Arial" w:eastAsia="Arial" w:hAnsi="Arial"/>
          <w:sz w:val="17"/>
          <w:szCs w:val="17"/>
          <w:color w:val="auto"/>
        </w:rPr>
      </w:pPr>
    </w:p>
    <w:p>
      <w:pPr>
        <w:jc w:val="both"/>
        <w:ind w:right="140" w:firstLine="110"/>
        <w:spacing w:after="0" w:line="273" w:lineRule="auto"/>
        <w:tabs>
          <w:tab w:leader="none" w:pos="636" w:val="left"/>
        </w:tabs>
        <w:numPr>
          <w:ilvl w:val="1"/>
          <w:numId w:val="549"/>
        </w:numPr>
        <w:rPr>
          <w:rFonts w:ascii="Arial" w:cs="Arial" w:eastAsia="Arial" w:hAnsi="Arial"/>
          <w:sz w:val="17"/>
          <w:szCs w:val="17"/>
          <w:color w:val="auto"/>
        </w:rPr>
      </w:pPr>
      <w:r>
        <w:rPr>
          <w:rFonts w:ascii="Arial" w:cs="Arial" w:eastAsia="Arial" w:hAnsi="Arial"/>
          <w:sz w:val="17"/>
          <w:szCs w:val="17"/>
          <w:color w:val="auto"/>
        </w:rPr>
        <w:t>Any failure by Tenant to observe and perform any provision of this Lease, other than the payment of Rent, that continues for five (5) days after notice to Tenant; however, an Event of Default shall occur hereunder without any obligation of Landlord to give any notice if Landlord has given Tenant notice under this Section 19. (b) on at least one occasion during the twelve (12) month interval preceding such failure by Tenant.</w:t>
      </w:r>
    </w:p>
    <w:p>
      <w:pPr>
        <w:spacing w:after="0" w:line="171" w:lineRule="exact"/>
        <w:rPr>
          <w:rFonts w:ascii="Arial" w:cs="Arial" w:eastAsia="Arial" w:hAnsi="Arial"/>
          <w:sz w:val="17"/>
          <w:szCs w:val="17"/>
          <w:color w:val="auto"/>
        </w:rPr>
      </w:pPr>
    </w:p>
    <w:p>
      <w:pPr>
        <w:ind w:left="640" w:hanging="530"/>
        <w:spacing w:after="0"/>
        <w:tabs>
          <w:tab w:leader="none" w:pos="640" w:val="left"/>
        </w:tabs>
        <w:numPr>
          <w:ilvl w:val="1"/>
          <w:numId w:val="549"/>
        </w:numPr>
        <w:rPr>
          <w:rFonts w:ascii="Arial" w:cs="Arial" w:eastAsia="Arial" w:hAnsi="Arial"/>
          <w:sz w:val="16"/>
          <w:szCs w:val="16"/>
          <w:color w:val="auto"/>
        </w:rPr>
      </w:pPr>
      <w:r>
        <w:rPr>
          <w:rFonts w:ascii="Arial" w:cs="Arial" w:eastAsia="Arial" w:hAnsi="Arial"/>
          <w:sz w:val="16"/>
          <w:szCs w:val="16"/>
          <w:color w:val="auto"/>
        </w:rPr>
        <w:t>Tenant or any guarantor of Tenant’s obligations hereunder: (1) being unable to meet its obligations as they become due, or being declared insolvent</w:t>
      </w:r>
    </w:p>
    <w:p>
      <w:pPr>
        <w:sectPr>
          <w:pgSz w:w="11900" w:h="16872" w:orient="portrait"/>
          <w:cols w:equalWidth="0" w:num="1">
            <w:col w:w="11420"/>
          </w:cols>
          <w:pgMar w:left="240" w:top="127" w:right="239" w:bottom="0" w:gutter="0" w:footer="0" w:header="0"/>
        </w:sectPr>
      </w:pPr>
    </w:p>
    <w:bookmarkStart w:id="365" w:name="page366"/>
    <w:bookmarkEnd w:id="365"/>
    <w:p>
      <w:pPr>
        <w:jc w:val="center"/>
        <w:ind w:left="10040"/>
        <w:spacing w:after="0"/>
        <w:rPr>
          <w:sz w:val="20"/>
          <w:szCs w:val="20"/>
          <w:color w:val="auto"/>
        </w:rPr>
      </w:pPr>
      <w:r>
        <w:rPr>
          <w:rFonts w:ascii="Arial" w:cs="Arial" w:eastAsia="Arial" w:hAnsi="Arial"/>
          <w:sz w:val="17"/>
          <w:szCs w:val="17"/>
          <w:color w:val="auto"/>
        </w:rPr>
        <w:t>CHL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6371590</wp:posOffset>
            </wp:positionH>
            <wp:positionV relativeFrom="paragraph">
              <wp:posOffset>17145</wp:posOffset>
            </wp:positionV>
            <wp:extent cx="88265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7" w:lineRule="exact"/>
        <w:rPr>
          <w:sz w:val="20"/>
          <w:szCs w:val="20"/>
          <w:color w:val="auto"/>
        </w:rPr>
      </w:pPr>
    </w:p>
    <w:p>
      <w:pPr>
        <w:jc w:val="center"/>
        <w:ind w:left="10040"/>
        <w:spacing w:after="0"/>
        <w:rPr>
          <w:sz w:val="20"/>
          <w:szCs w:val="20"/>
          <w:color w:val="auto"/>
        </w:rPr>
      </w:pPr>
      <w:r>
        <w:rPr>
          <w:rFonts w:ascii="Arial" w:cs="Arial" w:eastAsia="Arial" w:hAnsi="Arial"/>
          <w:sz w:val="17"/>
          <w:szCs w:val="17"/>
          <w:color w:val="auto"/>
        </w:rPr>
        <w:t>Tenant Initials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300" w:lineRule="auto"/>
        <w:rPr>
          <w:sz w:val="20"/>
          <w:szCs w:val="20"/>
          <w:color w:val="auto"/>
        </w:rPr>
      </w:pPr>
      <w:r>
        <w:rPr>
          <w:rFonts w:ascii="Arial" w:cs="Arial" w:eastAsia="Arial" w:hAnsi="Arial"/>
          <w:sz w:val="15"/>
          <w:szCs w:val="15"/>
          <w:color w:val="auto"/>
        </w:rPr>
        <w:t>according to any law, (2) having its property assigned for the benefit of its creditors, (3) having a receiver or trustee appointed for itself or its property, (4) having its interest under this Lease levied on under legal process, (5) having any petition filed or other action taken to reorganize or modify its debts or obligations, or</w:t>
      </w:r>
    </w:p>
    <w:p>
      <w:pPr>
        <w:ind w:left="260" w:hanging="255"/>
        <w:spacing w:after="0"/>
        <w:tabs>
          <w:tab w:leader="none" w:pos="260" w:val="left"/>
        </w:tabs>
        <w:numPr>
          <w:ilvl w:val="0"/>
          <w:numId w:val="550"/>
        </w:numPr>
        <w:rPr>
          <w:rFonts w:ascii="Arial" w:cs="Arial" w:eastAsia="Arial" w:hAnsi="Arial"/>
          <w:sz w:val="16"/>
          <w:szCs w:val="16"/>
          <w:color w:val="auto"/>
        </w:rPr>
      </w:pPr>
      <w:r>
        <w:rPr>
          <w:rFonts w:ascii="Arial" w:cs="Arial" w:eastAsia="Arial" w:hAnsi="Arial"/>
          <w:sz w:val="16"/>
          <w:szCs w:val="16"/>
          <w:color w:val="auto"/>
        </w:rPr>
        <w:t>having any petition filed or other action taken to reorganize or modify its capital structure if either Tenant or such guarantor is a corporation or other entity.</w:t>
      </w:r>
    </w:p>
    <w:p>
      <w:pPr>
        <w:spacing w:after="0" w:line="223" w:lineRule="exact"/>
        <w:rPr>
          <w:rFonts w:ascii="Arial" w:cs="Arial" w:eastAsia="Arial" w:hAnsi="Arial"/>
          <w:sz w:val="16"/>
          <w:szCs w:val="16"/>
          <w:color w:val="auto"/>
        </w:rPr>
      </w:pPr>
    </w:p>
    <w:p>
      <w:pPr>
        <w:ind w:right="200" w:firstLine="110"/>
        <w:spacing w:after="0" w:line="289" w:lineRule="auto"/>
        <w:tabs>
          <w:tab w:leader="none" w:pos="636" w:val="left"/>
        </w:tabs>
        <w:numPr>
          <w:ilvl w:val="1"/>
          <w:numId w:val="550"/>
        </w:numPr>
        <w:rPr>
          <w:rFonts w:ascii="Arial" w:cs="Arial" w:eastAsia="Arial" w:hAnsi="Arial"/>
          <w:sz w:val="17"/>
          <w:szCs w:val="17"/>
          <w:color w:val="auto"/>
        </w:rPr>
      </w:pPr>
      <w:r>
        <w:rPr>
          <w:rFonts w:ascii="Arial" w:cs="Arial" w:eastAsia="Arial" w:hAnsi="Arial"/>
          <w:sz w:val="17"/>
          <w:szCs w:val="17"/>
          <w:color w:val="auto"/>
        </w:rPr>
        <w:t>The abandonment of the Premises by Tenant (which shall be conclusively presumed if Tenant is absent from the Premises for ten (10) consecutive days and is late on any payment due Landlord).</w:t>
      </w:r>
    </w:p>
    <w:p>
      <w:pPr>
        <w:spacing w:after="0" w:line="152" w:lineRule="exact"/>
        <w:rPr>
          <w:sz w:val="20"/>
          <w:szCs w:val="20"/>
          <w:color w:val="auto"/>
        </w:rPr>
      </w:pPr>
    </w:p>
    <w:p>
      <w:pPr>
        <w:ind w:right="40" w:firstLine="5"/>
        <w:spacing w:after="0" w:line="297" w:lineRule="auto"/>
        <w:tabs>
          <w:tab w:leader="none" w:pos="546" w:val="left"/>
        </w:tabs>
        <w:numPr>
          <w:ilvl w:val="0"/>
          <w:numId w:val="551"/>
        </w:numPr>
        <w:rPr>
          <w:rFonts w:ascii="Arial" w:cs="Arial" w:eastAsia="Arial" w:hAnsi="Arial"/>
          <w:sz w:val="17"/>
          <w:szCs w:val="17"/>
          <w:color w:val="auto"/>
        </w:rPr>
      </w:pPr>
      <w:r>
        <w:rPr>
          <w:rFonts w:ascii="Arial" w:cs="Arial" w:eastAsia="Arial" w:hAnsi="Arial"/>
          <w:sz w:val="17"/>
          <w:szCs w:val="17"/>
          <w:b w:val="1"/>
          <w:bCs w:val="1"/>
          <w:color w:val="auto"/>
        </w:rPr>
        <w:t xml:space="preserve">REMEDIES. </w:t>
      </w:r>
      <w:r>
        <w:rPr>
          <w:rFonts w:ascii="Arial" w:cs="Arial" w:eastAsia="Arial" w:hAnsi="Arial"/>
          <w:sz w:val="17"/>
          <w:szCs w:val="17"/>
          <w:color w:val="auto"/>
        </w:rPr>
        <w:t>Upon any Event of Default, Landlord may, in addition to all other rights and remedies afforded Landlord hereunder or by law or equity, take</w:t>
      </w:r>
      <w:r>
        <w:rPr>
          <w:rFonts w:ascii="Arial" w:cs="Arial" w:eastAsia="Arial" w:hAnsi="Arial"/>
          <w:sz w:val="17"/>
          <w:szCs w:val="17"/>
          <w:b w:val="1"/>
          <w:bCs w:val="1"/>
          <w:color w:val="auto"/>
        </w:rPr>
        <w:t xml:space="preserve"> </w:t>
      </w:r>
      <w:r>
        <w:rPr>
          <w:rFonts w:ascii="Arial" w:cs="Arial" w:eastAsia="Arial" w:hAnsi="Arial"/>
          <w:sz w:val="17"/>
          <w:szCs w:val="17"/>
          <w:color w:val="auto"/>
        </w:rPr>
        <w:t>any of the following actions:</w:t>
      </w:r>
    </w:p>
    <w:p>
      <w:pPr>
        <w:spacing w:after="0" w:line="151" w:lineRule="exact"/>
        <w:rPr>
          <w:rFonts w:ascii="Arial" w:cs="Arial" w:eastAsia="Arial" w:hAnsi="Arial"/>
          <w:sz w:val="17"/>
          <w:szCs w:val="17"/>
          <w:color w:val="auto"/>
        </w:rPr>
      </w:pPr>
    </w:p>
    <w:p>
      <w:pPr>
        <w:ind w:firstLine="110"/>
        <w:spacing w:after="0" w:line="279" w:lineRule="auto"/>
        <w:tabs>
          <w:tab w:leader="none" w:pos="339" w:val="left"/>
        </w:tabs>
        <w:numPr>
          <w:ilvl w:val="1"/>
          <w:numId w:val="551"/>
        </w:numPr>
        <w:rPr>
          <w:rFonts w:ascii="Arial" w:cs="Arial" w:eastAsia="Arial" w:hAnsi="Arial"/>
          <w:sz w:val="16"/>
          <w:szCs w:val="16"/>
          <w:color w:val="auto"/>
        </w:rPr>
      </w:pPr>
      <w:r>
        <w:rPr>
          <w:rFonts w:ascii="Arial" w:cs="Arial" w:eastAsia="Arial" w:hAnsi="Arial"/>
          <w:sz w:val="16"/>
          <w:szCs w:val="16"/>
          <w:color w:val="auto"/>
        </w:rPr>
        <w:t>Terminate this Lease by written notice to Tenant, in which event Tenant shall immediately surrender the Premises. If Tenant fails to surrender the Premises, Landlord may, without prejudice to any other remedy, enter and take possession of the Premises or any part thereof by changing the door locks or by any other means necessary in Landlord’s sole judgment without being liable for prosecution or any claim for damages. If this Lease is terminated hereunder, Tenant shall pay to Landlord: (1) all Rent accrued through the date of termination, (2) all amounts due under Section 21, (3) any unamortized commission paid by Landlord in connection with the Lease, and (4) an amount equal to: (A) the total Rent that Tenant would have been required to pay for the remainder of the Term discounted to present value at a per annum rate equal to the interest rate on one-year Treasury bills as published on the nearest the date this lease is terminated by the Wall Street Journal, Southwest Edition, minus (B) the then present fair rental value of the Premises for such period, similarly discounted; provided, however, that in no event shall the result of the calculation in this subsection (3) result in an amount less than fifty percent (50%) of the total Rent that Tenant would have been required to pay for the remainder of the Term discounted to present value at a per annum rate equal to the interest rate on one-year Treasury bills as published on the nearest the date this lease is terminated by the Wall Street Journal, Southwest Edition.</w:t>
      </w:r>
    </w:p>
    <w:p>
      <w:pPr>
        <w:spacing w:after="0" w:line="168" w:lineRule="exact"/>
        <w:rPr>
          <w:rFonts w:ascii="Arial" w:cs="Arial" w:eastAsia="Arial" w:hAnsi="Arial"/>
          <w:sz w:val="16"/>
          <w:szCs w:val="16"/>
          <w:color w:val="auto"/>
        </w:rPr>
      </w:pPr>
    </w:p>
    <w:p>
      <w:pPr>
        <w:ind w:right="20" w:firstLine="110"/>
        <w:spacing w:after="0" w:line="277" w:lineRule="auto"/>
        <w:tabs>
          <w:tab w:leader="none" w:pos="636" w:val="left"/>
        </w:tabs>
        <w:numPr>
          <w:ilvl w:val="1"/>
          <w:numId w:val="551"/>
        </w:numPr>
        <w:rPr>
          <w:rFonts w:ascii="Arial" w:cs="Arial" w:eastAsia="Arial" w:hAnsi="Arial"/>
          <w:sz w:val="16"/>
          <w:szCs w:val="16"/>
          <w:color w:val="auto"/>
        </w:rPr>
      </w:pPr>
      <w:r>
        <w:rPr>
          <w:rFonts w:ascii="Arial" w:cs="Arial" w:eastAsia="Arial" w:hAnsi="Arial"/>
          <w:sz w:val="16"/>
          <w:szCs w:val="16"/>
          <w:color w:val="auto"/>
        </w:rPr>
        <w:t>Terminate Tenant’s right to possession of the Premises without terminating this Lease by written notice to Tenant, in which event Tenant shall immediately surrender the Premises. If Tenant fails to surrender the Premises, Landlord may, without prejudice to any other remedy, enter upon and take possession of the Premises and expel or remove Tenant and any other person who may be occupying the Premises or any part thereof by changing the door locks or by any other means necessary in Landlord’s sole judgment without being liable for prosecution or any claim for damages. If Tenant’s right to possession of the Premises is so terminated, Tenant shall pay to Landlord: (1) all Rent to the date of termination of possession, (2) all amounts due from time to time under Section 21, (3) any unamortized commission paid by Landlord in connection with the Lease, and (4) all Rent required hereunder to be paid by Tenant during the remainder of the Term, minus any net sums thereafter received by Landlord through reletting the Premises during such period. Landlord shall use reasonable efforts to relet the Premises on such terms and conditions as Landlord, in its sole discretion, may determine (including a term different from the Term, rental concessions, and alterations to, and improvement of, the Premises); however, Landlord shall not be obligated to relet the Premises before leasing other portions of the Building. Landlord shall not be liable for, nor shall Tenant’s obligations be diminished because of, Landlord’s failure to relet the Premises or to collect rent due for such reletting. Tenant shall not be entitled to any excess obtained by reletting over the Rent due hereunder. Reentry by Landlord shall not affect Tenant’s obligations for the unexpired Term; rather, Landlord may, from time to time, bring action against Tenant to collect amounts due by Tenant, without the necessity of Landlord’s waiting until the expiration of the Term. Unless Landlord delivers written notice to Tenant expressly stating that it has elected to terminate this Lease, all actions taken by Landlord to exclude or dispossess Tenant of the Premises shall be deemed to be taken under this Section 20.(b). If Landlord elects to proceed under this Section 20.(b), it may at any time elect to terminate this Lease under Section 20.(a).</w:t>
      </w:r>
    </w:p>
    <w:p>
      <w:pPr>
        <w:spacing w:after="0" w:line="170" w:lineRule="exact"/>
        <w:rPr>
          <w:rFonts w:ascii="Arial" w:cs="Arial" w:eastAsia="Arial" w:hAnsi="Arial"/>
          <w:sz w:val="16"/>
          <w:szCs w:val="16"/>
          <w:color w:val="auto"/>
        </w:rPr>
      </w:pPr>
    </w:p>
    <w:p>
      <w:pPr>
        <w:ind w:left="640" w:hanging="530"/>
        <w:spacing w:after="0"/>
        <w:tabs>
          <w:tab w:leader="none" w:pos="640" w:val="left"/>
        </w:tabs>
        <w:numPr>
          <w:ilvl w:val="1"/>
          <w:numId w:val="551"/>
        </w:numPr>
        <w:rPr>
          <w:rFonts w:ascii="Arial" w:cs="Arial" w:eastAsia="Arial" w:hAnsi="Arial"/>
          <w:sz w:val="17"/>
          <w:szCs w:val="17"/>
          <w:color w:val="auto"/>
        </w:rPr>
      </w:pPr>
      <w:r>
        <w:rPr>
          <w:rFonts w:ascii="Arial" w:cs="Arial" w:eastAsia="Arial" w:hAnsi="Arial"/>
          <w:sz w:val="17"/>
          <w:szCs w:val="17"/>
          <w:color w:val="auto"/>
        </w:rPr>
        <w:t>Change the door locks and deny Tenant access to the Premises until such Event of Default is cured.</w:t>
      </w:r>
    </w:p>
    <w:p>
      <w:pPr>
        <w:spacing w:after="0" w:line="224" w:lineRule="exact"/>
        <w:rPr>
          <w:rFonts w:ascii="Arial" w:cs="Arial" w:eastAsia="Arial" w:hAnsi="Arial"/>
          <w:sz w:val="17"/>
          <w:szCs w:val="17"/>
          <w:color w:val="auto"/>
        </w:rPr>
      </w:pPr>
    </w:p>
    <w:p>
      <w:pPr>
        <w:jc w:val="both"/>
        <w:ind w:firstLine="110"/>
        <w:spacing w:after="0" w:line="273" w:lineRule="auto"/>
        <w:tabs>
          <w:tab w:leader="none" w:pos="636" w:val="left"/>
        </w:tabs>
        <w:numPr>
          <w:ilvl w:val="1"/>
          <w:numId w:val="551"/>
        </w:numPr>
        <w:rPr>
          <w:rFonts w:ascii="Arial" w:cs="Arial" w:eastAsia="Arial" w:hAnsi="Arial"/>
          <w:sz w:val="17"/>
          <w:szCs w:val="17"/>
          <w:color w:val="auto"/>
        </w:rPr>
      </w:pPr>
      <w:r>
        <w:rPr>
          <w:rFonts w:ascii="Arial" w:cs="Arial" w:eastAsia="Arial" w:hAnsi="Arial"/>
          <w:sz w:val="17"/>
          <w:szCs w:val="17"/>
          <w:color w:val="auto"/>
        </w:rPr>
        <w:t>Enter the Premises without being liable for prosecution or any claim for damages and do whatever Tenant is obligated to do under the terms of this Lease. Tenant agrees to reimburse Landlord on demand for any expenses which Landlord may incur in so doing. Tenant further agrees that Landlord shall not be liable for any damages resulting to the Tenant from such action.</w:t>
      </w:r>
    </w:p>
    <w:p>
      <w:pPr>
        <w:spacing w:after="0" w:line="171" w:lineRule="exact"/>
        <w:rPr>
          <w:rFonts w:ascii="Arial" w:cs="Arial" w:eastAsia="Arial" w:hAnsi="Arial"/>
          <w:sz w:val="17"/>
          <w:szCs w:val="17"/>
          <w:color w:val="auto"/>
        </w:rPr>
      </w:pPr>
    </w:p>
    <w:p>
      <w:pPr>
        <w:ind w:firstLine="110"/>
        <w:spacing w:after="0" w:line="289" w:lineRule="auto"/>
        <w:tabs>
          <w:tab w:leader="none" w:pos="640" w:val="left"/>
        </w:tabs>
        <w:numPr>
          <w:ilvl w:val="1"/>
          <w:numId w:val="551"/>
        </w:numPr>
        <w:rPr>
          <w:rFonts w:ascii="Arial" w:cs="Arial" w:eastAsia="Arial" w:hAnsi="Arial"/>
          <w:sz w:val="17"/>
          <w:szCs w:val="17"/>
          <w:color w:val="auto"/>
        </w:rPr>
      </w:pPr>
      <w:r>
        <w:rPr>
          <w:rFonts w:ascii="Arial" w:cs="Arial" w:eastAsia="Arial" w:hAnsi="Arial"/>
          <w:sz w:val="17"/>
          <w:szCs w:val="17"/>
          <w:color w:val="auto"/>
        </w:rPr>
        <w:t>Tenant expressly waives notice as to the disposal of any property in the Premises as of default, lockout or termination, which has not claimed or redeemed within thirty (30) days.</w:t>
      </w:r>
    </w:p>
    <w:p>
      <w:pPr>
        <w:spacing w:after="0" w:line="152" w:lineRule="exact"/>
        <w:rPr>
          <w:rFonts w:ascii="Arial" w:cs="Arial" w:eastAsia="Arial" w:hAnsi="Arial"/>
          <w:sz w:val="17"/>
          <w:szCs w:val="17"/>
          <w:color w:val="auto"/>
        </w:rPr>
      </w:pPr>
    </w:p>
    <w:p>
      <w:pPr>
        <w:ind w:right="60" w:firstLine="5"/>
        <w:spacing w:after="0" w:line="279" w:lineRule="auto"/>
        <w:tabs>
          <w:tab w:leader="none" w:pos="546" w:val="left"/>
        </w:tabs>
        <w:numPr>
          <w:ilvl w:val="0"/>
          <w:numId w:val="551"/>
        </w:numPr>
        <w:rPr>
          <w:rFonts w:ascii="Arial" w:cs="Arial" w:eastAsia="Arial" w:hAnsi="Arial"/>
          <w:sz w:val="16"/>
          <w:szCs w:val="16"/>
          <w:color w:val="auto"/>
        </w:rPr>
      </w:pPr>
      <w:r>
        <w:rPr>
          <w:rFonts w:ascii="Arial" w:cs="Arial" w:eastAsia="Arial" w:hAnsi="Arial"/>
          <w:sz w:val="16"/>
          <w:szCs w:val="16"/>
          <w:b w:val="1"/>
          <w:bCs w:val="1"/>
          <w:color w:val="auto"/>
        </w:rPr>
        <w:t xml:space="preserve">PAYMENT BY TENANT. </w:t>
      </w:r>
      <w:r>
        <w:rPr>
          <w:rFonts w:ascii="Arial" w:cs="Arial" w:eastAsia="Arial" w:hAnsi="Arial"/>
          <w:sz w:val="16"/>
          <w:szCs w:val="16"/>
          <w:color w:val="auto"/>
        </w:rPr>
        <w:t>Upon any Event of Default, Tenant shall pay to Landlord all costs incurred by Landlord (including court costs and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attorneys’ fees) in (a) obtaining possession of the Premises, (b) removing and storing Tenant’s or any other occupants’ property, (c) repairing, restoring, altering, remodeling or otherwise putting the Premises into condition acceptable to a new tenant, (d) if Tenant is dispossessed of the Premises and this Lease is not terminated, reletting all or any part of the Premises (including brokerage commissions, costs of tenant finish work, and all other costs incidental to such reletting),</w:t>
      </w:r>
    </w:p>
    <w:p>
      <w:pPr>
        <w:spacing w:after="0" w:line="1" w:lineRule="exact"/>
        <w:rPr>
          <w:rFonts w:ascii="Arial" w:cs="Arial" w:eastAsia="Arial" w:hAnsi="Arial"/>
          <w:sz w:val="16"/>
          <w:szCs w:val="16"/>
          <w:color w:val="auto"/>
        </w:rPr>
      </w:pPr>
    </w:p>
    <w:p>
      <w:pPr>
        <w:spacing w:after="0" w:line="266" w:lineRule="auto"/>
        <w:rPr>
          <w:rFonts w:ascii="Arial" w:cs="Arial" w:eastAsia="Arial" w:hAnsi="Arial"/>
          <w:sz w:val="16"/>
          <w:szCs w:val="16"/>
          <w:color w:val="auto"/>
        </w:rPr>
      </w:pPr>
      <w:r>
        <w:rPr>
          <w:rFonts w:ascii="Arial" w:cs="Arial" w:eastAsia="Arial" w:hAnsi="Arial"/>
          <w:sz w:val="17"/>
          <w:szCs w:val="17"/>
          <w:color w:val="auto"/>
        </w:rPr>
        <w:t>(e) performing Tenant’s obligations which Tenant failed to perform, and (f) enforcing, or advising Landlord of its rights, remedies, and recourses arising out of the Event of Default. After any default in payment by Tenant (i.e. late payment, a returned check or reversed credit card charge), the Landlord may require that Tenant make future payments by certified check, cashier’s check, or money order, for so long as the Landlord may reasonably require.</w:t>
      </w:r>
    </w:p>
    <w:p>
      <w:pPr>
        <w:spacing w:after="0" w:line="171" w:lineRule="exact"/>
        <w:rPr>
          <w:rFonts w:ascii="Arial" w:cs="Arial" w:eastAsia="Arial" w:hAnsi="Arial"/>
          <w:sz w:val="16"/>
          <w:szCs w:val="16"/>
          <w:color w:val="auto"/>
        </w:rPr>
      </w:pPr>
    </w:p>
    <w:p>
      <w:pPr>
        <w:ind w:right="60" w:firstLine="5"/>
        <w:spacing w:after="0" w:line="267" w:lineRule="auto"/>
        <w:tabs>
          <w:tab w:leader="none" w:pos="546" w:val="left"/>
        </w:tabs>
        <w:numPr>
          <w:ilvl w:val="0"/>
          <w:numId w:val="551"/>
        </w:numPr>
        <w:rPr>
          <w:rFonts w:ascii="Arial" w:cs="Arial" w:eastAsia="Arial" w:hAnsi="Arial"/>
          <w:sz w:val="17"/>
          <w:szCs w:val="17"/>
          <w:color w:val="auto"/>
        </w:rPr>
      </w:pPr>
      <w:r>
        <w:rPr>
          <w:rFonts w:ascii="Arial" w:cs="Arial" w:eastAsia="Arial" w:hAnsi="Arial"/>
          <w:sz w:val="17"/>
          <w:szCs w:val="17"/>
          <w:b w:val="1"/>
          <w:bCs w:val="1"/>
          <w:color w:val="auto"/>
        </w:rPr>
        <w:t xml:space="preserve">LANDLORD’S LIABILITY. </w:t>
      </w:r>
      <w:r>
        <w:rPr>
          <w:rFonts w:ascii="Arial" w:cs="Arial" w:eastAsia="Arial" w:hAnsi="Arial"/>
          <w:sz w:val="17"/>
          <w:szCs w:val="17"/>
          <w:color w:val="auto"/>
        </w:rPr>
        <w:t>The liability of Landlord to Tenant for any default by Landlord under the terms of this Lease shall be limited to Tenant’s</w:t>
      </w:r>
      <w:r>
        <w:rPr>
          <w:rFonts w:ascii="Arial" w:cs="Arial" w:eastAsia="Arial" w:hAnsi="Arial"/>
          <w:sz w:val="17"/>
          <w:szCs w:val="17"/>
          <w:b w:val="1"/>
          <w:bCs w:val="1"/>
          <w:color w:val="auto"/>
        </w:rPr>
        <w:t xml:space="preserve"> </w:t>
      </w:r>
      <w:r>
        <w:rPr>
          <w:rFonts w:ascii="Arial" w:cs="Arial" w:eastAsia="Arial" w:hAnsi="Arial"/>
          <w:sz w:val="17"/>
          <w:szCs w:val="17"/>
          <w:color w:val="auto"/>
        </w:rPr>
        <w:t>actual direct, but not consequential, damages therefor and shall be recoverable from the interest of Landlord in the Building, and Landlord shall not be personally liable for any deficiency. Landlord’s reservation of rights under this Lease, such as to enter upon or maintain the Premises, shall not be deemed to create any duty on the part of Landlord to exercise any such right. Landlord expressly advises Tenant that Landlord’s intention is that Tenant shall have full responsibility for, and shall assume all risk to, persons and property while in, on or about the Premises.</w:t>
      </w:r>
    </w:p>
    <w:p>
      <w:pPr>
        <w:spacing w:after="0" w:line="171" w:lineRule="exact"/>
        <w:rPr>
          <w:rFonts w:ascii="Arial" w:cs="Arial" w:eastAsia="Arial" w:hAnsi="Arial"/>
          <w:sz w:val="17"/>
          <w:szCs w:val="17"/>
          <w:color w:val="auto"/>
        </w:rPr>
      </w:pPr>
    </w:p>
    <w:p>
      <w:pPr>
        <w:ind w:right="560" w:firstLine="5"/>
        <w:spacing w:after="0" w:line="297" w:lineRule="auto"/>
        <w:tabs>
          <w:tab w:leader="none" w:pos="546" w:val="left"/>
        </w:tabs>
        <w:numPr>
          <w:ilvl w:val="0"/>
          <w:numId w:val="551"/>
        </w:numPr>
        <w:rPr>
          <w:rFonts w:ascii="Arial" w:cs="Arial" w:eastAsia="Arial" w:hAnsi="Arial"/>
          <w:sz w:val="17"/>
          <w:szCs w:val="17"/>
          <w:color w:val="auto"/>
        </w:rPr>
      </w:pPr>
      <w:r>
        <w:rPr>
          <w:rFonts w:ascii="Arial" w:cs="Arial" w:eastAsia="Arial" w:hAnsi="Arial"/>
          <w:sz w:val="17"/>
          <w:szCs w:val="17"/>
          <w:b w:val="1"/>
          <w:bCs w:val="1"/>
          <w:color w:val="auto"/>
        </w:rPr>
        <w:t xml:space="preserve">SURRENDER OF PREMISES. </w:t>
      </w:r>
      <w:r>
        <w:rPr>
          <w:rFonts w:ascii="Arial" w:cs="Arial" w:eastAsia="Arial" w:hAnsi="Arial"/>
          <w:sz w:val="17"/>
          <w:szCs w:val="17"/>
          <w:color w:val="auto"/>
        </w:rPr>
        <w:t>No act of Landlord or its agents during the Term shall be deemed as acceptance of surrender of the Premises. No</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to accept surrender of the Premises shall be valid unless the same is in writing and signed by the Landlord.</w:t>
      </w:r>
    </w:p>
    <w:p>
      <w:pPr>
        <w:spacing w:after="0" w:line="145" w:lineRule="exact"/>
        <w:rPr>
          <w:rFonts w:ascii="Arial" w:cs="Arial" w:eastAsia="Arial" w:hAnsi="Arial"/>
          <w:sz w:val="17"/>
          <w:szCs w:val="17"/>
          <w:color w:val="auto"/>
        </w:rPr>
      </w:pPr>
    </w:p>
    <w:p>
      <w:pPr>
        <w:ind w:right="60" w:firstLine="5"/>
        <w:spacing w:after="0" w:line="297" w:lineRule="auto"/>
        <w:tabs>
          <w:tab w:leader="none" w:pos="546" w:val="left"/>
        </w:tabs>
        <w:numPr>
          <w:ilvl w:val="0"/>
          <w:numId w:val="551"/>
        </w:numPr>
        <w:rPr>
          <w:rFonts w:ascii="Arial" w:cs="Arial" w:eastAsia="Arial" w:hAnsi="Arial"/>
          <w:sz w:val="17"/>
          <w:szCs w:val="17"/>
          <w:color w:val="auto"/>
        </w:rPr>
      </w:pPr>
      <w:r>
        <w:rPr>
          <w:rFonts w:ascii="Arial" w:cs="Arial" w:eastAsia="Arial" w:hAnsi="Arial"/>
          <w:sz w:val="17"/>
          <w:szCs w:val="17"/>
          <w:b w:val="1"/>
          <w:bCs w:val="1"/>
          <w:color w:val="auto"/>
        </w:rPr>
        <w:t xml:space="preserve">ATTORNEYS FEES. </w:t>
      </w:r>
      <w:r>
        <w:rPr>
          <w:rFonts w:ascii="Arial" w:cs="Arial" w:eastAsia="Arial" w:hAnsi="Arial"/>
          <w:sz w:val="17"/>
          <w:szCs w:val="17"/>
          <w:color w:val="auto"/>
        </w:rPr>
        <w:t>If Landlord employs an attorney to interpret, enforce or defend any of its rights or remedies hereunder, Tenant shall pay Landlord’s</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attorney’s fees incurred in such dispute.</w:t>
      </w:r>
    </w:p>
    <w:p>
      <w:pPr>
        <w:spacing w:after="0" w:line="145" w:lineRule="exact"/>
        <w:rPr>
          <w:rFonts w:ascii="Arial" w:cs="Arial" w:eastAsia="Arial" w:hAnsi="Arial"/>
          <w:sz w:val="17"/>
          <w:szCs w:val="17"/>
          <w:color w:val="auto"/>
        </w:rPr>
      </w:pPr>
    </w:p>
    <w:p>
      <w:pPr>
        <w:ind w:right="360" w:firstLine="5"/>
        <w:spacing w:after="0" w:line="302" w:lineRule="auto"/>
        <w:tabs>
          <w:tab w:leader="none" w:pos="546" w:val="left"/>
        </w:tabs>
        <w:numPr>
          <w:ilvl w:val="0"/>
          <w:numId w:val="551"/>
        </w:numPr>
        <w:rPr>
          <w:rFonts w:ascii="Arial" w:cs="Arial" w:eastAsia="Arial" w:hAnsi="Arial"/>
          <w:sz w:val="16"/>
          <w:szCs w:val="16"/>
          <w:color w:val="auto"/>
        </w:rPr>
      </w:pPr>
      <w:r>
        <w:rPr>
          <w:rFonts w:ascii="Arial" w:cs="Arial" w:eastAsia="Arial" w:hAnsi="Arial"/>
          <w:sz w:val="16"/>
          <w:szCs w:val="16"/>
          <w:b w:val="1"/>
          <w:bCs w:val="1"/>
          <w:color w:val="auto"/>
        </w:rPr>
        <w:t xml:space="preserve">FORCE MAJEURE. </w:t>
      </w:r>
      <w:r>
        <w:rPr>
          <w:rFonts w:ascii="Arial" w:cs="Arial" w:eastAsia="Arial" w:hAnsi="Arial"/>
          <w:sz w:val="16"/>
          <w:szCs w:val="16"/>
          <w:color w:val="auto"/>
        </w:rPr>
        <w:t>Whenever a period of time is prescribed for action to be taken by Landlord, Landlord shall not be liable or responsible for, and</w:t>
      </w:r>
      <w:r>
        <w:rPr>
          <w:rFonts w:ascii="Arial" w:cs="Arial" w:eastAsia="Arial" w:hAnsi="Arial"/>
          <w:sz w:val="16"/>
          <w:szCs w:val="16"/>
          <w:b w:val="1"/>
          <w:bCs w:val="1"/>
          <w:color w:val="auto"/>
        </w:rPr>
        <w:t xml:space="preserve"> </w:t>
      </w:r>
      <w:r>
        <w:rPr>
          <w:rFonts w:ascii="Arial" w:cs="Arial" w:eastAsia="Arial" w:hAnsi="Arial"/>
          <w:sz w:val="16"/>
          <w:szCs w:val="16"/>
          <w:color w:val="auto"/>
        </w:rPr>
        <w:t>there shall be excluded from the computation for any such period of time, any delays due to strikes, riots, acts of God, shortages of labor or materials, war, governmental laws, regulations, or restrictions, or any other causes of any kind whatsoever which are beyond the control of the Landlord.</w:t>
      </w:r>
    </w:p>
    <w:p>
      <w:pPr>
        <w:sectPr>
          <w:pgSz w:w="11900" w:h="16838" w:orient="portrait"/>
          <w:cols w:equalWidth="0" w:num="1">
            <w:col w:w="11420"/>
          </w:cols>
          <w:pgMar w:left="240" w:top="337" w:right="239" w:bottom="0" w:gutter="0" w:footer="0" w:header="0"/>
        </w:sectPr>
      </w:pPr>
    </w:p>
    <w:bookmarkStart w:id="366" w:name="page367"/>
    <w:bookmarkEnd w:id="366"/>
    <w:p>
      <w:pPr>
        <w:ind w:firstLine="5"/>
        <w:spacing w:after="0" w:line="277" w:lineRule="auto"/>
        <w:tabs>
          <w:tab w:leader="none" w:pos="546" w:val="left"/>
        </w:tabs>
        <w:numPr>
          <w:ilvl w:val="0"/>
          <w:numId w:val="552"/>
        </w:numPr>
        <w:rPr>
          <w:rFonts w:ascii="Arial" w:cs="Arial" w:eastAsia="Arial" w:hAnsi="Arial"/>
          <w:sz w:val="17"/>
          <w:szCs w:val="17"/>
          <w:color w:val="auto"/>
        </w:rPr>
      </w:pPr>
      <w:r>
        <w:rPr>
          <w:rFonts w:ascii="Arial" w:cs="Arial" w:eastAsia="Arial" w:hAnsi="Arial"/>
          <w:sz w:val="17"/>
          <w:szCs w:val="17"/>
          <w:b w:val="1"/>
          <w:bCs w:val="1"/>
          <w:color w:val="auto"/>
        </w:rPr>
        <w:t xml:space="preserve">GOVERNMENTAL REGULATIONS. </w:t>
      </w:r>
      <w:r>
        <w:rPr>
          <w:rFonts w:ascii="Arial" w:cs="Arial" w:eastAsia="Arial" w:hAnsi="Arial"/>
          <w:sz w:val="17"/>
          <w:szCs w:val="17"/>
          <w:color w:val="auto"/>
        </w:rPr>
        <w:t>Tenant will comply with all laws, ordinances, orders, rules and regulations of all governmental agencies having</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over the Premises with reference to the use, construction, condition or occupancy of the Premises. Tenant agrees that any cabling installed by or for its use during its occupancy shall meet the requirements of all applicable national and local fire and safety codes.</w:t>
      </w:r>
    </w:p>
    <w:p>
      <w:pPr>
        <w:spacing w:after="0" w:line="162" w:lineRule="exact"/>
        <w:rPr>
          <w:rFonts w:ascii="Arial" w:cs="Arial" w:eastAsia="Arial" w:hAnsi="Arial"/>
          <w:sz w:val="17"/>
          <w:szCs w:val="17"/>
          <w:color w:val="auto"/>
        </w:rPr>
      </w:pPr>
    </w:p>
    <w:p>
      <w:pPr>
        <w:ind w:left="560" w:hanging="555"/>
        <w:spacing w:after="0"/>
        <w:tabs>
          <w:tab w:leader="none" w:pos="560" w:val="left"/>
        </w:tabs>
        <w:numPr>
          <w:ilvl w:val="0"/>
          <w:numId w:val="552"/>
        </w:numPr>
        <w:rPr>
          <w:rFonts w:ascii="Arial" w:cs="Arial" w:eastAsia="Arial" w:hAnsi="Arial"/>
          <w:sz w:val="17"/>
          <w:szCs w:val="17"/>
          <w:color w:val="auto"/>
        </w:rPr>
      </w:pPr>
      <w:r>
        <w:rPr>
          <w:rFonts w:ascii="Arial" w:cs="Arial" w:eastAsia="Arial" w:hAnsi="Arial"/>
          <w:sz w:val="17"/>
          <w:szCs w:val="17"/>
          <w:b w:val="1"/>
          <w:bCs w:val="1"/>
          <w:color w:val="auto"/>
        </w:rPr>
        <w:t xml:space="preserve">APPLICABLE LAW. </w:t>
      </w:r>
      <w:r>
        <w:rPr>
          <w:rFonts w:ascii="Arial" w:cs="Arial" w:eastAsia="Arial" w:hAnsi="Arial"/>
          <w:sz w:val="17"/>
          <w:szCs w:val="17"/>
          <w:color w:val="auto"/>
        </w:rPr>
        <w:t>This Lease shall be governed by and construed pursuant to the laws of the state in which the Building is located.</w:t>
      </w:r>
    </w:p>
    <w:p>
      <w:pPr>
        <w:spacing w:after="0" w:line="224" w:lineRule="exact"/>
        <w:rPr>
          <w:rFonts w:ascii="Arial" w:cs="Arial" w:eastAsia="Arial" w:hAnsi="Arial"/>
          <w:sz w:val="17"/>
          <w:szCs w:val="17"/>
          <w:color w:val="auto"/>
        </w:rPr>
      </w:pPr>
    </w:p>
    <w:p>
      <w:pPr>
        <w:ind w:right="520" w:firstLine="5"/>
        <w:spacing w:after="0" w:line="297" w:lineRule="auto"/>
        <w:tabs>
          <w:tab w:leader="none" w:pos="546" w:val="left"/>
        </w:tabs>
        <w:numPr>
          <w:ilvl w:val="0"/>
          <w:numId w:val="552"/>
        </w:numPr>
        <w:rPr>
          <w:rFonts w:ascii="Arial" w:cs="Arial" w:eastAsia="Arial" w:hAnsi="Arial"/>
          <w:sz w:val="17"/>
          <w:szCs w:val="17"/>
          <w:color w:val="auto"/>
        </w:rPr>
      </w:pPr>
      <w:r>
        <w:rPr>
          <w:rFonts w:ascii="Arial" w:cs="Arial" w:eastAsia="Arial" w:hAnsi="Arial"/>
          <w:sz w:val="17"/>
          <w:szCs w:val="17"/>
          <w:b w:val="1"/>
          <w:bCs w:val="1"/>
          <w:color w:val="auto"/>
        </w:rPr>
        <w:t xml:space="preserve">SUCCESSORS AND ASSIGNS. </w:t>
      </w:r>
      <w:r>
        <w:rPr>
          <w:rFonts w:ascii="Arial" w:cs="Arial" w:eastAsia="Arial" w:hAnsi="Arial"/>
          <w:sz w:val="17"/>
          <w:szCs w:val="17"/>
          <w:color w:val="auto"/>
        </w:rPr>
        <w:t>Except as otherwise provided in this Lease, all of the covenants, conditions and provisions of this Lease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binding upon and shall inure to the benefit of the parties hereto and their respective heirs, successors, and assigns.</w:t>
      </w:r>
    </w:p>
    <w:p>
      <w:pPr>
        <w:spacing w:after="0" w:line="145" w:lineRule="exact"/>
        <w:rPr>
          <w:rFonts w:ascii="Arial" w:cs="Arial" w:eastAsia="Arial" w:hAnsi="Arial"/>
          <w:sz w:val="17"/>
          <w:szCs w:val="17"/>
          <w:color w:val="auto"/>
        </w:rPr>
      </w:pPr>
    </w:p>
    <w:p>
      <w:pPr>
        <w:ind w:right="20" w:firstLine="5"/>
        <w:spacing w:after="0" w:line="277" w:lineRule="auto"/>
        <w:tabs>
          <w:tab w:leader="none" w:pos="546" w:val="left"/>
        </w:tabs>
        <w:numPr>
          <w:ilvl w:val="0"/>
          <w:numId w:val="552"/>
        </w:numPr>
        <w:rPr>
          <w:rFonts w:ascii="Arial" w:cs="Arial" w:eastAsia="Arial" w:hAnsi="Arial"/>
          <w:sz w:val="17"/>
          <w:szCs w:val="17"/>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If any provision of this Lease or the application thereof to any person or circumstances shall be invalid or unenforceable to any extent,</w:t>
      </w:r>
      <w:r>
        <w:rPr>
          <w:rFonts w:ascii="Arial" w:cs="Arial" w:eastAsia="Arial" w:hAnsi="Arial"/>
          <w:sz w:val="17"/>
          <w:szCs w:val="17"/>
          <w:b w:val="1"/>
          <w:bCs w:val="1"/>
          <w:color w:val="auto"/>
        </w:rPr>
        <w:t xml:space="preserve"> </w:t>
      </w:r>
      <w:r>
        <w:rPr>
          <w:rFonts w:ascii="Arial" w:cs="Arial" w:eastAsia="Arial" w:hAnsi="Arial"/>
          <w:sz w:val="17"/>
          <w:szCs w:val="17"/>
          <w:color w:val="auto"/>
        </w:rPr>
        <w:t>the remainder of this Lease and the application of such provisions to other persons or circumstances shall not be affected thereby and shall be enforced to the greatest extent permitted by law.</w:t>
      </w:r>
    </w:p>
    <w:p>
      <w:pPr>
        <w:spacing w:after="0" w:line="162" w:lineRule="exact"/>
        <w:rPr>
          <w:rFonts w:ascii="Arial" w:cs="Arial" w:eastAsia="Arial" w:hAnsi="Arial"/>
          <w:sz w:val="17"/>
          <w:szCs w:val="17"/>
          <w:color w:val="auto"/>
        </w:rPr>
      </w:pPr>
    </w:p>
    <w:p>
      <w:pPr>
        <w:ind w:right="120" w:firstLine="5"/>
        <w:spacing w:after="0" w:line="297" w:lineRule="auto"/>
        <w:tabs>
          <w:tab w:leader="none" w:pos="546" w:val="left"/>
        </w:tabs>
        <w:numPr>
          <w:ilvl w:val="0"/>
          <w:numId w:val="552"/>
        </w:numPr>
        <w:rPr>
          <w:rFonts w:ascii="Arial" w:cs="Arial" w:eastAsia="Arial" w:hAnsi="Arial"/>
          <w:sz w:val="17"/>
          <w:szCs w:val="17"/>
          <w:color w:val="auto"/>
        </w:rPr>
      </w:pPr>
      <w:r>
        <w:rPr>
          <w:rFonts w:ascii="Arial" w:cs="Arial" w:eastAsia="Arial" w:hAnsi="Arial"/>
          <w:sz w:val="17"/>
          <w:szCs w:val="17"/>
          <w:b w:val="1"/>
          <w:bCs w:val="1"/>
          <w:color w:val="auto"/>
        </w:rPr>
        <w:t xml:space="preserve">NAME. </w:t>
      </w:r>
      <w:r>
        <w:rPr>
          <w:rFonts w:ascii="Arial" w:cs="Arial" w:eastAsia="Arial" w:hAnsi="Arial"/>
          <w:sz w:val="17"/>
          <w:szCs w:val="17"/>
          <w:color w:val="auto"/>
        </w:rPr>
        <w:t>Tenant shall not, without the written consent of Landlord, use the name of the Building for any purpose other than as the address of the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to be conducted by Tenant in the Premises, and in no event shall Tenant acquire any rights in or to such names.</w:t>
      </w:r>
    </w:p>
    <w:p>
      <w:pPr>
        <w:spacing w:after="0" w:line="145" w:lineRule="exact"/>
        <w:rPr>
          <w:rFonts w:ascii="Arial" w:cs="Arial" w:eastAsia="Arial" w:hAnsi="Arial"/>
          <w:sz w:val="17"/>
          <w:szCs w:val="17"/>
          <w:color w:val="auto"/>
        </w:rPr>
      </w:pPr>
    </w:p>
    <w:p>
      <w:pPr>
        <w:jc w:val="both"/>
        <w:ind w:right="60" w:firstLine="5"/>
        <w:spacing w:after="0" w:line="270" w:lineRule="auto"/>
        <w:tabs>
          <w:tab w:leader="none" w:pos="546" w:val="left"/>
        </w:tabs>
        <w:numPr>
          <w:ilvl w:val="0"/>
          <w:numId w:val="552"/>
        </w:numPr>
        <w:rPr>
          <w:rFonts w:ascii="Arial" w:cs="Arial" w:eastAsia="Arial" w:hAnsi="Arial"/>
          <w:sz w:val="17"/>
          <w:szCs w:val="17"/>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Any notice or document required to be delivered hereunder shall be deemed to be delivered whether or not actually received, when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in the United States mail, postage prepaid, certified or registered mail, addressed to the parties hereto at their respective addresses set forth above, or when sent by facsimile transmission to the respective numbers set forth above, or delivered to Tenant’s place of business in the Building, and when sent or delivered by Landlord or his representative, including its Management company for the Building.</w:t>
      </w:r>
    </w:p>
    <w:p>
      <w:pPr>
        <w:spacing w:after="0" w:line="169" w:lineRule="exact"/>
        <w:rPr>
          <w:rFonts w:ascii="Arial" w:cs="Arial" w:eastAsia="Arial" w:hAnsi="Arial"/>
          <w:sz w:val="17"/>
          <w:szCs w:val="17"/>
          <w:color w:val="auto"/>
        </w:rPr>
      </w:pPr>
    </w:p>
    <w:p>
      <w:pPr>
        <w:ind w:right="20" w:firstLine="5"/>
        <w:spacing w:after="0" w:line="270" w:lineRule="auto"/>
        <w:tabs>
          <w:tab w:leader="none" w:pos="546" w:val="left"/>
        </w:tabs>
        <w:numPr>
          <w:ilvl w:val="0"/>
          <w:numId w:val="552"/>
        </w:numPr>
        <w:rPr>
          <w:rFonts w:ascii="Arial" w:cs="Arial" w:eastAsia="Arial" w:hAnsi="Arial"/>
          <w:sz w:val="17"/>
          <w:szCs w:val="17"/>
          <w:color w:val="auto"/>
        </w:rPr>
      </w:pPr>
      <w:r>
        <w:rPr>
          <w:rFonts w:ascii="Arial" w:cs="Arial" w:eastAsia="Arial" w:hAnsi="Arial"/>
          <w:sz w:val="17"/>
          <w:szCs w:val="17"/>
          <w:b w:val="1"/>
          <w:bCs w:val="1"/>
          <w:color w:val="auto"/>
        </w:rPr>
        <w:t xml:space="preserve">DEFINED TERMS AND MARGINAL HEADINGS. </w:t>
      </w:r>
      <w:r>
        <w:rPr>
          <w:rFonts w:ascii="Arial" w:cs="Arial" w:eastAsia="Arial" w:hAnsi="Arial"/>
          <w:sz w:val="17"/>
          <w:szCs w:val="17"/>
          <w:color w:val="auto"/>
        </w:rPr>
        <w:t>The words “Landlord” and “Tenant” as used herein shall include the plural as well as the</w:t>
      </w:r>
      <w:r>
        <w:rPr>
          <w:rFonts w:ascii="Arial" w:cs="Arial" w:eastAsia="Arial" w:hAnsi="Arial"/>
          <w:sz w:val="17"/>
          <w:szCs w:val="17"/>
          <w:b w:val="1"/>
          <w:bCs w:val="1"/>
          <w:color w:val="auto"/>
        </w:rPr>
        <w:t xml:space="preserve"> </w:t>
      </w:r>
      <w:r>
        <w:rPr>
          <w:rFonts w:ascii="Arial" w:cs="Arial" w:eastAsia="Arial" w:hAnsi="Arial"/>
          <w:sz w:val="17"/>
          <w:szCs w:val="17"/>
          <w:color w:val="auto"/>
        </w:rPr>
        <w:t>singular. If more than one person is named as Tenant, the obligations of such persons are joint and several. The headings and titles to the sections of this Lease are not part of this Lease and shall have no effect upon the construction or interpretation of any part thereof. Captions contained herein are for the convenience of reference only and in no way limit or enlarge the terms or conditions of this Lease.</w:t>
      </w:r>
    </w:p>
    <w:p>
      <w:pPr>
        <w:spacing w:after="0" w:line="169" w:lineRule="exact"/>
        <w:rPr>
          <w:rFonts w:ascii="Arial" w:cs="Arial" w:eastAsia="Arial" w:hAnsi="Arial"/>
          <w:sz w:val="17"/>
          <w:szCs w:val="17"/>
          <w:color w:val="auto"/>
        </w:rPr>
      </w:pPr>
    </w:p>
    <w:p>
      <w:pPr>
        <w:ind w:right="40" w:firstLine="5"/>
        <w:spacing w:after="0" w:line="267" w:lineRule="auto"/>
        <w:tabs>
          <w:tab w:leader="none" w:pos="546" w:val="left"/>
        </w:tabs>
        <w:numPr>
          <w:ilvl w:val="0"/>
          <w:numId w:val="552"/>
        </w:numPr>
        <w:rPr>
          <w:rFonts w:ascii="Arial" w:cs="Arial" w:eastAsia="Arial" w:hAnsi="Arial"/>
          <w:sz w:val="17"/>
          <w:szCs w:val="17"/>
          <w:color w:val="auto"/>
        </w:rPr>
      </w:pPr>
      <w:r>
        <w:rPr>
          <w:rFonts w:ascii="Arial" w:cs="Arial" w:eastAsia="Arial" w:hAnsi="Arial"/>
          <w:sz w:val="17"/>
          <w:szCs w:val="17"/>
          <w:b w:val="1"/>
          <w:bCs w:val="1"/>
          <w:color w:val="auto"/>
        </w:rPr>
        <w:t xml:space="preserve">AUTHORITY. </w:t>
      </w:r>
      <w:r>
        <w:rPr>
          <w:rFonts w:ascii="Arial" w:cs="Arial" w:eastAsia="Arial" w:hAnsi="Arial"/>
          <w:sz w:val="17"/>
          <w:szCs w:val="17"/>
          <w:color w:val="auto"/>
        </w:rPr>
        <w:t>If Tenant executes this Lease as a corporation or other entity, each of the persons executing this Lease on behalf of Tenant personally</w:t>
      </w:r>
      <w:r>
        <w:rPr>
          <w:rFonts w:ascii="Arial" w:cs="Arial" w:eastAsia="Arial" w:hAnsi="Arial"/>
          <w:sz w:val="17"/>
          <w:szCs w:val="17"/>
          <w:b w:val="1"/>
          <w:bCs w:val="1"/>
          <w:color w:val="auto"/>
        </w:rPr>
        <w:t xml:space="preserve"> </w:t>
      </w:r>
      <w:r>
        <w:rPr>
          <w:rFonts w:ascii="Arial" w:cs="Arial" w:eastAsia="Arial" w:hAnsi="Arial"/>
          <w:sz w:val="17"/>
          <w:szCs w:val="17"/>
          <w:color w:val="auto"/>
        </w:rPr>
        <w:t>covenants and warrants that Tenant is duly authorized and validly existing, that Tenant is qualified to do business in the state in which the Building is located, that Tenant has full right and authority to enter into this Lease, and that each person signing on behalf of Tenant is authorized to do so. In the event Tenant provides an email address to Landlord, Tenant agrees that Landlord, its representative and agents may contact Tenant via the address, and deliver marketing information and other announcements to such address(es).</w:t>
      </w:r>
    </w:p>
    <w:p>
      <w:pPr>
        <w:spacing w:after="0" w:line="171" w:lineRule="exact"/>
        <w:rPr>
          <w:rFonts w:ascii="Arial" w:cs="Arial" w:eastAsia="Arial" w:hAnsi="Arial"/>
          <w:sz w:val="17"/>
          <w:szCs w:val="17"/>
          <w:color w:val="auto"/>
        </w:rPr>
      </w:pPr>
    </w:p>
    <w:p>
      <w:pPr>
        <w:jc w:val="both"/>
        <w:ind w:right="400" w:firstLine="5"/>
        <w:spacing w:after="0" w:line="277" w:lineRule="auto"/>
        <w:tabs>
          <w:tab w:leader="none" w:pos="546" w:val="left"/>
        </w:tabs>
        <w:numPr>
          <w:ilvl w:val="0"/>
          <w:numId w:val="552"/>
        </w:numPr>
        <w:rPr>
          <w:rFonts w:ascii="Arial" w:cs="Arial" w:eastAsia="Arial" w:hAnsi="Arial"/>
          <w:sz w:val="17"/>
          <w:szCs w:val="17"/>
          <w:color w:val="auto"/>
        </w:rPr>
      </w:pPr>
      <w:r>
        <w:rPr>
          <w:rFonts w:ascii="Arial" w:cs="Arial" w:eastAsia="Arial" w:hAnsi="Arial"/>
          <w:sz w:val="17"/>
          <w:szCs w:val="17"/>
          <w:b w:val="1"/>
          <w:bCs w:val="1"/>
          <w:color w:val="auto"/>
        </w:rPr>
        <w:t xml:space="preserve">LIQUIDATED DAMAGES. </w:t>
      </w:r>
      <w:r>
        <w:rPr>
          <w:rFonts w:ascii="Arial" w:cs="Arial" w:eastAsia="Arial" w:hAnsi="Arial"/>
          <w:sz w:val="17"/>
          <w:szCs w:val="17"/>
          <w:color w:val="auto"/>
        </w:rPr>
        <w:t>If the Premises are not ready for occupancy by the Commencement Date, unless delayed by Tenant for any reason, the</w:t>
      </w:r>
      <w:r>
        <w:rPr>
          <w:rFonts w:ascii="Arial" w:cs="Arial" w:eastAsia="Arial" w:hAnsi="Arial"/>
          <w:sz w:val="17"/>
          <w:szCs w:val="17"/>
          <w:b w:val="1"/>
          <w:bCs w:val="1"/>
          <w:color w:val="auto"/>
        </w:rPr>
        <w:t xml:space="preserve"> </w:t>
      </w:r>
      <w:r>
        <w:rPr>
          <w:rFonts w:ascii="Arial" w:cs="Arial" w:eastAsia="Arial" w:hAnsi="Arial"/>
          <w:sz w:val="17"/>
          <w:szCs w:val="17"/>
          <w:color w:val="auto"/>
        </w:rPr>
        <w:t>Basic Rent shall not commence until the Premises are ready for occupancy by Tenant. Such allowance for Basic Rent shall be in full settlement for any claim which Tenant might otherwise have by reason of the Premises not being ready for occupancy.</w:t>
      </w:r>
    </w:p>
    <w:p>
      <w:pPr>
        <w:spacing w:after="0" w:line="162" w:lineRule="exact"/>
        <w:rPr>
          <w:rFonts w:ascii="Arial" w:cs="Arial" w:eastAsia="Arial" w:hAnsi="Arial"/>
          <w:sz w:val="17"/>
          <w:szCs w:val="17"/>
          <w:color w:val="auto"/>
        </w:rPr>
      </w:pPr>
    </w:p>
    <w:p>
      <w:pPr>
        <w:ind w:right="100" w:firstLine="5"/>
        <w:spacing w:after="0" w:line="277" w:lineRule="auto"/>
        <w:tabs>
          <w:tab w:leader="none" w:pos="546" w:val="left"/>
        </w:tabs>
        <w:numPr>
          <w:ilvl w:val="0"/>
          <w:numId w:val="5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INTEGRATED AGREEMENT. </w:t>
      </w:r>
      <w:r>
        <w:rPr>
          <w:rFonts w:ascii="Arial" w:cs="Arial" w:eastAsia="Arial" w:hAnsi="Arial"/>
          <w:sz w:val="17"/>
          <w:szCs w:val="17"/>
          <w:color w:val="auto"/>
        </w:rPr>
        <w:t>This Lease contains the entire agreement of the parties with respect to any matter covered or mentioned in this Lease.</w:t>
      </w:r>
      <w:r>
        <w:rPr>
          <w:rFonts w:ascii="Arial" w:cs="Arial" w:eastAsia="Arial" w:hAnsi="Arial"/>
          <w:sz w:val="17"/>
          <w:szCs w:val="17"/>
          <w:b w:val="1"/>
          <w:bCs w:val="1"/>
          <w:color w:val="auto"/>
        </w:rPr>
        <w:t xml:space="preserve"> </w:t>
      </w:r>
      <w:r>
        <w:rPr>
          <w:rFonts w:ascii="Arial" w:cs="Arial" w:eastAsia="Arial" w:hAnsi="Arial"/>
          <w:sz w:val="17"/>
          <w:szCs w:val="17"/>
          <w:color w:val="auto"/>
        </w:rPr>
        <w:t>No prior agreement, understanding or representation pertaining to any such matter shall be effective for any purpose. No provision of this Lease may be amended or added to except by an agreement in writing signed by the parties or their respective successors in interest.</w:t>
      </w:r>
    </w:p>
    <w:p>
      <w:pPr>
        <w:spacing w:after="0" w:line="162" w:lineRule="exact"/>
        <w:rPr>
          <w:rFonts w:ascii="Arial" w:cs="Arial" w:eastAsia="Arial" w:hAnsi="Arial"/>
          <w:sz w:val="17"/>
          <w:szCs w:val="17"/>
          <w:b w:val="1"/>
          <w:bCs w:val="1"/>
          <w:color w:val="auto"/>
        </w:rPr>
      </w:pPr>
    </w:p>
    <w:p>
      <w:pPr>
        <w:ind w:right="40" w:firstLine="5"/>
        <w:spacing w:after="0" w:line="267" w:lineRule="auto"/>
        <w:tabs>
          <w:tab w:leader="none" w:pos="546" w:val="left"/>
        </w:tabs>
        <w:numPr>
          <w:ilvl w:val="0"/>
          <w:numId w:val="5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LATE FEE. </w:t>
      </w:r>
      <w:r>
        <w:rPr>
          <w:rFonts w:ascii="Arial" w:cs="Arial" w:eastAsia="Arial" w:hAnsi="Arial"/>
          <w:sz w:val="17"/>
          <w:szCs w:val="17"/>
          <w:color w:val="auto"/>
        </w:rPr>
        <w:t>If Rent is not received by Landlord on or before the fifth (5th) day of any month, Tenant shall pay immediately upon written notice from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Landlord a late fee equal to fifteen percent (15%) of the cumulative amount of Rent due, including Basic Rent and all other amounts payable by Tenant under this Lease, including any charges and previously assessed late fees. Failure by Tenant to make immediate payment of the delinquent Rent plus the late fee shall constitute an Event of Default. This provision, expressly, does not relieve the Tenant’s obligation to pay Rent on the first of each month and is not a waiver by the Landlord to require payment on the </w:t>
      </w:r>
      <w:r>
        <w:rPr>
          <w:rFonts w:ascii="Arial" w:cs="Arial" w:eastAsia="Arial" w:hAnsi="Arial"/>
          <w:sz w:val="17"/>
          <w:szCs w:val="17"/>
          <w:b w:val="1"/>
          <w:bCs w:val="1"/>
          <w:color w:val="auto"/>
        </w:rPr>
        <w:t>first</w:t>
      </w:r>
      <w:r>
        <w:rPr>
          <w:rFonts w:ascii="Arial" w:cs="Arial" w:eastAsia="Arial" w:hAnsi="Arial"/>
          <w:sz w:val="17"/>
          <w:szCs w:val="17"/>
          <w:color w:val="auto"/>
        </w:rPr>
        <w:t xml:space="preserve"> day of each month.</w:t>
      </w:r>
    </w:p>
    <w:p>
      <w:pPr>
        <w:spacing w:after="0" w:line="171" w:lineRule="exact"/>
        <w:rPr>
          <w:rFonts w:ascii="Arial" w:cs="Arial" w:eastAsia="Arial" w:hAnsi="Arial"/>
          <w:sz w:val="17"/>
          <w:szCs w:val="17"/>
          <w:b w:val="1"/>
          <w:bCs w:val="1"/>
          <w:color w:val="auto"/>
        </w:rPr>
      </w:pPr>
    </w:p>
    <w:p>
      <w:pPr>
        <w:ind w:right="20" w:firstLine="5"/>
        <w:spacing w:after="0" w:line="270" w:lineRule="auto"/>
        <w:tabs>
          <w:tab w:leader="none" w:pos="546" w:val="left"/>
        </w:tabs>
        <w:numPr>
          <w:ilvl w:val="0"/>
          <w:numId w:val="552"/>
        </w:numPr>
        <w:rPr>
          <w:rFonts w:ascii="Arial" w:cs="Arial" w:eastAsia="Arial" w:hAnsi="Arial"/>
          <w:sz w:val="17"/>
          <w:szCs w:val="17"/>
          <w:color w:val="auto"/>
        </w:rPr>
      </w:pPr>
      <w:r>
        <w:rPr>
          <w:rFonts w:ascii="Arial" w:cs="Arial" w:eastAsia="Arial" w:hAnsi="Arial"/>
          <w:sz w:val="17"/>
          <w:szCs w:val="17"/>
          <w:b w:val="1"/>
          <w:bCs w:val="1"/>
          <w:color w:val="auto"/>
        </w:rPr>
        <w:t xml:space="preserve">INTEREST ON SUMS EXPENDED BY LANDLORD. </w:t>
      </w:r>
      <w:r>
        <w:rPr>
          <w:rFonts w:ascii="Arial" w:cs="Arial" w:eastAsia="Arial" w:hAnsi="Arial"/>
          <w:sz w:val="17"/>
          <w:szCs w:val="17"/>
          <w:color w:val="auto"/>
        </w:rPr>
        <w:t>All sums paid and all expenses incurred by Landlord in performing Tenant’s duties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or curing Events of Default shall accrue interest at the rate of fifteen percent (15%) per annum from the date of payment of such amount by Landlord. In no event, however, shall the charges permitted under this Section 37 or elsewhere in this Lease, to the extent the same are considered to be interest under applicable law, exceed the maximum lawful rate of interest.</w:t>
      </w:r>
    </w:p>
    <w:p>
      <w:pPr>
        <w:spacing w:after="0" w:line="169" w:lineRule="exact"/>
        <w:rPr>
          <w:rFonts w:ascii="Arial" w:cs="Arial" w:eastAsia="Arial" w:hAnsi="Arial"/>
          <w:sz w:val="17"/>
          <w:szCs w:val="17"/>
          <w:color w:val="auto"/>
        </w:rPr>
      </w:pPr>
    </w:p>
    <w:p>
      <w:pPr>
        <w:ind w:right="20" w:firstLine="5"/>
        <w:spacing w:after="0" w:line="263" w:lineRule="auto"/>
        <w:tabs>
          <w:tab w:leader="none" w:pos="546" w:val="left"/>
        </w:tabs>
        <w:numPr>
          <w:ilvl w:val="0"/>
          <w:numId w:val="552"/>
        </w:numPr>
        <w:rPr>
          <w:rFonts w:ascii="Arial" w:cs="Arial" w:eastAsia="Arial" w:hAnsi="Arial"/>
          <w:sz w:val="17"/>
          <w:szCs w:val="17"/>
          <w:color w:val="auto"/>
        </w:rPr>
      </w:pPr>
      <w:r>
        <w:rPr>
          <w:rFonts w:ascii="Arial" w:cs="Arial" w:eastAsia="Arial" w:hAnsi="Arial"/>
          <w:sz w:val="17"/>
          <w:szCs w:val="17"/>
          <w:b w:val="1"/>
          <w:bCs w:val="1"/>
          <w:color w:val="auto"/>
        </w:rPr>
        <w:t xml:space="preserve">INSURANCE. </w:t>
      </w:r>
      <w:r>
        <w:rPr>
          <w:rFonts w:ascii="Arial" w:cs="Arial" w:eastAsia="Arial" w:hAnsi="Arial"/>
          <w:sz w:val="17"/>
          <w:szCs w:val="17"/>
          <w:color w:val="auto"/>
        </w:rPr>
        <w:t>Tenant will Indemnify and hold harmless Landlord from and against any loss, theft, damage or liability relating to any Event of Default or</w:t>
      </w:r>
      <w:r>
        <w:rPr>
          <w:rFonts w:ascii="Arial" w:cs="Arial" w:eastAsia="Arial" w:hAnsi="Arial"/>
          <w:sz w:val="17"/>
          <w:szCs w:val="17"/>
          <w:b w:val="1"/>
          <w:bCs w:val="1"/>
          <w:color w:val="auto"/>
        </w:rPr>
        <w:t xml:space="preserve"> </w:t>
      </w:r>
      <w:r>
        <w:rPr>
          <w:rFonts w:ascii="Arial" w:cs="Arial" w:eastAsia="Arial" w:hAnsi="Arial"/>
          <w:sz w:val="17"/>
          <w:szCs w:val="17"/>
          <w:color w:val="auto"/>
        </w:rPr>
        <w:t>any willful or negligent act on the part of Tenant, its agents, employees, or invitees, or persons permitted on the Premises by Tenant or by Landlord in accordance with Section 12. Tenant agrees to maintain, at Tenant’s sole cost and expense, insurance policies covering Tenant’s aforesaid indemnity with respect to Tenant’s use and occupancy of the Premises, as well as coverage for theft and damage. Such policies shall be issued in the name of Tenant and Landlord as their interest may appear, or shall contain an “additional insured” endorsement in favor of Landlord, and with limits of liability of at least ONE MILLION DOLLARS ($1,000,000.00) per occurrence for bodily injury and TWO HUNDRED THOUSAND DOLLARS ($200,000.00) per occurrence for property damage. Duplicate originals of such policies and endorsements shall be delivered to Landlord within thirty (30) days from the execution date hereof. This indemnity and waiver obligation shall survive the termination or expiration of the Lease.</w:t>
      </w:r>
    </w:p>
    <w:p>
      <w:pPr>
        <w:spacing w:after="0" w:line="180" w:lineRule="exact"/>
        <w:rPr>
          <w:sz w:val="20"/>
          <w:szCs w:val="20"/>
          <w:color w:val="auto"/>
        </w:rPr>
      </w:pPr>
    </w:p>
    <w:p>
      <w:pPr>
        <w:jc w:val="center"/>
        <w:ind w:left="10040"/>
        <w:spacing w:after="0"/>
        <w:rPr>
          <w:sz w:val="20"/>
          <w:szCs w:val="20"/>
          <w:color w:val="auto"/>
        </w:rPr>
      </w:pPr>
      <w:r>
        <w:rPr>
          <w:rFonts w:ascii="Arial" w:cs="Arial" w:eastAsia="Arial" w:hAnsi="Arial"/>
          <w:sz w:val="17"/>
          <w:szCs w:val="17"/>
          <w:color w:val="auto"/>
        </w:rPr>
        <w:t>CHL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6371590</wp:posOffset>
            </wp:positionH>
            <wp:positionV relativeFrom="paragraph">
              <wp:posOffset>17145</wp:posOffset>
            </wp:positionV>
            <wp:extent cx="88265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7" w:lineRule="exact"/>
        <w:rPr>
          <w:sz w:val="20"/>
          <w:szCs w:val="20"/>
          <w:color w:val="auto"/>
        </w:rPr>
      </w:pPr>
    </w:p>
    <w:p>
      <w:pPr>
        <w:jc w:val="center"/>
        <w:ind w:left="10040"/>
        <w:spacing w:after="0"/>
        <w:rPr>
          <w:sz w:val="20"/>
          <w:szCs w:val="20"/>
          <w:color w:val="auto"/>
        </w:rPr>
      </w:pPr>
      <w:r>
        <w:rPr>
          <w:rFonts w:ascii="Arial" w:cs="Arial" w:eastAsia="Arial" w:hAnsi="Arial"/>
          <w:sz w:val="17"/>
          <w:szCs w:val="17"/>
          <w:color w:val="auto"/>
        </w:rPr>
        <w:t>Tenant Initials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0" w:firstLine="5"/>
        <w:spacing w:after="0" w:line="297" w:lineRule="auto"/>
        <w:tabs>
          <w:tab w:leader="none" w:pos="546" w:val="left"/>
        </w:tabs>
        <w:numPr>
          <w:ilvl w:val="0"/>
          <w:numId w:val="5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RULES. </w:t>
      </w:r>
      <w:r>
        <w:rPr>
          <w:rFonts w:ascii="Arial" w:cs="Arial" w:eastAsia="Arial" w:hAnsi="Arial"/>
          <w:sz w:val="17"/>
          <w:szCs w:val="17"/>
          <w:color w:val="auto"/>
        </w:rPr>
        <w:t>Tenant shall abide by attached Building Rules and Regulations, which may be reasonably changed or amended, at any time, by Landlord to</w:t>
      </w:r>
      <w:r>
        <w:rPr>
          <w:rFonts w:ascii="Arial" w:cs="Arial" w:eastAsia="Arial" w:hAnsi="Arial"/>
          <w:sz w:val="17"/>
          <w:szCs w:val="17"/>
          <w:b w:val="1"/>
          <w:bCs w:val="1"/>
          <w:color w:val="auto"/>
        </w:rPr>
        <w:t xml:space="preserve"> </w:t>
      </w:r>
      <w:r>
        <w:rPr>
          <w:rFonts w:ascii="Arial" w:cs="Arial" w:eastAsia="Arial" w:hAnsi="Arial"/>
          <w:sz w:val="17"/>
          <w:szCs w:val="17"/>
          <w:color w:val="auto"/>
        </w:rPr>
        <w:t>promote a safe, orderly and professional Building environment.</w:t>
      </w:r>
    </w:p>
    <w:p>
      <w:pPr>
        <w:spacing w:after="0" w:line="145" w:lineRule="exact"/>
        <w:rPr>
          <w:sz w:val="20"/>
          <w:szCs w:val="20"/>
          <w:color w:val="auto"/>
        </w:rPr>
      </w:pPr>
    </w:p>
    <w:p>
      <w:pPr>
        <w:jc w:val="both"/>
        <w:ind w:right="540" w:firstLine="5"/>
        <w:spacing w:after="0" w:line="304" w:lineRule="auto"/>
        <w:tabs>
          <w:tab w:leader="none" w:pos="546" w:val="left"/>
        </w:tabs>
        <w:numPr>
          <w:ilvl w:val="0"/>
          <w:numId w:val="554"/>
        </w:numPr>
        <w:rPr>
          <w:rFonts w:ascii="Arial" w:cs="Arial" w:eastAsia="Arial" w:hAnsi="Arial"/>
          <w:sz w:val="15"/>
          <w:szCs w:val="15"/>
          <w:color w:val="auto"/>
        </w:rPr>
      </w:pPr>
      <w:r>
        <w:rPr>
          <w:rFonts w:ascii="Arial" w:cs="Arial" w:eastAsia="Arial" w:hAnsi="Arial"/>
          <w:sz w:val="15"/>
          <w:szCs w:val="15"/>
          <w:b w:val="1"/>
          <w:bCs w:val="1"/>
          <w:color w:val="auto"/>
        </w:rPr>
        <w:t xml:space="preserve">PARKING. </w:t>
      </w:r>
      <w:r>
        <w:rPr>
          <w:rFonts w:ascii="Arial" w:cs="Arial" w:eastAsia="Arial" w:hAnsi="Arial"/>
          <w:sz w:val="15"/>
          <w:szCs w:val="15"/>
          <w:color w:val="auto"/>
        </w:rPr>
        <w:t>Tenant and all Tenants’ employees shall comply with all municipal, subdivisional or other restrictive covenants imposed on Landlord.</w:t>
      </w:r>
      <w:r>
        <w:rPr>
          <w:rFonts w:ascii="Arial" w:cs="Arial" w:eastAsia="Arial" w:hAnsi="Arial"/>
          <w:sz w:val="15"/>
          <w:szCs w:val="15"/>
          <w:b w:val="1"/>
          <w:bCs w:val="1"/>
          <w:color w:val="auto"/>
        </w:rPr>
        <w:t xml:space="preserve"> </w:t>
      </w:r>
      <w:r>
        <w:rPr>
          <w:rFonts w:ascii="Arial" w:cs="Arial" w:eastAsia="Arial" w:hAnsi="Arial"/>
          <w:sz w:val="15"/>
          <w:szCs w:val="15"/>
          <w:color w:val="auto"/>
        </w:rPr>
        <w:t>Vehicles shall be towed at owner’s expense for any of the following violations: (a) parking in any area other than as specifically designated by Landlord; or</w:t>
      </w:r>
    </w:p>
    <w:p>
      <w:pPr>
        <w:ind w:right="200"/>
        <w:spacing w:after="0" w:line="309" w:lineRule="auto"/>
        <w:rPr>
          <w:rFonts w:ascii="Arial" w:cs="Arial" w:eastAsia="Arial" w:hAnsi="Arial"/>
          <w:sz w:val="15"/>
          <w:szCs w:val="15"/>
          <w:color w:val="auto"/>
        </w:rPr>
      </w:pPr>
      <w:r>
        <w:rPr>
          <w:rFonts w:ascii="Arial" w:cs="Arial" w:eastAsia="Arial" w:hAnsi="Arial"/>
          <w:sz w:val="15"/>
          <w:szCs w:val="15"/>
          <w:color w:val="auto"/>
        </w:rPr>
        <w:t>(b) lack of a properly displayed parking permit, if issued by Landlord; or (c) parking across stripes marking the parking spaces. Landlord, at its sole discretion, may designate the specific space or area in which vehicles shall be parked and may change the same from time to time. Landlord may make, modify, or enforce rules and regulations relating to the parking of vehicles, and Tenant hereby agrees to obey such rules and regulations. Tenant shall only use a prorata share of parking spaces as designated by Landlord. In the event the Building does not possess parking, Landlord shall not be responsible for providing parking.</w:t>
      </w:r>
    </w:p>
    <w:p>
      <w:pPr>
        <w:spacing w:after="0" w:line="149" w:lineRule="exact"/>
        <w:rPr>
          <w:sz w:val="20"/>
          <w:szCs w:val="20"/>
          <w:color w:val="auto"/>
        </w:rPr>
      </w:pPr>
    </w:p>
    <w:p>
      <w:pPr>
        <w:ind w:left="10560"/>
        <w:spacing w:after="0"/>
        <w:rPr>
          <w:sz w:val="20"/>
          <w:szCs w:val="20"/>
          <w:color w:val="auto"/>
        </w:rPr>
      </w:pPr>
      <w:r>
        <w:rPr>
          <w:rFonts w:ascii="Arial" w:cs="Arial" w:eastAsia="Arial" w:hAnsi="Arial"/>
          <w:sz w:val="17"/>
          <w:szCs w:val="17"/>
          <w:color w:val="auto"/>
        </w:rPr>
        <w:t>CHL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6371590</wp:posOffset>
            </wp:positionH>
            <wp:positionV relativeFrom="paragraph">
              <wp:posOffset>17145</wp:posOffset>
            </wp:positionV>
            <wp:extent cx="88265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ectPr>
          <w:pgSz w:w="11900" w:h="16838" w:orient="portrait"/>
          <w:cols w:equalWidth="0" w:num="1">
            <w:col w:w="11400"/>
          </w:cols>
          <w:pgMar w:left="240" w:top="121" w:right="259" w:bottom="0" w:gutter="0" w:footer="0" w:header="0"/>
        </w:sectPr>
      </w:pPr>
    </w:p>
    <w:bookmarkStart w:id="367" w:name="page368"/>
    <w:bookmarkEnd w:id="367"/>
    <w:p>
      <w:pPr>
        <w:ind w:left="10215"/>
        <w:spacing w:after="0"/>
        <w:rPr>
          <w:sz w:val="20"/>
          <w:szCs w:val="20"/>
          <w:color w:val="auto"/>
        </w:rPr>
      </w:pPr>
      <w:r>
        <w:rPr>
          <w:rFonts w:ascii="Arial" w:cs="Arial" w:eastAsia="Arial" w:hAnsi="Arial"/>
          <w:sz w:val="17"/>
          <w:szCs w:val="17"/>
          <w:color w:val="auto"/>
        </w:rPr>
        <w:t>Tenant Initials</w:t>
      </w:r>
    </w:p>
    <w:p>
      <w:pPr>
        <w:spacing w:after="0" w:line="224"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4"/>
        <w:spacing w:after="0"/>
        <w:rPr>
          <w:sz w:val="20"/>
          <w:szCs w:val="20"/>
          <w:color w:val="auto"/>
        </w:rPr>
      </w:pPr>
      <w:r>
        <w:rPr>
          <w:rFonts w:ascii="Arial" w:cs="Arial" w:eastAsia="Arial" w:hAnsi="Arial"/>
          <w:sz w:val="17"/>
          <w:szCs w:val="17"/>
          <w:b w:val="1"/>
          <w:bCs w:val="1"/>
          <w:color w:val="auto"/>
        </w:rPr>
        <w:t>BUILDING RULES AND REGULATIONS</w:t>
      </w:r>
    </w:p>
    <w:p>
      <w:pPr>
        <w:spacing w:after="0" w:line="230" w:lineRule="exact"/>
        <w:rPr>
          <w:sz w:val="20"/>
          <w:szCs w:val="20"/>
          <w:color w:val="auto"/>
        </w:rPr>
      </w:pPr>
    </w:p>
    <w:p>
      <w:pPr>
        <w:ind w:left="-5" w:right="100" w:firstLine="5"/>
        <w:spacing w:after="0" w:line="263" w:lineRule="auto"/>
        <w:tabs>
          <w:tab w:leader="none" w:pos="301" w:val="left"/>
        </w:tabs>
        <w:numPr>
          <w:ilvl w:val="0"/>
          <w:numId w:val="555"/>
        </w:numPr>
        <w:rPr>
          <w:rFonts w:ascii="Arial" w:cs="Arial" w:eastAsia="Arial" w:hAnsi="Arial"/>
          <w:sz w:val="17"/>
          <w:szCs w:val="17"/>
          <w:color w:val="auto"/>
        </w:rPr>
      </w:pPr>
      <w:r>
        <w:rPr>
          <w:rFonts w:ascii="Arial" w:cs="Arial" w:eastAsia="Arial" w:hAnsi="Arial"/>
          <w:sz w:val="17"/>
          <w:szCs w:val="17"/>
          <w:color w:val="auto"/>
        </w:rPr>
        <w:t>No sign, picture, advertisement, name or notice shall be inscribed, displayed or affixed on or to any part of the inside of the Building or the Premises without the prior written consent of Landlord and Landlord shall have the right to remove any such item at the expense of Tenant. All approved signs or lettering on doors and the building directory shall be printed, painted, affixed or inscribed at the expense of Tenant by a person approved by Landlord. Tenant shall not place anything near the glass of any window, door, partition or wall which may appear unsightly from outside the Premises; provided, however, that Landlord may furnish and install a Building standard window covering at all exterior windows. Tenant shall not, without written consent of Landlord, cover or otherwise sunscreen any window.</w:t>
      </w:r>
    </w:p>
    <w:p>
      <w:pPr>
        <w:spacing w:after="0" w:line="183" w:lineRule="exact"/>
        <w:rPr>
          <w:rFonts w:ascii="Arial" w:cs="Arial" w:eastAsia="Arial" w:hAnsi="Arial"/>
          <w:sz w:val="17"/>
          <w:szCs w:val="17"/>
          <w:color w:val="auto"/>
        </w:rPr>
      </w:pPr>
    </w:p>
    <w:p>
      <w:pPr>
        <w:ind w:left="255" w:hanging="255"/>
        <w:spacing w:after="0"/>
        <w:tabs>
          <w:tab w:leader="none" w:pos="255" w:val="left"/>
        </w:tabs>
        <w:numPr>
          <w:ilvl w:val="0"/>
          <w:numId w:val="555"/>
        </w:numPr>
        <w:rPr>
          <w:rFonts w:ascii="Arial" w:cs="Arial" w:eastAsia="Arial" w:hAnsi="Arial"/>
          <w:sz w:val="16"/>
          <w:szCs w:val="16"/>
          <w:color w:val="auto"/>
        </w:rPr>
      </w:pPr>
      <w:r>
        <w:rPr>
          <w:rFonts w:ascii="Arial" w:cs="Arial" w:eastAsia="Arial" w:hAnsi="Arial"/>
          <w:sz w:val="16"/>
          <w:szCs w:val="16"/>
          <w:color w:val="auto"/>
        </w:rPr>
        <w:t>Landlord shall approve in writing, prior to installation, any attachment of any object affixed to walls, ceilings, or doors other than pictures and similar items.</w:t>
      </w:r>
    </w:p>
    <w:p>
      <w:pPr>
        <w:spacing w:after="0" w:line="235" w:lineRule="exact"/>
        <w:rPr>
          <w:rFonts w:ascii="Arial" w:cs="Arial" w:eastAsia="Arial" w:hAnsi="Arial"/>
          <w:sz w:val="16"/>
          <w:szCs w:val="16"/>
          <w:color w:val="auto"/>
        </w:rPr>
      </w:pPr>
    </w:p>
    <w:p>
      <w:pPr>
        <w:ind w:left="-5" w:right="120" w:firstLine="5"/>
        <w:spacing w:after="0" w:line="289" w:lineRule="auto"/>
        <w:tabs>
          <w:tab w:leader="none" w:pos="301" w:val="left"/>
        </w:tabs>
        <w:numPr>
          <w:ilvl w:val="0"/>
          <w:numId w:val="555"/>
        </w:numPr>
        <w:rPr>
          <w:rFonts w:ascii="Arial" w:cs="Arial" w:eastAsia="Arial" w:hAnsi="Arial"/>
          <w:sz w:val="17"/>
          <w:szCs w:val="17"/>
          <w:color w:val="auto"/>
        </w:rPr>
      </w:pPr>
      <w:r>
        <w:rPr>
          <w:rFonts w:ascii="Arial" w:cs="Arial" w:eastAsia="Arial" w:hAnsi="Arial"/>
          <w:sz w:val="17"/>
          <w:szCs w:val="17"/>
          <w:color w:val="auto"/>
        </w:rPr>
        <w:t>The directory of the Building will be provided exclusively for the display of the name and location of Tenant only, and Landlord reserves the right to exclude any other names therefrom.</w:t>
      </w:r>
    </w:p>
    <w:p>
      <w:pPr>
        <w:spacing w:after="0" w:line="158" w:lineRule="exact"/>
        <w:rPr>
          <w:rFonts w:ascii="Arial" w:cs="Arial" w:eastAsia="Arial" w:hAnsi="Arial"/>
          <w:sz w:val="17"/>
          <w:szCs w:val="17"/>
          <w:color w:val="auto"/>
        </w:rPr>
      </w:pPr>
    </w:p>
    <w:p>
      <w:pPr>
        <w:ind w:left="-5" w:right="40" w:firstLine="5"/>
        <w:spacing w:after="0" w:line="283" w:lineRule="auto"/>
        <w:tabs>
          <w:tab w:leader="none" w:pos="301" w:val="left"/>
        </w:tabs>
        <w:numPr>
          <w:ilvl w:val="0"/>
          <w:numId w:val="555"/>
        </w:numPr>
        <w:rPr>
          <w:rFonts w:ascii="Arial" w:cs="Arial" w:eastAsia="Arial" w:hAnsi="Arial"/>
          <w:sz w:val="16"/>
          <w:szCs w:val="16"/>
          <w:color w:val="auto"/>
        </w:rPr>
      </w:pPr>
      <w:r>
        <w:rPr>
          <w:rFonts w:ascii="Arial" w:cs="Arial" w:eastAsia="Arial" w:hAnsi="Arial"/>
          <w:sz w:val="16"/>
          <w:szCs w:val="16"/>
          <w:color w:val="auto"/>
        </w:rPr>
        <w:t>The sidewalks, halls, passages, exits, entrances, elevators and stairways shall not be obstructed by Tenant or used by Tenant for any purpose other than ingress to and egress from the Premises. The halls, passages, exits, entrances, elevators, stairways, balconies and roof are not for the use of the general public and the Landlord shall in all cases retain the right to control and prevent access thereto by all persons whose presence in the judgment of the Landlord shall be prejudicial to the safety, character, reputation and interests of the Building and its tenants, provided that nothing herein contained shall be construed to prevent such access to persons with whom the Tenant normally deals in the ordinary course of Tenant’s business, unless such persons are engaged in illegal activities. No tenant and no employees or invitees of any tenant shall go upon the roof of the Building. Tenant shall not prop open the entry doors to Building or Premises.</w:t>
      </w:r>
    </w:p>
    <w:p>
      <w:pPr>
        <w:spacing w:after="0" w:line="166" w:lineRule="exact"/>
        <w:rPr>
          <w:rFonts w:ascii="Arial" w:cs="Arial" w:eastAsia="Arial" w:hAnsi="Arial"/>
          <w:sz w:val="16"/>
          <w:szCs w:val="16"/>
          <w:color w:val="auto"/>
        </w:rPr>
      </w:pPr>
    </w:p>
    <w:p>
      <w:pPr>
        <w:ind w:left="-5" w:right="60" w:firstLine="5"/>
        <w:spacing w:after="0" w:line="268" w:lineRule="auto"/>
        <w:tabs>
          <w:tab w:leader="none" w:pos="301" w:val="left"/>
        </w:tabs>
        <w:numPr>
          <w:ilvl w:val="0"/>
          <w:numId w:val="555"/>
        </w:numPr>
        <w:rPr>
          <w:rFonts w:ascii="Arial" w:cs="Arial" w:eastAsia="Arial" w:hAnsi="Arial"/>
          <w:sz w:val="17"/>
          <w:szCs w:val="17"/>
          <w:color w:val="auto"/>
        </w:rPr>
      </w:pPr>
      <w:r>
        <w:rPr>
          <w:rFonts w:ascii="Arial" w:cs="Arial" w:eastAsia="Arial" w:hAnsi="Arial"/>
          <w:sz w:val="17"/>
          <w:szCs w:val="17"/>
          <w:color w:val="auto"/>
        </w:rPr>
        <w:t>No additional locks or bolts of any kind shall be placed upon any of the doors or windows of the Premises or the Building by Tenant, nor shall any changes be made in existing locks or the mechanisms thereof without the prior written consent of the Landlord. Tenant must, upon the termination of its tenancy, return to Landlord all keys to the Premises. If Tenant fails to return any such key, Tenant shall pay to Landlord the cost of changing the locks to the Premises if Landlord deems it necessary to change such locks.</w:t>
      </w:r>
    </w:p>
    <w:p>
      <w:pPr>
        <w:spacing w:after="0" w:line="175" w:lineRule="exact"/>
        <w:rPr>
          <w:rFonts w:ascii="Arial" w:cs="Arial" w:eastAsia="Arial" w:hAnsi="Arial"/>
          <w:sz w:val="17"/>
          <w:szCs w:val="17"/>
          <w:color w:val="auto"/>
        </w:rPr>
      </w:pPr>
    </w:p>
    <w:p>
      <w:pPr>
        <w:ind w:left="-5" w:right="320" w:firstLine="57"/>
        <w:spacing w:after="0" w:line="273" w:lineRule="auto"/>
        <w:tabs>
          <w:tab w:leader="none" w:pos="310" w:val="left"/>
        </w:tabs>
        <w:numPr>
          <w:ilvl w:val="1"/>
          <w:numId w:val="555"/>
        </w:numPr>
        <w:rPr>
          <w:rFonts w:ascii="Arial" w:cs="Arial" w:eastAsia="Arial" w:hAnsi="Arial"/>
          <w:sz w:val="17"/>
          <w:szCs w:val="17"/>
          <w:color w:val="auto"/>
        </w:rPr>
      </w:pPr>
      <w:r>
        <w:rPr>
          <w:rFonts w:ascii="Arial" w:cs="Arial" w:eastAsia="Arial" w:hAnsi="Arial"/>
          <w:sz w:val="17"/>
          <w:szCs w:val="17"/>
          <w:color w:val="auto"/>
        </w:rPr>
        <w:t>The toilet rooms, urinals, wash bowls and other apparatus in the Premises or Building shall not be used for any purpose other than that of which they were constructed and no foreign substance of any kind whatsoever shall be thrown therein. The expense of any breakage, stoppage or damage resulting from the violation of this rule shall be borne by Tenant.</w:t>
      </w:r>
    </w:p>
    <w:p>
      <w:pPr>
        <w:spacing w:after="0" w:line="171" w:lineRule="exact"/>
        <w:rPr>
          <w:rFonts w:ascii="Arial" w:cs="Arial" w:eastAsia="Arial" w:hAnsi="Arial"/>
          <w:sz w:val="17"/>
          <w:szCs w:val="17"/>
          <w:color w:val="auto"/>
        </w:rPr>
      </w:pPr>
    </w:p>
    <w:p>
      <w:pPr>
        <w:jc w:val="both"/>
        <w:ind w:left="-5" w:right="260" w:firstLine="57"/>
        <w:spacing w:after="0" w:line="360" w:lineRule="auto"/>
        <w:tabs>
          <w:tab w:leader="none" w:pos="310" w:val="left"/>
        </w:tabs>
        <w:numPr>
          <w:ilvl w:val="1"/>
          <w:numId w:val="555"/>
        </w:numPr>
        <w:rPr>
          <w:rFonts w:ascii="Arial" w:cs="Arial" w:eastAsia="Arial" w:hAnsi="Arial"/>
          <w:sz w:val="15"/>
          <w:szCs w:val="15"/>
          <w:color w:val="auto"/>
        </w:rPr>
      </w:pPr>
      <w:r>
        <w:rPr>
          <w:rFonts w:ascii="Arial" w:cs="Arial" w:eastAsia="Arial" w:hAnsi="Arial"/>
          <w:sz w:val="15"/>
          <w:szCs w:val="15"/>
          <w:color w:val="auto"/>
        </w:rPr>
        <w:t>Tenant shall not overload the floor of the Premises, mark on, or drive nails, screw or drill into the partitions, woodwork or plaster or in any way deface the Premises or any part thereof. No boring, cutting or stringing of wires shall be permitted except with the prior written consent of and as the Landlord may direct.</w:t>
      </w:r>
    </w:p>
    <w:p>
      <w:pPr>
        <w:spacing w:after="0" w:line="112" w:lineRule="exact"/>
        <w:rPr>
          <w:sz w:val="20"/>
          <w:szCs w:val="20"/>
          <w:color w:val="auto"/>
        </w:rPr>
      </w:pPr>
    </w:p>
    <w:p>
      <w:pPr>
        <w:ind w:left="-5" w:right="120" w:firstLine="5"/>
        <w:spacing w:after="0" w:line="285" w:lineRule="auto"/>
        <w:tabs>
          <w:tab w:leader="none" w:pos="257" w:val="left"/>
        </w:tabs>
        <w:numPr>
          <w:ilvl w:val="0"/>
          <w:numId w:val="556"/>
        </w:numPr>
        <w:rPr>
          <w:rFonts w:ascii="Arial" w:cs="Arial" w:eastAsia="Arial" w:hAnsi="Arial"/>
          <w:sz w:val="16"/>
          <w:szCs w:val="16"/>
          <w:color w:val="auto"/>
        </w:rPr>
      </w:pPr>
      <w:r>
        <w:rPr>
          <w:rFonts w:ascii="Arial" w:cs="Arial" w:eastAsia="Arial" w:hAnsi="Arial"/>
          <w:sz w:val="16"/>
          <w:szCs w:val="16"/>
          <w:color w:val="auto"/>
        </w:rPr>
        <w:t>No furniture, freight or equipment of any kind shall be brought into the Building without the consent of Landlord and all moving of same into or out of the Building shall be done at such time and in such manner as Landlord shall designate. Landlord shall have the right to prescribe the weight, size and position of all safes and other heavy equipment brought into the Building and also the times and manner of moving the same in and out of the Building and any damage caused by moving or maintaining such safe or other property shall be repaired at the expense of Tenant. There shall not be used in any space, or in the public halls, of the Building, either by any tenant or others, any hand trucks except those equipped with rubber tires and side guards.</w:t>
      </w:r>
    </w:p>
    <w:p>
      <w:pPr>
        <w:spacing w:after="0" w:line="166" w:lineRule="exact"/>
        <w:rPr>
          <w:rFonts w:ascii="Arial" w:cs="Arial" w:eastAsia="Arial" w:hAnsi="Arial"/>
          <w:sz w:val="16"/>
          <w:szCs w:val="16"/>
          <w:color w:val="auto"/>
        </w:rPr>
      </w:pPr>
    </w:p>
    <w:p>
      <w:pPr>
        <w:ind w:left="-5" w:firstLine="5"/>
        <w:spacing w:after="0" w:line="268" w:lineRule="auto"/>
        <w:tabs>
          <w:tab w:leader="none" w:pos="301" w:val="left"/>
        </w:tabs>
        <w:numPr>
          <w:ilvl w:val="0"/>
          <w:numId w:val="556"/>
        </w:numPr>
        <w:rPr>
          <w:rFonts w:ascii="Arial" w:cs="Arial" w:eastAsia="Arial" w:hAnsi="Arial"/>
          <w:sz w:val="17"/>
          <w:szCs w:val="17"/>
          <w:color w:val="auto"/>
        </w:rPr>
      </w:pPr>
      <w:r>
        <w:rPr>
          <w:rFonts w:ascii="Arial" w:cs="Arial" w:eastAsia="Arial" w:hAnsi="Arial"/>
          <w:sz w:val="17"/>
          <w:szCs w:val="17"/>
          <w:color w:val="auto"/>
        </w:rPr>
        <w:t>Tenant shall not employ any person or persons for the purpose of cleaning the Premises without the consent of Landlord. Landlord shall be in no way responsible to Tenant for any loss of property from the Premises or other damage caused by Landlord’s janitorial service or any other person. Janitorial service will not include the cleaning of carpets and rugs, other than vacuuming. If the Premises requires more than building standard janitorial service, such excess service shall be at Tenant’s cost.</w:t>
      </w:r>
    </w:p>
    <w:p>
      <w:pPr>
        <w:spacing w:after="0" w:line="175" w:lineRule="exact"/>
        <w:rPr>
          <w:rFonts w:ascii="Arial" w:cs="Arial" w:eastAsia="Arial" w:hAnsi="Arial"/>
          <w:sz w:val="17"/>
          <w:szCs w:val="17"/>
          <w:color w:val="auto"/>
        </w:rPr>
      </w:pPr>
    </w:p>
    <w:p>
      <w:pPr>
        <w:ind w:left="355" w:hanging="355"/>
        <w:spacing w:after="0"/>
        <w:tabs>
          <w:tab w:leader="none" w:pos="355" w:val="left"/>
        </w:tabs>
        <w:numPr>
          <w:ilvl w:val="0"/>
          <w:numId w:val="556"/>
        </w:numPr>
        <w:rPr>
          <w:rFonts w:ascii="Arial" w:cs="Arial" w:eastAsia="Arial" w:hAnsi="Arial"/>
          <w:sz w:val="17"/>
          <w:szCs w:val="17"/>
          <w:color w:val="auto"/>
        </w:rPr>
      </w:pPr>
      <w:r>
        <w:rPr>
          <w:rFonts w:ascii="Arial" w:cs="Arial" w:eastAsia="Arial" w:hAnsi="Arial"/>
          <w:sz w:val="17"/>
          <w:szCs w:val="17"/>
          <w:color w:val="auto"/>
        </w:rPr>
        <w:t>No Tenant shall place anything in the hallways of the Building. No trash shall be placed in the common area.</w:t>
      </w:r>
    </w:p>
    <w:p>
      <w:pPr>
        <w:spacing w:after="0" w:line="224" w:lineRule="exact"/>
        <w:rPr>
          <w:rFonts w:ascii="Arial" w:cs="Arial" w:eastAsia="Arial" w:hAnsi="Arial"/>
          <w:sz w:val="17"/>
          <w:szCs w:val="17"/>
          <w:color w:val="auto"/>
        </w:rPr>
      </w:pPr>
    </w:p>
    <w:p>
      <w:pPr>
        <w:ind w:left="-5" w:right="580" w:firstLine="5"/>
        <w:spacing w:after="0" w:line="289" w:lineRule="auto"/>
        <w:tabs>
          <w:tab w:leader="none" w:pos="338" w:val="left"/>
        </w:tabs>
        <w:numPr>
          <w:ilvl w:val="0"/>
          <w:numId w:val="556"/>
        </w:numPr>
        <w:rPr>
          <w:rFonts w:ascii="Arial" w:cs="Arial" w:eastAsia="Arial" w:hAnsi="Arial"/>
          <w:sz w:val="17"/>
          <w:szCs w:val="17"/>
          <w:color w:val="auto"/>
        </w:rPr>
      </w:pPr>
      <w:r>
        <w:rPr>
          <w:rFonts w:ascii="Arial" w:cs="Arial" w:eastAsia="Arial" w:hAnsi="Arial"/>
          <w:sz w:val="17"/>
          <w:szCs w:val="17"/>
          <w:color w:val="auto"/>
        </w:rPr>
        <w:t>Tenant shall only be permitted use as general office space. No tenant shall occupy or permit any portion of the Premises to be occupied for lodging or sleeping or for any illegal purposes or permit any pet within the Premises or Building.</w:t>
      </w:r>
    </w:p>
    <w:p>
      <w:pPr>
        <w:spacing w:after="0" w:line="158" w:lineRule="exact"/>
        <w:rPr>
          <w:rFonts w:ascii="Arial" w:cs="Arial" w:eastAsia="Arial" w:hAnsi="Arial"/>
          <w:sz w:val="17"/>
          <w:szCs w:val="17"/>
          <w:color w:val="auto"/>
        </w:rPr>
      </w:pPr>
    </w:p>
    <w:p>
      <w:pPr>
        <w:ind w:left="-5" w:right="320" w:firstLine="5"/>
        <w:spacing w:after="0" w:line="289" w:lineRule="auto"/>
        <w:tabs>
          <w:tab w:leader="none" w:pos="345" w:val="left"/>
        </w:tabs>
        <w:numPr>
          <w:ilvl w:val="0"/>
          <w:numId w:val="556"/>
        </w:numPr>
        <w:rPr>
          <w:rFonts w:ascii="Arial" w:cs="Arial" w:eastAsia="Arial" w:hAnsi="Arial"/>
          <w:sz w:val="17"/>
          <w:szCs w:val="17"/>
          <w:color w:val="auto"/>
        </w:rPr>
      </w:pPr>
      <w:r>
        <w:rPr>
          <w:rFonts w:ascii="Arial" w:cs="Arial" w:eastAsia="Arial" w:hAnsi="Arial"/>
          <w:sz w:val="17"/>
          <w:szCs w:val="17"/>
          <w:color w:val="auto"/>
        </w:rPr>
        <w:t>Tenant shall not use or keep in the Premises or the Building any combustible fluid or material, including the use of space heaters, and shall not permit any open flame, including candles, incense, etc.</w:t>
      </w:r>
    </w:p>
    <w:p>
      <w:pPr>
        <w:spacing w:after="0" w:line="158" w:lineRule="exact"/>
        <w:rPr>
          <w:rFonts w:ascii="Arial" w:cs="Arial" w:eastAsia="Arial" w:hAnsi="Arial"/>
          <w:sz w:val="17"/>
          <w:szCs w:val="17"/>
          <w:color w:val="auto"/>
        </w:rPr>
      </w:pPr>
    </w:p>
    <w:p>
      <w:pPr>
        <w:ind w:left="-5" w:right="260" w:firstLine="5"/>
        <w:spacing w:after="0" w:line="322" w:lineRule="auto"/>
        <w:tabs>
          <w:tab w:leader="none" w:pos="388" w:val="left"/>
        </w:tabs>
        <w:numPr>
          <w:ilvl w:val="0"/>
          <w:numId w:val="556"/>
        </w:numPr>
        <w:rPr>
          <w:rFonts w:ascii="Arial" w:cs="Arial" w:eastAsia="Arial" w:hAnsi="Arial"/>
          <w:sz w:val="16"/>
          <w:szCs w:val="16"/>
          <w:color w:val="auto"/>
        </w:rPr>
      </w:pPr>
      <w:r>
        <w:rPr>
          <w:rFonts w:ascii="Arial" w:cs="Arial" w:eastAsia="Arial" w:hAnsi="Arial"/>
          <w:sz w:val="16"/>
          <w:szCs w:val="16"/>
          <w:color w:val="auto"/>
        </w:rPr>
        <w:t>Landlord will direct electricians as to where and how telephone wiring shall be located. No boring or cutting for wires will be allowed without the written consent of Landlord. The location of telephones, call boxes and other office equipment affixed to the Premises shall be subject to the approval of Landlord.</w:t>
      </w:r>
    </w:p>
    <w:p>
      <w:pPr>
        <w:spacing w:after="0" w:line="136" w:lineRule="exact"/>
        <w:rPr>
          <w:sz w:val="20"/>
          <w:szCs w:val="20"/>
          <w:color w:val="auto"/>
        </w:rPr>
      </w:pPr>
    </w:p>
    <w:p>
      <w:pPr>
        <w:ind w:left="-5" w:right="180" w:firstLine="57"/>
        <w:spacing w:after="0" w:line="265" w:lineRule="auto"/>
        <w:tabs>
          <w:tab w:leader="none" w:pos="397" w:val="left"/>
        </w:tabs>
        <w:numPr>
          <w:ilvl w:val="1"/>
          <w:numId w:val="557"/>
        </w:numPr>
        <w:rPr>
          <w:rFonts w:ascii="Arial" w:cs="Arial" w:eastAsia="Arial" w:hAnsi="Arial"/>
          <w:sz w:val="17"/>
          <w:szCs w:val="17"/>
          <w:color w:val="auto"/>
        </w:rPr>
      </w:pPr>
      <w:r>
        <w:rPr>
          <w:rFonts w:ascii="Arial" w:cs="Arial" w:eastAsia="Arial" w:hAnsi="Arial"/>
          <w:sz w:val="17"/>
          <w:szCs w:val="17"/>
          <w:color w:val="auto"/>
        </w:rPr>
        <w:t>No Tenant shall lay linoleum or other similar floor covering so that same shall be affixed to the floor of the Premises in any way except by a paste, or other material, which may easily be removed with water, the use of cement or other similar adhesive materials being expressly prohibited. The method of affixing any such linoleum or other similar floor covering to the floor, as well as the method of affixing carpets or rugs to the Premises, shall be subject to approval by Landlord. The expense of repairing any damage resulting from a violation of this rule shall be borne by the tenant by whom, or by whose agents, employees, or invitees, the damage shall have been caused.</w:t>
      </w:r>
    </w:p>
    <w:p>
      <w:pPr>
        <w:spacing w:after="0" w:line="179" w:lineRule="exact"/>
        <w:rPr>
          <w:rFonts w:ascii="Arial" w:cs="Arial" w:eastAsia="Arial" w:hAnsi="Arial"/>
          <w:sz w:val="17"/>
          <w:szCs w:val="17"/>
          <w:color w:val="auto"/>
        </w:rPr>
      </w:pPr>
    </w:p>
    <w:p>
      <w:pPr>
        <w:ind w:left="395" w:hanging="395"/>
        <w:spacing w:after="0"/>
        <w:tabs>
          <w:tab w:leader="none" w:pos="395" w:val="left"/>
        </w:tabs>
        <w:numPr>
          <w:ilvl w:val="0"/>
          <w:numId w:val="558"/>
        </w:numPr>
        <w:rPr>
          <w:rFonts w:ascii="Arial" w:cs="Arial" w:eastAsia="Arial" w:hAnsi="Arial"/>
          <w:sz w:val="17"/>
          <w:szCs w:val="17"/>
          <w:color w:val="auto"/>
        </w:rPr>
      </w:pPr>
      <w:r>
        <w:rPr>
          <w:rFonts w:ascii="Arial" w:cs="Arial" w:eastAsia="Arial" w:hAnsi="Arial"/>
          <w:sz w:val="17"/>
          <w:szCs w:val="17"/>
          <w:color w:val="auto"/>
        </w:rPr>
        <w:t>Tenant shall provide and use chair pads and carpet protectors at all desk and furniture locations.</w:t>
      </w:r>
    </w:p>
    <w:p>
      <w:pPr>
        <w:spacing w:after="0" w:line="224" w:lineRule="exact"/>
        <w:rPr>
          <w:rFonts w:ascii="Arial" w:cs="Arial" w:eastAsia="Arial" w:hAnsi="Arial"/>
          <w:sz w:val="17"/>
          <w:szCs w:val="17"/>
          <w:color w:val="auto"/>
        </w:rPr>
      </w:pPr>
    </w:p>
    <w:p>
      <w:pPr>
        <w:ind w:left="-5" w:right="380" w:firstLine="5"/>
        <w:spacing w:after="0" w:line="289" w:lineRule="auto"/>
        <w:tabs>
          <w:tab w:leader="none" w:pos="388" w:val="left"/>
        </w:tabs>
        <w:numPr>
          <w:ilvl w:val="0"/>
          <w:numId w:val="558"/>
        </w:numPr>
        <w:rPr>
          <w:rFonts w:ascii="Arial" w:cs="Arial" w:eastAsia="Arial" w:hAnsi="Arial"/>
          <w:sz w:val="17"/>
          <w:szCs w:val="17"/>
          <w:color w:val="auto"/>
        </w:rPr>
      </w:pPr>
      <w:r>
        <w:rPr>
          <w:rFonts w:ascii="Arial" w:cs="Arial" w:eastAsia="Arial" w:hAnsi="Arial"/>
          <w:sz w:val="17"/>
          <w:szCs w:val="17"/>
          <w:color w:val="auto"/>
        </w:rPr>
        <w:t>No furniture, packages, supplies, equipment or merchandise will be received in the Building or carried up or down in the elevators, except between such hours and in such elevators as shall be designated by Landlord.</w:t>
      </w:r>
    </w:p>
    <w:p>
      <w:pPr>
        <w:spacing w:after="0" w:line="158" w:lineRule="exact"/>
        <w:rPr>
          <w:rFonts w:ascii="Arial" w:cs="Arial" w:eastAsia="Arial" w:hAnsi="Arial"/>
          <w:sz w:val="17"/>
          <w:szCs w:val="17"/>
          <w:color w:val="auto"/>
        </w:rPr>
      </w:pPr>
    </w:p>
    <w:p>
      <w:pPr>
        <w:ind w:left="-5" w:right="120" w:firstLine="5"/>
        <w:spacing w:after="0" w:line="283" w:lineRule="auto"/>
        <w:tabs>
          <w:tab w:leader="none" w:pos="388" w:val="left"/>
        </w:tabs>
        <w:numPr>
          <w:ilvl w:val="0"/>
          <w:numId w:val="558"/>
        </w:numPr>
        <w:rPr>
          <w:rFonts w:ascii="Arial" w:cs="Arial" w:eastAsia="Arial" w:hAnsi="Arial"/>
          <w:sz w:val="16"/>
          <w:szCs w:val="16"/>
          <w:color w:val="auto"/>
        </w:rPr>
      </w:pPr>
      <w:r>
        <w:rPr>
          <w:rFonts w:ascii="Arial" w:cs="Arial" w:eastAsia="Arial" w:hAnsi="Arial"/>
          <w:sz w:val="16"/>
          <w:szCs w:val="16"/>
          <w:color w:val="auto"/>
        </w:rPr>
        <w:t>On Saturdays, Sundays and legal holidays and on any other days between the hours of 6:00 p.m. and 6:30 a.m., Landlord reserves the right to keep all doors to the Building locked, and access to the Building, or to the halls, corridors, elevators or stairways in the Building or to the Premises may be refused unless the person seeking access is an employee of the Building or is properly identified as a tenant of the Building. The Landlord shall in no case be liable for damages for any error with regard to the admission to or exclusion from the Building of any person. In case of natural disaster, hurricane, tornado, evacuation, invasion, mob, riot, public excitement, or other commotion, the Landlord reserves the right to prevent access to the Building during the continuance of the same by closing the doors or closure of the Building for the safety of the tenants and protection of property in the Building.</w:t>
      </w:r>
    </w:p>
    <w:p>
      <w:pPr>
        <w:sectPr>
          <w:pgSz w:w="11900" w:h="16838" w:orient="portrait"/>
          <w:cols w:equalWidth="0" w:num="1">
            <w:col w:w="11415"/>
          </w:cols>
          <w:pgMar w:left="245" w:top="127" w:right="239" w:bottom="0" w:gutter="0" w:footer="0" w:header="0"/>
        </w:sectPr>
      </w:pPr>
    </w:p>
    <w:bookmarkStart w:id="368" w:name="page369"/>
    <w:bookmarkEnd w:id="368"/>
    <w:p>
      <w:pPr>
        <w:ind w:left="-5" w:right="200" w:firstLine="5"/>
        <w:spacing w:after="0" w:line="268" w:lineRule="auto"/>
        <w:tabs>
          <w:tab w:leader="none" w:pos="388" w:val="left"/>
        </w:tabs>
        <w:numPr>
          <w:ilvl w:val="0"/>
          <w:numId w:val="559"/>
        </w:numPr>
        <w:rPr>
          <w:rFonts w:ascii="Arial" w:cs="Arial" w:eastAsia="Arial" w:hAnsi="Arial"/>
          <w:sz w:val="17"/>
          <w:szCs w:val="17"/>
          <w:color w:val="auto"/>
        </w:rPr>
      </w:pPr>
      <w:r>
        <w:rPr>
          <w:rFonts w:ascii="Arial" w:cs="Arial" w:eastAsia="Arial" w:hAnsi="Arial"/>
          <w:sz w:val="17"/>
          <w:szCs w:val="17"/>
          <w:color w:val="auto"/>
        </w:rPr>
        <w:t>Access to the Building and parking may be controlled by the use of electronic card key or by other method deemed necessary by Landlord. Tenant shall be issued card keys or other ingress/egress devices and a deposit for each card or device shall be paid upon issuance of the cards. In the event that Tenant shall damage or lose the card key(s) or device(s), then Tenant’s deposit for such card or device will be forfeited, and Tenant will be required to pay another equal deposit.</w:t>
      </w:r>
    </w:p>
    <w:p>
      <w:pPr>
        <w:spacing w:after="0" w:line="175" w:lineRule="exact"/>
        <w:rPr>
          <w:rFonts w:ascii="Arial" w:cs="Arial" w:eastAsia="Arial" w:hAnsi="Arial"/>
          <w:sz w:val="17"/>
          <w:szCs w:val="17"/>
          <w:color w:val="auto"/>
        </w:rPr>
      </w:pPr>
    </w:p>
    <w:p>
      <w:pPr>
        <w:ind w:left="355" w:hanging="355"/>
        <w:spacing w:after="0"/>
        <w:tabs>
          <w:tab w:leader="none" w:pos="355" w:val="left"/>
        </w:tabs>
        <w:numPr>
          <w:ilvl w:val="0"/>
          <w:numId w:val="559"/>
        </w:numPr>
        <w:rPr>
          <w:rFonts w:ascii="Arial" w:cs="Arial" w:eastAsia="Arial" w:hAnsi="Arial"/>
          <w:sz w:val="17"/>
          <w:szCs w:val="17"/>
          <w:color w:val="auto"/>
        </w:rPr>
      </w:pPr>
      <w:r>
        <w:rPr>
          <w:rFonts w:ascii="Arial" w:cs="Arial" w:eastAsia="Arial" w:hAnsi="Arial"/>
          <w:sz w:val="17"/>
          <w:szCs w:val="17"/>
          <w:color w:val="auto"/>
        </w:rPr>
        <w:t>Smoking is prohibited in the Premises and common areas of the Building at all times.</w:t>
      </w:r>
    </w:p>
    <w:p>
      <w:pPr>
        <w:spacing w:after="0" w:line="224" w:lineRule="exact"/>
        <w:rPr>
          <w:rFonts w:ascii="Arial" w:cs="Arial" w:eastAsia="Arial" w:hAnsi="Arial"/>
          <w:sz w:val="17"/>
          <w:szCs w:val="17"/>
          <w:color w:val="auto"/>
        </w:rPr>
      </w:pPr>
    </w:p>
    <w:p>
      <w:pPr>
        <w:ind w:left="-5" w:right="180" w:firstLine="5"/>
        <w:spacing w:after="0" w:line="265" w:lineRule="auto"/>
        <w:tabs>
          <w:tab w:leader="none" w:pos="305" w:val="left"/>
        </w:tabs>
        <w:numPr>
          <w:ilvl w:val="0"/>
          <w:numId w:val="559"/>
        </w:numPr>
        <w:rPr>
          <w:rFonts w:ascii="Arial" w:cs="Arial" w:eastAsia="Arial" w:hAnsi="Arial"/>
          <w:sz w:val="17"/>
          <w:szCs w:val="17"/>
          <w:color w:val="auto"/>
        </w:rPr>
      </w:pPr>
      <w:r>
        <w:rPr>
          <w:rFonts w:ascii="Arial" w:cs="Arial" w:eastAsia="Arial" w:hAnsi="Arial"/>
          <w:sz w:val="17"/>
          <w:szCs w:val="17"/>
          <w:color w:val="auto"/>
        </w:rPr>
        <w:t>In order to receive a refund of its security deposit, if any, Tenant agrees to provide a forwarding address to Landlord, in writing, on or before the termination date of the Lease. Tenant agrees that it waives any rights and remedies with regard to the security deposit if it fails to provide such forwarding address to Landlord, in writing, on or before the termination date of the Lease, including waiver of the right to receive a refund and to receive a description of damages and charges. Landlord shall have sixty (60) days from the date Tenant surrenders the premises and Landlord’s receipt of Tenant’s forwarding address, to refund the security deposit and/or provide a written description of damages and charges.</w:t>
      </w:r>
    </w:p>
    <w:p>
      <w:pPr>
        <w:spacing w:after="0" w:line="179" w:lineRule="exact"/>
        <w:rPr>
          <w:rFonts w:ascii="Arial" w:cs="Arial" w:eastAsia="Arial" w:hAnsi="Arial"/>
          <w:sz w:val="17"/>
          <w:szCs w:val="17"/>
          <w:color w:val="auto"/>
        </w:rPr>
      </w:pPr>
    </w:p>
    <w:p>
      <w:pPr>
        <w:ind w:left="-5" w:firstLine="5"/>
        <w:spacing w:after="0" w:line="314" w:lineRule="auto"/>
        <w:tabs>
          <w:tab w:leader="none" w:pos="305" w:val="left"/>
        </w:tabs>
        <w:numPr>
          <w:ilvl w:val="0"/>
          <w:numId w:val="559"/>
        </w:numPr>
        <w:rPr>
          <w:rFonts w:ascii="Arial" w:cs="Arial" w:eastAsia="Arial" w:hAnsi="Arial"/>
          <w:sz w:val="15"/>
          <w:szCs w:val="15"/>
          <w:color w:val="auto"/>
        </w:rPr>
      </w:pPr>
      <w:r>
        <w:rPr>
          <w:rFonts w:ascii="Arial" w:cs="Arial" w:eastAsia="Arial" w:hAnsi="Arial"/>
          <w:sz w:val="15"/>
          <w:szCs w:val="15"/>
          <w:color w:val="auto"/>
        </w:rPr>
        <w:t>Landlord reserves the right to charge Tenant, and require payment in advance, for services and/or expenses not required of Landlord under this Lease, or incurred in relation to the Lease. Such charges include, but are not limited to, processing “bounced” checks, changing locks, reviewing and signing lien waivers, lease assignments, sublet documents, providing after hours HVAC rates, etc. A list of charges can be obtained from the Landlord’s representative. The charges are based on the cost to the Landlord or its management company to provide the service which is charged for, and are subject to change at anytime without notice.</w:t>
      </w:r>
    </w:p>
    <w:p>
      <w:pPr>
        <w:spacing w:after="0" w:line="146" w:lineRule="exact"/>
        <w:rPr>
          <w:rFonts w:ascii="Arial" w:cs="Arial" w:eastAsia="Arial" w:hAnsi="Arial"/>
          <w:sz w:val="15"/>
          <w:szCs w:val="15"/>
          <w:color w:val="auto"/>
        </w:rPr>
      </w:pPr>
    </w:p>
    <w:p>
      <w:pPr>
        <w:ind w:left="-5" w:right="80" w:firstLine="5"/>
        <w:spacing w:after="0" w:line="289" w:lineRule="auto"/>
        <w:tabs>
          <w:tab w:leader="none" w:pos="301" w:val="left"/>
        </w:tabs>
        <w:numPr>
          <w:ilvl w:val="0"/>
          <w:numId w:val="559"/>
        </w:numPr>
        <w:rPr>
          <w:rFonts w:ascii="Arial" w:cs="Arial" w:eastAsia="Arial" w:hAnsi="Arial"/>
          <w:sz w:val="17"/>
          <w:szCs w:val="17"/>
          <w:color w:val="auto"/>
        </w:rPr>
      </w:pPr>
      <w:r>
        <w:rPr>
          <w:rFonts w:ascii="Arial" w:cs="Arial" w:eastAsia="Arial" w:hAnsi="Arial"/>
          <w:sz w:val="17"/>
          <w:szCs w:val="17"/>
          <w:color w:val="auto"/>
        </w:rPr>
        <w:t>Landlord reserves the right to exclude or expel from the Building any person who, in the judgment of Landlord, is intoxicated or under the influence of liquor or drugs, or who shall in any manner do any act in violation of any of the Rules and Regulations of the Building.</w:t>
      </w:r>
    </w:p>
    <w:p>
      <w:pPr>
        <w:spacing w:after="0" w:line="152" w:lineRule="exact"/>
        <w:rPr>
          <w:sz w:val="20"/>
          <w:szCs w:val="20"/>
          <w:color w:val="auto"/>
        </w:rPr>
      </w:pPr>
    </w:p>
    <w:p>
      <w:pPr>
        <w:jc w:val="center"/>
        <w:ind w:right="-14"/>
        <w:spacing w:after="0"/>
        <w:rPr>
          <w:sz w:val="20"/>
          <w:szCs w:val="20"/>
          <w:color w:val="auto"/>
        </w:rPr>
      </w:pPr>
      <w:r>
        <w:rPr>
          <w:rFonts w:ascii="Arial" w:cs="Arial" w:eastAsia="Arial" w:hAnsi="Arial"/>
          <w:sz w:val="17"/>
          <w:szCs w:val="17"/>
          <w:b w:val="1"/>
          <w:bCs w:val="1"/>
          <w:color w:val="auto"/>
        </w:rPr>
        <w:t>Rules - 1</w:t>
      </w:r>
    </w:p>
    <w:p>
      <w:pPr>
        <w:spacing w:after="0" w:line="230" w:lineRule="exact"/>
        <w:rPr>
          <w:sz w:val="20"/>
          <w:szCs w:val="20"/>
          <w:color w:val="auto"/>
        </w:rPr>
      </w:pPr>
    </w:p>
    <w:p>
      <w:pPr>
        <w:jc w:val="center"/>
        <w:ind w:left="10040"/>
        <w:spacing w:after="0"/>
        <w:rPr>
          <w:sz w:val="20"/>
          <w:szCs w:val="20"/>
          <w:color w:val="auto"/>
        </w:rPr>
      </w:pPr>
      <w:r>
        <w:rPr>
          <w:rFonts w:ascii="Arial" w:cs="Arial" w:eastAsia="Arial" w:hAnsi="Arial"/>
          <w:sz w:val="17"/>
          <w:szCs w:val="17"/>
          <w:color w:val="auto"/>
        </w:rPr>
        <w:t>CHL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6368415</wp:posOffset>
            </wp:positionH>
            <wp:positionV relativeFrom="paragraph">
              <wp:posOffset>17145</wp:posOffset>
            </wp:positionV>
            <wp:extent cx="88265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7" w:lineRule="exact"/>
        <w:rPr>
          <w:sz w:val="20"/>
          <w:szCs w:val="20"/>
          <w:color w:val="auto"/>
        </w:rPr>
      </w:pPr>
    </w:p>
    <w:p>
      <w:pPr>
        <w:jc w:val="center"/>
        <w:ind w:left="10040"/>
        <w:spacing w:after="0"/>
        <w:rPr>
          <w:sz w:val="20"/>
          <w:szCs w:val="20"/>
          <w:color w:val="auto"/>
        </w:rPr>
      </w:pPr>
      <w:r>
        <w:rPr>
          <w:rFonts w:ascii="Arial" w:cs="Arial" w:eastAsia="Arial" w:hAnsi="Arial"/>
          <w:sz w:val="17"/>
          <w:szCs w:val="17"/>
          <w:color w:val="auto"/>
        </w:rPr>
        <w:t>Tenant Initials</w:t>
      </w:r>
    </w:p>
    <w:p>
      <w:pPr>
        <w:spacing w:after="0" w:line="224"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Exhibit “A”</w:t>
      </w:r>
    </w:p>
    <w:p>
      <w:pPr>
        <w:spacing w:after="0" w:line="26"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12808 W. Airport</w:t>
      </w:r>
    </w:p>
    <w:p>
      <w:pPr>
        <w:spacing w:after="0" w:line="14"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First (1</w:t>
      </w:r>
      <w:r>
        <w:rPr>
          <w:rFonts w:ascii="Arial" w:cs="Arial" w:eastAsia="Arial" w:hAnsi="Arial"/>
          <w:sz w:val="22"/>
          <w:szCs w:val="22"/>
          <w:color w:val="auto"/>
          <w:vertAlign w:val="superscript"/>
        </w:rPr>
        <w:t>st</w:t>
      </w:r>
      <w:r>
        <w:rPr>
          <w:rFonts w:ascii="Arial" w:cs="Arial" w:eastAsia="Arial" w:hAnsi="Arial"/>
          <w:sz w:val="17"/>
          <w:szCs w:val="17"/>
          <w:color w:val="auto"/>
        </w:rPr>
        <w:t>)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106045</wp:posOffset>
            </wp:positionV>
            <wp:extent cx="5985510" cy="424561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5985510" cy="424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10040"/>
        <w:spacing w:after="0"/>
        <w:rPr>
          <w:sz w:val="20"/>
          <w:szCs w:val="20"/>
          <w:color w:val="auto"/>
        </w:rPr>
      </w:pPr>
      <w:r>
        <w:rPr>
          <w:rFonts w:ascii="Arial" w:cs="Arial" w:eastAsia="Arial" w:hAnsi="Arial"/>
          <w:sz w:val="17"/>
          <w:szCs w:val="17"/>
          <w:color w:val="auto"/>
        </w:rPr>
        <w:t>CHL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6368415</wp:posOffset>
            </wp:positionH>
            <wp:positionV relativeFrom="paragraph">
              <wp:posOffset>17145</wp:posOffset>
            </wp:positionV>
            <wp:extent cx="88265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7" w:lineRule="exact"/>
        <w:rPr>
          <w:sz w:val="20"/>
          <w:szCs w:val="20"/>
          <w:color w:val="auto"/>
        </w:rPr>
      </w:pPr>
    </w:p>
    <w:p>
      <w:pPr>
        <w:jc w:val="center"/>
        <w:ind w:left="10040"/>
        <w:spacing w:after="0"/>
        <w:rPr>
          <w:sz w:val="20"/>
          <w:szCs w:val="20"/>
          <w:color w:val="auto"/>
        </w:rPr>
      </w:pPr>
      <w:r>
        <w:rPr>
          <w:rFonts w:ascii="Arial" w:cs="Arial" w:eastAsia="Arial" w:hAnsi="Arial"/>
          <w:sz w:val="17"/>
          <w:szCs w:val="17"/>
          <w:color w:val="auto"/>
        </w:rPr>
        <w:t>Tenant Initials</w:t>
      </w:r>
    </w:p>
    <w:p>
      <w:pPr>
        <w:spacing w:after="0" w:line="224"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Exhibit “B”</w:t>
      </w:r>
    </w:p>
    <w:p>
      <w:pPr>
        <w:spacing w:after="0" w:line="26"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12808 W. Airport</w:t>
      </w:r>
    </w:p>
    <w:p>
      <w:pPr>
        <w:spacing w:after="0" w:line="14"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Suite 175</w:t>
      </w:r>
    </w:p>
    <w:p>
      <w:pPr>
        <w:sectPr>
          <w:pgSz w:w="11900" w:h="16838" w:orient="portrait"/>
          <w:cols w:equalWidth="0" w:num="1">
            <w:col w:w="11415"/>
          </w:cols>
          <w:pgMar w:left="245" w:top="337" w:right="239" w:bottom="0" w:gutter="0" w:footer="0" w:header="0"/>
        </w:sectPr>
      </w:pPr>
    </w:p>
    <w:bookmarkStart w:id="369" w:name="page370"/>
    <w:bookmarkEnd w:id="3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946150</wp:posOffset>
            </wp:positionH>
            <wp:positionV relativeFrom="page">
              <wp:posOffset>221615</wp:posOffset>
            </wp:positionV>
            <wp:extent cx="5668645" cy="680910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clrChange>
                        <a:clrFrom>
                          <a:srgbClr val="FFFFFF"/>
                        </a:clrFrom>
                        <a:clrTo>
                          <a:srgbClr val="FFFFFF">
                            <a:alpha val="0"/>
                          </a:srgbClr>
                        </a:clrTo>
                      </a:clrChange>
                      <a:extLst>
                        <a:ext uri="{28A0092B-C50C-407E-A947-70E740481C1C}"/>
                      </a:extLst>
                    </a:blip>
                    <a:srcRect/>
                    <a:stretch>
                      <a:fillRect/>
                    </a:stretch>
                  </pic:blipFill>
                  <pic:spPr bwMode="auto">
                    <a:xfrm>
                      <a:off x="0" y="0"/>
                      <a:ext cx="5668645" cy="680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10020"/>
        <w:spacing w:after="0"/>
        <w:rPr>
          <w:sz w:val="20"/>
          <w:szCs w:val="20"/>
          <w:color w:val="auto"/>
        </w:rPr>
      </w:pPr>
      <w:r>
        <w:rPr>
          <w:rFonts w:ascii="Arial" w:cs="Arial" w:eastAsia="Arial" w:hAnsi="Arial"/>
          <w:sz w:val="17"/>
          <w:szCs w:val="17"/>
          <w:color w:val="auto"/>
        </w:rPr>
        <w:t>CHL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6371590</wp:posOffset>
            </wp:positionH>
            <wp:positionV relativeFrom="paragraph">
              <wp:posOffset>17145</wp:posOffset>
            </wp:positionV>
            <wp:extent cx="88265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7" w:lineRule="exact"/>
        <w:rPr>
          <w:sz w:val="20"/>
          <w:szCs w:val="20"/>
          <w:color w:val="auto"/>
        </w:rPr>
      </w:pPr>
    </w:p>
    <w:p>
      <w:pPr>
        <w:jc w:val="center"/>
        <w:ind w:left="10020"/>
        <w:spacing w:after="0"/>
        <w:rPr>
          <w:sz w:val="20"/>
          <w:szCs w:val="20"/>
          <w:color w:val="auto"/>
        </w:rPr>
      </w:pPr>
      <w:r>
        <w:rPr>
          <w:rFonts w:ascii="Arial" w:cs="Arial" w:eastAsia="Arial" w:hAnsi="Arial"/>
          <w:sz w:val="16"/>
          <w:szCs w:val="16"/>
          <w:color w:val="auto"/>
        </w:rPr>
        <w:t>Tenant Initials</w:t>
      </w:r>
    </w:p>
    <w:p>
      <w:pPr>
        <w:spacing w:after="0" w:line="23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EXHIBIT “P”</w:t>
      </w:r>
    </w:p>
    <w:p>
      <w:pPr>
        <w:spacing w:after="0" w:line="3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Special Provision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Right to Occupy</w:t>
      </w:r>
      <w:r>
        <w:rPr>
          <w:rFonts w:ascii="Arial" w:cs="Arial" w:eastAsia="Arial" w:hAnsi="Arial"/>
          <w:sz w:val="16"/>
          <w:szCs w:val="16"/>
          <w:i w:val="1"/>
          <w:iCs w:val="1"/>
          <w:u w:val="single" w:color="auto"/>
          <w:color w:val="auto"/>
        </w:rPr>
        <w:t>:</w:t>
      </w:r>
      <w:r>
        <w:rPr>
          <w:rFonts w:ascii="Arial" w:cs="Arial" w:eastAsia="Arial" w:hAnsi="Arial"/>
          <w:sz w:val="16"/>
          <w:szCs w:val="16"/>
          <w:color w:val="auto"/>
        </w:rPr>
        <w:t xml:space="preserve"> Tenant shall have the right to occupy the Premises from the substantial completion of construction to April 30, 2012 at no additional charge.</w:t>
      </w:r>
    </w:p>
    <w:p>
      <w:pPr>
        <w:spacing w:after="0" w:line="236"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u w:val="single" w:color="auto"/>
          <w:color w:val="auto"/>
        </w:rPr>
        <w:t>Tenant Improvements:</w:t>
      </w:r>
      <w:r>
        <w:rPr>
          <w:rFonts w:ascii="Arial" w:cs="Arial" w:eastAsia="Arial" w:hAnsi="Arial"/>
          <w:sz w:val="17"/>
          <w:szCs w:val="17"/>
          <w:color w:val="auto"/>
        </w:rPr>
        <w:t xml:space="preserve"> Landlord, at its sole cost, shall install forty three (43) feet of building standard wall, demo six (6) feet of wall, relocate one building standard double door, and install building standard vct tile in the bullpen area. Tenant is responsible for all other costs.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Option to Renew</w:t>
      </w:r>
    </w:p>
    <w:p>
      <w:pPr>
        <w:spacing w:after="0" w:line="22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So long as there does not exist an uncured Event of Default at the time it exercises this option, Tenant shall have the right to renew this Lease for an additional twenty-four (24) months beginning on May 1, 2014 and ending on April 30, 2016 at prevailing market rates with at least one hundred twenty (120) days and not more than one hundred eighty (180) days prior written notice to Landlord. This option to renew shall be null and void if the Tenant has been in Default for non-payment of Rent more than two (2) times during the original Lease term.</w:t>
      </w:r>
    </w:p>
    <w:p>
      <w:pPr>
        <w:spacing w:after="0" w:line="176" w:lineRule="exact"/>
        <w:rPr>
          <w:sz w:val="20"/>
          <w:szCs w:val="20"/>
          <w:color w:val="auto"/>
        </w:rPr>
      </w:pPr>
    </w:p>
    <w:p>
      <w:pPr>
        <w:jc w:val="center"/>
        <w:ind w:left="10020"/>
        <w:spacing w:after="0"/>
        <w:rPr>
          <w:sz w:val="20"/>
          <w:szCs w:val="20"/>
          <w:color w:val="auto"/>
        </w:rPr>
      </w:pPr>
      <w:r>
        <w:rPr>
          <w:rFonts w:ascii="Arial" w:cs="Arial" w:eastAsia="Arial" w:hAnsi="Arial"/>
          <w:sz w:val="17"/>
          <w:szCs w:val="17"/>
          <w:color w:val="auto"/>
        </w:rPr>
        <w:t>CHL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6371590</wp:posOffset>
            </wp:positionH>
            <wp:positionV relativeFrom="paragraph">
              <wp:posOffset>17145</wp:posOffset>
            </wp:positionV>
            <wp:extent cx="88265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7" w:lineRule="exact"/>
        <w:rPr>
          <w:sz w:val="20"/>
          <w:szCs w:val="20"/>
          <w:color w:val="auto"/>
        </w:rPr>
      </w:pPr>
    </w:p>
    <w:p>
      <w:pPr>
        <w:jc w:val="center"/>
        <w:ind w:left="10020"/>
        <w:spacing w:after="0"/>
        <w:rPr>
          <w:sz w:val="20"/>
          <w:szCs w:val="20"/>
          <w:color w:val="auto"/>
        </w:rPr>
      </w:pPr>
      <w:r>
        <w:rPr>
          <w:rFonts w:ascii="Arial" w:cs="Arial" w:eastAsia="Arial" w:hAnsi="Arial"/>
          <w:sz w:val="16"/>
          <w:szCs w:val="16"/>
          <w:color w:val="auto"/>
        </w:rPr>
        <w:t>Tenant Initials</w:t>
      </w:r>
    </w:p>
    <w:p>
      <w:pPr>
        <w:sectPr>
          <w:pgSz w:w="11900" w:h="16838" w:orient="portrait"/>
          <w:cols w:equalWidth="0" w:num="1">
            <w:col w:w="11220"/>
          </w:cols>
          <w:pgMar w:left="240" w:top="1440" w:right="439" w:bottom="0" w:gutter="0" w:footer="0" w:header="0"/>
        </w:sectPr>
      </w:pPr>
    </w:p>
    <w:bookmarkStart w:id="370" w:name="page371"/>
    <w:bookmarkEnd w:id="370"/>
    <w:p>
      <w:pPr>
        <w:jc w:val="center"/>
        <w:ind w:right="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Tenant Representation Letter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about Brokerage Services</w:t>
      </w:r>
    </w:p>
    <w:p>
      <w:pPr>
        <w:spacing w:after="0" w:line="230"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Before working with a real estate broker, you should know that the duties of a broker depend on whom the broker represents. If you are a prospective seller or landlord (owner) or a prospective buyer or tenant (buyer), you should know that the broker who lists the property for sale or lease is the owner’s agent. A broker who acts as a subagent represents the owner in cooperation with the listing broker. A broker who acts as a buyer’s agent represents the buyer. A broker may act as an intermediary between the parties if the parties consent in writing. A broker can assist you in locating a property, preparing a contract or lease, or obtaining financing without representing you. A broker is obligated by law to treat you honestly.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THE BROKER REPRESENTS THE OWNER:</w:t>
      </w:r>
    </w:p>
    <w:p>
      <w:pPr>
        <w:spacing w:after="0" w:line="23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broker becomes the owner’s agent by entering into an agreement with the owner, usually through a written listing agreement, or by agreeing to act as a subagent by accepting an offer of sub agency from the listing broker. A subagent may work in a different real estate office. A listing broker or subagent can assist the buyer but does not represent the buyer and must place the interests of the owner first. The buyer should not tell the owner’s agent anything the buyer would not want the owner to know because an owner’s agent must disclose to the owner any material information known to the agent.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THE BROKER REPRESENTS THE BUYER:</w:t>
      </w:r>
    </w:p>
    <w:p>
      <w:pPr>
        <w:spacing w:after="0" w:line="230"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The broker becomes the buyer’s agent by entering into an agreement to represent the buyer, usually through a written buyer representation agreement. A buyer’s agent can assist the owner but does not represent the owner and must place the interests of the buyer first. The owner should not tell a buyer’s agent anything the owner would not want the buyer to know because a buyer’s agent must disclose to the buyer any material information known to the agent.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THE BROKER ACTS AS AN INTERMEDIARY:</w:t>
      </w:r>
    </w:p>
    <w:p>
      <w:pPr>
        <w:spacing w:after="0" w:line="230"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A broker may act as an intermediary between the parties if the broker complies with The Texas Real Estate License Act. The broker must obtain the written consent of each party to the transaction to act as an intermediary. The written consent must state who will pay the broker and, in conspicuous bold or underlined print, set forth the broker’s obligations as an intermediary. The broker is required to treat each party honestly and fairly and to comply with The Texas Real Estate License Act. A broker who acts as an intermediary in a transaction: (1) shall treat all parties honestly; (2) may not disclose that the owner will accept a price less than the asking price unless authorized in writing to do so by the owner; (3) may not disclose that the buyer will pay a price greater than the price submitted in a written offer unless authorized in writing to do so by the buyer; and (4) may not disclose any confidential information or any information that a party specifically instructs the broker in writing not to disclose unless authorized in writing to disclose the information or required to do so by The Texas Real Estate License Act or a court order or if the information materially relates to the condition of the property. With the parties’ consent, a broker acting as an intermediary between the parties may appoint a person who is licensed under The Texas Real Estate License Act and associated with the broker to communicate with and carry out instructions of one party and another person who is licensed under that Act and associated with the broker to communicate with and carry out instructions of the other party. If you choose to have a broker represent you, you should enter into a written agreement with the broker that clearly establishes the broker’s obligations and your obligations. The agreement should state how and by whom the broker will be paid. You have the right to choose the type of representation, if any, you wish to receive. Your payment of a fee to a broker does not necessarily establish that the broker represents you. If you have any questions regarding the duties and responsibilities of the broker, you should resolve those questions before proceeding.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Pr>
          <w:p>
            <w:pPr>
              <w:spacing w:after="0"/>
              <w:rPr>
                <w:sz w:val="20"/>
                <w:szCs w:val="20"/>
                <w:color w:val="auto"/>
              </w:rPr>
            </w:pPr>
            <w:r>
              <w:rPr>
                <w:rFonts w:ascii="Arial" w:cs="Arial" w:eastAsia="Arial" w:hAnsi="Arial"/>
                <w:sz w:val="17"/>
                <w:szCs w:val="17"/>
                <w:b w:val="1"/>
                <w:bCs w:val="1"/>
                <w:color w:val="auto"/>
              </w:rPr>
              <w:t>TENANT REPRESENTATION</w:t>
            </w:r>
          </w:p>
        </w:tc>
        <w:tc>
          <w:tcPr>
            <w:tcW w:w="20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2"/>
        </w:trPr>
        <w:tc>
          <w:tcPr>
            <w:tcW w:w="3720" w:type="dxa"/>
            <w:vAlign w:val="bottom"/>
          </w:tcPr>
          <w:p>
            <w:pPr>
              <w:spacing w:after="0"/>
              <w:rPr>
                <w:sz w:val="20"/>
                <w:szCs w:val="20"/>
                <w:color w:val="auto"/>
              </w:rPr>
            </w:pPr>
            <w:r>
              <w:rPr>
                <w:rFonts w:ascii="Arial" w:cs="Arial" w:eastAsia="Arial" w:hAnsi="Arial"/>
                <w:sz w:val="17"/>
                <w:szCs w:val="17"/>
                <w:color w:val="auto"/>
              </w:rPr>
              <w:t>Tenant certifies that</w:t>
            </w:r>
          </w:p>
        </w:tc>
        <w:tc>
          <w:tcPr>
            <w:tcW w:w="7700" w:type="dxa"/>
            <w:vAlign w:val="bottom"/>
            <w:gridSpan w:val="3"/>
          </w:tcPr>
          <w:p>
            <w:pPr>
              <w:ind w:left="1340"/>
              <w:spacing w:after="0"/>
              <w:rPr>
                <w:sz w:val="20"/>
                <w:szCs w:val="20"/>
                <w:color w:val="auto"/>
              </w:rPr>
            </w:pPr>
            <w:r>
              <w:rPr>
                <w:rFonts w:ascii="Arial" w:cs="Arial" w:eastAsia="Arial" w:hAnsi="Arial"/>
                <w:sz w:val="17"/>
                <w:szCs w:val="17"/>
                <w:color w:val="auto"/>
                <w:w w:val="93"/>
              </w:rPr>
              <w:t>(broker) represents Tenant in the negotiation and/or site selection of commercial space for</w:t>
            </w:r>
          </w:p>
        </w:tc>
        <w:tc>
          <w:tcPr>
            <w:tcW w:w="40" w:type="dxa"/>
            <w:vAlign w:val="bottom"/>
          </w:tcPr>
          <w:p>
            <w:pPr>
              <w:spacing w:after="0"/>
              <w:rPr>
                <w:sz w:val="24"/>
                <w:szCs w:val="24"/>
                <w:color w:val="auto"/>
              </w:rPr>
            </w:pPr>
          </w:p>
        </w:tc>
      </w:tr>
      <w:tr>
        <w:trPr>
          <w:trHeight w:val="228"/>
        </w:trPr>
        <w:tc>
          <w:tcPr>
            <w:tcW w:w="3720" w:type="dxa"/>
            <w:vAlign w:val="bottom"/>
          </w:tcPr>
          <w:p>
            <w:pPr>
              <w:spacing w:after="0"/>
              <w:rPr>
                <w:sz w:val="20"/>
                <w:szCs w:val="20"/>
                <w:color w:val="auto"/>
              </w:rPr>
            </w:pPr>
            <w:r>
              <w:rPr>
                <w:rFonts w:ascii="Arial" w:cs="Arial" w:eastAsia="Arial" w:hAnsi="Arial"/>
                <w:sz w:val="17"/>
                <w:szCs w:val="17"/>
                <w:color w:val="auto"/>
              </w:rPr>
              <w:t xml:space="preserve">lease. </w:t>
            </w:r>
            <w:r>
              <w:rPr>
                <w:rFonts w:ascii="Arial" w:cs="Arial" w:eastAsia="Arial" w:hAnsi="Arial"/>
                <w:sz w:val="17"/>
                <w:szCs w:val="17"/>
                <w:b w:val="1"/>
                <w:bCs w:val="1"/>
                <w:color w:val="auto"/>
              </w:rPr>
              <w:t>Check x o if none</w:t>
            </w:r>
            <w:r>
              <w:rPr>
                <w:rFonts w:ascii="Arial" w:cs="Arial" w:eastAsia="Arial" w:hAnsi="Arial"/>
                <w:sz w:val="17"/>
                <w:szCs w:val="17"/>
                <w:color w:val="auto"/>
              </w:rPr>
              <w:t>.</w:t>
            </w:r>
          </w:p>
        </w:tc>
        <w:tc>
          <w:tcPr>
            <w:tcW w:w="20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20"/>
        </w:trPr>
        <w:tc>
          <w:tcPr>
            <w:tcW w:w="3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Chih-Hsiang Lin</w:t>
            </w:r>
          </w:p>
        </w:tc>
        <w:tc>
          <w:tcPr>
            <w:tcW w:w="2000" w:type="dxa"/>
            <w:vAlign w:val="bottom"/>
            <w:tcBorders>
              <w:bottom w:val="single" w:sz="8" w:color="auto"/>
            </w:tcBorders>
          </w:tcPr>
          <w:p>
            <w:pPr>
              <w:spacing w:after="0"/>
              <w:rPr>
                <w:sz w:val="24"/>
                <w:szCs w:val="24"/>
                <w:color w:val="auto"/>
              </w:rPr>
            </w:pPr>
          </w:p>
        </w:tc>
        <w:tc>
          <w:tcPr>
            <w:tcW w:w="4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3720" w:type="dxa"/>
            <w:vAlign w:val="bottom"/>
          </w:tcPr>
          <w:p>
            <w:pPr>
              <w:spacing w:after="0"/>
              <w:rPr>
                <w:sz w:val="20"/>
                <w:szCs w:val="20"/>
                <w:color w:val="auto"/>
              </w:rPr>
            </w:pPr>
            <w:r>
              <w:rPr>
                <w:rFonts w:ascii="Arial" w:cs="Arial" w:eastAsia="Arial" w:hAnsi="Arial"/>
                <w:sz w:val="17"/>
                <w:szCs w:val="17"/>
                <w:color w:val="auto"/>
              </w:rPr>
              <w:t>TENANT (signature)</w:t>
            </w:r>
          </w:p>
        </w:tc>
        <w:tc>
          <w:tcPr>
            <w:tcW w:w="20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7"/>
        </w:trPr>
        <w:tc>
          <w:tcPr>
            <w:tcW w:w="3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Chih-Hsiang Lin</w:t>
            </w:r>
          </w:p>
        </w:tc>
        <w:tc>
          <w:tcPr>
            <w:tcW w:w="2000" w:type="dxa"/>
            <w:vAlign w:val="bottom"/>
            <w:tcBorders>
              <w:bottom w:val="single" w:sz="8" w:color="auto"/>
            </w:tcBorders>
          </w:tcPr>
          <w:p>
            <w:pPr>
              <w:spacing w:after="0"/>
              <w:rPr>
                <w:sz w:val="24"/>
                <w:szCs w:val="24"/>
                <w:color w:val="auto"/>
              </w:rPr>
            </w:pPr>
          </w:p>
        </w:tc>
        <w:tc>
          <w:tcPr>
            <w:tcW w:w="4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3720" w:type="dxa"/>
            <w:vAlign w:val="bottom"/>
          </w:tcPr>
          <w:p>
            <w:pPr>
              <w:spacing w:after="0"/>
              <w:rPr>
                <w:sz w:val="20"/>
                <w:szCs w:val="20"/>
                <w:color w:val="auto"/>
              </w:rPr>
            </w:pPr>
            <w:r>
              <w:rPr>
                <w:rFonts w:ascii="Arial" w:cs="Arial" w:eastAsia="Arial" w:hAnsi="Arial"/>
                <w:sz w:val="17"/>
                <w:szCs w:val="17"/>
                <w:color w:val="auto"/>
              </w:rPr>
              <w:t>TENANT (print name and title)</w:t>
            </w:r>
          </w:p>
        </w:tc>
        <w:tc>
          <w:tcPr>
            <w:tcW w:w="20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7"/>
        </w:trPr>
        <w:tc>
          <w:tcPr>
            <w:tcW w:w="3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3/21/2012</w:t>
            </w:r>
          </w:p>
        </w:tc>
        <w:tc>
          <w:tcPr>
            <w:tcW w:w="2000" w:type="dxa"/>
            <w:vAlign w:val="bottom"/>
            <w:tcBorders>
              <w:bottom w:val="single" w:sz="8" w:color="auto"/>
            </w:tcBorders>
          </w:tcPr>
          <w:p>
            <w:pPr>
              <w:spacing w:after="0"/>
              <w:rPr>
                <w:sz w:val="24"/>
                <w:szCs w:val="24"/>
                <w:color w:val="auto"/>
              </w:rPr>
            </w:pPr>
          </w:p>
        </w:tc>
        <w:tc>
          <w:tcPr>
            <w:tcW w:w="4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3720" w:type="dxa"/>
            <w:vAlign w:val="bottom"/>
          </w:tcPr>
          <w:p>
            <w:pPr>
              <w:spacing w:after="0"/>
              <w:rPr>
                <w:sz w:val="20"/>
                <w:szCs w:val="20"/>
                <w:color w:val="auto"/>
              </w:rPr>
            </w:pPr>
            <w:r>
              <w:rPr>
                <w:rFonts w:ascii="Arial" w:cs="Arial" w:eastAsia="Arial" w:hAnsi="Arial"/>
                <w:sz w:val="17"/>
                <w:szCs w:val="17"/>
                <w:color w:val="auto"/>
              </w:rPr>
              <w:t>Date</w:t>
            </w:r>
          </w:p>
        </w:tc>
        <w:tc>
          <w:tcPr>
            <w:tcW w:w="20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7"/>
        </w:trPr>
        <w:tc>
          <w:tcPr>
            <w:tcW w:w="3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CHL</w:t>
            </w:r>
          </w:p>
        </w:tc>
        <w:tc>
          <w:tcPr>
            <w:tcW w:w="40" w:type="dxa"/>
            <w:vAlign w:val="bottom"/>
          </w:tcPr>
          <w:p>
            <w:pPr>
              <w:spacing w:after="0"/>
              <w:rPr>
                <w:sz w:val="24"/>
                <w:szCs w:val="24"/>
                <w:color w:val="auto"/>
              </w:rPr>
            </w:pPr>
          </w:p>
        </w:tc>
      </w:tr>
      <w:tr>
        <w:trPr>
          <w:trHeight w:val="215"/>
        </w:trPr>
        <w:tc>
          <w:tcPr>
            <w:tcW w:w="3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4"/>
              </w:rPr>
              <w:t>Tenant Initials</w:t>
            </w:r>
          </w:p>
        </w:tc>
        <w:tc>
          <w:tcPr>
            <w:tcW w:w="40" w:type="dxa"/>
            <w:vAlign w:val="bottom"/>
          </w:tcPr>
          <w:p>
            <w:pPr>
              <w:spacing w:after="0"/>
              <w:rPr>
                <w:sz w:val="18"/>
                <w:szCs w:val="18"/>
                <w:color w:val="auto"/>
              </w:rPr>
            </w:pPr>
          </w:p>
        </w:tc>
      </w:tr>
      <w:tr>
        <w:trPr>
          <w:trHeight w:val="407"/>
        </w:trPr>
        <w:tc>
          <w:tcPr>
            <w:tcW w:w="3720" w:type="dxa"/>
            <w:vAlign w:val="bottom"/>
          </w:tcPr>
          <w:p>
            <w:pPr>
              <w:spacing w:after="0"/>
              <w:rPr>
                <w:sz w:val="24"/>
                <w:szCs w:val="24"/>
                <w:color w:val="auto"/>
              </w:rPr>
            </w:pPr>
          </w:p>
        </w:tc>
        <w:tc>
          <w:tcPr>
            <w:tcW w:w="6320" w:type="dxa"/>
            <w:vAlign w:val="bottom"/>
            <w:gridSpan w:val="2"/>
          </w:tcPr>
          <w:p>
            <w:pPr>
              <w:jc w:val="right"/>
              <w:ind w:right="4280"/>
              <w:spacing w:after="0"/>
              <w:rPr>
                <w:sz w:val="20"/>
                <w:szCs w:val="20"/>
                <w:color w:val="auto"/>
              </w:rPr>
            </w:pPr>
            <w:r>
              <w:rPr>
                <w:rFonts w:ascii="Arial" w:cs="Arial" w:eastAsia="Arial" w:hAnsi="Arial"/>
                <w:sz w:val="17"/>
                <w:szCs w:val="17"/>
                <w:color w:val="auto"/>
              </w:rPr>
              <w:t>9</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3720" w:type="dxa"/>
            <w:vAlign w:val="bottom"/>
            <w:tcBorders>
              <w:bottom w:val="single" w:sz="8" w:color="010101"/>
            </w:tcBorders>
          </w:tcPr>
          <w:p>
            <w:pPr>
              <w:spacing w:after="0"/>
              <w:rPr>
                <w:sz w:val="11"/>
                <w:szCs w:val="11"/>
                <w:color w:val="auto"/>
              </w:rPr>
            </w:pPr>
          </w:p>
        </w:tc>
        <w:tc>
          <w:tcPr>
            <w:tcW w:w="2000" w:type="dxa"/>
            <w:vAlign w:val="bottom"/>
            <w:tcBorders>
              <w:bottom w:val="single" w:sz="8" w:color="010101"/>
            </w:tcBorders>
          </w:tcPr>
          <w:p>
            <w:pPr>
              <w:spacing w:after="0"/>
              <w:rPr>
                <w:sz w:val="11"/>
                <w:szCs w:val="11"/>
                <w:color w:val="auto"/>
              </w:rPr>
            </w:pPr>
          </w:p>
        </w:tc>
        <w:tc>
          <w:tcPr>
            <w:tcW w:w="432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type w:val="continuous"/>
        </w:sectPr>
      </w:pPr>
    </w:p>
    <w:bookmarkStart w:id="371" w:name="page372"/>
    <w:bookmarkEnd w:id="371"/>
    <w:p>
      <w:pPr>
        <w:jc w:val="right"/>
        <w:spacing w:after="0"/>
        <w:rPr>
          <w:sz w:val="20"/>
          <w:szCs w:val="20"/>
          <w:color w:val="auto"/>
        </w:rPr>
      </w:pPr>
      <w:r>
        <w:rPr>
          <w:rFonts w:ascii="Arial" w:cs="Arial" w:eastAsia="Arial" w:hAnsi="Arial"/>
          <w:sz w:val="17"/>
          <w:szCs w:val="17"/>
          <w:b w:val="1"/>
          <w:bCs w:val="1"/>
          <w:color w:val="auto"/>
        </w:rPr>
        <w:t>Exhibit 10.7.1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(1</w:t>
      </w:r>
      <w:r>
        <w:rPr>
          <w:rFonts w:ascii="Arial" w:cs="Arial" w:eastAsia="Arial" w:hAnsi="Arial"/>
          <w:sz w:val="22"/>
          <w:szCs w:val="22"/>
          <w:b w:val="1"/>
          <w:bCs w:val="1"/>
          <w:color w:val="auto"/>
          <w:vertAlign w:val="superscript"/>
        </w:rPr>
        <w:t>st</w:t>
      </w:r>
      <w:r>
        <w:rPr>
          <w:rFonts w:ascii="Arial" w:cs="Arial" w:eastAsia="Arial" w:hAnsi="Arial"/>
          <w:sz w:val="17"/>
          <w:szCs w:val="17"/>
          <w:b w:val="1"/>
          <w:bCs w:val="1"/>
          <w:color w:val="auto"/>
        </w:rPr>
        <w:t>) AMENDMENT TO THE LEASE BETWEEN APPLIED OPTOELECTRONICS, INC. and 12808 W. AIRPORT, LLC.</w:t>
      </w:r>
    </w:p>
    <w:p>
      <w:pPr>
        <w:spacing w:after="0" w:line="173"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Landlord and Tenant agree to change commencement date of the Lease for the Premises commonly known as “Suite 175” at the 12808 W. Airport office building from May 1, 2012 to June 1, 2012.</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Landlord and Tenant agree to the following rent schedule: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Two (2) years at: $4,041.34 per month from June 1 2012, to May 31, 2014.</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All rates subject to the “CPI” clause in this Amendment. The Term shall begin with June 1, 2012.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Tenant currently has $4,041.34 on file as a security deposit.</w:t>
      </w:r>
    </w:p>
    <w:p>
      <w:pPr>
        <w:spacing w:after="0" w:line="224" w:lineRule="exact"/>
        <w:rPr>
          <w:sz w:val="20"/>
          <w:szCs w:val="20"/>
          <w:color w:val="auto"/>
        </w:rPr>
      </w:pPr>
    </w:p>
    <w:p>
      <w:pPr>
        <w:spacing w:after="0"/>
        <w:tabs>
          <w:tab w:leader="none" w:pos="3080" w:val="left"/>
        </w:tabs>
        <w:rPr>
          <w:sz w:val="20"/>
          <w:szCs w:val="20"/>
          <w:color w:val="auto"/>
        </w:rPr>
      </w:pPr>
      <w:r>
        <w:rPr>
          <w:rFonts w:ascii="Arial" w:cs="Arial" w:eastAsia="Arial" w:hAnsi="Arial"/>
          <w:sz w:val="17"/>
          <w:szCs w:val="17"/>
          <w:color w:val="auto"/>
        </w:rPr>
        <w:t>Landlord’s address for Rent payments:</w:t>
      </w:r>
      <w:r>
        <w:rPr>
          <w:sz w:val="20"/>
          <w:szCs w:val="20"/>
          <w:color w:val="auto"/>
        </w:rPr>
        <w:tab/>
      </w:r>
      <w:r>
        <w:rPr>
          <w:rFonts w:ascii="Arial" w:cs="Arial" w:eastAsia="Arial" w:hAnsi="Arial"/>
          <w:sz w:val="16"/>
          <w:szCs w:val="16"/>
          <w:color w:val="auto"/>
        </w:rPr>
        <w:t>12808 W. Airport, LLC</w:t>
      </w:r>
    </w:p>
    <w:p>
      <w:pPr>
        <w:spacing w:after="0" w:line="26"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P.O. Box 4737</w:t>
      </w:r>
    </w:p>
    <w:p>
      <w:pPr>
        <w:spacing w:after="0" w:line="14"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Houston, Texas 77210-4737</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Landlord’s address for all purposes other than rent payments: 720 N. Post Oak Rd., Suite 500</w:t>
      </w:r>
    </w:p>
    <w:p>
      <w:pPr>
        <w:spacing w:after="0" w:line="26"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Houston, Texas 77024</w:t>
      </w:r>
    </w:p>
    <w:p>
      <w:pPr>
        <w:sectPr>
          <w:pgSz w:w="11900" w:h="16838" w:orient="portrait"/>
          <w:cols w:equalWidth="0" w:num="1">
            <w:col w:w="11420"/>
          </w:cols>
          <w:pgMar w:left="240" w:top="357"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All other provisions of the Lease shall remain the same.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Attested by: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Chih-Hsiang Lin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TENANT </w:t>
      </w: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37045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70459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Chih-Hsiang Lin,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7045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704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TENANT (print name and title)</w:t>
      </w:r>
    </w:p>
    <w:p>
      <w:pPr>
        <w:spacing w:after="0" w:line="200" w:lineRule="exact"/>
        <w:rPr>
          <w:sz w:val="20"/>
          <w:szCs w:val="20"/>
          <w:color w:val="auto"/>
        </w:rPr>
      </w:pPr>
    </w:p>
    <w:p>
      <w:pPr>
        <w:spacing w:after="0" w:line="2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5-2-2012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29628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Attested by: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LANDLORD: 12808 W. AIRPORT, LLC</w:t>
      </w:r>
    </w:p>
    <w:p>
      <w:pPr>
        <w:spacing w:after="0" w:line="200" w:lineRule="exact"/>
        <w:rPr>
          <w:sz w:val="20"/>
          <w:szCs w:val="20"/>
          <w:color w:val="auto"/>
        </w:rPr>
      </w:pPr>
    </w:p>
    <w:p>
      <w:pPr>
        <w:spacing w:after="0" w:line="253" w:lineRule="exact"/>
        <w:rPr>
          <w:sz w:val="20"/>
          <w:szCs w:val="20"/>
          <w:color w:val="auto"/>
        </w:rPr>
      </w:pPr>
    </w:p>
    <w:p>
      <w:pPr>
        <w:spacing w:after="0"/>
        <w:tabs>
          <w:tab w:leader="none" w:pos="460" w:val="left"/>
        </w:tabs>
        <w:rPr>
          <w:sz w:val="20"/>
          <w:szCs w:val="20"/>
          <w:color w:val="auto"/>
        </w:rPr>
      </w:pPr>
      <w:r>
        <w:rPr>
          <w:rFonts w:ascii="Arial" w:cs="Arial" w:eastAsia="Arial" w:hAnsi="Arial"/>
          <w:sz w:val="17"/>
          <w:szCs w:val="17"/>
          <w:color w:val="auto"/>
        </w:rPr>
        <w:t>By:</w:t>
        <w:tab/>
        <w:t>Boxer Property Management Corp.</w:t>
      </w:r>
    </w:p>
    <w:p>
      <w:pPr>
        <w:spacing w:after="0" w:line="2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Texas corporation</w:t>
      </w:r>
    </w:p>
    <w:p>
      <w:pPr>
        <w:spacing w:after="0" w:line="1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Management Company for Landlord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00" w:type="dxa"/>
            <w:vAlign w:val="bottom"/>
            <w:gridSpan w:val="2"/>
          </w:tcPr>
          <w:p>
            <w:pPr>
              <w:spacing w:after="0"/>
              <w:rPr>
                <w:sz w:val="20"/>
                <w:szCs w:val="20"/>
                <w:color w:val="auto"/>
              </w:rPr>
            </w:pPr>
            <w:r>
              <w:rPr>
                <w:rFonts w:ascii="Arial" w:cs="Arial" w:eastAsia="Arial" w:hAnsi="Arial"/>
                <w:sz w:val="17"/>
                <w:szCs w:val="17"/>
                <w:color w:val="auto"/>
              </w:rPr>
              <w:t>/s/ Douglas Pack</w:t>
            </w:r>
          </w:p>
        </w:tc>
        <w:tc>
          <w:tcPr>
            <w:tcW w:w="2480" w:type="dxa"/>
            <w:vAlign w:val="bottom"/>
          </w:tcPr>
          <w:p>
            <w:pPr>
              <w:spacing w:after="0"/>
              <w:rPr>
                <w:sz w:val="20"/>
                <w:szCs w:val="20"/>
                <w:color w:val="auto"/>
              </w:rPr>
            </w:pPr>
            <w:r>
              <w:rPr>
                <w:rFonts w:ascii="Arial" w:cs="Arial" w:eastAsia="Arial" w:hAnsi="Arial"/>
                <w:sz w:val="17"/>
                <w:szCs w:val="17"/>
                <w:color w:val="auto"/>
              </w:rPr>
              <w:t>6-15-12</w:t>
            </w:r>
          </w:p>
        </w:tc>
      </w:tr>
      <w:tr>
        <w:trPr>
          <w:trHeight w:val="191"/>
        </w:trPr>
        <w:tc>
          <w:tcPr>
            <w:tcW w:w="280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(signature)</w:t>
            </w:r>
          </w:p>
        </w:tc>
        <w:tc>
          <w:tcPr>
            <w:tcW w:w="300" w:type="dxa"/>
            <w:vAlign w:val="bottom"/>
          </w:tcPr>
          <w:p>
            <w:pPr>
              <w:spacing w:after="0"/>
              <w:rPr>
                <w:sz w:val="16"/>
                <w:szCs w:val="16"/>
                <w:color w:val="auto"/>
              </w:rPr>
            </w:pPr>
          </w:p>
        </w:tc>
        <w:tc>
          <w:tcPr>
            <w:tcW w:w="248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Date</w:t>
            </w:r>
          </w:p>
        </w:tc>
      </w:tr>
      <w:tr>
        <w:trPr>
          <w:trHeight w:val="222"/>
        </w:trPr>
        <w:tc>
          <w:tcPr>
            <w:tcW w:w="3100" w:type="dxa"/>
            <w:vAlign w:val="bottom"/>
            <w:gridSpan w:val="2"/>
          </w:tcPr>
          <w:p>
            <w:pPr>
              <w:spacing w:after="0"/>
              <w:rPr>
                <w:sz w:val="20"/>
                <w:szCs w:val="20"/>
                <w:color w:val="auto"/>
              </w:rPr>
            </w:pPr>
            <w:r>
              <w:rPr>
                <w:rFonts w:ascii="Arial" w:cs="Arial" w:eastAsia="Arial" w:hAnsi="Arial"/>
                <w:sz w:val="17"/>
                <w:szCs w:val="17"/>
                <w:color w:val="auto"/>
              </w:rPr>
              <w:t>Leasing Representative</w:t>
            </w:r>
          </w:p>
        </w:tc>
        <w:tc>
          <w:tcPr>
            <w:tcW w:w="2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-3707130</wp:posOffset>
            </wp:positionH>
            <wp:positionV relativeFrom="paragraph">
              <wp:posOffset>198120</wp:posOffset>
            </wp:positionV>
            <wp:extent cx="7271385" cy="2921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2">
            <w:col w:w="5120" w:space="720"/>
            <w:col w:w="5580"/>
          </w:cols>
          <w:pgMar w:left="240" w:top="357" w:right="239" w:bottom="1440" w:gutter="0" w:footer="0" w:header="0"/>
          <w:type w:val="continuous"/>
        </w:sectPr>
      </w:pPr>
    </w:p>
    <w:bookmarkStart w:id="372" w:name="page373"/>
    <w:bookmarkEnd w:id="372"/>
    <w:p>
      <w:pPr>
        <w:spacing w:after="0" w:line="3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Office Lease Agreement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Whereas this Office Lease Agreement (the “</w:t>
      </w:r>
      <w:r>
        <w:rPr>
          <w:rFonts w:ascii="Arial" w:cs="Arial" w:eastAsia="Arial" w:hAnsi="Arial"/>
          <w:sz w:val="17"/>
          <w:szCs w:val="17"/>
          <w:b w:val="1"/>
          <w:bCs w:val="1"/>
          <w:color w:val="auto"/>
        </w:rPr>
        <w:t>Lease Agreement</w:t>
      </w:r>
      <w:r>
        <w:rPr>
          <w:rFonts w:ascii="Arial" w:cs="Arial" w:eastAsia="Arial" w:hAnsi="Arial"/>
          <w:sz w:val="17"/>
          <w:szCs w:val="17"/>
          <w:color w:val="auto"/>
        </w:rPr>
        <w:t>”) is made by and between the undersigned: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LANDLORD: </w:t>
      </w:r>
      <w:r>
        <w:rPr>
          <w:rFonts w:ascii="Arial" w:cs="Arial" w:eastAsia="Arial" w:hAnsi="Arial"/>
          <w:sz w:val="17"/>
          <w:szCs w:val="17"/>
          <w:color w:val="auto"/>
        </w:rPr>
        <w:t>Admiral Overseas Corporation (hereafter referred to as Party A); and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TENANT: </w:t>
      </w:r>
      <w:r>
        <w:rPr>
          <w:rFonts w:ascii="Arial" w:cs="Arial" w:eastAsia="Arial" w:hAnsi="Arial"/>
          <w:sz w:val="17"/>
          <w:szCs w:val="17"/>
          <w:color w:val="auto"/>
        </w:rPr>
        <w:t>Applied Optoelectronics Incorporated (AOI) Taiwan (hereafter referred to as Party B).</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above two parties agree to the terms and conditions set forth below:</w:t>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I. LEASED PREMISES: </w:t>
      </w:r>
      <w:r>
        <w:rPr>
          <w:rFonts w:ascii="Arial" w:cs="Arial" w:eastAsia="Arial" w:hAnsi="Arial"/>
          <w:sz w:val="17"/>
          <w:szCs w:val="17"/>
          <w:color w:val="auto"/>
        </w:rPr>
        <w:t>The four units owned by Party A at 4F., No. 700, Zhongzheng Rd., Zhonghe Dist., New Taipei City, 4F-6~4F-8 (the scope of the leased</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is shown in the attached graph) with a space of 355.23 pings (covering the leased premises and amortized public facilities), plus three parking spaces (No. 1575, 1578 and 1579) at B2 floor.</w:t>
      </w:r>
    </w:p>
    <w:p>
      <w:pPr>
        <w:spacing w:after="0" w:line="162" w:lineRule="exact"/>
        <w:rPr>
          <w:sz w:val="20"/>
          <w:szCs w:val="20"/>
          <w:color w:val="auto"/>
        </w:rPr>
      </w:pPr>
    </w:p>
    <w:p>
      <w:pPr>
        <w:ind w:left="220" w:hanging="215"/>
        <w:spacing w:after="0"/>
        <w:tabs>
          <w:tab w:leader="none" w:pos="220" w:val="left"/>
        </w:tabs>
        <w:numPr>
          <w:ilvl w:val="0"/>
          <w:numId w:val="560"/>
        </w:numPr>
        <w:rPr>
          <w:rFonts w:ascii="Arial" w:cs="Arial" w:eastAsia="Arial" w:hAnsi="Arial"/>
          <w:sz w:val="17"/>
          <w:szCs w:val="17"/>
          <w:b w:val="1"/>
          <w:bCs w:val="1"/>
          <w:color w:val="auto"/>
        </w:rPr>
      </w:pPr>
      <w:r>
        <w:rPr>
          <w:rFonts w:ascii="Arial" w:cs="Arial" w:eastAsia="Arial" w:hAnsi="Arial"/>
          <w:sz w:val="17"/>
          <w:szCs w:val="17"/>
          <w:b w:val="1"/>
          <w:bCs w:val="1"/>
          <w:color w:val="auto"/>
        </w:rPr>
        <w:t>LEASE PERIOD:</w:t>
      </w:r>
    </w:p>
    <w:p>
      <w:pPr>
        <w:spacing w:after="0" w:line="230" w:lineRule="exact"/>
        <w:rPr>
          <w:rFonts w:ascii="Arial" w:cs="Arial" w:eastAsia="Arial" w:hAnsi="Arial"/>
          <w:sz w:val="17"/>
          <w:szCs w:val="17"/>
          <w:b w:val="1"/>
          <w:bCs w:val="1"/>
          <w:color w:val="auto"/>
        </w:rPr>
      </w:pPr>
    </w:p>
    <w:p>
      <w:pPr>
        <w:ind w:left="1240" w:hanging="414"/>
        <w:spacing w:after="0"/>
        <w:tabs>
          <w:tab w:leader="none" w:pos="1240" w:val="left"/>
        </w:tabs>
        <w:numPr>
          <w:ilvl w:val="1"/>
          <w:numId w:val="560"/>
        </w:numPr>
        <w:rPr>
          <w:rFonts w:ascii="Arial" w:cs="Arial" w:eastAsia="Arial" w:hAnsi="Arial"/>
          <w:sz w:val="17"/>
          <w:szCs w:val="17"/>
          <w:color w:val="auto"/>
        </w:rPr>
      </w:pPr>
      <w:r>
        <w:rPr>
          <w:rFonts w:ascii="Arial" w:cs="Arial" w:eastAsia="Arial" w:hAnsi="Arial"/>
          <w:sz w:val="17"/>
          <w:szCs w:val="17"/>
          <w:color w:val="auto"/>
        </w:rPr>
        <w:t>The lease period is from Jan. 10, 2012 to Apr. 9, 2014, and the tenant/landlord relationship shall terminate when the lease expires.</w:t>
      </w:r>
    </w:p>
    <w:p>
      <w:pPr>
        <w:spacing w:after="0" w:line="224" w:lineRule="exact"/>
        <w:rPr>
          <w:rFonts w:ascii="Arial" w:cs="Arial" w:eastAsia="Arial" w:hAnsi="Arial"/>
          <w:sz w:val="17"/>
          <w:szCs w:val="17"/>
          <w:color w:val="auto"/>
        </w:rPr>
      </w:pPr>
    </w:p>
    <w:p>
      <w:pPr>
        <w:ind w:left="1240" w:right="160" w:hanging="414"/>
        <w:spacing w:after="0" w:line="283" w:lineRule="auto"/>
        <w:tabs>
          <w:tab w:leader="none" w:pos="1240" w:val="left"/>
        </w:tabs>
        <w:numPr>
          <w:ilvl w:val="1"/>
          <w:numId w:val="560"/>
        </w:numPr>
        <w:rPr>
          <w:rFonts w:ascii="Arial" w:cs="Arial" w:eastAsia="Arial" w:hAnsi="Arial"/>
          <w:sz w:val="16"/>
          <w:szCs w:val="16"/>
          <w:color w:val="auto"/>
        </w:rPr>
      </w:pPr>
      <w:r>
        <w:rPr>
          <w:rFonts w:ascii="Arial" w:cs="Arial" w:eastAsia="Arial" w:hAnsi="Arial"/>
          <w:sz w:val="16"/>
          <w:szCs w:val="16"/>
          <w:color w:val="auto"/>
        </w:rPr>
        <w:t>If Party B wishes to renew the lease, Party B shall notify Party A in writing three (3) months prior to expiration of the Lease Agreement, upon Party A’s consent, execute a new lease agreement in order to continue the use of the premises after expiration of the said Lease Agreement. If both parties fail to enter into a new lease agreement upon expiration of the Lease Agreement, the tenant/landlord relationship will be deemed terminated. If Party B otherwise continues to occupy and use the premises after the expiration of the Lease Agreement, it shall pay Party A the ill-gotten gain calculated according to the daily rental fee plus 5% for the additional occupying days, and is not allowed to claim any rights deemed applicable to non-scheduled continuous Lease Agreement as prescribed by Article 451 of the Civil Code.</w:t>
      </w:r>
    </w:p>
    <w:p>
      <w:pPr>
        <w:spacing w:after="0" w:line="161" w:lineRule="exact"/>
        <w:rPr>
          <w:sz w:val="20"/>
          <w:szCs w:val="20"/>
          <w:color w:val="auto"/>
        </w:rPr>
      </w:pPr>
    </w:p>
    <w:p>
      <w:pPr>
        <w:ind w:right="120" w:firstLine="5"/>
        <w:spacing w:after="0" w:line="297" w:lineRule="auto"/>
        <w:tabs>
          <w:tab w:leader="none" w:pos="291" w:val="left"/>
        </w:tabs>
        <w:numPr>
          <w:ilvl w:val="0"/>
          <w:numId w:val="5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PREMISES HANDOVER: </w:t>
      </w:r>
      <w:r>
        <w:rPr>
          <w:rFonts w:ascii="Arial" w:cs="Arial" w:eastAsia="Arial" w:hAnsi="Arial"/>
          <w:sz w:val="17"/>
          <w:szCs w:val="17"/>
          <w:color w:val="auto"/>
        </w:rPr>
        <w:t>Party A shall respectively hand over the Offices and parking spaces in their original condition to Party B on the day starting the</w:t>
      </w:r>
      <w:r>
        <w:rPr>
          <w:rFonts w:ascii="Arial" w:cs="Arial" w:eastAsia="Arial" w:hAnsi="Arial"/>
          <w:sz w:val="17"/>
          <w:szCs w:val="17"/>
          <w:b w:val="1"/>
          <w:bCs w:val="1"/>
          <w:color w:val="auto"/>
        </w:rPr>
        <w:t xml:space="preserve"> </w:t>
      </w:r>
      <w:r>
        <w:rPr>
          <w:rFonts w:ascii="Arial" w:cs="Arial" w:eastAsia="Arial" w:hAnsi="Arial"/>
          <w:sz w:val="17"/>
          <w:szCs w:val="17"/>
          <w:color w:val="auto"/>
        </w:rPr>
        <w:t>lease.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IV. RENTAL:</w:t>
      </w:r>
    </w:p>
    <w:p>
      <w:pPr>
        <w:spacing w:after="0" w:line="230" w:lineRule="exact"/>
        <w:rPr>
          <w:sz w:val="20"/>
          <w:szCs w:val="20"/>
          <w:color w:val="auto"/>
        </w:rPr>
      </w:pPr>
    </w:p>
    <w:p>
      <w:pPr>
        <w:ind w:left="1260" w:right="480" w:hanging="416"/>
        <w:spacing w:after="0" w:line="289" w:lineRule="auto"/>
        <w:tabs>
          <w:tab w:leader="none" w:pos="1260" w:val="left"/>
        </w:tabs>
        <w:numPr>
          <w:ilvl w:val="0"/>
          <w:numId w:val="562"/>
        </w:numPr>
        <w:rPr>
          <w:rFonts w:ascii="Arial" w:cs="Arial" w:eastAsia="Arial" w:hAnsi="Arial"/>
          <w:sz w:val="17"/>
          <w:szCs w:val="17"/>
          <w:color w:val="auto"/>
        </w:rPr>
      </w:pPr>
      <w:r>
        <w:rPr>
          <w:rFonts w:ascii="Arial" w:cs="Arial" w:eastAsia="Arial" w:hAnsi="Arial"/>
          <w:sz w:val="17"/>
          <w:szCs w:val="17"/>
          <w:color w:val="auto"/>
        </w:rPr>
        <w:t>Rent shall be calculated starting on Feb. 10, 2012, whereas the parking space rental shall start from Jan. 10, 2012. The rental of the leased premises shall be paid on a monthly basis. The Office rental is 319,707 NT Dollars per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500"/>
        <w:spacing w:after="0" w:line="289" w:lineRule="auto"/>
        <w:rPr>
          <w:sz w:val="20"/>
          <w:szCs w:val="20"/>
          <w:color w:val="auto"/>
        </w:rPr>
      </w:pPr>
      <w:r>
        <w:rPr>
          <w:rFonts w:ascii="Arial" w:cs="Arial" w:eastAsia="Arial" w:hAnsi="Arial"/>
          <w:sz w:val="17"/>
          <w:szCs w:val="17"/>
          <w:color w:val="auto"/>
        </w:rPr>
        <w:t>month and the parking space rental is 16,500 NT Dollars per month. Total rent will be 336,207 NT Dollars per month. The aforesaid rent includes all applicable taxes.</w:t>
      </w:r>
    </w:p>
    <w:p>
      <w:pPr>
        <w:spacing w:after="0" w:line="158" w:lineRule="exact"/>
        <w:rPr>
          <w:sz w:val="20"/>
          <w:szCs w:val="20"/>
          <w:color w:val="auto"/>
        </w:rPr>
      </w:pPr>
    </w:p>
    <w:p>
      <w:pPr>
        <w:jc w:val="both"/>
        <w:ind w:left="1260" w:right="340" w:hanging="416"/>
        <w:spacing w:after="0" w:line="298" w:lineRule="auto"/>
        <w:tabs>
          <w:tab w:leader="none" w:pos="1260" w:val="left"/>
        </w:tabs>
        <w:numPr>
          <w:ilvl w:val="1"/>
          <w:numId w:val="563"/>
        </w:numPr>
        <w:rPr>
          <w:rFonts w:ascii="Arial" w:cs="Arial" w:eastAsia="Arial" w:hAnsi="Arial"/>
          <w:sz w:val="16"/>
          <w:szCs w:val="16"/>
          <w:color w:val="auto"/>
        </w:rPr>
      </w:pPr>
      <w:r>
        <w:rPr>
          <w:rFonts w:ascii="Arial" w:cs="Arial" w:eastAsia="Arial" w:hAnsi="Arial"/>
          <w:sz w:val="16"/>
          <w:szCs w:val="16"/>
          <w:color w:val="auto"/>
        </w:rPr>
        <w:t>Upon executing the Lease Agreement, Party B shall execute and deliver to Party A checks pre-dated as of the first day of each month for the entire lease period, with an aforesaid amount of monthly rent as described in the preceding paragraph payable to Party A. After cashing the check each month, Party A shall issue a receipt to Party B, and the receipt will be kept as proof of payment.</w:t>
      </w:r>
    </w:p>
    <w:p>
      <w:pPr>
        <w:spacing w:after="0" w:line="153" w:lineRule="exact"/>
        <w:rPr>
          <w:rFonts w:ascii="Arial" w:cs="Arial" w:eastAsia="Arial" w:hAnsi="Arial"/>
          <w:sz w:val="16"/>
          <w:szCs w:val="16"/>
          <w:color w:val="auto"/>
        </w:rPr>
      </w:pPr>
    </w:p>
    <w:p>
      <w:pPr>
        <w:ind w:left="1260" w:hanging="416"/>
        <w:spacing w:after="0"/>
        <w:tabs>
          <w:tab w:leader="none" w:pos="1260" w:val="left"/>
        </w:tabs>
        <w:numPr>
          <w:ilvl w:val="1"/>
          <w:numId w:val="563"/>
        </w:numPr>
        <w:rPr>
          <w:rFonts w:ascii="Arial" w:cs="Arial" w:eastAsia="Arial" w:hAnsi="Arial"/>
          <w:sz w:val="17"/>
          <w:szCs w:val="17"/>
          <w:color w:val="auto"/>
        </w:rPr>
      </w:pPr>
      <w:r>
        <w:rPr>
          <w:rFonts w:ascii="Arial" w:cs="Arial" w:eastAsia="Arial" w:hAnsi="Arial"/>
          <w:sz w:val="17"/>
          <w:szCs w:val="17"/>
          <w:color w:val="auto"/>
        </w:rPr>
        <w:t>If a check made out by Party B for the rent bounces, it shall be deemed that rent for the month was never paid.</w:t>
      </w:r>
    </w:p>
    <w:p>
      <w:pPr>
        <w:spacing w:after="0" w:line="224" w:lineRule="exact"/>
        <w:rPr>
          <w:rFonts w:ascii="Arial" w:cs="Arial" w:eastAsia="Arial" w:hAnsi="Arial"/>
          <w:sz w:val="17"/>
          <w:szCs w:val="17"/>
          <w:color w:val="auto"/>
        </w:rPr>
      </w:pPr>
    </w:p>
    <w:p>
      <w:pPr>
        <w:ind w:left="1260" w:right="160" w:hanging="416"/>
        <w:spacing w:after="0" w:line="298" w:lineRule="auto"/>
        <w:tabs>
          <w:tab w:leader="none" w:pos="1260" w:val="left"/>
        </w:tabs>
        <w:numPr>
          <w:ilvl w:val="1"/>
          <w:numId w:val="563"/>
        </w:numPr>
        <w:rPr>
          <w:rFonts w:ascii="Arial" w:cs="Arial" w:eastAsia="Arial" w:hAnsi="Arial"/>
          <w:sz w:val="16"/>
          <w:szCs w:val="16"/>
          <w:color w:val="auto"/>
        </w:rPr>
      </w:pPr>
      <w:r>
        <w:rPr>
          <w:rFonts w:ascii="Arial" w:cs="Arial" w:eastAsia="Arial" w:hAnsi="Arial"/>
          <w:sz w:val="16"/>
          <w:szCs w:val="16"/>
          <w:color w:val="auto"/>
        </w:rPr>
        <w:t>In case of any delay in rent payment from Party B, Party B shall pay a 20% interest on the deferred rent calculated on daily basis to Party A. If rent payment is late for more than 15 days, in addition to interest paid, Party B will pay an additional late payment penalty equivalent to two times the rental fees for each day rent is overdue. Party A then will have the right to terminate the Lease Agreement.</w:t>
      </w:r>
    </w:p>
    <w:p>
      <w:pPr>
        <w:spacing w:after="0" w:line="147" w:lineRule="exact"/>
        <w:rPr>
          <w:rFonts w:ascii="Arial" w:cs="Arial" w:eastAsia="Arial" w:hAnsi="Arial"/>
          <w:sz w:val="16"/>
          <w:szCs w:val="16"/>
          <w:color w:val="auto"/>
        </w:rPr>
      </w:pPr>
    </w:p>
    <w:p>
      <w:pPr>
        <w:ind w:left="1260" w:right="120" w:hanging="416"/>
        <w:spacing w:after="0" w:line="265" w:lineRule="auto"/>
        <w:tabs>
          <w:tab w:leader="none" w:pos="1260" w:val="left"/>
        </w:tabs>
        <w:numPr>
          <w:ilvl w:val="1"/>
          <w:numId w:val="563"/>
        </w:numPr>
        <w:rPr>
          <w:rFonts w:ascii="Arial" w:cs="Arial" w:eastAsia="Arial" w:hAnsi="Arial"/>
          <w:sz w:val="17"/>
          <w:szCs w:val="17"/>
          <w:color w:val="auto"/>
        </w:rPr>
      </w:pPr>
      <w:r>
        <w:rPr>
          <w:rFonts w:ascii="Arial" w:cs="Arial" w:eastAsia="Arial" w:hAnsi="Arial"/>
          <w:sz w:val="17"/>
          <w:szCs w:val="17"/>
          <w:color w:val="auto"/>
        </w:rPr>
        <w:t>Rent for the leased premise will be waived from Feb. 10, 2014 to Apr. 9, 2014. (the “</w:t>
      </w:r>
      <w:r>
        <w:rPr>
          <w:rFonts w:ascii="Arial" w:cs="Arial" w:eastAsia="Arial" w:hAnsi="Arial"/>
          <w:sz w:val="17"/>
          <w:szCs w:val="17"/>
          <w:b w:val="1"/>
          <w:bCs w:val="1"/>
          <w:color w:val="auto"/>
        </w:rPr>
        <w:t>Rent Exemption Period</w:t>
      </w:r>
      <w:r>
        <w:rPr>
          <w:rFonts w:ascii="Arial" w:cs="Arial" w:eastAsia="Arial" w:hAnsi="Arial"/>
          <w:sz w:val="17"/>
          <w:szCs w:val="17"/>
          <w:color w:val="auto"/>
        </w:rPr>
        <w:t>”) (however, during this period, Party B will still need to pay rent for parking spaces). In the case that Party B fails to make rent payment during the lease period or there is any cause attributable to Party B resulting in the early termination of the Lease Agreement, the benefit of such waiver during the aforementioned period will be forfeited. If Party B fails to make rent payment or terminates the Lease Agreement prior to expiration, in addition to being held accountable for any penalty resulting in the default of the Lease Agreement, Party B shall also be liable for any rent waived in the Rent Exemption Periods.</w:t>
      </w:r>
    </w:p>
    <w:p>
      <w:pPr>
        <w:spacing w:after="0" w:line="173" w:lineRule="exact"/>
        <w:rPr>
          <w:rFonts w:ascii="Arial" w:cs="Arial" w:eastAsia="Arial" w:hAnsi="Arial"/>
          <w:sz w:val="17"/>
          <w:szCs w:val="17"/>
          <w:color w:val="auto"/>
        </w:rPr>
      </w:pPr>
    </w:p>
    <w:p>
      <w:pPr>
        <w:ind w:left="200" w:hanging="195"/>
        <w:spacing w:after="0"/>
        <w:tabs>
          <w:tab w:leader="none" w:pos="200" w:val="left"/>
        </w:tabs>
        <w:numPr>
          <w:ilvl w:val="0"/>
          <w:numId w:val="564"/>
        </w:numPr>
        <w:rPr>
          <w:rFonts w:ascii="Arial" w:cs="Arial" w:eastAsia="Arial" w:hAnsi="Arial"/>
          <w:sz w:val="17"/>
          <w:szCs w:val="17"/>
          <w:b w:val="1"/>
          <w:bCs w:val="1"/>
          <w:color w:val="auto"/>
        </w:rPr>
      </w:pPr>
      <w:r>
        <w:rPr>
          <w:rFonts w:ascii="Arial" w:cs="Arial" w:eastAsia="Arial" w:hAnsi="Arial"/>
          <w:sz w:val="17"/>
          <w:szCs w:val="17"/>
          <w:b w:val="1"/>
          <w:bCs w:val="1"/>
          <w:color w:val="auto"/>
        </w:rPr>
        <w:t>SECURITY DEPOSIT:</w:t>
      </w:r>
    </w:p>
    <w:p>
      <w:pPr>
        <w:spacing w:after="0" w:line="230" w:lineRule="exact"/>
        <w:rPr>
          <w:rFonts w:ascii="Arial" w:cs="Arial" w:eastAsia="Arial" w:hAnsi="Arial"/>
          <w:sz w:val="17"/>
          <w:szCs w:val="17"/>
          <w:b w:val="1"/>
          <w:bCs w:val="1"/>
          <w:color w:val="auto"/>
        </w:rPr>
      </w:pPr>
    </w:p>
    <w:p>
      <w:pPr>
        <w:ind w:left="1260" w:right="60" w:hanging="416"/>
        <w:spacing w:after="0" w:line="273" w:lineRule="auto"/>
        <w:tabs>
          <w:tab w:leader="none" w:pos="1260" w:val="left"/>
        </w:tabs>
        <w:numPr>
          <w:ilvl w:val="1"/>
          <w:numId w:val="564"/>
        </w:numPr>
        <w:rPr>
          <w:rFonts w:ascii="Arial" w:cs="Arial" w:eastAsia="Arial" w:hAnsi="Arial"/>
          <w:sz w:val="17"/>
          <w:szCs w:val="17"/>
          <w:color w:val="auto"/>
        </w:rPr>
      </w:pPr>
      <w:r>
        <w:rPr>
          <w:rFonts w:ascii="Arial" w:cs="Arial" w:eastAsia="Arial" w:hAnsi="Arial"/>
          <w:sz w:val="17"/>
          <w:szCs w:val="17"/>
          <w:color w:val="auto"/>
        </w:rPr>
        <w:t>When executing the Lease Agreement, Party B shall pay 1,008,621 NT Dollars to Party A as a security deposit. If during the lease period, Party B breaches or defaults on the Lease Agreement leading to any unpaid rent or other unpaid accrued expenses, or fails to pay interest on any deferred rent payment, default fine or damages as described herein by the Lease Agreement, Party A may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420"/>
        <w:spacing w:after="0" w:line="289" w:lineRule="auto"/>
        <w:rPr>
          <w:sz w:val="20"/>
          <w:szCs w:val="20"/>
          <w:color w:val="auto"/>
        </w:rPr>
      </w:pPr>
      <w:r>
        <w:rPr>
          <w:rFonts w:ascii="Arial" w:cs="Arial" w:eastAsia="Arial" w:hAnsi="Arial"/>
          <w:sz w:val="17"/>
          <w:szCs w:val="17"/>
          <w:color w:val="auto"/>
        </w:rPr>
        <w:t>deduct any amounts owed from the security deposit. If the security deposit is deducted at any point during the lease period, Party B will be obligated to make up the deficiency.</w:t>
      </w:r>
    </w:p>
    <w:p>
      <w:pPr>
        <w:spacing w:after="0" w:line="158" w:lineRule="exact"/>
        <w:rPr>
          <w:sz w:val="20"/>
          <w:szCs w:val="20"/>
          <w:color w:val="auto"/>
        </w:rPr>
      </w:pPr>
    </w:p>
    <w:p>
      <w:pPr>
        <w:ind w:left="1260" w:right="100" w:hanging="416"/>
        <w:spacing w:after="0" w:line="265" w:lineRule="auto"/>
        <w:tabs>
          <w:tab w:leader="none" w:pos="1260" w:val="left"/>
        </w:tabs>
        <w:numPr>
          <w:ilvl w:val="0"/>
          <w:numId w:val="565"/>
        </w:numPr>
        <w:rPr>
          <w:rFonts w:ascii="Arial" w:cs="Arial" w:eastAsia="Arial" w:hAnsi="Arial"/>
          <w:sz w:val="17"/>
          <w:szCs w:val="17"/>
          <w:color w:val="auto"/>
        </w:rPr>
      </w:pPr>
      <w:r>
        <w:rPr>
          <w:rFonts w:ascii="Arial" w:cs="Arial" w:eastAsia="Arial" w:hAnsi="Arial"/>
          <w:sz w:val="17"/>
          <w:szCs w:val="17"/>
          <w:color w:val="auto"/>
        </w:rPr>
        <w:t>If Party B does not renew the lease upon the expiration of the lease or when the Lease Agreement becomes terminated through no fault of Party B, Party A shall return Party B’s security deposit without interest when Party B vacates the leased premises (including relocation of the registered business address or dissolution of corporate existence or relocation of factory). However, in the event that Party B needs to terminate the Lease Agreement prior to expiration through no fault of Party B, Party B will need to process the early termination subject to Article 15, Section 1 of the Lease Agreement.</w:t>
      </w:r>
    </w:p>
    <w:p>
      <w:pPr>
        <w:sectPr>
          <w:pgSz w:w="11900" w:h="16876" w:orient="portrait"/>
          <w:cols w:equalWidth="0" w:num="1">
            <w:col w:w="11420"/>
          </w:cols>
          <w:pgMar w:left="240" w:top="357" w:right="239" w:bottom="0" w:gutter="0" w:footer="0" w:header="0"/>
        </w:sectPr>
      </w:pPr>
    </w:p>
    <w:bookmarkStart w:id="373" w:name="page374"/>
    <w:bookmarkEnd w:id="373"/>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 IMPROVEMENT, SAFETY MAINTENANCE AND REPAIR OF THE LEASED PREMISES:</w:t>
      </w:r>
    </w:p>
    <w:p>
      <w:pPr>
        <w:spacing w:after="0" w:line="230" w:lineRule="exact"/>
        <w:rPr>
          <w:sz w:val="20"/>
          <w:szCs w:val="20"/>
          <w:color w:val="auto"/>
        </w:rPr>
      </w:pPr>
    </w:p>
    <w:p>
      <w:pPr>
        <w:ind w:left="1260" w:right="80" w:hanging="416"/>
        <w:spacing w:after="0" w:line="273" w:lineRule="auto"/>
        <w:tabs>
          <w:tab w:leader="none" w:pos="1260" w:val="left"/>
        </w:tabs>
        <w:numPr>
          <w:ilvl w:val="0"/>
          <w:numId w:val="566"/>
        </w:numPr>
        <w:rPr>
          <w:rFonts w:ascii="Arial" w:cs="Arial" w:eastAsia="Arial" w:hAnsi="Arial"/>
          <w:sz w:val="17"/>
          <w:szCs w:val="17"/>
          <w:color w:val="auto"/>
        </w:rPr>
      </w:pPr>
      <w:r>
        <w:rPr>
          <w:rFonts w:ascii="Arial" w:cs="Arial" w:eastAsia="Arial" w:hAnsi="Arial"/>
          <w:sz w:val="17"/>
          <w:szCs w:val="17"/>
          <w:color w:val="auto"/>
        </w:rPr>
        <w:t>Within the lease period, Party B shall obtain Party A’s approval before working on renovation, partition and equipment installation of the leased premises at Party B’s own expense. However, any alteration to the lease premised should not cause damage to the building structure, safety equipment or exterior appearance.</w:t>
      </w:r>
    </w:p>
    <w:p>
      <w:pPr>
        <w:spacing w:after="0" w:line="171" w:lineRule="exact"/>
        <w:rPr>
          <w:rFonts w:ascii="Arial" w:cs="Arial" w:eastAsia="Arial" w:hAnsi="Arial"/>
          <w:sz w:val="17"/>
          <w:szCs w:val="17"/>
          <w:color w:val="auto"/>
        </w:rPr>
      </w:pPr>
    </w:p>
    <w:p>
      <w:pPr>
        <w:ind w:left="1260" w:right="40" w:hanging="416"/>
        <w:spacing w:after="0" w:line="273" w:lineRule="auto"/>
        <w:tabs>
          <w:tab w:leader="none" w:pos="1260" w:val="left"/>
        </w:tabs>
        <w:numPr>
          <w:ilvl w:val="0"/>
          <w:numId w:val="566"/>
        </w:numPr>
        <w:rPr>
          <w:rFonts w:ascii="Arial" w:cs="Arial" w:eastAsia="Arial" w:hAnsi="Arial"/>
          <w:sz w:val="17"/>
          <w:szCs w:val="17"/>
          <w:color w:val="auto"/>
        </w:rPr>
      </w:pPr>
      <w:r>
        <w:rPr>
          <w:rFonts w:ascii="Arial" w:cs="Arial" w:eastAsia="Arial" w:hAnsi="Arial"/>
          <w:sz w:val="17"/>
          <w:szCs w:val="17"/>
          <w:color w:val="auto"/>
        </w:rPr>
        <w:t>If Party B needs to use any of the leased premises’ equipment or additionally needs to use any vacant space or the building’s public area or glass outer walls to place any advertising signs or boards, Party B will need to submit such request to to the building’s Administrative Committee for approval.</w:t>
      </w:r>
    </w:p>
    <w:p>
      <w:pPr>
        <w:spacing w:after="0" w:line="171" w:lineRule="exact"/>
        <w:rPr>
          <w:rFonts w:ascii="Arial" w:cs="Arial" w:eastAsia="Arial" w:hAnsi="Arial"/>
          <w:sz w:val="17"/>
          <w:szCs w:val="17"/>
          <w:color w:val="auto"/>
        </w:rPr>
      </w:pPr>
    </w:p>
    <w:p>
      <w:pPr>
        <w:ind w:left="1260" w:right="80" w:hanging="416"/>
        <w:spacing w:after="0" w:line="289" w:lineRule="auto"/>
        <w:tabs>
          <w:tab w:leader="none" w:pos="1260" w:val="left"/>
        </w:tabs>
        <w:numPr>
          <w:ilvl w:val="0"/>
          <w:numId w:val="566"/>
        </w:numPr>
        <w:rPr>
          <w:rFonts w:ascii="Arial" w:cs="Arial" w:eastAsia="Arial" w:hAnsi="Arial"/>
          <w:sz w:val="17"/>
          <w:szCs w:val="17"/>
          <w:color w:val="auto"/>
        </w:rPr>
      </w:pPr>
      <w:r>
        <w:rPr>
          <w:rFonts w:ascii="Arial" w:cs="Arial" w:eastAsia="Arial" w:hAnsi="Arial"/>
          <w:sz w:val="17"/>
          <w:szCs w:val="17"/>
          <w:color w:val="auto"/>
        </w:rPr>
        <w:t>The safety equipment inside the leased premises shall be maintained by Party B during the lease period, and storage of combustible, contraband or hazardous articles is strictly prohibited.</w:t>
      </w:r>
    </w:p>
    <w:p>
      <w:pPr>
        <w:spacing w:after="0" w:line="158" w:lineRule="exact"/>
        <w:rPr>
          <w:rFonts w:ascii="Arial" w:cs="Arial" w:eastAsia="Arial" w:hAnsi="Arial"/>
          <w:sz w:val="17"/>
          <w:szCs w:val="17"/>
          <w:color w:val="auto"/>
        </w:rPr>
      </w:pPr>
    </w:p>
    <w:p>
      <w:pPr>
        <w:ind w:left="1260" w:right="80" w:hanging="416"/>
        <w:spacing w:after="0" w:line="273" w:lineRule="auto"/>
        <w:tabs>
          <w:tab w:leader="none" w:pos="1260" w:val="left"/>
        </w:tabs>
        <w:numPr>
          <w:ilvl w:val="0"/>
          <w:numId w:val="566"/>
        </w:numPr>
        <w:rPr>
          <w:rFonts w:ascii="Arial" w:cs="Arial" w:eastAsia="Arial" w:hAnsi="Arial"/>
          <w:sz w:val="17"/>
          <w:szCs w:val="17"/>
          <w:color w:val="auto"/>
        </w:rPr>
      </w:pPr>
      <w:r>
        <w:rPr>
          <w:rFonts w:ascii="Arial" w:cs="Arial" w:eastAsia="Arial" w:hAnsi="Arial"/>
          <w:sz w:val="17"/>
          <w:szCs w:val="17"/>
          <w:color w:val="auto"/>
        </w:rPr>
        <w:t>During the lease period, except the structure of the leased premises as described in Article 1 of the Lease Agreement, which shall be maintained by Party A, Party B shall be responsible for the maintenance or improvement of any air-conditioning equipment, fire safety and electric power equipment inside the leased premises, regardless whether the original installation or repair was made by Party A.</w:t>
      </w:r>
    </w:p>
    <w:p>
      <w:pPr>
        <w:spacing w:after="0" w:line="171" w:lineRule="exact"/>
        <w:rPr>
          <w:rFonts w:ascii="Arial" w:cs="Arial" w:eastAsia="Arial" w:hAnsi="Arial"/>
          <w:sz w:val="17"/>
          <w:szCs w:val="17"/>
          <w:color w:val="auto"/>
        </w:rPr>
      </w:pPr>
    </w:p>
    <w:p>
      <w:pPr>
        <w:ind w:left="5680" w:right="160" w:hanging="4836"/>
        <w:spacing w:after="0" w:line="547" w:lineRule="auto"/>
        <w:tabs>
          <w:tab w:leader="none" w:pos="1273" w:val="left"/>
        </w:tabs>
        <w:numPr>
          <w:ilvl w:val="0"/>
          <w:numId w:val="566"/>
        </w:numPr>
        <w:rPr>
          <w:rFonts w:ascii="Arial" w:cs="Arial" w:eastAsia="Arial" w:hAnsi="Arial"/>
          <w:sz w:val="17"/>
          <w:szCs w:val="17"/>
          <w:color w:val="auto"/>
        </w:rPr>
      </w:pPr>
      <w:r>
        <w:rPr>
          <w:rFonts w:ascii="Arial" w:cs="Arial" w:eastAsia="Arial" w:hAnsi="Arial"/>
          <w:sz w:val="17"/>
          <w:szCs w:val="17"/>
          <w:color w:val="auto"/>
        </w:rPr>
        <w:t>Party B shall be responsible for repair of other public areas or facilities. Party B may submit such repair or maintenance request directly to the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271385" cy="2921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260" w:right="20"/>
        <w:spacing w:after="0" w:line="289" w:lineRule="auto"/>
        <w:rPr>
          <w:sz w:val="20"/>
          <w:szCs w:val="20"/>
          <w:color w:val="auto"/>
        </w:rPr>
      </w:pPr>
      <w:r>
        <w:rPr>
          <w:rFonts w:ascii="Arial" w:cs="Arial" w:eastAsia="Arial" w:hAnsi="Arial"/>
          <w:sz w:val="17"/>
          <w:szCs w:val="17"/>
          <w:color w:val="auto"/>
        </w:rPr>
        <w:t>building’s Administrative Committee. Party A shall not be held accountable for any maintenance other than as set forth in Article 1 of the Lease Agreement.</w:t>
      </w:r>
    </w:p>
    <w:p>
      <w:pPr>
        <w:spacing w:after="0" w:line="158" w:lineRule="exact"/>
        <w:rPr>
          <w:sz w:val="20"/>
          <w:szCs w:val="20"/>
          <w:color w:val="auto"/>
        </w:rPr>
      </w:pPr>
    </w:p>
    <w:p>
      <w:pPr>
        <w:ind w:left="1260" w:right="80" w:hanging="416"/>
        <w:spacing w:after="0" w:line="273" w:lineRule="auto"/>
        <w:tabs>
          <w:tab w:leader="none" w:pos="126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During the lease period, Party B shall use the leased premises with the precautious obligation that a prudent administrator shall have. In case of any cause attributable to Party B (including Party B’s employees, users and clients) leading to damage to the leased premises, Party B shall be responsible for repair.</w:t>
      </w:r>
    </w:p>
    <w:p>
      <w:pPr>
        <w:spacing w:after="0" w:line="171" w:lineRule="exact"/>
        <w:rPr>
          <w:rFonts w:ascii="Arial" w:cs="Arial" w:eastAsia="Arial" w:hAnsi="Arial"/>
          <w:sz w:val="17"/>
          <w:szCs w:val="17"/>
          <w:color w:val="auto"/>
        </w:rPr>
      </w:pPr>
    </w:p>
    <w:p>
      <w:pPr>
        <w:ind w:left="1260" w:right="460" w:hanging="416"/>
        <w:spacing w:after="0" w:line="289" w:lineRule="auto"/>
        <w:tabs>
          <w:tab w:leader="none" w:pos="126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The condition of the leased premises upon occupancy will be documented by photos showing the original condition of the leased premises attached herein as Appendix 1.</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VII. RETURN OF THE LEASED PREMISES:</w:t>
      </w:r>
    </w:p>
    <w:p>
      <w:pPr>
        <w:spacing w:after="0" w:line="230" w:lineRule="exact"/>
        <w:rPr>
          <w:sz w:val="20"/>
          <w:szCs w:val="20"/>
          <w:color w:val="auto"/>
        </w:rPr>
      </w:pPr>
    </w:p>
    <w:p>
      <w:pPr>
        <w:ind w:left="1260" w:right="260" w:hanging="416"/>
        <w:spacing w:after="0" w:line="273" w:lineRule="auto"/>
        <w:tabs>
          <w:tab w:leader="none" w:pos="1260" w:val="left"/>
        </w:tabs>
        <w:numPr>
          <w:ilvl w:val="0"/>
          <w:numId w:val="568"/>
        </w:numPr>
        <w:rPr>
          <w:rFonts w:ascii="Arial" w:cs="Arial" w:eastAsia="Arial" w:hAnsi="Arial"/>
          <w:sz w:val="17"/>
          <w:szCs w:val="17"/>
          <w:color w:val="auto"/>
        </w:rPr>
      </w:pPr>
      <w:r>
        <w:rPr>
          <w:rFonts w:ascii="Arial" w:cs="Arial" w:eastAsia="Arial" w:hAnsi="Arial"/>
          <w:sz w:val="17"/>
          <w:szCs w:val="17"/>
          <w:color w:val="auto"/>
        </w:rPr>
        <w:t>If Party B does not renew the Lease Agreement after expiration or when the Lease Agreement is terminated, Party B shall return the leased premises to Party A on the expiration or termination day. In case of any delay in returning the leased premises, Party A may, at its discretion, enter and recover the leased premises, for which Party B shall have no objection.</w:t>
      </w:r>
    </w:p>
    <w:p>
      <w:pPr>
        <w:spacing w:after="0" w:line="171" w:lineRule="exact"/>
        <w:rPr>
          <w:rFonts w:ascii="Arial" w:cs="Arial" w:eastAsia="Arial" w:hAnsi="Arial"/>
          <w:sz w:val="17"/>
          <w:szCs w:val="17"/>
          <w:color w:val="auto"/>
        </w:rPr>
      </w:pPr>
    </w:p>
    <w:p>
      <w:pPr>
        <w:ind w:left="1260" w:hanging="416"/>
        <w:spacing w:after="0" w:line="268" w:lineRule="auto"/>
        <w:tabs>
          <w:tab w:leader="none" w:pos="1260" w:val="left"/>
        </w:tabs>
        <w:numPr>
          <w:ilvl w:val="0"/>
          <w:numId w:val="568"/>
        </w:numPr>
        <w:rPr>
          <w:rFonts w:ascii="Arial" w:cs="Arial" w:eastAsia="Arial" w:hAnsi="Arial"/>
          <w:sz w:val="17"/>
          <w:szCs w:val="17"/>
          <w:color w:val="auto"/>
        </w:rPr>
      </w:pPr>
      <w:r>
        <w:rPr>
          <w:rFonts w:ascii="Arial" w:cs="Arial" w:eastAsia="Arial" w:hAnsi="Arial"/>
          <w:sz w:val="17"/>
          <w:szCs w:val="17"/>
          <w:color w:val="auto"/>
        </w:rPr>
        <w:t>After the lease expires or the Lease Agreement is terminated, Party B shall unconditionally remove all installed equipment or removable fixtures and restore the leased premises to their original condition before returning the leased premises to Party A. Party B shall not cause any damage to the building and or existing equipment. In addition, Party A is not obligated to purchase or provide any compensation for any renovation or improvements performed by Party B.</w:t>
      </w:r>
    </w:p>
    <w:p>
      <w:pPr>
        <w:spacing w:after="0" w:line="175" w:lineRule="exact"/>
        <w:rPr>
          <w:rFonts w:ascii="Arial" w:cs="Arial" w:eastAsia="Arial" w:hAnsi="Arial"/>
          <w:sz w:val="17"/>
          <w:szCs w:val="17"/>
          <w:color w:val="auto"/>
        </w:rPr>
      </w:pPr>
    </w:p>
    <w:p>
      <w:pPr>
        <w:ind w:left="1260" w:right="360" w:hanging="416"/>
        <w:spacing w:after="0" w:line="273" w:lineRule="auto"/>
        <w:tabs>
          <w:tab w:leader="none" w:pos="1260" w:val="left"/>
        </w:tabs>
        <w:numPr>
          <w:ilvl w:val="0"/>
          <w:numId w:val="568"/>
        </w:numPr>
        <w:rPr>
          <w:rFonts w:ascii="Arial" w:cs="Arial" w:eastAsia="Arial" w:hAnsi="Arial"/>
          <w:sz w:val="17"/>
          <w:szCs w:val="17"/>
          <w:color w:val="auto"/>
        </w:rPr>
      </w:pPr>
      <w:r>
        <w:rPr>
          <w:rFonts w:ascii="Arial" w:cs="Arial" w:eastAsia="Arial" w:hAnsi="Arial"/>
          <w:sz w:val="17"/>
          <w:szCs w:val="17"/>
          <w:color w:val="auto"/>
        </w:rPr>
        <w:t>If Party B does not vacate the leased premises and leaves behind any removable fixtures, equipment and articles in the leased premises after expiration or termination of the Lease Agreement, Party A may dispose the items left on the site as waste, and restore the premises to their original condition, for which all incurred expenses related to such disposal will be borne by Party B.</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VIII. RESTRICTIONS ON USE OF THE LEASED PREMISES:</w:t>
      </w:r>
    </w:p>
    <w:p>
      <w:pPr>
        <w:spacing w:after="0" w:line="230" w:lineRule="exact"/>
        <w:rPr>
          <w:sz w:val="20"/>
          <w:szCs w:val="20"/>
          <w:color w:val="auto"/>
        </w:rPr>
      </w:pPr>
    </w:p>
    <w:p>
      <w:pPr>
        <w:ind w:left="1260" w:right="220" w:hanging="416"/>
        <w:spacing w:after="0" w:line="289" w:lineRule="auto"/>
        <w:tabs>
          <w:tab w:leader="none" w:pos="1260" w:val="left"/>
        </w:tabs>
        <w:numPr>
          <w:ilvl w:val="0"/>
          <w:numId w:val="569"/>
        </w:numPr>
        <w:rPr>
          <w:rFonts w:ascii="Arial" w:cs="Arial" w:eastAsia="Arial" w:hAnsi="Arial"/>
          <w:sz w:val="17"/>
          <w:szCs w:val="17"/>
          <w:color w:val="auto"/>
        </w:rPr>
      </w:pPr>
      <w:r>
        <w:rPr>
          <w:rFonts w:ascii="Arial" w:cs="Arial" w:eastAsia="Arial" w:hAnsi="Arial"/>
          <w:sz w:val="17"/>
          <w:szCs w:val="17"/>
          <w:color w:val="auto"/>
        </w:rPr>
        <w:t>Party B shall abide by the regulations set forth by the Building Management Act. If any violation by Party B results in Party A’s loss, Party B shall be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liable for the loss.</w:t>
      </w:r>
    </w:p>
    <w:p>
      <w:pPr>
        <w:spacing w:after="0" w:line="224" w:lineRule="exact"/>
        <w:rPr>
          <w:sz w:val="20"/>
          <w:szCs w:val="20"/>
          <w:color w:val="auto"/>
        </w:rPr>
      </w:pPr>
    </w:p>
    <w:p>
      <w:pPr>
        <w:ind w:left="1260" w:hanging="416"/>
        <w:spacing w:after="0" w:line="268" w:lineRule="auto"/>
        <w:tabs>
          <w:tab w:leader="none" w:pos="1260" w:val="left"/>
        </w:tabs>
        <w:numPr>
          <w:ilvl w:val="0"/>
          <w:numId w:val="570"/>
        </w:numPr>
        <w:rPr>
          <w:rFonts w:ascii="Arial" w:cs="Arial" w:eastAsia="Arial" w:hAnsi="Arial"/>
          <w:sz w:val="17"/>
          <w:szCs w:val="17"/>
          <w:color w:val="auto"/>
        </w:rPr>
      </w:pPr>
      <w:r>
        <w:rPr>
          <w:rFonts w:ascii="Arial" w:cs="Arial" w:eastAsia="Arial" w:hAnsi="Arial"/>
          <w:sz w:val="17"/>
          <w:szCs w:val="17"/>
          <w:color w:val="auto"/>
        </w:rPr>
        <w:t>Any operational permit or business license required by Party B for business operation shall be the responsibility of Party B. Party A will provide any necessary assistance by supplying any requisite documents for Party B’s application. If Party B has registered its official registered place of business to the address of the leased premises, Party B agrees to amend such registration upon the expiration or termination of the Lease Agreement.</w:t>
      </w:r>
    </w:p>
    <w:p>
      <w:pPr>
        <w:spacing w:after="0" w:line="175" w:lineRule="exact"/>
        <w:rPr>
          <w:rFonts w:ascii="Arial" w:cs="Arial" w:eastAsia="Arial" w:hAnsi="Arial"/>
          <w:sz w:val="17"/>
          <w:szCs w:val="17"/>
          <w:color w:val="auto"/>
        </w:rPr>
      </w:pPr>
    </w:p>
    <w:p>
      <w:pPr>
        <w:ind w:left="1260" w:right="120" w:hanging="416"/>
        <w:spacing w:after="0" w:line="289" w:lineRule="auto"/>
        <w:tabs>
          <w:tab w:leader="none" w:pos="1260" w:val="left"/>
        </w:tabs>
        <w:numPr>
          <w:ilvl w:val="0"/>
          <w:numId w:val="570"/>
        </w:numPr>
        <w:rPr>
          <w:rFonts w:ascii="Arial" w:cs="Arial" w:eastAsia="Arial" w:hAnsi="Arial"/>
          <w:sz w:val="17"/>
          <w:szCs w:val="17"/>
          <w:color w:val="auto"/>
        </w:rPr>
      </w:pPr>
      <w:r>
        <w:rPr>
          <w:rFonts w:ascii="Arial" w:cs="Arial" w:eastAsia="Arial" w:hAnsi="Arial"/>
          <w:sz w:val="17"/>
          <w:szCs w:val="17"/>
          <w:color w:val="auto"/>
        </w:rPr>
        <w:t>Without the consent or approval of Party A, Party B shall not transfer, assign, lease, sublease or lend the leased premises to any third parties for occupancy or use.</w:t>
      </w:r>
    </w:p>
    <w:p>
      <w:pPr>
        <w:spacing w:after="0" w:line="158" w:lineRule="exact"/>
        <w:rPr>
          <w:rFonts w:ascii="Arial" w:cs="Arial" w:eastAsia="Arial" w:hAnsi="Arial"/>
          <w:sz w:val="17"/>
          <w:szCs w:val="17"/>
          <w:color w:val="auto"/>
        </w:rPr>
      </w:pPr>
    </w:p>
    <w:p>
      <w:pPr>
        <w:ind w:left="1260" w:right="60" w:hanging="416"/>
        <w:spacing w:after="0" w:line="268" w:lineRule="auto"/>
        <w:tabs>
          <w:tab w:leader="none" w:pos="1260" w:val="left"/>
        </w:tabs>
        <w:numPr>
          <w:ilvl w:val="0"/>
          <w:numId w:val="570"/>
        </w:numPr>
        <w:rPr>
          <w:rFonts w:ascii="Arial" w:cs="Arial" w:eastAsia="Arial" w:hAnsi="Arial"/>
          <w:sz w:val="17"/>
          <w:szCs w:val="17"/>
          <w:color w:val="auto"/>
        </w:rPr>
      </w:pPr>
      <w:r>
        <w:rPr>
          <w:rFonts w:ascii="Arial" w:cs="Arial" w:eastAsia="Arial" w:hAnsi="Arial"/>
          <w:sz w:val="17"/>
          <w:szCs w:val="17"/>
          <w:color w:val="auto"/>
        </w:rPr>
        <w:t>The permitted use of the lease premises will be that of office and manufacturing. Party B shall follow any local law or regulations regarding the permitted use. In the event that Party B does not use the leased premises as indicated in this Section violates a law that causes a legal authority to shut down business operations, such event shall not constitute grounds for Party B to terminate this Lease Agreement. Party B will still be liable for the remaining lease term.</w:t>
      </w:r>
    </w:p>
    <w:p>
      <w:pPr>
        <w:spacing w:after="0" w:line="175" w:lineRule="exact"/>
        <w:rPr>
          <w:rFonts w:ascii="Arial" w:cs="Arial" w:eastAsia="Arial" w:hAnsi="Arial"/>
          <w:sz w:val="17"/>
          <w:szCs w:val="17"/>
          <w:color w:val="auto"/>
        </w:rPr>
      </w:pPr>
    </w:p>
    <w:p>
      <w:pPr>
        <w:ind w:left="1260" w:hanging="416"/>
        <w:spacing w:after="0"/>
        <w:tabs>
          <w:tab w:leader="none" w:pos="1260" w:val="left"/>
        </w:tabs>
        <w:numPr>
          <w:ilvl w:val="0"/>
          <w:numId w:val="570"/>
        </w:numPr>
        <w:rPr>
          <w:rFonts w:ascii="Arial" w:cs="Arial" w:eastAsia="Arial" w:hAnsi="Arial"/>
          <w:sz w:val="17"/>
          <w:szCs w:val="17"/>
          <w:color w:val="auto"/>
        </w:rPr>
      </w:pPr>
      <w:r>
        <w:rPr>
          <w:rFonts w:ascii="Arial" w:cs="Arial" w:eastAsia="Arial" w:hAnsi="Arial"/>
          <w:sz w:val="17"/>
          <w:szCs w:val="17"/>
          <w:color w:val="auto"/>
        </w:rPr>
        <w:t>Party B shall not use the leased premises as a site to engage in illegal businesses and activities.</w:t>
      </w:r>
    </w:p>
    <w:p>
      <w:pPr>
        <w:spacing w:after="0" w:line="224" w:lineRule="exact"/>
        <w:rPr>
          <w:rFonts w:ascii="Arial" w:cs="Arial" w:eastAsia="Arial" w:hAnsi="Arial"/>
          <w:sz w:val="17"/>
          <w:szCs w:val="17"/>
          <w:color w:val="auto"/>
        </w:rPr>
      </w:pPr>
    </w:p>
    <w:p>
      <w:pPr>
        <w:ind w:left="1260" w:hanging="416"/>
        <w:spacing w:after="0" w:line="326" w:lineRule="auto"/>
        <w:tabs>
          <w:tab w:leader="none" w:pos="1260" w:val="left"/>
        </w:tabs>
        <w:numPr>
          <w:ilvl w:val="0"/>
          <w:numId w:val="570"/>
        </w:numPr>
        <w:rPr>
          <w:rFonts w:ascii="Arial" w:cs="Arial" w:eastAsia="Arial" w:hAnsi="Arial"/>
          <w:sz w:val="15"/>
          <w:szCs w:val="15"/>
          <w:color w:val="auto"/>
        </w:rPr>
      </w:pPr>
      <w:r>
        <w:rPr>
          <w:rFonts w:ascii="Arial" w:cs="Arial" w:eastAsia="Arial" w:hAnsi="Arial"/>
          <w:sz w:val="15"/>
          <w:szCs w:val="15"/>
          <w:color w:val="auto"/>
        </w:rPr>
        <w:t>When executing the Lease Agreement, Party B has been made aware of the current public safety and fire safety condition of the leased premises’ public areas and relevant emergency exits, and has accepted the condition as is. If any subsequent events occur during the lease period that causes the current building to endanger the safety and health of the occupants or if any conditions impose a critical threat to occupants during an</w:t>
      </w:r>
    </w:p>
    <w:p>
      <w:pPr>
        <w:sectPr>
          <w:pgSz w:w="11900" w:h="16893" w:orient="portrait"/>
          <w:cols w:equalWidth="0" w:num="1">
            <w:col w:w="11400"/>
          </w:cols>
          <w:pgMar w:left="240" w:top="331" w:right="259" w:bottom="0" w:gutter="0" w:footer="0" w:header="0"/>
        </w:sectPr>
      </w:pPr>
    </w:p>
    <w:bookmarkStart w:id="374" w:name="page375"/>
    <w:bookmarkEnd w:id="374"/>
    <w:p>
      <w:pPr>
        <w:spacing w:after="0" w:line="84" w:lineRule="exact"/>
        <w:rPr>
          <w:sz w:val="20"/>
          <w:szCs w:val="20"/>
          <w:color w:val="auto"/>
        </w:rPr>
      </w:pPr>
    </w:p>
    <w:p>
      <w:pPr>
        <w:ind w:left="1260" w:right="120"/>
        <w:spacing w:after="0" w:line="289" w:lineRule="auto"/>
        <w:rPr>
          <w:sz w:val="20"/>
          <w:szCs w:val="20"/>
          <w:color w:val="auto"/>
        </w:rPr>
      </w:pPr>
      <w:r>
        <w:rPr>
          <w:rFonts w:ascii="Arial" w:cs="Arial" w:eastAsia="Arial" w:hAnsi="Arial"/>
          <w:sz w:val="17"/>
          <w:szCs w:val="17"/>
          <w:color w:val="auto"/>
        </w:rPr>
        <w:t>emergency evacuation, Party B may have grounds for early termination of the Lease Agreement. Otherwise, Party B shall continue to fulfill its obligation as specified in Article 15, Section 1 of the Lease Agreement.</w:t>
      </w:r>
    </w:p>
    <w:p>
      <w:pPr>
        <w:spacing w:after="0" w:line="152"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b w:val="1"/>
          <w:bCs w:val="1"/>
          <w:color w:val="auto"/>
        </w:rPr>
        <w:t xml:space="preserve">IX. ABANDONMENT OF INTEREST: </w:t>
      </w:r>
      <w:r>
        <w:rPr>
          <w:rFonts w:ascii="Arial" w:cs="Arial" w:eastAsia="Arial" w:hAnsi="Arial"/>
          <w:sz w:val="16"/>
          <w:szCs w:val="16"/>
          <w:color w:val="auto"/>
        </w:rPr>
        <w:t>During the lease period, if Party A decides to grant a security interest on the leased premises to a financial institution,</w:t>
      </w:r>
      <w:r>
        <w:rPr>
          <w:rFonts w:ascii="Arial" w:cs="Arial" w:eastAsia="Arial" w:hAnsi="Arial"/>
          <w:sz w:val="16"/>
          <w:szCs w:val="16"/>
          <w:b w:val="1"/>
          <w:bCs w:val="1"/>
          <w:color w:val="auto"/>
        </w:rPr>
        <w:t xml:space="preserve"> </w:t>
      </w:r>
      <w:r>
        <w:rPr>
          <w:rFonts w:ascii="Arial" w:cs="Arial" w:eastAsia="Arial" w:hAnsi="Arial"/>
          <w:sz w:val="16"/>
          <w:szCs w:val="16"/>
          <w:color w:val="auto"/>
        </w:rPr>
        <w:t>Party B shall agree to abandon its interest as a lessee of the leased premises if the security interest holder decides to exercise its interest and early terminates the Lease Agreement. Any losses incurred by Party B (including relocation fee and equipment scrape value) will be borne by Party A.</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Party A shall compensate Party B for the losses (the aforesaid equipment scrape value refers to the value left from the book value of the equipment deducting the accumulated depreciation). At the same time, Party A shall return the security deposit without interest and all the remaining pre-dated checks received for purpose of rent payment to Party B.</w:t>
      </w:r>
    </w:p>
    <w:p>
      <w:pPr>
        <w:spacing w:after="0" w:line="166" w:lineRule="exact"/>
        <w:rPr>
          <w:sz w:val="20"/>
          <w:szCs w:val="20"/>
          <w:color w:val="auto"/>
        </w:rPr>
      </w:pPr>
    </w:p>
    <w:p>
      <w:pPr>
        <w:ind w:left="220" w:hanging="215"/>
        <w:spacing w:after="0"/>
        <w:tabs>
          <w:tab w:leader="none" w:pos="220" w:val="left"/>
        </w:tabs>
        <w:numPr>
          <w:ilvl w:val="0"/>
          <w:numId w:val="571"/>
        </w:numPr>
        <w:rPr>
          <w:rFonts w:ascii="Arial" w:cs="Arial" w:eastAsia="Arial" w:hAnsi="Arial"/>
          <w:sz w:val="17"/>
          <w:szCs w:val="17"/>
          <w:b w:val="1"/>
          <w:bCs w:val="1"/>
          <w:color w:val="auto"/>
        </w:rPr>
      </w:pPr>
      <w:r>
        <w:rPr>
          <w:rFonts w:ascii="Arial" w:cs="Arial" w:eastAsia="Arial" w:hAnsi="Arial"/>
          <w:sz w:val="17"/>
          <w:szCs w:val="17"/>
          <w:b w:val="1"/>
          <w:bCs w:val="1"/>
          <w:color w:val="auto"/>
        </w:rPr>
        <w:t>TAXES:</w:t>
      </w:r>
    </w:p>
    <w:p>
      <w:pPr>
        <w:spacing w:after="0" w:line="230" w:lineRule="exact"/>
        <w:rPr>
          <w:rFonts w:ascii="Arial" w:cs="Arial" w:eastAsia="Arial" w:hAnsi="Arial"/>
          <w:sz w:val="17"/>
          <w:szCs w:val="17"/>
          <w:b w:val="1"/>
          <w:bCs w:val="1"/>
          <w:color w:val="auto"/>
        </w:rPr>
      </w:pPr>
    </w:p>
    <w:p>
      <w:pPr>
        <w:ind w:left="1260" w:hanging="416"/>
        <w:spacing w:after="0"/>
        <w:tabs>
          <w:tab w:leader="none" w:pos="1260" w:val="left"/>
        </w:tabs>
        <w:numPr>
          <w:ilvl w:val="1"/>
          <w:numId w:val="571"/>
        </w:numPr>
        <w:rPr>
          <w:rFonts w:ascii="Arial" w:cs="Arial" w:eastAsia="Arial" w:hAnsi="Arial"/>
          <w:sz w:val="17"/>
          <w:szCs w:val="17"/>
          <w:color w:val="auto"/>
        </w:rPr>
      </w:pPr>
      <w:r>
        <w:rPr>
          <w:rFonts w:ascii="Arial" w:cs="Arial" w:eastAsia="Arial" w:hAnsi="Arial"/>
          <w:sz w:val="17"/>
          <w:szCs w:val="17"/>
          <w:color w:val="auto"/>
        </w:rPr>
        <w:t>All land or property taxes shall be paid by Party A.</w:t>
      </w:r>
    </w:p>
    <w:p>
      <w:pPr>
        <w:spacing w:after="0" w:line="224" w:lineRule="exact"/>
        <w:rPr>
          <w:rFonts w:ascii="Arial" w:cs="Arial" w:eastAsia="Arial" w:hAnsi="Arial"/>
          <w:sz w:val="17"/>
          <w:szCs w:val="17"/>
          <w:color w:val="auto"/>
        </w:rPr>
      </w:pPr>
    </w:p>
    <w:p>
      <w:pPr>
        <w:ind w:left="1260" w:hanging="416"/>
        <w:spacing w:after="0"/>
        <w:tabs>
          <w:tab w:leader="none" w:pos="1260" w:val="left"/>
        </w:tabs>
        <w:numPr>
          <w:ilvl w:val="1"/>
          <w:numId w:val="571"/>
        </w:numPr>
        <w:rPr>
          <w:rFonts w:ascii="Arial" w:cs="Arial" w:eastAsia="Arial" w:hAnsi="Arial"/>
          <w:sz w:val="17"/>
          <w:szCs w:val="17"/>
          <w:color w:val="auto"/>
        </w:rPr>
      </w:pPr>
      <w:r>
        <w:rPr>
          <w:rFonts w:ascii="Arial" w:cs="Arial" w:eastAsia="Arial" w:hAnsi="Arial"/>
          <w:sz w:val="17"/>
          <w:szCs w:val="17"/>
          <w:color w:val="auto"/>
        </w:rPr>
        <w:t>Any utilities fees incurred during the renovation or improvement during the Rent Exemption Period shall be paid by Party B.</w:t>
      </w:r>
    </w:p>
    <w:p>
      <w:pPr>
        <w:spacing w:after="0" w:line="224" w:lineRule="exact"/>
        <w:rPr>
          <w:rFonts w:ascii="Arial" w:cs="Arial" w:eastAsia="Arial" w:hAnsi="Arial"/>
          <w:sz w:val="17"/>
          <w:szCs w:val="17"/>
          <w:color w:val="auto"/>
        </w:rPr>
      </w:pPr>
    </w:p>
    <w:p>
      <w:pPr>
        <w:ind w:left="1260" w:right="60" w:hanging="416"/>
        <w:spacing w:after="0" w:line="263" w:lineRule="auto"/>
        <w:tabs>
          <w:tab w:leader="none" w:pos="1260" w:val="left"/>
        </w:tabs>
        <w:numPr>
          <w:ilvl w:val="1"/>
          <w:numId w:val="571"/>
        </w:numPr>
        <w:rPr>
          <w:rFonts w:ascii="Arial" w:cs="Arial" w:eastAsia="Arial" w:hAnsi="Arial"/>
          <w:sz w:val="17"/>
          <w:szCs w:val="17"/>
          <w:color w:val="auto"/>
        </w:rPr>
      </w:pPr>
      <w:r>
        <w:rPr>
          <w:rFonts w:ascii="Arial" w:cs="Arial" w:eastAsia="Arial" w:hAnsi="Arial"/>
          <w:sz w:val="17"/>
          <w:szCs w:val="17"/>
          <w:color w:val="auto"/>
        </w:rPr>
        <w:t>The building administrative fee and parking space cleaning fee incurred during the leased period, including the period in which rent was exempted as specified in this Lease Agreement shall be paid by Party B. These fees shall be collected by Party A to be paid to the building’s administrative committee. According to current resident regulations, the monthly building administrative fee is 45 NT Dollars per ping and the parking space cleaning fee is 350 NT Dollars per space. The said leased premises will incur a monthly building administrative fee of 15,985 NT Dollars and monthly parking space cleaning fee of 1,050 NT Dollars, totaling 17,035 NT Dollars per month, subject to any adjustment. Any overpayment will be refunded to Party B and any deficiency will be paid by Party B.</w:t>
      </w:r>
    </w:p>
    <w:p>
      <w:pPr>
        <w:spacing w:after="0" w:line="183" w:lineRule="exact"/>
        <w:rPr>
          <w:rFonts w:ascii="Arial" w:cs="Arial" w:eastAsia="Arial" w:hAnsi="Arial"/>
          <w:sz w:val="17"/>
          <w:szCs w:val="17"/>
          <w:color w:val="auto"/>
        </w:rPr>
      </w:pPr>
    </w:p>
    <w:p>
      <w:pPr>
        <w:ind w:left="1260" w:hanging="416"/>
        <w:spacing w:after="0" w:line="263" w:lineRule="auto"/>
        <w:tabs>
          <w:tab w:leader="none" w:pos="1260" w:val="left"/>
        </w:tabs>
        <w:numPr>
          <w:ilvl w:val="1"/>
          <w:numId w:val="571"/>
        </w:numPr>
        <w:rPr>
          <w:rFonts w:ascii="Arial" w:cs="Arial" w:eastAsia="Arial" w:hAnsi="Arial"/>
          <w:sz w:val="17"/>
          <w:szCs w:val="17"/>
          <w:color w:val="auto"/>
        </w:rPr>
      </w:pPr>
      <w:r>
        <w:rPr>
          <w:rFonts w:ascii="Arial" w:cs="Arial" w:eastAsia="Arial" w:hAnsi="Arial"/>
          <w:sz w:val="17"/>
          <w:szCs w:val="17"/>
          <w:color w:val="auto"/>
        </w:rPr>
        <w:t>According to the building administrative fee and parking space cleaning fee prescribed in the preceding paragraph, Party B shall upon the execution of the Lease Agreement, issue pre-dated checks for all fees payable on the beginning day of each monthly period during the lease period and deliver them to Party A. After cashing the checks each month, Party A will pay the aforesaid fees to the administrative committee for Party B and use the receipt issued by the administrative committee as the evidence of Party B’s payment of the building administrative fee and parking space cleaning fee. In the event that Party B fails to provide the aforesaid checks to Party A or the pre-dated checks bounce, the Lease Agreement will be deemed terminated.</w:t>
      </w:r>
    </w:p>
    <w:p>
      <w:pPr>
        <w:spacing w:after="0" w:line="183" w:lineRule="exact"/>
        <w:rPr>
          <w:rFonts w:ascii="Arial" w:cs="Arial" w:eastAsia="Arial" w:hAnsi="Arial"/>
          <w:sz w:val="17"/>
          <w:szCs w:val="17"/>
          <w:color w:val="auto"/>
        </w:rPr>
      </w:pPr>
    </w:p>
    <w:p>
      <w:pPr>
        <w:ind w:left="1260" w:hanging="416"/>
        <w:spacing w:after="0"/>
        <w:tabs>
          <w:tab w:leader="none" w:pos="1260" w:val="left"/>
        </w:tabs>
        <w:numPr>
          <w:ilvl w:val="1"/>
          <w:numId w:val="571"/>
        </w:numPr>
        <w:rPr>
          <w:rFonts w:ascii="Arial" w:cs="Arial" w:eastAsia="Arial" w:hAnsi="Arial"/>
          <w:sz w:val="17"/>
          <w:szCs w:val="17"/>
          <w:color w:val="auto"/>
        </w:rPr>
      </w:pPr>
      <w:r>
        <w:rPr>
          <w:rFonts w:ascii="Arial" w:cs="Arial" w:eastAsia="Arial" w:hAnsi="Arial"/>
          <w:sz w:val="17"/>
          <w:szCs w:val="17"/>
          <w:color w:val="auto"/>
        </w:rPr>
        <w:t>Any administrative expenses and business taxes incurred from Party B’s business operation shall be paid by Party B.</w:t>
      </w:r>
    </w:p>
    <w:p>
      <w:pPr>
        <w:spacing w:after="0" w:line="224" w:lineRule="exact"/>
        <w:rPr>
          <w:rFonts w:ascii="Arial" w:cs="Arial" w:eastAsia="Arial" w:hAnsi="Arial"/>
          <w:sz w:val="17"/>
          <w:szCs w:val="17"/>
          <w:color w:val="auto"/>
        </w:rPr>
      </w:pPr>
    </w:p>
    <w:p>
      <w:pPr>
        <w:ind w:left="1260" w:hanging="416"/>
        <w:spacing w:after="0"/>
        <w:tabs>
          <w:tab w:leader="none" w:pos="1260" w:val="left"/>
        </w:tabs>
        <w:numPr>
          <w:ilvl w:val="1"/>
          <w:numId w:val="571"/>
        </w:numPr>
        <w:rPr>
          <w:rFonts w:ascii="Arial" w:cs="Arial" w:eastAsia="Arial" w:hAnsi="Arial"/>
          <w:sz w:val="16"/>
          <w:szCs w:val="16"/>
          <w:color w:val="auto"/>
        </w:rPr>
      </w:pPr>
      <w:r>
        <w:rPr>
          <w:rFonts w:ascii="Arial" w:cs="Arial" w:eastAsia="Arial" w:hAnsi="Arial"/>
          <w:sz w:val="16"/>
          <w:szCs w:val="16"/>
          <w:color w:val="auto"/>
        </w:rPr>
        <w:t>Party A shall carry fire insurance for the building of the leased premises, whereas Party B shall purchase fire insurance on its own for any</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improvements and business equipment within the leased premises.</w:t>
      </w:r>
    </w:p>
    <w:p>
      <w:pPr>
        <w:spacing w:after="0" w:line="224" w:lineRule="exact"/>
        <w:rPr>
          <w:sz w:val="20"/>
          <w:szCs w:val="20"/>
          <w:color w:val="auto"/>
        </w:rPr>
      </w:pPr>
    </w:p>
    <w:p>
      <w:pPr>
        <w:ind w:left="1260" w:right="340" w:hanging="416"/>
        <w:spacing w:after="0" w:line="322" w:lineRule="auto"/>
        <w:tabs>
          <w:tab w:leader="none" w:pos="1260" w:val="left"/>
        </w:tabs>
        <w:numPr>
          <w:ilvl w:val="0"/>
          <w:numId w:val="572"/>
        </w:numPr>
        <w:rPr>
          <w:rFonts w:ascii="Arial" w:cs="Arial" w:eastAsia="Arial" w:hAnsi="Arial"/>
          <w:sz w:val="16"/>
          <w:szCs w:val="16"/>
          <w:color w:val="auto"/>
        </w:rPr>
      </w:pPr>
      <w:r>
        <w:rPr>
          <w:rFonts w:ascii="Arial" w:cs="Arial" w:eastAsia="Arial" w:hAnsi="Arial"/>
          <w:sz w:val="16"/>
          <w:szCs w:val="16"/>
          <w:color w:val="auto"/>
        </w:rPr>
        <w:t>If the nature of Party B’s business requires Party B to purchase accident liability insurance under the law, which results in an increase of fire insurance premium for other tenants, Party B shall reimburse all affected tenants of the amount in premium increase.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XI. EQUIPMENT IMPROVEMENT:</w:t>
      </w:r>
    </w:p>
    <w:p>
      <w:pPr>
        <w:spacing w:after="0" w:line="230" w:lineRule="exact"/>
        <w:rPr>
          <w:sz w:val="20"/>
          <w:szCs w:val="20"/>
          <w:color w:val="auto"/>
        </w:rPr>
      </w:pPr>
    </w:p>
    <w:p>
      <w:pPr>
        <w:ind w:left="1260" w:right="480" w:hanging="390"/>
        <w:spacing w:after="0" w:line="326" w:lineRule="auto"/>
        <w:tabs>
          <w:tab w:leader="none" w:pos="1260" w:val="left"/>
        </w:tabs>
        <w:numPr>
          <w:ilvl w:val="0"/>
          <w:numId w:val="573"/>
        </w:numPr>
        <w:rPr>
          <w:rFonts w:ascii="Arial" w:cs="Arial" w:eastAsia="Arial" w:hAnsi="Arial"/>
          <w:sz w:val="15"/>
          <w:szCs w:val="15"/>
          <w:color w:val="auto"/>
        </w:rPr>
      </w:pPr>
      <w:r>
        <w:rPr>
          <w:rFonts w:ascii="Arial" w:cs="Arial" w:eastAsia="Arial" w:hAnsi="Arial"/>
          <w:sz w:val="15"/>
          <w:szCs w:val="15"/>
          <w:color w:val="auto"/>
        </w:rPr>
        <w:t>Any fumes, exhaust gas and sewage produced from Party B’s business operations shall be filtered and disposed by Party B before being discharged. The discharge shall meet the standards prescribed by environmental protection regulations. In the event the discharge creates pollution to the building, Party B shall be responsible for any cleanup to maintain the environmental quality of the business park.</w:t>
      </w:r>
    </w:p>
    <w:p>
      <w:pPr>
        <w:spacing w:after="0" w:line="136" w:lineRule="exact"/>
        <w:rPr>
          <w:rFonts w:ascii="Arial" w:cs="Arial" w:eastAsia="Arial" w:hAnsi="Arial"/>
          <w:sz w:val="15"/>
          <w:szCs w:val="15"/>
          <w:color w:val="auto"/>
        </w:rPr>
      </w:pPr>
    </w:p>
    <w:p>
      <w:pPr>
        <w:ind w:left="1260" w:hanging="390"/>
        <w:spacing w:after="0"/>
        <w:tabs>
          <w:tab w:leader="none" w:pos="1260" w:val="left"/>
        </w:tabs>
        <w:numPr>
          <w:ilvl w:val="0"/>
          <w:numId w:val="573"/>
        </w:numPr>
        <w:rPr>
          <w:rFonts w:ascii="Arial" w:cs="Arial" w:eastAsia="Arial" w:hAnsi="Arial"/>
          <w:sz w:val="15"/>
          <w:szCs w:val="15"/>
          <w:color w:val="auto"/>
        </w:rPr>
      </w:pPr>
      <w:r>
        <w:rPr>
          <w:rFonts w:ascii="Arial" w:cs="Arial" w:eastAsia="Arial" w:hAnsi="Arial"/>
          <w:sz w:val="15"/>
          <w:szCs w:val="15"/>
          <w:color w:val="auto"/>
        </w:rPr>
        <w:t>The fire safety and other related preventive equipment required by Party B in its business operations shall be purchased and installed by Party B.</w:t>
      </w:r>
    </w:p>
    <w:p>
      <w:pPr>
        <w:spacing w:after="0" w:line="24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b w:val="1"/>
          <w:bCs w:val="1"/>
          <w:color w:val="auto"/>
        </w:rPr>
        <w:t xml:space="preserve">XII. PUBLIC SAFETY INSPECTION, CERTIFICATION AND DECLARATION: </w:t>
      </w:r>
      <w:r>
        <w:rPr>
          <w:rFonts w:ascii="Arial" w:cs="Arial" w:eastAsia="Arial" w:hAnsi="Arial"/>
          <w:sz w:val="16"/>
          <w:szCs w:val="16"/>
          <w:color w:val="auto"/>
        </w:rPr>
        <w:t>Party B shall allow for any public safety inspection, certification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declaration for the exclusive part of the leased premises in accordance with the “Regulations for Inspecting and Reporting Buildings Public Security” during the lease period at its own expense. If any process requires Party A to provide any certification or documents, Party A shall be cooperative in providing all necessary documentation. In the event that Party B fails to comply with any required regulations or declarations, Party B shall be responsible for all the related liabilities.</w:t>
      </w:r>
    </w:p>
    <w:p>
      <w:pPr>
        <w:spacing w:after="0" w:line="153"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XIII. FIRE SAFETY EQUIPMENT INSPECTION, REPAIR AND DECLARATION: </w:t>
      </w:r>
      <w:r>
        <w:rPr>
          <w:rFonts w:ascii="Arial" w:cs="Arial" w:eastAsia="Arial" w:hAnsi="Arial"/>
          <w:sz w:val="17"/>
          <w:szCs w:val="17"/>
          <w:color w:val="auto"/>
        </w:rPr>
        <w:t>Party B shall perform periodical inspections, repairs and declarations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public fire safety equipment for the exclusive part of the leased premises in accordance with the “Standards for Fire Safety Equipment Inspection, Repair and Declaration at a Variety of Sites” during the leased period at its expense. In the case that Party B does not perform the inspection and repair in due time, or the inspection/repair result does not comply with the regulations, Party B shall be responsible for all the related liabilities.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XIV. DEFAULT PANALTIES:</w:t>
      </w:r>
    </w:p>
    <w:p>
      <w:pPr>
        <w:spacing w:after="0" w:line="230" w:lineRule="exact"/>
        <w:rPr>
          <w:sz w:val="20"/>
          <w:szCs w:val="20"/>
          <w:color w:val="auto"/>
        </w:rPr>
      </w:pPr>
    </w:p>
    <w:p>
      <w:pPr>
        <w:ind w:left="1260" w:right="160" w:hanging="416"/>
        <w:spacing w:after="0" w:line="289" w:lineRule="auto"/>
        <w:tabs>
          <w:tab w:leader="none" w:pos="1260" w:val="left"/>
        </w:tabs>
        <w:numPr>
          <w:ilvl w:val="0"/>
          <w:numId w:val="574"/>
        </w:numPr>
        <w:rPr>
          <w:rFonts w:ascii="Arial" w:cs="Arial" w:eastAsia="Arial" w:hAnsi="Arial"/>
          <w:sz w:val="17"/>
          <w:szCs w:val="17"/>
          <w:color w:val="auto"/>
        </w:rPr>
      </w:pPr>
      <w:r>
        <w:rPr>
          <w:rFonts w:ascii="Arial" w:cs="Arial" w:eastAsia="Arial" w:hAnsi="Arial"/>
          <w:sz w:val="17"/>
          <w:szCs w:val="17"/>
          <w:color w:val="auto"/>
        </w:rPr>
        <w:t>In the event that either party violates the Lease Agreement and still fails to fulfill the Lease Agreement within the time limit after receiving the demand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180"/>
        <w:spacing w:after="0" w:line="273" w:lineRule="auto"/>
        <w:rPr>
          <w:sz w:val="20"/>
          <w:szCs w:val="20"/>
          <w:color w:val="auto"/>
        </w:rPr>
      </w:pPr>
      <w:r>
        <w:rPr>
          <w:rFonts w:ascii="Arial" w:cs="Arial" w:eastAsia="Arial" w:hAnsi="Arial"/>
          <w:sz w:val="17"/>
          <w:szCs w:val="17"/>
          <w:color w:val="auto"/>
        </w:rPr>
        <w:t>notice from the other party, the non-violating party may terminate the Lease Agreement. In addition to paying an amount equivalent to three months of the rental to the non-violating party as the default fine, the violating party shall also compensate the non-violating party for all other resulting losses.</w:t>
      </w:r>
    </w:p>
    <w:p>
      <w:pPr>
        <w:sectPr>
          <w:pgSz w:w="11900" w:h="16922" w:orient="portrait"/>
          <w:cols w:equalWidth="0" w:num="1">
            <w:col w:w="11400"/>
          </w:cols>
          <w:pgMar w:left="240" w:top="127" w:right="259" w:bottom="0" w:gutter="0" w:footer="0" w:header="0"/>
        </w:sectPr>
      </w:pPr>
    </w:p>
    <w:bookmarkStart w:id="375" w:name="page376"/>
    <w:bookmarkEnd w:id="375"/>
    <w:p>
      <w:pPr>
        <w:ind w:left="1260" w:right="260" w:hanging="416"/>
        <w:spacing w:after="0" w:line="360" w:lineRule="auto"/>
        <w:tabs>
          <w:tab w:leader="none" w:pos="1260" w:val="left"/>
        </w:tabs>
        <w:numPr>
          <w:ilvl w:val="0"/>
          <w:numId w:val="575"/>
        </w:numPr>
        <w:rPr>
          <w:rFonts w:ascii="Arial" w:cs="Arial" w:eastAsia="Arial" w:hAnsi="Arial"/>
          <w:sz w:val="15"/>
          <w:szCs w:val="15"/>
          <w:color w:val="auto"/>
        </w:rPr>
      </w:pPr>
      <w:r>
        <w:rPr>
          <w:rFonts w:ascii="Arial" w:cs="Arial" w:eastAsia="Arial" w:hAnsi="Arial"/>
          <w:sz w:val="15"/>
          <w:szCs w:val="15"/>
          <w:color w:val="auto"/>
        </w:rPr>
        <w:t>In the case that the leased premises have been damaged and unusable, the Lease Agreement shall be ipso facto terminated. If the cause of damage is attributable to Party B, Party B shall pay the default fine and compensate for the damage as prescribed by the preceding paragraph.</w:t>
      </w:r>
    </w:p>
    <w:p>
      <w:pPr>
        <w:spacing w:after="0" w:line="111" w:lineRule="exact"/>
        <w:rPr>
          <w:rFonts w:ascii="Arial" w:cs="Arial" w:eastAsia="Arial" w:hAnsi="Arial"/>
          <w:sz w:val="15"/>
          <w:szCs w:val="15"/>
          <w:color w:val="auto"/>
        </w:rPr>
      </w:pPr>
    </w:p>
    <w:p>
      <w:pPr>
        <w:ind w:left="1260" w:right="80" w:hanging="416"/>
        <w:spacing w:after="0" w:line="268" w:lineRule="auto"/>
        <w:tabs>
          <w:tab w:leader="none" w:pos="1260" w:val="left"/>
        </w:tabs>
        <w:numPr>
          <w:ilvl w:val="0"/>
          <w:numId w:val="575"/>
        </w:numPr>
        <w:rPr>
          <w:rFonts w:ascii="Arial" w:cs="Arial" w:eastAsia="Arial" w:hAnsi="Arial"/>
          <w:sz w:val="17"/>
          <w:szCs w:val="17"/>
          <w:color w:val="auto"/>
        </w:rPr>
      </w:pPr>
      <w:r>
        <w:rPr>
          <w:rFonts w:ascii="Arial" w:cs="Arial" w:eastAsia="Arial" w:hAnsi="Arial"/>
          <w:sz w:val="17"/>
          <w:szCs w:val="17"/>
          <w:color w:val="auto"/>
        </w:rPr>
        <w:t>In the event that Party B refuses to return the leased premises after the lease expires or the Lease Agreement is terminated, it shall pay Party A a punitive default fine calculated on a daily basis by doubling the daily rental of the last month before expiration of the lease and termination of the Lease Agreement from the day following expiration of the lease, or termination of the Lease Agreement until the day returning the leased premises.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XV. EARLY TERMINATION SPECIAL CLAUSES:</w:t>
      </w:r>
    </w:p>
    <w:p>
      <w:pPr>
        <w:spacing w:after="0" w:line="230" w:lineRule="exact"/>
        <w:rPr>
          <w:sz w:val="20"/>
          <w:szCs w:val="20"/>
          <w:color w:val="auto"/>
        </w:rPr>
      </w:pPr>
    </w:p>
    <w:p>
      <w:pPr>
        <w:ind w:left="1180" w:hanging="310"/>
        <w:spacing w:after="0" w:line="289" w:lineRule="auto"/>
        <w:tabs>
          <w:tab w:leader="none" w:pos="1180" w:val="left"/>
        </w:tabs>
        <w:numPr>
          <w:ilvl w:val="0"/>
          <w:numId w:val="576"/>
        </w:numPr>
        <w:rPr>
          <w:rFonts w:ascii="Arial" w:cs="Arial" w:eastAsia="Arial" w:hAnsi="Arial"/>
          <w:sz w:val="17"/>
          <w:szCs w:val="17"/>
          <w:color w:val="auto"/>
        </w:rPr>
      </w:pPr>
      <w:r>
        <w:rPr>
          <w:rFonts w:ascii="Arial" w:cs="Arial" w:eastAsia="Arial" w:hAnsi="Arial"/>
          <w:sz w:val="17"/>
          <w:szCs w:val="17"/>
          <w:color w:val="auto"/>
        </w:rPr>
        <w:t>If any party wishes to terminate the Lease Agreement prior to expiration of the Lease Agreement, the terminating party shall notify the other party in writing three months in advance. Unless otherwise specified in the Lease Agreement, both parties agree to the following:</w:t>
      </w:r>
    </w:p>
    <w:p>
      <w:pPr>
        <w:spacing w:after="0" w:line="158" w:lineRule="exact"/>
        <w:rPr>
          <w:rFonts w:ascii="Arial" w:cs="Arial" w:eastAsia="Arial" w:hAnsi="Arial"/>
          <w:sz w:val="17"/>
          <w:szCs w:val="17"/>
          <w:color w:val="auto"/>
        </w:rPr>
      </w:pPr>
    </w:p>
    <w:p>
      <w:pPr>
        <w:ind w:left="1440" w:hanging="255"/>
        <w:spacing w:after="0"/>
        <w:tabs>
          <w:tab w:leader="none" w:pos="1440" w:val="left"/>
        </w:tabs>
        <w:numPr>
          <w:ilvl w:val="1"/>
          <w:numId w:val="576"/>
        </w:numPr>
        <w:rPr>
          <w:rFonts w:ascii="Arial" w:cs="Arial" w:eastAsia="Arial" w:hAnsi="Arial"/>
          <w:sz w:val="17"/>
          <w:szCs w:val="17"/>
          <w:color w:val="auto"/>
        </w:rPr>
      </w:pPr>
      <w:r>
        <w:rPr>
          <w:rFonts w:ascii="Arial" w:cs="Arial" w:eastAsia="Arial" w:hAnsi="Arial"/>
          <w:sz w:val="17"/>
          <w:szCs w:val="17"/>
          <w:color w:val="auto"/>
        </w:rPr>
        <w:t>If the early termination is proposed by Party B:</w:t>
      </w:r>
    </w:p>
    <w:p>
      <w:pPr>
        <w:spacing w:after="0" w:line="224" w:lineRule="exact"/>
        <w:rPr>
          <w:rFonts w:ascii="Arial" w:cs="Arial" w:eastAsia="Arial" w:hAnsi="Arial"/>
          <w:sz w:val="17"/>
          <w:szCs w:val="17"/>
          <w:color w:val="auto"/>
        </w:rPr>
      </w:pPr>
    </w:p>
    <w:p>
      <w:pPr>
        <w:ind w:left="1700" w:right="100" w:hanging="122"/>
        <w:spacing w:after="0" w:line="289" w:lineRule="auto"/>
        <w:tabs>
          <w:tab w:leader="none" w:pos="1710" w:val="left"/>
        </w:tabs>
        <w:numPr>
          <w:ilvl w:val="3"/>
          <w:numId w:val="576"/>
        </w:numPr>
        <w:rPr>
          <w:rFonts w:ascii="Arial" w:cs="Arial" w:eastAsia="Arial" w:hAnsi="Arial"/>
          <w:sz w:val="17"/>
          <w:szCs w:val="17"/>
          <w:color w:val="auto"/>
        </w:rPr>
      </w:pPr>
      <w:r>
        <w:rPr>
          <w:rFonts w:ascii="Arial" w:cs="Arial" w:eastAsia="Arial" w:hAnsi="Arial"/>
          <w:sz w:val="17"/>
          <w:szCs w:val="17"/>
          <w:color w:val="auto"/>
        </w:rPr>
        <w:t>Party B shall pay all rent and expenses for the period occupied. Party A will be entitled to keep the security deposit as the fee for default. However, Party A shall return any pre-dated checks for any unaccrued rental period to Party B.</w:t>
      </w:r>
    </w:p>
    <w:p>
      <w:pPr>
        <w:spacing w:after="0" w:line="158" w:lineRule="exact"/>
        <w:rPr>
          <w:rFonts w:ascii="Arial" w:cs="Arial" w:eastAsia="Arial" w:hAnsi="Arial"/>
          <w:sz w:val="17"/>
          <w:szCs w:val="17"/>
          <w:color w:val="auto"/>
        </w:rPr>
      </w:pPr>
    </w:p>
    <w:p>
      <w:pPr>
        <w:ind w:left="1760" w:right="220" w:hanging="182"/>
        <w:spacing w:after="0" w:line="289" w:lineRule="auto"/>
        <w:tabs>
          <w:tab w:leader="none" w:pos="1756" w:val="left"/>
        </w:tabs>
        <w:numPr>
          <w:ilvl w:val="3"/>
          <w:numId w:val="576"/>
        </w:numPr>
        <w:rPr>
          <w:rFonts w:ascii="Arial" w:cs="Arial" w:eastAsia="Arial" w:hAnsi="Arial"/>
          <w:sz w:val="17"/>
          <w:szCs w:val="17"/>
          <w:color w:val="auto"/>
        </w:rPr>
      </w:pPr>
      <w:r>
        <w:rPr>
          <w:rFonts w:ascii="Arial" w:cs="Arial" w:eastAsia="Arial" w:hAnsi="Arial"/>
          <w:sz w:val="17"/>
          <w:szCs w:val="17"/>
          <w:color w:val="auto"/>
        </w:rPr>
        <w:t>Party B shall forfeit its right to waiver of rent during the Rent Exemption Period as stipulated in Paragraph 5 of Article 4, and shall pay Party A rent for the Rental Exemption Period.</w:t>
      </w:r>
    </w:p>
    <w:p>
      <w:pPr>
        <w:spacing w:after="0" w:line="158" w:lineRule="exact"/>
        <w:rPr>
          <w:rFonts w:ascii="Arial" w:cs="Arial" w:eastAsia="Arial" w:hAnsi="Arial"/>
          <w:sz w:val="17"/>
          <w:szCs w:val="17"/>
          <w:color w:val="auto"/>
        </w:rPr>
      </w:pPr>
    </w:p>
    <w:p>
      <w:pPr>
        <w:ind w:left="1820" w:right="740" w:hanging="242"/>
        <w:spacing w:after="0" w:line="289" w:lineRule="auto"/>
        <w:tabs>
          <w:tab w:leader="none" w:pos="1817" w:val="left"/>
        </w:tabs>
        <w:numPr>
          <w:ilvl w:val="3"/>
          <w:numId w:val="576"/>
        </w:numPr>
        <w:rPr>
          <w:rFonts w:ascii="Arial" w:cs="Arial" w:eastAsia="Arial" w:hAnsi="Arial"/>
          <w:sz w:val="17"/>
          <w:szCs w:val="17"/>
          <w:color w:val="auto"/>
        </w:rPr>
      </w:pPr>
      <w:r>
        <w:rPr>
          <w:rFonts w:ascii="Arial" w:cs="Arial" w:eastAsia="Arial" w:hAnsi="Arial"/>
          <w:sz w:val="17"/>
          <w:szCs w:val="17"/>
          <w:color w:val="auto"/>
        </w:rPr>
        <w:t>If Party B has registered its offical registered business address at the leased premises address, Party B shall prompty amend the registration when the Lease Agreement is terminated.</w:t>
      </w:r>
    </w:p>
    <w:p>
      <w:pPr>
        <w:spacing w:after="0" w:line="158" w:lineRule="exact"/>
        <w:rPr>
          <w:rFonts w:ascii="Arial" w:cs="Arial" w:eastAsia="Arial" w:hAnsi="Arial"/>
          <w:sz w:val="17"/>
          <w:szCs w:val="17"/>
          <w:color w:val="auto"/>
        </w:rPr>
      </w:pPr>
    </w:p>
    <w:p>
      <w:pPr>
        <w:ind w:left="1520" w:hanging="257"/>
        <w:spacing w:after="0"/>
        <w:tabs>
          <w:tab w:leader="none" w:pos="1520" w:val="left"/>
        </w:tabs>
        <w:numPr>
          <w:ilvl w:val="2"/>
          <w:numId w:val="576"/>
        </w:numPr>
        <w:rPr>
          <w:rFonts w:ascii="Arial" w:cs="Arial" w:eastAsia="Arial" w:hAnsi="Arial"/>
          <w:sz w:val="17"/>
          <w:szCs w:val="17"/>
          <w:color w:val="auto"/>
        </w:rPr>
      </w:pPr>
      <w:r>
        <w:rPr>
          <w:rFonts w:ascii="Arial" w:cs="Arial" w:eastAsia="Arial" w:hAnsi="Arial"/>
          <w:sz w:val="17"/>
          <w:szCs w:val="17"/>
          <w:color w:val="auto"/>
        </w:rPr>
        <w:t>If the early termination is proposed by Party A:</w:t>
      </w:r>
    </w:p>
    <w:p>
      <w:pPr>
        <w:spacing w:after="0" w:line="224" w:lineRule="exact"/>
        <w:rPr>
          <w:rFonts w:ascii="Arial" w:cs="Arial" w:eastAsia="Arial" w:hAnsi="Arial"/>
          <w:sz w:val="17"/>
          <w:szCs w:val="17"/>
          <w:color w:val="auto"/>
        </w:rPr>
      </w:pPr>
    </w:p>
    <w:p>
      <w:pPr>
        <w:ind w:left="1780" w:hanging="127"/>
        <w:spacing w:after="0"/>
        <w:tabs>
          <w:tab w:leader="none" w:pos="1780" w:val="left"/>
        </w:tabs>
        <w:numPr>
          <w:ilvl w:val="4"/>
          <w:numId w:val="576"/>
        </w:numPr>
        <w:rPr>
          <w:rFonts w:ascii="Arial" w:cs="Arial" w:eastAsia="Arial" w:hAnsi="Arial"/>
          <w:sz w:val="16"/>
          <w:szCs w:val="16"/>
          <w:color w:val="auto"/>
        </w:rPr>
      </w:pPr>
      <w:r>
        <w:rPr>
          <w:rFonts w:ascii="Arial" w:cs="Arial" w:eastAsia="Arial" w:hAnsi="Arial"/>
          <w:sz w:val="16"/>
          <w:szCs w:val="16"/>
          <w:color w:val="auto"/>
        </w:rPr>
        <w:t>Party A shall return the security deposit to Party B when Party B vacates the leased premises. In addition, Party A shall also pay a</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default fine equal to two times the security deposit to Party B as compensation.</w:t>
      </w:r>
    </w:p>
    <w:p>
      <w:pPr>
        <w:spacing w:after="0" w:line="224" w:lineRule="exact"/>
        <w:rPr>
          <w:sz w:val="20"/>
          <w:szCs w:val="20"/>
          <w:color w:val="auto"/>
        </w:rPr>
      </w:pPr>
    </w:p>
    <w:p>
      <w:pPr>
        <w:ind w:left="1840" w:hanging="183"/>
        <w:spacing w:after="0"/>
        <w:tabs>
          <w:tab w:leader="none" w:pos="1840" w:val="left"/>
        </w:tabs>
        <w:numPr>
          <w:ilvl w:val="1"/>
          <w:numId w:val="577"/>
        </w:numPr>
        <w:rPr>
          <w:rFonts w:ascii="Arial" w:cs="Arial" w:eastAsia="Arial" w:hAnsi="Arial"/>
          <w:sz w:val="17"/>
          <w:szCs w:val="17"/>
          <w:color w:val="auto"/>
        </w:rPr>
      </w:pPr>
      <w:r>
        <w:rPr>
          <w:rFonts w:ascii="Arial" w:cs="Arial" w:eastAsia="Arial" w:hAnsi="Arial"/>
          <w:sz w:val="17"/>
          <w:szCs w:val="17"/>
          <w:color w:val="auto"/>
        </w:rPr>
        <w:t>When Party B vacates the leased premises, Party A shall return all remaining pre-dated checks for unaccrued rent to Party B.</w:t>
      </w:r>
    </w:p>
    <w:p>
      <w:pPr>
        <w:spacing w:after="0" w:line="224" w:lineRule="exact"/>
        <w:rPr>
          <w:rFonts w:ascii="Arial" w:cs="Arial" w:eastAsia="Arial" w:hAnsi="Arial"/>
          <w:sz w:val="17"/>
          <w:szCs w:val="17"/>
          <w:color w:val="auto"/>
        </w:rPr>
      </w:pPr>
    </w:p>
    <w:p>
      <w:pPr>
        <w:ind w:left="1180" w:right="140" w:hanging="310"/>
        <w:spacing w:after="0" w:line="285" w:lineRule="auto"/>
        <w:tabs>
          <w:tab w:leader="none" w:pos="1180" w:val="left"/>
        </w:tabs>
        <w:numPr>
          <w:ilvl w:val="0"/>
          <w:numId w:val="578"/>
        </w:numPr>
        <w:rPr>
          <w:rFonts w:ascii="Arial" w:cs="Arial" w:eastAsia="Arial" w:hAnsi="Arial"/>
          <w:sz w:val="16"/>
          <w:szCs w:val="16"/>
          <w:color w:val="auto"/>
        </w:rPr>
      </w:pPr>
      <w:r>
        <w:rPr>
          <w:rFonts w:ascii="Arial" w:cs="Arial" w:eastAsia="Arial" w:hAnsi="Arial"/>
          <w:sz w:val="16"/>
          <w:szCs w:val="16"/>
          <w:color w:val="auto"/>
        </w:rPr>
        <w:t>Prior to termination of the Lease Agreement, Party B shall comply with the Lease Agreement to pay for any rent, utilities, administrative fee, common area electric bill, air-conditioner utilization fee, parking space cleaning fee, gas fee, the fee to reissue truck access card (to replace the damaged or lost one), any expenses incurred to amend or register official business address and any expenses for restoring the premises to the original condition. On the other hand, Party A may exercise its right to directly deduct the amount required to be paid by Party B as specified in this Section from the security deposit in accordance with Section 1 — (1) and (2) of the Article.</w:t>
      </w:r>
    </w:p>
    <w:p>
      <w:pPr>
        <w:spacing w:after="0" w:line="166" w:lineRule="exact"/>
        <w:rPr>
          <w:rFonts w:ascii="Arial" w:cs="Arial" w:eastAsia="Arial" w:hAnsi="Arial"/>
          <w:sz w:val="16"/>
          <w:szCs w:val="16"/>
          <w:color w:val="auto"/>
        </w:rPr>
      </w:pPr>
    </w:p>
    <w:p>
      <w:pPr>
        <w:ind w:left="1180" w:right="100" w:hanging="310"/>
        <w:spacing w:after="0" w:line="289" w:lineRule="auto"/>
        <w:tabs>
          <w:tab w:leader="none" w:pos="1180" w:val="left"/>
        </w:tabs>
        <w:numPr>
          <w:ilvl w:val="0"/>
          <w:numId w:val="578"/>
        </w:numPr>
        <w:rPr>
          <w:rFonts w:ascii="Arial" w:cs="Arial" w:eastAsia="Arial" w:hAnsi="Arial"/>
          <w:sz w:val="17"/>
          <w:szCs w:val="17"/>
          <w:color w:val="auto"/>
        </w:rPr>
      </w:pPr>
      <w:r>
        <w:rPr>
          <w:rFonts w:ascii="Arial" w:cs="Arial" w:eastAsia="Arial" w:hAnsi="Arial"/>
          <w:sz w:val="17"/>
          <w:szCs w:val="17"/>
          <w:color w:val="auto"/>
        </w:rPr>
        <w:t>Unless otherwise specified in the Lease Agreement, either party shall not request the other party to provide any additional subsidy, compensation or payments of any kind.</w:t>
      </w:r>
    </w:p>
    <w:p>
      <w:pPr>
        <w:spacing w:after="0" w:line="152"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b w:val="1"/>
          <w:bCs w:val="1"/>
          <w:color w:val="auto"/>
        </w:rPr>
        <w:t xml:space="preserve">XVI. SPECIAL CLAUSES FOR MAINTENANCE AND REPAIR OF AIR CONDITIONING EQUIPMENT: </w:t>
      </w:r>
      <w:r>
        <w:rPr>
          <w:rFonts w:ascii="Arial" w:cs="Arial" w:eastAsia="Arial" w:hAnsi="Arial"/>
          <w:sz w:val="17"/>
          <w:szCs w:val="17"/>
          <w:color w:val="auto"/>
        </w:rPr>
        <w:t>During the lease period, Party A shall hire</w:t>
      </w:r>
      <w:r>
        <w:rPr>
          <w:rFonts w:ascii="Arial" w:cs="Arial" w:eastAsia="Arial" w:hAnsi="Arial"/>
          <w:sz w:val="17"/>
          <w:szCs w:val="17"/>
          <w:b w:val="1"/>
          <w:bCs w:val="1"/>
          <w:color w:val="auto"/>
        </w:rPr>
        <w:t xml:space="preserve"> </w:t>
      </w:r>
      <w:r>
        <w:rPr>
          <w:rFonts w:ascii="Arial" w:cs="Arial" w:eastAsia="Arial" w:hAnsi="Arial"/>
          <w:sz w:val="17"/>
          <w:szCs w:val="17"/>
          <w:color w:val="auto"/>
        </w:rPr>
        <w:t>workers to periodically maintain and repair the air conditioning equipment required for use within the leased premises, for which the cost of maintenance is 1,680 NT Dollars per air conditioner unit annually. The leased premises has 30 air conditioner units, so total maintenance and repair fees incurred during the leased period shall be 100,800 NT Dollars. According to Paragraph 4 of Article 6, such amount shall all be paid by Party B to Party A upon the execution of the Lease Agreement. In the event that Party B fails to make the payment or the check delivered to Party A for the payment bounces, the Lease Agreement shall be deemed agreed to be terminated.</w:t>
      </w:r>
    </w:p>
    <w:p>
      <w:pPr>
        <w:spacing w:after="0" w:line="173"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b w:val="1"/>
          <w:bCs w:val="1"/>
          <w:color w:val="auto"/>
        </w:rPr>
        <w:t xml:space="preserve">XVII. AGREED GOVERNING VENUE: </w:t>
      </w:r>
      <w:r>
        <w:rPr>
          <w:rFonts w:ascii="Arial" w:cs="Arial" w:eastAsia="Arial" w:hAnsi="Arial"/>
          <w:sz w:val="17"/>
          <w:szCs w:val="17"/>
          <w:color w:val="auto"/>
        </w:rPr>
        <w:t>Both Party A and Party B are all willing to perform the Lease Agreement in good faith. In the event any disputes</w:t>
      </w:r>
      <w:r>
        <w:rPr>
          <w:rFonts w:ascii="Arial" w:cs="Arial" w:eastAsia="Arial" w:hAnsi="Arial"/>
          <w:sz w:val="17"/>
          <w:szCs w:val="17"/>
          <w:b w:val="1"/>
          <w:bCs w:val="1"/>
          <w:color w:val="auto"/>
        </w:rPr>
        <w:t xml:space="preserve"> </w:t>
      </w:r>
      <w:r>
        <w:rPr>
          <w:rFonts w:ascii="Arial" w:cs="Arial" w:eastAsia="Arial" w:hAnsi="Arial"/>
          <w:sz w:val="17"/>
          <w:szCs w:val="17"/>
          <w:color w:val="auto"/>
        </w:rPr>
        <w:t>arise from the Lease Agreement leading to litigation, all court costs and attorney fees shall be paid by the breaching party. Both parties agree that the Taiwan Taipei District Court shall be the court of competent jurisdiction for the first instance.</w:t>
      </w:r>
    </w:p>
    <w:p>
      <w:pPr>
        <w:spacing w:after="0" w:line="162" w:lineRule="exact"/>
        <w:rPr>
          <w:sz w:val="20"/>
          <w:szCs w:val="20"/>
          <w:color w:val="auto"/>
        </w:rPr>
      </w:pPr>
    </w:p>
    <w:p>
      <w:pPr>
        <w:ind w:right="20"/>
        <w:spacing w:after="0" w:line="297" w:lineRule="auto"/>
        <w:rPr>
          <w:sz w:val="20"/>
          <w:szCs w:val="20"/>
          <w:color w:val="auto"/>
        </w:rPr>
      </w:pPr>
      <w:r>
        <w:rPr>
          <w:rFonts w:ascii="Arial" w:cs="Arial" w:eastAsia="Arial" w:hAnsi="Arial"/>
          <w:sz w:val="17"/>
          <w:szCs w:val="17"/>
          <w:b w:val="1"/>
          <w:bCs w:val="1"/>
          <w:color w:val="auto"/>
        </w:rPr>
        <w:t xml:space="preserve">XVIII. NOTICE DELIVERY ADDRESSES: </w:t>
      </w:r>
      <w:r>
        <w:rPr>
          <w:rFonts w:ascii="Arial" w:cs="Arial" w:eastAsia="Arial" w:hAnsi="Arial"/>
          <w:sz w:val="17"/>
          <w:szCs w:val="17"/>
          <w:color w:val="auto"/>
        </w:rPr>
        <w:t>Party A’s office for execution of the Lease Agreement shall be the place for the delivery for any notices in relation</w:t>
      </w:r>
      <w:r>
        <w:rPr>
          <w:rFonts w:ascii="Arial" w:cs="Arial" w:eastAsia="Arial" w:hAnsi="Arial"/>
          <w:sz w:val="17"/>
          <w:szCs w:val="17"/>
          <w:b w:val="1"/>
          <w:bCs w:val="1"/>
          <w:color w:val="auto"/>
        </w:rPr>
        <w:t xml:space="preserve"> </w:t>
      </w:r>
      <w:r>
        <w:rPr>
          <w:rFonts w:ascii="Arial" w:cs="Arial" w:eastAsia="Arial" w:hAnsi="Arial"/>
          <w:sz w:val="17"/>
          <w:szCs w:val="17"/>
          <w:color w:val="auto"/>
        </w:rPr>
        <w:t>to the Lease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320"/>
        <w:spacing w:after="0" w:line="273" w:lineRule="auto"/>
        <w:rPr>
          <w:sz w:val="20"/>
          <w:szCs w:val="20"/>
          <w:color w:val="auto"/>
        </w:rPr>
      </w:pPr>
      <w:r>
        <w:rPr>
          <w:rFonts w:ascii="Arial" w:cs="Arial" w:eastAsia="Arial" w:hAnsi="Arial"/>
          <w:sz w:val="17"/>
          <w:szCs w:val="17"/>
          <w:color w:val="auto"/>
        </w:rPr>
        <w:t>Agreement. Party B’s address for delivery of notice shall be the location of the leased premises. Once notice is delivered to any of the aforesaid addresses, no matter whether the recipient refuses to receive the notice or does not receive the notice for any reasons, the notice shall be deemed to be lawfully delivered, for which both parties shall have no objection.</w:t>
      </w:r>
    </w:p>
    <w:p>
      <w:pPr>
        <w:spacing w:after="0" w:line="166" w:lineRule="exact"/>
        <w:rPr>
          <w:sz w:val="20"/>
          <w:szCs w:val="20"/>
          <w:color w:val="auto"/>
        </w:rPr>
      </w:pPr>
    </w:p>
    <w:p>
      <w:pPr>
        <w:ind w:right="20"/>
        <w:spacing w:after="0" w:line="297" w:lineRule="auto"/>
        <w:rPr>
          <w:sz w:val="20"/>
          <w:szCs w:val="20"/>
          <w:color w:val="auto"/>
        </w:rPr>
      </w:pPr>
      <w:r>
        <w:rPr>
          <w:rFonts w:ascii="Arial" w:cs="Arial" w:eastAsia="Arial" w:hAnsi="Arial"/>
          <w:sz w:val="17"/>
          <w:szCs w:val="17"/>
          <w:b w:val="1"/>
          <w:bCs w:val="1"/>
          <w:color w:val="auto"/>
        </w:rPr>
        <w:t xml:space="preserve">XIX. MISCELLANEOUS: </w:t>
      </w:r>
      <w:r>
        <w:rPr>
          <w:rFonts w:ascii="Arial" w:cs="Arial" w:eastAsia="Arial" w:hAnsi="Arial"/>
          <w:sz w:val="17"/>
          <w:szCs w:val="17"/>
          <w:color w:val="auto"/>
        </w:rPr>
        <w:t>Any matters not covered by the Lease Agreement shall be supplemented by both parties in writing. The Lease Agreement is made in</w:t>
      </w:r>
      <w:r>
        <w:rPr>
          <w:rFonts w:ascii="Arial" w:cs="Arial" w:eastAsia="Arial" w:hAnsi="Arial"/>
          <w:sz w:val="17"/>
          <w:szCs w:val="17"/>
          <w:b w:val="1"/>
          <w:bCs w:val="1"/>
          <w:color w:val="auto"/>
        </w:rPr>
        <w:t xml:space="preserve"> </w:t>
      </w:r>
      <w:r>
        <w:rPr>
          <w:rFonts w:ascii="Arial" w:cs="Arial" w:eastAsia="Arial" w:hAnsi="Arial"/>
          <w:sz w:val="17"/>
          <w:szCs w:val="17"/>
          <w:color w:val="auto"/>
        </w:rPr>
        <w:t>duplicate, and both Party A and Party B shall retain one copy each as proof.</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w:t>
      </w:r>
    </w:p>
    <w:p>
      <w:pPr>
        <w:spacing w:after="0" w:line="22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Party A: Admiral Overseas Corporation</w:t>
      </w:r>
    </w:p>
    <w:p>
      <w:pPr>
        <w:spacing w:after="0" w:line="22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Person in charge: Li, Chao-Hsiung</w:t>
      </w:r>
    </w:p>
    <w:p>
      <w:pPr>
        <w:sectPr>
          <w:pgSz w:w="11900" w:h="16838" w:orient="portrait"/>
          <w:cols w:equalWidth="0" w:num="1">
            <w:col w:w="11420"/>
          </w:cols>
          <w:pgMar w:left="240" w:top="337" w:right="239" w:bottom="89" w:gutter="0" w:footer="0" w:header="0"/>
        </w:sectPr>
      </w:pPr>
    </w:p>
    <w:bookmarkStart w:id="376" w:name="page377"/>
    <w:bookmarkEnd w:id="376"/>
    <w:p>
      <w:pPr>
        <w:ind w:left="1080"/>
        <w:spacing w:after="0"/>
        <w:rPr>
          <w:sz w:val="20"/>
          <w:szCs w:val="20"/>
          <w:color w:val="auto"/>
        </w:rPr>
      </w:pPr>
      <w:r>
        <w:rPr>
          <w:rFonts w:ascii="Arial" w:cs="Arial" w:eastAsia="Arial" w:hAnsi="Arial"/>
          <w:sz w:val="17"/>
          <w:szCs w:val="17"/>
          <w:color w:val="auto"/>
        </w:rPr>
        <w:t>/s/ Li, Chao-Hsiung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17145</wp:posOffset>
            </wp:positionV>
            <wp:extent cx="294703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947035" cy="8255"/>
                    </a:xfrm>
                    <a:prstGeom prst="rect">
                      <a:avLst/>
                    </a:prstGeom>
                    <a:noFill/>
                  </pic:spPr>
                </pic:pic>
              </a:graphicData>
            </a:graphic>
          </wp:anchor>
        </w:drawing>
      </w:r>
    </w:p>
    <w:p>
      <w:pPr>
        <w:spacing w:after="0" w:line="21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Business registration No.: 33115502</w:t>
      </w:r>
    </w:p>
    <w:p>
      <w:pPr>
        <w:spacing w:after="0" w:line="22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Address: 12F-3, No. 716, Zhongzheng Rd., Zhonghe Dist., New Taipei City</w:t>
      </w:r>
    </w:p>
    <w:p>
      <w:pPr>
        <w:spacing w:after="0" w:line="23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TEL: (02) 82273006</w:t>
      </w:r>
    </w:p>
    <w:p>
      <w:pPr>
        <w:spacing w:after="0" w:line="22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Party B: Applied Optoelectronics Incorporated (AOI) Taiwan</w:t>
      </w:r>
    </w:p>
    <w:p>
      <w:pPr>
        <w:spacing w:after="0" w:line="22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Person in charge: Lin, Chih-Hsiang</w:t>
      </w:r>
    </w:p>
    <w:p>
      <w:pPr>
        <w:spacing w:after="0" w:line="200" w:lineRule="exact"/>
        <w:rPr>
          <w:sz w:val="20"/>
          <w:szCs w:val="20"/>
          <w:color w:val="auto"/>
        </w:rPr>
      </w:pPr>
    </w:p>
    <w:p>
      <w:pPr>
        <w:spacing w:after="0" w:line="23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 Lin, Chih-Hsiang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17145</wp:posOffset>
            </wp:positionV>
            <wp:extent cx="294703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947035" cy="8255"/>
                    </a:xfrm>
                    <a:prstGeom prst="rect">
                      <a:avLst/>
                    </a:prstGeom>
                    <a:noFill/>
                  </pic:spPr>
                </pic:pic>
              </a:graphicData>
            </a:graphic>
          </wp:anchor>
        </w:drawing>
      </w:r>
    </w:p>
    <w:p>
      <w:pPr>
        <w:spacing w:after="0" w:line="21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Business registration No.: 28410552</w:t>
      </w:r>
    </w:p>
    <w:p>
      <w:pPr>
        <w:spacing w:after="0" w:line="22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Address: 6F-1, No. 700, Zhongzheng Rd., Zhonghe Dist., New Taipei City</w:t>
      </w:r>
    </w:p>
    <w:p>
      <w:pPr>
        <w:spacing w:after="0" w:line="23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TEL: (02) 82279189</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Date: December 22, 2011</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377" w:name="page378"/>
    <w:bookmarkEnd w:id="377"/>
    <w:p>
      <w:pPr>
        <w:spacing w:after="0" w:line="4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10.9</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Office Lease Agreement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Whereas this Office Lease Agreement (the “</w:t>
      </w:r>
      <w:r>
        <w:rPr>
          <w:rFonts w:ascii="Arial" w:cs="Arial" w:eastAsia="Arial" w:hAnsi="Arial"/>
          <w:sz w:val="17"/>
          <w:szCs w:val="17"/>
          <w:b w:val="1"/>
          <w:bCs w:val="1"/>
          <w:color w:val="auto"/>
        </w:rPr>
        <w:t>Lease Agreement</w:t>
      </w:r>
      <w:r>
        <w:rPr>
          <w:rFonts w:ascii="Arial" w:cs="Arial" w:eastAsia="Arial" w:hAnsi="Arial"/>
          <w:sz w:val="17"/>
          <w:szCs w:val="17"/>
          <w:color w:val="auto"/>
        </w:rPr>
        <w:t>”) is made by and between the undersigned: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LANDLORD: </w:t>
      </w:r>
      <w:r>
        <w:rPr>
          <w:rFonts w:ascii="Arial" w:cs="Arial" w:eastAsia="Arial" w:hAnsi="Arial"/>
          <w:sz w:val="17"/>
          <w:szCs w:val="17"/>
          <w:color w:val="auto"/>
        </w:rPr>
        <w:t>Admiral Overseas Corporation (hereafter referred to as Party A); and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TENANT: </w:t>
      </w:r>
      <w:r>
        <w:rPr>
          <w:rFonts w:ascii="Arial" w:cs="Arial" w:eastAsia="Arial" w:hAnsi="Arial"/>
          <w:sz w:val="17"/>
          <w:szCs w:val="17"/>
          <w:color w:val="auto"/>
        </w:rPr>
        <w:t>Applied Optoelectronics Incorporated (AOI) Taiwan (hereafter referred to as Party B).</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above two parties agree to the terms and conditions set forth below:</w:t>
      </w:r>
    </w:p>
    <w:p>
      <w:pPr>
        <w:spacing w:after="0" w:line="218"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b w:val="1"/>
          <w:bCs w:val="1"/>
          <w:color w:val="auto"/>
        </w:rPr>
        <w:t xml:space="preserve">I. LEASED PREMISES: </w:t>
      </w:r>
      <w:r>
        <w:rPr>
          <w:rFonts w:ascii="Arial" w:cs="Arial" w:eastAsia="Arial" w:hAnsi="Arial"/>
          <w:sz w:val="17"/>
          <w:szCs w:val="17"/>
          <w:color w:val="auto"/>
        </w:rPr>
        <w:t>The ten units owned by Party A at 4F., No. 700, Zhongzheng Rd., Zhonghe Dist., New Taipei City, 6F-1~6F-5 and 7F-1~7F-5 (the</w:t>
      </w:r>
      <w:r>
        <w:rPr>
          <w:rFonts w:ascii="Arial" w:cs="Arial" w:eastAsia="Arial" w:hAnsi="Arial"/>
          <w:sz w:val="17"/>
          <w:szCs w:val="17"/>
          <w:b w:val="1"/>
          <w:bCs w:val="1"/>
          <w:color w:val="auto"/>
        </w:rPr>
        <w:t xml:space="preserve"> </w:t>
      </w:r>
      <w:r>
        <w:rPr>
          <w:rFonts w:ascii="Arial" w:cs="Arial" w:eastAsia="Arial" w:hAnsi="Arial"/>
          <w:sz w:val="17"/>
          <w:szCs w:val="17"/>
          <w:color w:val="auto"/>
        </w:rPr>
        <w:t>scope of the leased premises is shown in the attached graph) with a space of 850.48 pings (covering the leased premises and amortized public facilities) plus six parking spaces (No. 1482, 1484, 1576, 1577, 1580 and 1581) at B2 floor.</w:t>
      </w:r>
    </w:p>
    <w:p>
      <w:pPr>
        <w:spacing w:after="0" w:line="162" w:lineRule="exact"/>
        <w:rPr>
          <w:sz w:val="20"/>
          <w:szCs w:val="20"/>
          <w:color w:val="auto"/>
        </w:rPr>
      </w:pPr>
    </w:p>
    <w:p>
      <w:pPr>
        <w:ind w:left="220" w:hanging="215"/>
        <w:spacing w:after="0"/>
        <w:tabs>
          <w:tab w:leader="none" w:pos="220" w:val="left"/>
        </w:tabs>
        <w:numPr>
          <w:ilvl w:val="0"/>
          <w:numId w:val="579"/>
        </w:numPr>
        <w:rPr>
          <w:rFonts w:ascii="Arial" w:cs="Arial" w:eastAsia="Arial" w:hAnsi="Arial"/>
          <w:sz w:val="17"/>
          <w:szCs w:val="17"/>
          <w:b w:val="1"/>
          <w:bCs w:val="1"/>
          <w:color w:val="auto"/>
        </w:rPr>
      </w:pPr>
      <w:r>
        <w:rPr>
          <w:rFonts w:ascii="Arial" w:cs="Arial" w:eastAsia="Arial" w:hAnsi="Arial"/>
          <w:sz w:val="17"/>
          <w:szCs w:val="17"/>
          <w:b w:val="1"/>
          <w:bCs w:val="1"/>
          <w:color w:val="auto"/>
        </w:rPr>
        <w:t>LEASE PERIOD:</w:t>
      </w:r>
    </w:p>
    <w:p>
      <w:pPr>
        <w:spacing w:after="0" w:line="230" w:lineRule="exact"/>
        <w:rPr>
          <w:rFonts w:ascii="Arial" w:cs="Arial" w:eastAsia="Arial" w:hAnsi="Arial"/>
          <w:sz w:val="17"/>
          <w:szCs w:val="17"/>
          <w:b w:val="1"/>
          <w:bCs w:val="1"/>
          <w:color w:val="auto"/>
        </w:rPr>
      </w:pPr>
    </w:p>
    <w:p>
      <w:pPr>
        <w:ind w:left="1140" w:right="1000" w:hanging="443"/>
        <w:spacing w:after="0" w:line="289" w:lineRule="auto"/>
        <w:tabs>
          <w:tab w:leader="none" w:pos="1132" w:val="left"/>
        </w:tabs>
        <w:numPr>
          <w:ilvl w:val="1"/>
          <w:numId w:val="579"/>
        </w:numPr>
        <w:rPr>
          <w:rFonts w:ascii="Arial" w:cs="Arial" w:eastAsia="Arial" w:hAnsi="Arial"/>
          <w:sz w:val="17"/>
          <w:szCs w:val="17"/>
          <w:color w:val="auto"/>
        </w:rPr>
      </w:pPr>
      <w:r>
        <w:rPr>
          <w:rFonts w:ascii="Arial" w:cs="Arial" w:eastAsia="Arial" w:hAnsi="Arial"/>
          <w:sz w:val="17"/>
          <w:szCs w:val="17"/>
          <w:color w:val="auto"/>
        </w:rPr>
        <w:t>The lease period is from Apr. 1, 2012 to Mar. 31, 2014, the parking space lease period is from May 1, 2012 to Mar. 31, 2014, and the tenant/landlord relationship shall terminate when the lease expires.</w:t>
      </w:r>
    </w:p>
    <w:p>
      <w:pPr>
        <w:spacing w:after="0" w:line="158" w:lineRule="exact"/>
        <w:rPr>
          <w:rFonts w:ascii="Arial" w:cs="Arial" w:eastAsia="Arial" w:hAnsi="Arial"/>
          <w:sz w:val="17"/>
          <w:szCs w:val="17"/>
          <w:color w:val="auto"/>
        </w:rPr>
      </w:pPr>
    </w:p>
    <w:p>
      <w:pPr>
        <w:ind w:left="1140" w:hanging="443"/>
        <w:spacing w:after="0" w:line="283" w:lineRule="auto"/>
        <w:tabs>
          <w:tab w:leader="none" w:pos="1132" w:val="left"/>
        </w:tabs>
        <w:numPr>
          <w:ilvl w:val="1"/>
          <w:numId w:val="579"/>
        </w:numPr>
        <w:rPr>
          <w:rFonts w:ascii="Arial" w:cs="Arial" w:eastAsia="Arial" w:hAnsi="Arial"/>
          <w:sz w:val="16"/>
          <w:szCs w:val="16"/>
          <w:color w:val="auto"/>
        </w:rPr>
      </w:pPr>
      <w:r>
        <w:rPr>
          <w:rFonts w:ascii="Arial" w:cs="Arial" w:eastAsia="Arial" w:hAnsi="Arial"/>
          <w:sz w:val="16"/>
          <w:szCs w:val="16"/>
          <w:color w:val="auto"/>
        </w:rPr>
        <w:t>If Party B wishes to renew the lease, Party B shall notify Party A in writing three (3) months prior to expiration of the Lease Agreement, upon Party A’s consent, execute a new lease agreement in order to continue the use of the premises after expiration of the said Lease Agreement. If both parties fail to enter into a new lease agreement upon expiration of the Lease Agreement, the tenant/landlord relationship will be deemed terminated. If Party B, otherwise, continues to occupy and use the premises after the expiration of the Lease Agreement, it shall pay Party A the ill-gotten gain calculated according to the daily rental fee plus 5% for the additional occupying days, and is not allowed to claim any rights deemed applicable to non-scheduled continuous Lease Agreement as prescribed by Article 451 of the Civil Code.</w:t>
      </w:r>
    </w:p>
    <w:p>
      <w:pPr>
        <w:spacing w:after="0" w:line="161" w:lineRule="exact"/>
        <w:rPr>
          <w:sz w:val="20"/>
          <w:szCs w:val="20"/>
          <w:color w:val="auto"/>
        </w:rPr>
      </w:pPr>
    </w:p>
    <w:p>
      <w:pPr>
        <w:ind w:right="80" w:firstLine="5"/>
        <w:spacing w:after="0" w:line="277" w:lineRule="auto"/>
        <w:tabs>
          <w:tab w:leader="none" w:pos="291" w:val="left"/>
        </w:tabs>
        <w:numPr>
          <w:ilvl w:val="0"/>
          <w:numId w:val="58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PREMISES HANDOVER: </w:t>
      </w:r>
      <w:r>
        <w:rPr>
          <w:rFonts w:ascii="Arial" w:cs="Arial" w:eastAsia="Arial" w:hAnsi="Arial"/>
          <w:sz w:val="17"/>
          <w:szCs w:val="17"/>
          <w:color w:val="auto"/>
        </w:rPr>
        <w:t>Party A shall respectively hand over the leased premises and parking spaces in their original condition to Party B on the starting</w:t>
      </w:r>
      <w:r>
        <w:rPr>
          <w:rFonts w:ascii="Arial" w:cs="Arial" w:eastAsia="Arial" w:hAnsi="Arial"/>
          <w:sz w:val="17"/>
          <w:szCs w:val="17"/>
          <w:b w:val="1"/>
          <w:bCs w:val="1"/>
          <w:color w:val="auto"/>
        </w:rPr>
        <w:t xml:space="preserve"> </w:t>
      </w:r>
      <w:r>
        <w:rPr>
          <w:rFonts w:ascii="Arial" w:cs="Arial" w:eastAsia="Arial" w:hAnsi="Arial"/>
          <w:sz w:val="17"/>
          <w:szCs w:val="17"/>
          <w:color w:val="auto"/>
        </w:rPr>
        <w:t>day of the lease. (If this Lease Agreement is a renewal of an existing lease and Party B is currently occupying the leased premises, then the starting day of the Leased Agreement shall be deemed the day 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first occupancy, which previously occupied leased premises are not required to be handed over separately).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IV. RENTAL:</w:t>
      </w:r>
    </w:p>
    <w:p>
      <w:pPr>
        <w:spacing w:after="0" w:line="230" w:lineRule="exact"/>
        <w:rPr>
          <w:sz w:val="20"/>
          <w:szCs w:val="20"/>
          <w:color w:val="auto"/>
        </w:rPr>
      </w:pPr>
    </w:p>
    <w:p>
      <w:pPr>
        <w:ind w:left="1140" w:right="80" w:hanging="443"/>
        <w:spacing w:after="0" w:line="273" w:lineRule="auto"/>
        <w:tabs>
          <w:tab w:leader="none" w:pos="1132" w:val="left"/>
        </w:tabs>
        <w:numPr>
          <w:ilvl w:val="1"/>
          <w:numId w:val="581"/>
        </w:numPr>
        <w:rPr>
          <w:rFonts w:ascii="Arial" w:cs="Arial" w:eastAsia="Arial" w:hAnsi="Arial"/>
          <w:sz w:val="17"/>
          <w:szCs w:val="17"/>
          <w:color w:val="auto"/>
        </w:rPr>
      </w:pPr>
      <w:r>
        <w:rPr>
          <w:rFonts w:ascii="Arial" w:cs="Arial" w:eastAsia="Arial" w:hAnsi="Arial"/>
          <w:sz w:val="17"/>
          <w:szCs w:val="17"/>
          <w:color w:val="auto"/>
        </w:rPr>
        <w:t>Rent shall be calculated starting on Apr. 1, 2012, whereas the parking space rental shall start from May 1, 2012. The rental of the leased premises shall be paid on a monthly basis. The Office rental is 765,432 NT Dollars per month and the parking space rental is 33,000 NT Dollars per month. Total rent will be 798,432 NT Dollars per month. The aforesaid rent includes all applicable taxes.</w:t>
      </w:r>
    </w:p>
    <w:p>
      <w:pPr>
        <w:spacing w:after="0" w:line="171" w:lineRule="exact"/>
        <w:rPr>
          <w:rFonts w:ascii="Arial" w:cs="Arial" w:eastAsia="Arial" w:hAnsi="Arial"/>
          <w:sz w:val="17"/>
          <w:szCs w:val="17"/>
          <w:color w:val="auto"/>
        </w:rPr>
      </w:pPr>
    </w:p>
    <w:p>
      <w:pPr>
        <w:jc w:val="both"/>
        <w:ind w:left="1140" w:right="140" w:hanging="443"/>
        <w:spacing w:after="0" w:line="273" w:lineRule="auto"/>
        <w:tabs>
          <w:tab w:leader="none" w:pos="1132" w:val="left"/>
        </w:tabs>
        <w:numPr>
          <w:ilvl w:val="1"/>
          <w:numId w:val="581"/>
        </w:numPr>
        <w:rPr>
          <w:rFonts w:ascii="Arial" w:cs="Arial" w:eastAsia="Arial" w:hAnsi="Arial"/>
          <w:sz w:val="17"/>
          <w:szCs w:val="17"/>
          <w:color w:val="auto"/>
        </w:rPr>
      </w:pPr>
      <w:r>
        <w:rPr>
          <w:rFonts w:ascii="Arial" w:cs="Arial" w:eastAsia="Arial" w:hAnsi="Arial"/>
          <w:sz w:val="17"/>
          <w:szCs w:val="17"/>
          <w:color w:val="auto"/>
        </w:rPr>
        <w:t>Upon executing the Lease Agreement, Party B shall execute and deliver to Party A checks pre-dated for the first day of each month for the entire lease period, with an aforesaid amount of monthly rent as described in the preceding paragraph payable to Party A. After cashing the check each month, Party A shall issue a receipt to Party B, and the receipt will be kept as proof of payment.</w:t>
      </w:r>
    </w:p>
    <w:p>
      <w:pPr>
        <w:spacing w:after="0" w:line="171" w:lineRule="exact"/>
        <w:rPr>
          <w:rFonts w:ascii="Arial" w:cs="Arial" w:eastAsia="Arial" w:hAnsi="Arial"/>
          <w:sz w:val="17"/>
          <w:szCs w:val="17"/>
          <w:color w:val="auto"/>
        </w:rPr>
      </w:pPr>
    </w:p>
    <w:p>
      <w:pPr>
        <w:ind w:left="1120" w:hanging="423"/>
        <w:spacing w:after="0"/>
        <w:tabs>
          <w:tab w:leader="none" w:pos="1120" w:val="left"/>
        </w:tabs>
        <w:numPr>
          <w:ilvl w:val="1"/>
          <w:numId w:val="581"/>
        </w:numPr>
        <w:rPr>
          <w:rFonts w:ascii="Arial" w:cs="Arial" w:eastAsia="Arial" w:hAnsi="Arial"/>
          <w:sz w:val="17"/>
          <w:szCs w:val="17"/>
          <w:color w:val="auto"/>
        </w:rPr>
      </w:pPr>
      <w:r>
        <w:rPr>
          <w:rFonts w:ascii="Arial" w:cs="Arial" w:eastAsia="Arial" w:hAnsi="Arial"/>
          <w:sz w:val="17"/>
          <w:szCs w:val="17"/>
          <w:color w:val="auto"/>
        </w:rPr>
        <w:t>If a check made out by Party B for the rent bounces, it shall be deemed that rent for the month was never paid.</w:t>
      </w:r>
    </w:p>
    <w:p>
      <w:pPr>
        <w:spacing w:after="0" w:line="224" w:lineRule="exact"/>
        <w:rPr>
          <w:rFonts w:ascii="Arial" w:cs="Arial" w:eastAsia="Arial" w:hAnsi="Arial"/>
          <w:sz w:val="17"/>
          <w:szCs w:val="17"/>
          <w:color w:val="auto"/>
        </w:rPr>
      </w:pPr>
    </w:p>
    <w:p>
      <w:pPr>
        <w:ind w:left="1140" w:right="60" w:hanging="443"/>
        <w:spacing w:after="0" w:line="273" w:lineRule="auto"/>
        <w:tabs>
          <w:tab w:leader="none" w:pos="1132" w:val="left"/>
        </w:tabs>
        <w:numPr>
          <w:ilvl w:val="1"/>
          <w:numId w:val="581"/>
        </w:numPr>
        <w:rPr>
          <w:rFonts w:ascii="Arial" w:cs="Arial" w:eastAsia="Arial" w:hAnsi="Arial"/>
          <w:sz w:val="17"/>
          <w:szCs w:val="17"/>
          <w:color w:val="auto"/>
        </w:rPr>
      </w:pPr>
      <w:r>
        <w:rPr>
          <w:rFonts w:ascii="Arial" w:cs="Arial" w:eastAsia="Arial" w:hAnsi="Arial"/>
          <w:sz w:val="17"/>
          <w:szCs w:val="17"/>
          <w:color w:val="auto"/>
        </w:rPr>
        <w:t>In case of any delay in rent payment from Party B, Party B shall pay a 20% interest on the deferred rent calculated on daily basis to Party A. If rent payment is late for more than 15 days, in addition to interest paid, Party B will pay an additional late payment penalty equivalent to two times the rental fees for each day rent is overdue. Party A then will have the right to terminate the Lease Agreement.</w:t>
      </w:r>
    </w:p>
    <w:p>
      <w:pPr>
        <w:spacing w:after="0" w:line="16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b w:val="1"/>
          <w:bCs w:val="1"/>
          <w:color w:val="auto"/>
        </w:rPr>
        <w:t>V. SECURITY DEPOSIT:</w:t>
      </w:r>
    </w:p>
    <w:p>
      <w:pPr>
        <w:spacing w:after="0" w:line="230" w:lineRule="exact"/>
        <w:rPr>
          <w:rFonts w:ascii="Arial" w:cs="Arial" w:eastAsia="Arial" w:hAnsi="Arial"/>
          <w:sz w:val="17"/>
          <w:szCs w:val="17"/>
          <w:color w:val="auto"/>
        </w:rPr>
      </w:pPr>
    </w:p>
    <w:p>
      <w:pPr>
        <w:ind w:left="1140" w:right="40" w:hanging="443"/>
        <w:spacing w:after="0" w:line="290" w:lineRule="auto"/>
        <w:tabs>
          <w:tab w:leader="none" w:pos="1132" w:val="left"/>
        </w:tabs>
        <w:numPr>
          <w:ilvl w:val="1"/>
          <w:numId w:val="582"/>
        </w:numPr>
        <w:rPr>
          <w:rFonts w:ascii="Arial" w:cs="Arial" w:eastAsia="Arial" w:hAnsi="Arial"/>
          <w:sz w:val="16"/>
          <w:szCs w:val="16"/>
          <w:color w:val="auto"/>
        </w:rPr>
      </w:pPr>
      <w:r>
        <w:rPr>
          <w:rFonts w:ascii="Arial" w:cs="Arial" w:eastAsia="Arial" w:hAnsi="Arial"/>
          <w:sz w:val="16"/>
          <w:szCs w:val="16"/>
          <w:color w:val="auto"/>
        </w:rPr>
        <w:t>When executing the Lease Agreement, Party B shall pay 2,395,296 NT Dollars to Party A as a security deposit. If during the lease period, Party B breaches or defaults on the Lease Agreement leading to any unpaid rent or other unpaid accrued expenses, or fails to pay interest on any deferred rent payment, default fine or damages as described herein by the Lease Agreement, Party A may deduct any amounts owed from the security deposit. If the security deposit is deducted at any point during the lease period, Party B will be obligated to make up the deficit.</w:t>
      </w:r>
    </w:p>
    <w:p>
      <w:pPr>
        <w:spacing w:after="0" w:line="159" w:lineRule="exact"/>
        <w:rPr>
          <w:rFonts w:ascii="Arial" w:cs="Arial" w:eastAsia="Arial" w:hAnsi="Arial"/>
          <w:sz w:val="16"/>
          <w:szCs w:val="16"/>
          <w:color w:val="auto"/>
        </w:rPr>
      </w:pPr>
    </w:p>
    <w:p>
      <w:pPr>
        <w:ind w:left="1120" w:hanging="423"/>
        <w:spacing w:after="0"/>
        <w:tabs>
          <w:tab w:leader="none" w:pos="1120" w:val="left"/>
        </w:tabs>
        <w:numPr>
          <w:ilvl w:val="1"/>
          <w:numId w:val="582"/>
        </w:numPr>
        <w:rPr>
          <w:rFonts w:ascii="Arial" w:cs="Arial" w:eastAsia="Arial" w:hAnsi="Arial"/>
          <w:sz w:val="17"/>
          <w:szCs w:val="17"/>
          <w:color w:val="auto"/>
        </w:rPr>
      </w:pPr>
      <w:r>
        <w:rPr>
          <w:rFonts w:ascii="Arial" w:cs="Arial" w:eastAsia="Arial" w:hAnsi="Arial"/>
          <w:sz w:val="17"/>
          <w:szCs w:val="17"/>
          <w:color w:val="auto"/>
        </w:rPr>
        <w:t>If Party B does not renew the lease upon the expiration of the lease or the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140" w:right="140"/>
        <w:spacing w:after="0" w:line="268" w:lineRule="auto"/>
        <w:rPr>
          <w:sz w:val="20"/>
          <w:szCs w:val="20"/>
          <w:color w:val="auto"/>
        </w:rPr>
      </w:pPr>
      <w:r>
        <w:rPr>
          <w:rFonts w:ascii="Arial" w:cs="Arial" w:eastAsia="Arial" w:hAnsi="Arial"/>
          <w:sz w:val="17"/>
          <w:szCs w:val="17"/>
          <w:color w:val="auto"/>
        </w:rPr>
        <w:t>when the Lease Agreement becomes terminated through no fault of Party B, Party A shall return Party B’s security deposit without interest when Party B vacates the leased premises (including relocation of the registered business address or dissolution of corporate existence or relocation of factory). However, in the event that Party B needs to terminate the Lease Agreement prior to expiration through no fault of Party B, Party B will need to process the early termination subject to Article 15, Section 1 of the Lease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 IMPROVEMENT, SAFETY MAINTENANCE AND REPAIR OF THE LEASED PREMISES:</w:t>
      </w:r>
    </w:p>
    <w:p>
      <w:pPr>
        <w:spacing w:after="0" w:line="230" w:lineRule="exact"/>
        <w:rPr>
          <w:sz w:val="20"/>
          <w:szCs w:val="20"/>
          <w:color w:val="auto"/>
        </w:rPr>
      </w:pPr>
    </w:p>
    <w:p>
      <w:pPr>
        <w:ind w:left="1140" w:right="240" w:hanging="443"/>
        <w:spacing w:after="0" w:line="273" w:lineRule="auto"/>
        <w:tabs>
          <w:tab w:leader="none" w:pos="1132" w:val="left"/>
        </w:tabs>
        <w:numPr>
          <w:ilvl w:val="0"/>
          <w:numId w:val="583"/>
        </w:numPr>
        <w:rPr>
          <w:rFonts w:ascii="Arial" w:cs="Arial" w:eastAsia="Arial" w:hAnsi="Arial"/>
          <w:sz w:val="17"/>
          <w:szCs w:val="17"/>
          <w:color w:val="auto"/>
        </w:rPr>
      </w:pPr>
      <w:r>
        <w:rPr>
          <w:rFonts w:ascii="Arial" w:cs="Arial" w:eastAsia="Arial" w:hAnsi="Arial"/>
          <w:sz w:val="17"/>
          <w:szCs w:val="17"/>
          <w:color w:val="auto"/>
        </w:rPr>
        <w:t>Within the lease period, Party B shall obtain Party A’s approval before working on renovation, partition and equipment installation of the leased premises at Party B’s own expense. However, any alteration to the lease premised should not cause damage to the building structure, safety equipment or exterior appearance.</w:t>
      </w:r>
    </w:p>
    <w:p>
      <w:pPr>
        <w:sectPr>
          <w:pgSz w:w="11900" w:h="16883" w:orient="portrait"/>
          <w:cols w:equalWidth="0" w:num="1">
            <w:col w:w="11420"/>
          </w:cols>
          <w:pgMar w:left="240" w:top="357" w:right="239" w:bottom="0" w:gutter="0" w:footer="0" w:header="0"/>
        </w:sectPr>
      </w:pPr>
    </w:p>
    <w:bookmarkStart w:id="378" w:name="page379"/>
    <w:bookmarkEnd w:id="378"/>
    <w:p>
      <w:pPr>
        <w:ind w:left="1140" w:right="200" w:hanging="443"/>
        <w:spacing w:after="0" w:line="273" w:lineRule="auto"/>
        <w:tabs>
          <w:tab w:leader="none" w:pos="1132" w:val="left"/>
        </w:tabs>
        <w:numPr>
          <w:ilvl w:val="0"/>
          <w:numId w:val="584"/>
        </w:numPr>
        <w:rPr>
          <w:rFonts w:ascii="Arial" w:cs="Arial" w:eastAsia="Arial" w:hAnsi="Arial"/>
          <w:sz w:val="17"/>
          <w:szCs w:val="17"/>
          <w:color w:val="auto"/>
        </w:rPr>
      </w:pPr>
      <w:r>
        <w:rPr>
          <w:rFonts w:ascii="Arial" w:cs="Arial" w:eastAsia="Arial" w:hAnsi="Arial"/>
          <w:sz w:val="17"/>
          <w:szCs w:val="17"/>
          <w:color w:val="auto"/>
        </w:rPr>
        <w:t>If Party B needs to use any of the leased premises’ equipment or additionally needs to use any vacant space or the building’s public area or glass outer walls to place any advertising signs or boards, Party B will need to submit such request to to the building’s Administrative Committee for approval.</w:t>
      </w:r>
    </w:p>
    <w:p>
      <w:pPr>
        <w:spacing w:after="0" w:line="171" w:lineRule="exact"/>
        <w:rPr>
          <w:rFonts w:ascii="Arial" w:cs="Arial" w:eastAsia="Arial" w:hAnsi="Arial"/>
          <w:sz w:val="17"/>
          <w:szCs w:val="17"/>
          <w:color w:val="auto"/>
        </w:rPr>
      </w:pPr>
    </w:p>
    <w:p>
      <w:pPr>
        <w:ind w:left="1140" w:right="60" w:hanging="443"/>
        <w:spacing w:after="0" w:line="289" w:lineRule="auto"/>
        <w:tabs>
          <w:tab w:leader="none" w:pos="1132" w:val="left"/>
        </w:tabs>
        <w:numPr>
          <w:ilvl w:val="0"/>
          <w:numId w:val="584"/>
        </w:numPr>
        <w:rPr>
          <w:rFonts w:ascii="Arial" w:cs="Arial" w:eastAsia="Arial" w:hAnsi="Arial"/>
          <w:sz w:val="17"/>
          <w:szCs w:val="17"/>
          <w:color w:val="auto"/>
        </w:rPr>
      </w:pPr>
      <w:r>
        <w:rPr>
          <w:rFonts w:ascii="Arial" w:cs="Arial" w:eastAsia="Arial" w:hAnsi="Arial"/>
          <w:sz w:val="17"/>
          <w:szCs w:val="17"/>
          <w:color w:val="auto"/>
        </w:rPr>
        <w:t>The safety equipment inside the leased premises shall be maintained by Party B during the lease period, and storage of combustible, contraband or hazardous articles is strictly prohibited.</w:t>
      </w:r>
    </w:p>
    <w:p>
      <w:pPr>
        <w:spacing w:after="0" w:line="158" w:lineRule="exact"/>
        <w:rPr>
          <w:rFonts w:ascii="Arial" w:cs="Arial" w:eastAsia="Arial" w:hAnsi="Arial"/>
          <w:sz w:val="17"/>
          <w:szCs w:val="17"/>
          <w:color w:val="auto"/>
        </w:rPr>
      </w:pPr>
    </w:p>
    <w:p>
      <w:pPr>
        <w:ind w:left="1140" w:right="20" w:hanging="443"/>
        <w:spacing w:after="0" w:line="273" w:lineRule="auto"/>
        <w:tabs>
          <w:tab w:leader="none" w:pos="1132" w:val="left"/>
        </w:tabs>
        <w:numPr>
          <w:ilvl w:val="0"/>
          <w:numId w:val="584"/>
        </w:numPr>
        <w:rPr>
          <w:rFonts w:ascii="Arial" w:cs="Arial" w:eastAsia="Arial" w:hAnsi="Arial"/>
          <w:sz w:val="17"/>
          <w:szCs w:val="17"/>
          <w:color w:val="auto"/>
        </w:rPr>
      </w:pPr>
      <w:r>
        <w:rPr>
          <w:rFonts w:ascii="Arial" w:cs="Arial" w:eastAsia="Arial" w:hAnsi="Arial"/>
          <w:sz w:val="17"/>
          <w:szCs w:val="17"/>
          <w:color w:val="auto"/>
        </w:rPr>
        <w:t>During the lease period, except the structure of the leased premises as described in Article 1 of the Lease Agreement, which shall be maintained by Party A, Party B shall be responsible for the maintenance or improvement of any air-conditioning equipment, fire safety and electric power equipment inside the leased premises, regardless whether the original installation or repair was made by Party A.</w:t>
      </w:r>
    </w:p>
    <w:p>
      <w:pPr>
        <w:spacing w:after="0" w:line="171" w:lineRule="exact"/>
        <w:rPr>
          <w:rFonts w:ascii="Arial" w:cs="Arial" w:eastAsia="Arial" w:hAnsi="Arial"/>
          <w:sz w:val="17"/>
          <w:szCs w:val="17"/>
          <w:color w:val="auto"/>
        </w:rPr>
      </w:pPr>
    </w:p>
    <w:p>
      <w:pPr>
        <w:jc w:val="both"/>
        <w:ind w:left="1140" w:right="160" w:hanging="443"/>
        <w:spacing w:after="0" w:line="273" w:lineRule="auto"/>
        <w:tabs>
          <w:tab w:leader="none" w:pos="1132" w:val="left"/>
        </w:tabs>
        <w:numPr>
          <w:ilvl w:val="0"/>
          <w:numId w:val="584"/>
        </w:numPr>
        <w:rPr>
          <w:rFonts w:ascii="Arial" w:cs="Arial" w:eastAsia="Arial" w:hAnsi="Arial"/>
          <w:sz w:val="17"/>
          <w:szCs w:val="17"/>
          <w:color w:val="auto"/>
        </w:rPr>
      </w:pPr>
      <w:r>
        <w:rPr>
          <w:rFonts w:ascii="Arial" w:cs="Arial" w:eastAsia="Arial" w:hAnsi="Arial"/>
          <w:sz w:val="17"/>
          <w:szCs w:val="17"/>
          <w:color w:val="auto"/>
        </w:rPr>
        <w:t>Party B shall be responsible for repair of other public areas or facilities or Party B may submit such repair or maintenance request directly to the building’s Administrative Committee. Party A shall not be held accountable for any maintenance other than as set forth in Article 1 of the Lease Agreement.</w:t>
      </w:r>
    </w:p>
    <w:p>
      <w:pPr>
        <w:spacing w:after="0" w:line="171" w:lineRule="exact"/>
        <w:rPr>
          <w:rFonts w:ascii="Arial" w:cs="Arial" w:eastAsia="Arial" w:hAnsi="Arial"/>
          <w:sz w:val="17"/>
          <w:szCs w:val="17"/>
          <w:color w:val="auto"/>
        </w:rPr>
      </w:pPr>
    </w:p>
    <w:p>
      <w:pPr>
        <w:ind w:left="1120" w:hanging="423"/>
        <w:spacing w:after="0"/>
        <w:tabs>
          <w:tab w:leader="none" w:pos="1120" w:val="left"/>
        </w:tabs>
        <w:numPr>
          <w:ilvl w:val="0"/>
          <w:numId w:val="584"/>
        </w:numPr>
        <w:rPr>
          <w:rFonts w:ascii="Arial" w:cs="Arial" w:eastAsia="Arial" w:hAnsi="Arial"/>
          <w:sz w:val="17"/>
          <w:szCs w:val="17"/>
          <w:color w:val="auto"/>
        </w:rPr>
      </w:pPr>
      <w:r>
        <w:rPr>
          <w:rFonts w:ascii="Arial" w:cs="Arial" w:eastAsia="Arial" w:hAnsi="Arial"/>
          <w:sz w:val="17"/>
          <w:szCs w:val="17"/>
          <w:color w:val="auto"/>
        </w:rPr>
        <w:t>During the lease period, Party B shall use the leased premises with the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right="180"/>
        <w:spacing w:after="0" w:line="289" w:lineRule="auto"/>
        <w:rPr>
          <w:sz w:val="20"/>
          <w:szCs w:val="20"/>
          <w:color w:val="auto"/>
        </w:rPr>
      </w:pPr>
      <w:r>
        <w:rPr>
          <w:rFonts w:ascii="Arial" w:cs="Arial" w:eastAsia="Arial" w:hAnsi="Arial"/>
          <w:sz w:val="17"/>
          <w:szCs w:val="17"/>
          <w:color w:val="auto"/>
        </w:rPr>
        <w:t>precautious obligation that a prudent administrator shall have. In case of any cause attributable to Party B (including Party B’s employees, users and clients) leading to damage to the leased premises, Party B shall be responsible for repair.</w:t>
      </w:r>
    </w:p>
    <w:p>
      <w:pPr>
        <w:spacing w:after="0" w:line="158" w:lineRule="exact"/>
        <w:rPr>
          <w:sz w:val="20"/>
          <w:szCs w:val="20"/>
          <w:color w:val="auto"/>
        </w:rPr>
      </w:pPr>
    </w:p>
    <w:p>
      <w:pPr>
        <w:ind w:left="1140" w:right="620" w:hanging="443"/>
        <w:spacing w:after="0" w:line="289" w:lineRule="auto"/>
        <w:tabs>
          <w:tab w:leader="none" w:pos="1132" w:val="left"/>
        </w:tabs>
        <w:numPr>
          <w:ilvl w:val="0"/>
          <w:numId w:val="585"/>
        </w:numPr>
        <w:rPr>
          <w:rFonts w:ascii="Arial" w:cs="Arial" w:eastAsia="Arial" w:hAnsi="Arial"/>
          <w:sz w:val="17"/>
          <w:szCs w:val="17"/>
          <w:color w:val="auto"/>
        </w:rPr>
      </w:pPr>
      <w:r>
        <w:rPr>
          <w:rFonts w:ascii="Arial" w:cs="Arial" w:eastAsia="Arial" w:hAnsi="Arial"/>
          <w:sz w:val="17"/>
          <w:szCs w:val="17"/>
          <w:color w:val="auto"/>
        </w:rPr>
        <w:t>The condition of the leased premises upon occupancy will be documented by photos showing the original condition of the leased premises attached in the original lease and existing lease.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VII. RETURN OF THE LEASED PREMISES:</w:t>
      </w:r>
    </w:p>
    <w:p>
      <w:pPr>
        <w:spacing w:after="0" w:line="230" w:lineRule="exact"/>
        <w:rPr>
          <w:sz w:val="20"/>
          <w:szCs w:val="20"/>
          <w:color w:val="auto"/>
        </w:rPr>
      </w:pPr>
    </w:p>
    <w:p>
      <w:pPr>
        <w:ind w:left="1140" w:right="80" w:hanging="443"/>
        <w:spacing w:after="0" w:line="273" w:lineRule="auto"/>
        <w:tabs>
          <w:tab w:leader="none" w:pos="1132" w:val="left"/>
        </w:tabs>
        <w:numPr>
          <w:ilvl w:val="0"/>
          <w:numId w:val="586"/>
        </w:numPr>
        <w:rPr>
          <w:rFonts w:ascii="Arial" w:cs="Arial" w:eastAsia="Arial" w:hAnsi="Arial"/>
          <w:sz w:val="17"/>
          <w:szCs w:val="17"/>
          <w:color w:val="auto"/>
        </w:rPr>
      </w:pPr>
      <w:r>
        <w:rPr>
          <w:rFonts w:ascii="Arial" w:cs="Arial" w:eastAsia="Arial" w:hAnsi="Arial"/>
          <w:sz w:val="17"/>
          <w:szCs w:val="17"/>
          <w:color w:val="auto"/>
        </w:rPr>
        <w:t>If Party B does not renew the Lease Agreement after expiration or when the Lease Agreement is terminated, Party B shall return the leased premises to Party A on the expiration or termination day. In case of any delay in returning the leased premises, Party A may at its discretion enter and recover the leased premises, for which Party B shall have no objection.</w:t>
      </w:r>
    </w:p>
    <w:p>
      <w:pPr>
        <w:spacing w:after="0" w:line="171" w:lineRule="exact"/>
        <w:rPr>
          <w:rFonts w:ascii="Arial" w:cs="Arial" w:eastAsia="Arial" w:hAnsi="Arial"/>
          <w:sz w:val="17"/>
          <w:szCs w:val="17"/>
          <w:color w:val="auto"/>
        </w:rPr>
      </w:pPr>
    </w:p>
    <w:p>
      <w:pPr>
        <w:ind w:left="1140" w:right="140" w:hanging="443"/>
        <w:spacing w:after="0" w:line="268" w:lineRule="auto"/>
        <w:tabs>
          <w:tab w:leader="none" w:pos="1132" w:val="left"/>
        </w:tabs>
        <w:numPr>
          <w:ilvl w:val="0"/>
          <w:numId w:val="586"/>
        </w:numPr>
        <w:rPr>
          <w:rFonts w:ascii="Arial" w:cs="Arial" w:eastAsia="Arial" w:hAnsi="Arial"/>
          <w:sz w:val="17"/>
          <w:szCs w:val="17"/>
          <w:color w:val="auto"/>
        </w:rPr>
      </w:pPr>
      <w:r>
        <w:rPr>
          <w:rFonts w:ascii="Arial" w:cs="Arial" w:eastAsia="Arial" w:hAnsi="Arial"/>
          <w:sz w:val="17"/>
          <w:szCs w:val="17"/>
          <w:color w:val="auto"/>
        </w:rPr>
        <w:t>After the lease expires or the Lease Agreement is terminated, Party B shall unconditionally remove all installed equipment or removable fixtures and restore the leased premises to their original condition before returning the leased premises to Party A. Party B shall not cause any damage to the building and or existing equipment. In addition, Party A is not obligated to purchase or provide any compensation for any renovation or improvements performed by Party B.</w:t>
      </w:r>
    </w:p>
    <w:p>
      <w:pPr>
        <w:spacing w:after="0" w:line="175" w:lineRule="exact"/>
        <w:rPr>
          <w:rFonts w:ascii="Arial" w:cs="Arial" w:eastAsia="Arial" w:hAnsi="Arial"/>
          <w:sz w:val="17"/>
          <w:szCs w:val="17"/>
          <w:color w:val="auto"/>
        </w:rPr>
      </w:pPr>
    </w:p>
    <w:p>
      <w:pPr>
        <w:ind w:left="1140" w:right="20" w:hanging="443"/>
        <w:spacing w:after="0" w:line="273" w:lineRule="auto"/>
        <w:tabs>
          <w:tab w:leader="none" w:pos="1132" w:val="left"/>
        </w:tabs>
        <w:numPr>
          <w:ilvl w:val="0"/>
          <w:numId w:val="586"/>
        </w:numPr>
        <w:rPr>
          <w:rFonts w:ascii="Arial" w:cs="Arial" w:eastAsia="Arial" w:hAnsi="Arial"/>
          <w:sz w:val="17"/>
          <w:szCs w:val="17"/>
          <w:color w:val="auto"/>
        </w:rPr>
      </w:pPr>
      <w:r>
        <w:rPr>
          <w:rFonts w:ascii="Arial" w:cs="Arial" w:eastAsia="Arial" w:hAnsi="Arial"/>
          <w:sz w:val="17"/>
          <w:szCs w:val="17"/>
          <w:color w:val="auto"/>
        </w:rPr>
        <w:t>If Party B does not vacate the leased premises and leaves behind any removable fixtures, equipment and articles in the leased premises after expiration or termination of the Lease Agreement, Party A may dispose the items left on the site as waste, and restore the premises to their original condition, for which all incurred expenses related to such disposal will be borne by Party B.</w:t>
      </w:r>
    </w:p>
    <w:p>
      <w:pPr>
        <w:spacing w:after="0" w:line="171" w:lineRule="exact"/>
        <w:rPr>
          <w:rFonts w:ascii="Arial" w:cs="Arial" w:eastAsia="Arial" w:hAnsi="Arial"/>
          <w:sz w:val="17"/>
          <w:szCs w:val="17"/>
          <w:color w:val="auto"/>
        </w:rPr>
      </w:pPr>
    </w:p>
    <w:p>
      <w:pPr>
        <w:ind w:left="1140" w:right="120" w:hanging="443"/>
        <w:spacing w:after="0" w:line="289" w:lineRule="auto"/>
        <w:tabs>
          <w:tab w:leader="none" w:pos="1132" w:val="left"/>
        </w:tabs>
        <w:numPr>
          <w:ilvl w:val="0"/>
          <w:numId w:val="586"/>
        </w:numPr>
        <w:rPr>
          <w:rFonts w:ascii="Arial" w:cs="Arial" w:eastAsia="Arial" w:hAnsi="Arial"/>
          <w:sz w:val="17"/>
          <w:szCs w:val="17"/>
          <w:color w:val="auto"/>
        </w:rPr>
      </w:pPr>
      <w:r>
        <w:rPr>
          <w:rFonts w:ascii="Arial" w:cs="Arial" w:eastAsia="Arial" w:hAnsi="Arial"/>
          <w:sz w:val="17"/>
          <w:szCs w:val="17"/>
          <w:color w:val="auto"/>
        </w:rPr>
        <w:t>Given that the said Lease Agreement is a renewal of an existing lease, when the said Lease Agreement is terminated or the said Lease Agreement has expired, Party B shall restores the leased premises to the original condition as stated in the original lease.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VIII. RESTRICTIONS ON USE OF THE LEASED PREMISES:</w:t>
      </w:r>
    </w:p>
    <w:p>
      <w:pPr>
        <w:spacing w:after="0" w:line="230" w:lineRule="exact"/>
        <w:rPr>
          <w:sz w:val="20"/>
          <w:szCs w:val="20"/>
          <w:color w:val="auto"/>
        </w:rPr>
      </w:pPr>
    </w:p>
    <w:p>
      <w:pPr>
        <w:ind w:left="1140" w:hanging="443"/>
        <w:spacing w:after="0" w:line="289" w:lineRule="auto"/>
        <w:tabs>
          <w:tab w:leader="none" w:pos="1132" w:val="left"/>
        </w:tabs>
        <w:numPr>
          <w:ilvl w:val="0"/>
          <w:numId w:val="587"/>
        </w:numPr>
        <w:rPr>
          <w:rFonts w:ascii="Arial" w:cs="Arial" w:eastAsia="Arial" w:hAnsi="Arial"/>
          <w:sz w:val="17"/>
          <w:szCs w:val="17"/>
          <w:color w:val="auto"/>
        </w:rPr>
      </w:pPr>
      <w:r>
        <w:rPr>
          <w:rFonts w:ascii="Arial" w:cs="Arial" w:eastAsia="Arial" w:hAnsi="Arial"/>
          <w:sz w:val="17"/>
          <w:szCs w:val="17"/>
          <w:color w:val="auto"/>
        </w:rPr>
        <w:t>Party B shall abide by the regulations set forth by the Building Management Act. If any violation by Party B results in Party A’s loss, Party B shall be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liable for the loss.</w:t>
      </w:r>
    </w:p>
    <w:p>
      <w:pPr>
        <w:spacing w:after="0" w:line="224" w:lineRule="exact"/>
        <w:rPr>
          <w:sz w:val="20"/>
          <w:szCs w:val="20"/>
          <w:color w:val="auto"/>
        </w:rPr>
      </w:pPr>
    </w:p>
    <w:p>
      <w:pPr>
        <w:ind w:left="1140" w:right="140" w:hanging="443"/>
        <w:spacing w:after="0" w:line="268" w:lineRule="auto"/>
        <w:tabs>
          <w:tab w:leader="none" w:pos="1132" w:val="left"/>
        </w:tabs>
        <w:numPr>
          <w:ilvl w:val="0"/>
          <w:numId w:val="588"/>
        </w:numPr>
        <w:rPr>
          <w:rFonts w:ascii="Arial" w:cs="Arial" w:eastAsia="Arial" w:hAnsi="Arial"/>
          <w:sz w:val="17"/>
          <w:szCs w:val="17"/>
          <w:color w:val="auto"/>
        </w:rPr>
      </w:pPr>
      <w:r>
        <w:rPr>
          <w:rFonts w:ascii="Arial" w:cs="Arial" w:eastAsia="Arial" w:hAnsi="Arial"/>
          <w:sz w:val="17"/>
          <w:szCs w:val="17"/>
          <w:color w:val="auto"/>
        </w:rPr>
        <w:t>Any operational permit or business license required by Party B for business operation shall be the responsibility of Party B. Party A will provide any necessary assistance by supplying any requisite documents for Party B’s application. If Party B has registered its official registered place of business to the address of the leased premises, Party B agrees to amend such registration upon the expiration or termination of the Lease Agreement.</w:t>
      </w:r>
    </w:p>
    <w:p>
      <w:pPr>
        <w:spacing w:after="0" w:line="175" w:lineRule="exact"/>
        <w:rPr>
          <w:rFonts w:ascii="Arial" w:cs="Arial" w:eastAsia="Arial" w:hAnsi="Arial"/>
          <w:sz w:val="17"/>
          <w:szCs w:val="17"/>
          <w:color w:val="auto"/>
        </w:rPr>
      </w:pPr>
    </w:p>
    <w:p>
      <w:pPr>
        <w:ind w:left="1140" w:right="260" w:hanging="443"/>
        <w:spacing w:after="0" w:line="289" w:lineRule="auto"/>
        <w:tabs>
          <w:tab w:leader="none" w:pos="1132" w:val="left"/>
        </w:tabs>
        <w:numPr>
          <w:ilvl w:val="0"/>
          <w:numId w:val="588"/>
        </w:numPr>
        <w:rPr>
          <w:rFonts w:ascii="Arial" w:cs="Arial" w:eastAsia="Arial" w:hAnsi="Arial"/>
          <w:sz w:val="17"/>
          <w:szCs w:val="17"/>
          <w:color w:val="auto"/>
        </w:rPr>
      </w:pPr>
      <w:r>
        <w:rPr>
          <w:rFonts w:ascii="Arial" w:cs="Arial" w:eastAsia="Arial" w:hAnsi="Arial"/>
          <w:sz w:val="17"/>
          <w:szCs w:val="17"/>
          <w:color w:val="auto"/>
        </w:rPr>
        <w:t>Without the consent or approval of Party A, Party B shall not transfer, assign, lease, sublease or lend the leased premises to any third parties for occupancy or use.</w:t>
      </w:r>
    </w:p>
    <w:p>
      <w:pPr>
        <w:spacing w:after="0" w:line="158" w:lineRule="exact"/>
        <w:rPr>
          <w:rFonts w:ascii="Arial" w:cs="Arial" w:eastAsia="Arial" w:hAnsi="Arial"/>
          <w:sz w:val="17"/>
          <w:szCs w:val="17"/>
          <w:color w:val="auto"/>
        </w:rPr>
      </w:pPr>
    </w:p>
    <w:p>
      <w:pPr>
        <w:ind w:left="1140" w:right="100" w:hanging="443"/>
        <w:spacing w:after="0" w:line="268" w:lineRule="auto"/>
        <w:tabs>
          <w:tab w:leader="none" w:pos="1132" w:val="left"/>
        </w:tabs>
        <w:numPr>
          <w:ilvl w:val="0"/>
          <w:numId w:val="588"/>
        </w:numPr>
        <w:rPr>
          <w:rFonts w:ascii="Arial" w:cs="Arial" w:eastAsia="Arial" w:hAnsi="Arial"/>
          <w:sz w:val="17"/>
          <w:szCs w:val="17"/>
          <w:color w:val="auto"/>
        </w:rPr>
      </w:pPr>
      <w:r>
        <w:rPr>
          <w:rFonts w:ascii="Arial" w:cs="Arial" w:eastAsia="Arial" w:hAnsi="Arial"/>
          <w:sz w:val="17"/>
          <w:szCs w:val="17"/>
          <w:color w:val="auto"/>
        </w:rPr>
        <w:t>The permitted use of the lease premises will be that of office and manufacturing. Party B shall follow any local law or regulations regarding the permitted use. In the event that Party B does not use the leased premises as indicated in this Section violates a law that causes a legal authority to shut down business operations, such event shall not constitute grounds for Party B to terminate this Lease Agreement. Party B will still be liable for the remaining lease term.</w:t>
      </w:r>
    </w:p>
    <w:p>
      <w:pPr>
        <w:spacing w:after="0" w:line="175" w:lineRule="exact"/>
        <w:rPr>
          <w:rFonts w:ascii="Arial" w:cs="Arial" w:eastAsia="Arial" w:hAnsi="Arial"/>
          <w:sz w:val="17"/>
          <w:szCs w:val="17"/>
          <w:color w:val="auto"/>
        </w:rPr>
      </w:pPr>
    </w:p>
    <w:p>
      <w:pPr>
        <w:ind w:left="1120" w:hanging="423"/>
        <w:spacing w:after="0"/>
        <w:tabs>
          <w:tab w:leader="none" w:pos="1120" w:val="left"/>
        </w:tabs>
        <w:numPr>
          <w:ilvl w:val="0"/>
          <w:numId w:val="588"/>
        </w:numPr>
        <w:rPr>
          <w:rFonts w:ascii="Arial" w:cs="Arial" w:eastAsia="Arial" w:hAnsi="Arial"/>
          <w:sz w:val="17"/>
          <w:szCs w:val="17"/>
          <w:color w:val="auto"/>
        </w:rPr>
      </w:pPr>
      <w:r>
        <w:rPr>
          <w:rFonts w:ascii="Arial" w:cs="Arial" w:eastAsia="Arial" w:hAnsi="Arial"/>
          <w:sz w:val="17"/>
          <w:szCs w:val="17"/>
          <w:color w:val="auto"/>
        </w:rPr>
        <w:t>Party B shall not use the leased premises as a site to engage in illegal businesses and activities.</w:t>
      </w:r>
    </w:p>
    <w:p>
      <w:pPr>
        <w:spacing w:after="0" w:line="224" w:lineRule="exact"/>
        <w:rPr>
          <w:rFonts w:ascii="Arial" w:cs="Arial" w:eastAsia="Arial" w:hAnsi="Arial"/>
          <w:sz w:val="17"/>
          <w:szCs w:val="17"/>
          <w:color w:val="auto"/>
        </w:rPr>
      </w:pPr>
    </w:p>
    <w:p>
      <w:pPr>
        <w:ind w:left="1140" w:right="40" w:hanging="443"/>
        <w:spacing w:after="0" w:line="265" w:lineRule="auto"/>
        <w:tabs>
          <w:tab w:leader="none" w:pos="1132" w:val="left"/>
        </w:tabs>
        <w:numPr>
          <w:ilvl w:val="0"/>
          <w:numId w:val="588"/>
        </w:numPr>
        <w:rPr>
          <w:rFonts w:ascii="Arial" w:cs="Arial" w:eastAsia="Arial" w:hAnsi="Arial"/>
          <w:sz w:val="17"/>
          <w:szCs w:val="17"/>
          <w:color w:val="auto"/>
        </w:rPr>
      </w:pPr>
      <w:r>
        <w:rPr>
          <w:rFonts w:ascii="Arial" w:cs="Arial" w:eastAsia="Arial" w:hAnsi="Arial"/>
          <w:sz w:val="17"/>
          <w:szCs w:val="17"/>
          <w:color w:val="auto"/>
        </w:rPr>
        <w:t>When executing the Lease Agreement, Party B has been made aware of the current public safety and fire safety condition of the leased premises’ public areas and relevant emergency exits, and has accepted the condition as is. If any subsequent events occur during the lease period that causes the current building to endanger the safety and health of the occupants or if any conditions impose a critical threat to occupants during an emergency evacuation, Party B may have grounds for early termination of the Lease Agreement. Otherwise, Party B shall continue to fulfill its obligation as specified in Article 15, Section 1 of the Lease Agreement.</w:t>
      </w:r>
    </w:p>
    <w:p>
      <w:pPr>
        <w:sectPr>
          <w:pgSz w:w="11900" w:h="16838" w:orient="portrait"/>
          <w:cols w:equalWidth="0" w:num="1">
            <w:col w:w="11420"/>
          </w:cols>
          <w:pgMar w:left="240" w:top="337" w:right="239" w:bottom="0" w:gutter="0" w:footer="0" w:header="0"/>
        </w:sectPr>
      </w:pPr>
    </w:p>
    <w:bookmarkStart w:id="379" w:name="page380"/>
    <w:bookmarkEnd w:id="379"/>
    <w:p>
      <w:pPr>
        <w:spacing w:after="0" w:line="120"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b w:val="1"/>
          <w:bCs w:val="1"/>
          <w:color w:val="auto"/>
        </w:rPr>
        <w:t xml:space="preserve">IX. ABANDONMENT OF INTEREST: </w:t>
      </w:r>
      <w:r>
        <w:rPr>
          <w:rFonts w:ascii="Arial" w:cs="Arial" w:eastAsia="Arial" w:hAnsi="Arial"/>
          <w:sz w:val="16"/>
          <w:szCs w:val="16"/>
          <w:color w:val="auto"/>
        </w:rPr>
        <w:t>During the lease period, if Party A decides to grant a security interest on the leased premises to a financial institution,</w:t>
      </w:r>
      <w:r>
        <w:rPr>
          <w:rFonts w:ascii="Arial" w:cs="Arial" w:eastAsia="Arial" w:hAnsi="Arial"/>
          <w:sz w:val="16"/>
          <w:szCs w:val="16"/>
          <w:b w:val="1"/>
          <w:bCs w:val="1"/>
          <w:color w:val="auto"/>
        </w:rPr>
        <w:t xml:space="preserve"> </w:t>
      </w:r>
      <w:r>
        <w:rPr>
          <w:rFonts w:ascii="Arial" w:cs="Arial" w:eastAsia="Arial" w:hAnsi="Arial"/>
          <w:sz w:val="16"/>
          <w:szCs w:val="16"/>
          <w:color w:val="auto"/>
        </w:rPr>
        <w:t>Party B shall agree to abandon its interest as a lessee of the leased premises if the security interest holder decides to exercise its interest and early terminates the Lease Agreement. Any losses incurred by Party B (including relocation fee and equipment scrape value) will be borne by Party A. Party A</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shall compensate Party B for the losses (the aforesaid equipment scrape value refers to the value left from the book value of the equipment deducting the accumulated depreciation). At the same time, Party A shall return the security deposit without interest and all the remaining pre-dated checks received for purpose of rent payment to Party B.</w:t>
      </w:r>
    </w:p>
    <w:p>
      <w:pPr>
        <w:spacing w:after="0" w:line="166" w:lineRule="exact"/>
        <w:rPr>
          <w:sz w:val="20"/>
          <w:szCs w:val="20"/>
          <w:color w:val="auto"/>
        </w:rPr>
      </w:pPr>
    </w:p>
    <w:p>
      <w:pPr>
        <w:ind w:left="220" w:hanging="215"/>
        <w:spacing w:after="0"/>
        <w:tabs>
          <w:tab w:leader="none" w:pos="220" w:val="left"/>
        </w:tabs>
        <w:numPr>
          <w:ilvl w:val="0"/>
          <w:numId w:val="589"/>
        </w:numPr>
        <w:rPr>
          <w:rFonts w:ascii="Arial" w:cs="Arial" w:eastAsia="Arial" w:hAnsi="Arial"/>
          <w:sz w:val="17"/>
          <w:szCs w:val="17"/>
          <w:b w:val="1"/>
          <w:bCs w:val="1"/>
          <w:color w:val="auto"/>
        </w:rPr>
      </w:pPr>
      <w:r>
        <w:rPr>
          <w:rFonts w:ascii="Arial" w:cs="Arial" w:eastAsia="Arial" w:hAnsi="Arial"/>
          <w:sz w:val="17"/>
          <w:szCs w:val="17"/>
          <w:b w:val="1"/>
          <w:bCs w:val="1"/>
          <w:color w:val="auto"/>
        </w:rPr>
        <w:t>TAXES:</w:t>
      </w:r>
    </w:p>
    <w:p>
      <w:pPr>
        <w:spacing w:after="0" w:line="230" w:lineRule="exact"/>
        <w:rPr>
          <w:rFonts w:ascii="Arial" w:cs="Arial" w:eastAsia="Arial" w:hAnsi="Arial"/>
          <w:sz w:val="17"/>
          <w:szCs w:val="17"/>
          <w:b w:val="1"/>
          <w:bCs w:val="1"/>
          <w:color w:val="auto"/>
        </w:rPr>
      </w:pPr>
    </w:p>
    <w:p>
      <w:pPr>
        <w:ind w:left="1120" w:hanging="423"/>
        <w:spacing w:after="0"/>
        <w:tabs>
          <w:tab w:leader="none" w:pos="1120" w:val="left"/>
        </w:tabs>
        <w:numPr>
          <w:ilvl w:val="1"/>
          <w:numId w:val="589"/>
        </w:numPr>
        <w:rPr>
          <w:rFonts w:ascii="Arial" w:cs="Arial" w:eastAsia="Arial" w:hAnsi="Arial"/>
          <w:sz w:val="17"/>
          <w:szCs w:val="17"/>
          <w:color w:val="auto"/>
        </w:rPr>
      </w:pPr>
      <w:r>
        <w:rPr>
          <w:rFonts w:ascii="Arial" w:cs="Arial" w:eastAsia="Arial" w:hAnsi="Arial"/>
          <w:sz w:val="17"/>
          <w:szCs w:val="17"/>
          <w:color w:val="auto"/>
        </w:rPr>
        <w:t>All land or property taxes shall be paid by Party A.</w:t>
      </w:r>
    </w:p>
    <w:p>
      <w:pPr>
        <w:spacing w:after="0" w:line="224" w:lineRule="exact"/>
        <w:rPr>
          <w:rFonts w:ascii="Arial" w:cs="Arial" w:eastAsia="Arial" w:hAnsi="Arial"/>
          <w:sz w:val="17"/>
          <w:szCs w:val="17"/>
          <w:color w:val="auto"/>
        </w:rPr>
      </w:pPr>
    </w:p>
    <w:p>
      <w:pPr>
        <w:ind w:left="1120" w:hanging="423"/>
        <w:spacing w:after="0"/>
        <w:tabs>
          <w:tab w:leader="none" w:pos="1120" w:val="left"/>
        </w:tabs>
        <w:numPr>
          <w:ilvl w:val="1"/>
          <w:numId w:val="589"/>
        </w:numPr>
        <w:rPr>
          <w:rFonts w:ascii="Arial" w:cs="Arial" w:eastAsia="Arial" w:hAnsi="Arial"/>
          <w:sz w:val="17"/>
          <w:szCs w:val="17"/>
          <w:color w:val="auto"/>
        </w:rPr>
      </w:pPr>
      <w:r>
        <w:rPr>
          <w:rFonts w:ascii="Arial" w:cs="Arial" w:eastAsia="Arial" w:hAnsi="Arial"/>
          <w:sz w:val="17"/>
          <w:szCs w:val="17"/>
          <w:color w:val="auto"/>
        </w:rPr>
        <w:t>Any utilities fees incurred during the renovation or improvement during the Rent Exemption Period shall be paid by Party B.</w:t>
      </w:r>
    </w:p>
    <w:p>
      <w:pPr>
        <w:spacing w:after="0" w:line="224" w:lineRule="exact"/>
        <w:rPr>
          <w:rFonts w:ascii="Arial" w:cs="Arial" w:eastAsia="Arial" w:hAnsi="Arial"/>
          <w:sz w:val="17"/>
          <w:szCs w:val="17"/>
          <w:color w:val="auto"/>
        </w:rPr>
      </w:pPr>
    </w:p>
    <w:p>
      <w:pPr>
        <w:ind w:left="1140" w:hanging="443"/>
        <w:spacing w:after="0" w:line="263" w:lineRule="auto"/>
        <w:tabs>
          <w:tab w:leader="none" w:pos="1132" w:val="left"/>
        </w:tabs>
        <w:numPr>
          <w:ilvl w:val="1"/>
          <w:numId w:val="589"/>
        </w:numPr>
        <w:rPr>
          <w:rFonts w:ascii="Arial" w:cs="Arial" w:eastAsia="Arial" w:hAnsi="Arial"/>
          <w:sz w:val="17"/>
          <w:szCs w:val="17"/>
          <w:color w:val="auto"/>
        </w:rPr>
      </w:pPr>
      <w:r>
        <w:rPr>
          <w:rFonts w:ascii="Arial" w:cs="Arial" w:eastAsia="Arial" w:hAnsi="Arial"/>
          <w:sz w:val="17"/>
          <w:szCs w:val="17"/>
          <w:color w:val="auto"/>
        </w:rPr>
        <w:t>The building administrative fee and parking space cleaning fee incurred during the leased period, including the period in which rent was exempted as specified in this Lease Agreement shall be paid by Party B. These fees shall be collected by Party A to be paid to the building’s administrative committee. According to current resident regulations, the monthly building administrative fee is 45 NT Dollars per ping and the parking space cleaning fee is 350 NT Dollars per space. The said leased premises will incur a monthly building administrative fee of 38,269 NT Dollars and monthly parking space cleaning fee of 2,100 NT Dollars, totaling 40,369 NT Dollars per month, subject to any adjustment. Any overpayment will be refunded to Party B and any deficiency will be paid by Party B.</w:t>
      </w:r>
    </w:p>
    <w:p>
      <w:pPr>
        <w:spacing w:after="0" w:line="183" w:lineRule="exact"/>
        <w:rPr>
          <w:rFonts w:ascii="Arial" w:cs="Arial" w:eastAsia="Arial" w:hAnsi="Arial"/>
          <w:sz w:val="17"/>
          <w:szCs w:val="17"/>
          <w:color w:val="auto"/>
        </w:rPr>
      </w:pPr>
    </w:p>
    <w:p>
      <w:pPr>
        <w:ind w:left="1140" w:hanging="443"/>
        <w:spacing w:after="0" w:line="263" w:lineRule="auto"/>
        <w:tabs>
          <w:tab w:leader="none" w:pos="1132" w:val="left"/>
        </w:tabs>
        <w:numPr>
          <w:ilvl w:val="1"/>
          <w:numId w:val="589"/>
        </w:numPr>
        <w:rPr>
          <w:rFonts w:ascii="Arial" w:cs="Arial" w:eastAsia="Arial" w:hAnsi="Arial"/>
          <w:sz w:val="17"/>
          <w:szCs w:val="17"/>
          <w:color w:val="auto"/>
        </w:rPr>
      </w:pPr>
      <w:r>
        <w:rPr>
          <w:rFonts w:ascii="Arial" w:cs="Arial" w:eastAsia="Arial" w:hAnsi="Arial"/>
          <w:sz w:val="17"/>
          <w:szCs w:val="17"/>
          <w:color w:val="auto"/>
        </w:rPr>
        <w:t>According to the building administrative fee and parking space cleaning fee prescribed in the preceding paragraph, Party B shall upon the execution of the Lease Agreement, issue pre-dated checks for all fees payable on the beginning day of each monthly period during the lease period and deliver them to Party A. After cashing the checks each month, Party A will pay the aforesaid fees to the administrative committee for Party B and use the receipt issued by the administrative committee as the evidence of Party B’s payment of the building administrative fee and parking space cleaning fee. In the event that Party B fails to provide the aforesaid checks to Party A or the pre-dated checks bounce, the Lease Agreement will be deemed terminated.</w:t>
      </w:r>
    </w:p>
    <w:p>
      <w:pPr>
        <w:spacing w:after="0" w:line="183" w:lineRule="exact"/>
        <w:rPr>
          <w:rFonts w:ascii="Arial" w:cs="Arial" w:eastAsia="Arial" w:hAnsi="Arial"/>
          <w:sz w:val="17"/>
          <w:szCs w:val="17"/>
          <w:color w:val="auto"/>
        </w:rPr>
      </w:pPr>
    </w:p>
    <w:p>
      <w:pPr>
        <w:ind w:left="1120" w:hanging="423"/>
        <w:spacing w:after="0"/>
        <w:tabs>
          <w:tab w:leader="none" w:pos="1120" w:val="left"/>
        </w:tabs>
        <w:numPr>
          <w:ilvl w:val="1"/>
          <w:numId w:val="589"/>
        </w:numPr>
        <w:rPr>
          <w:rFonts w:ascii="Arial" w:cs="Arial" w:eastAsia="Arial" w:hAnsi="Arial"/>
          <w:sz w:val="17"/>
          <w:szCs w:val="17"/>
          <w:color w:val="auto"/>
        </w:rPr>
      </w:pPr>
      <w:r>
        <w:rPr>
          <w:rFonts w:ascii="Arial" w:cs="Arial" w:eastAsia="Arial" w:hAnsi="Arial"/>
          <w:sz w:val="17"/>
          <w:szCs w:val="17"/>
          <w:color w:val="auto"/>
        </w:rPr>
        <w:t>Any administrative expenses and business taxes incurred from Party B’s business operation shall be paid by Party B.</w:t>
      </w:r>
    </w:p>
    <w:p>
      <w:pPr>
        <w:spacing w:after="0" w:line="224" w:lineRule="exact"/>
        <w:rPr>
          <w:rFonts w:ascii="Arial" w:cs="Arial" w:eastAsia="Arial" w:hAnsi="Arial"/>
          <w:sz w:val="17"/>
          <w:szCs w:val="17"/>
          <w:color w:val="auto"/>
        </w:rPr>
      </w:pPr>
    </w:p>
    <w:p>
      <w:pPr>
        <w:ind w:left="1120" w:hanging="423"/>
        <w:spacing w:after="0"/>
        <w:tabs>
          <w:tab w:leader="none" w:pos="1120" w:val="left"/>
        </w:tabs>
        <w:numPr>
          <w:ilvl w:val="1"/>
          <w:numId w:val="589"/>
        </w:numPr>
        <w:rPr>
          <w:rFonts w:ascii="Arial" w:cs="Arial" w:eastAsia="Arial" w:hAnsi="Arial"/>
          <w:sz w:val="17"/>
          <w:szCs w:val="17"/>
          <w:color w:val="auto"/>
        </w:rPr>
      </w:pPr>
      <w:r>
        <w:rPr>
          <w:rFonts w:ascii="Arial" w:cs="Arial" w:eastAsia="Arial" w:hAnsi="Arial"/>
          <w:sz w:val="17"/>
          <w:szCs w:val="17"/>
          <w:color w:val="auto"/>
        </w:rPr>
        <w:t>Party A shall carry fire insurance for the building of the leased premises whereas Party B shall purchase fire insurance on its own for any</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improvements and business equipment within the leased premises.</w:t>
      </w:r>
    </w:p>
    <w:p>
      <w:pPr>
        <w:spacing w:after="0" w:line="224" w:lineRule="exact"/>
        <w:rPr>
          <w:sz w:val="20"/>
          <w:szCs w:val="20"/>
          <w:color w:val="auto"/>
        </w:rPr>
      </w:pPr>
    </w:p>
    <w:p>
      <w:pPr>
        <w:ind w:left="1140" w:right="480" w:hanging="443"/>
        <w:spacing w:after="0" w:line="322" w:lineRule="auto"/>
        <w:tabs>
          <w:tab w:leader="none" w:pos="1132" w:val="left"/>
        </w:tabs>
        <w:numPr>
          <w:ilvl w:val="0"/>
          <w:numId w:val="590"/>
        </w:numPr>
        <w:rPr>
          <w:rFonts w:ascii="Arial" w:cs="Arial" w:eastAsia="Arial" w:hAnsi="Arial"/>
          <w:sz w:val="16"/>
          <w:szCs w:val="16"/>
          <w:color w:val="auto"/>
        </w:rPr>
      </w:pPr>
      <w:r>
        <w:rPr>
          <w:rFonts w:ascii="Arial" w:cs="Arial" w:eastAsia="Arial" w:hAnsi="Arial"/>
          <w:sz w:val="16"/>
          <w:szCs w:val="16"/>
          <w:color w:val="auto"/>
        </w:rPr>
        <w:t>If the nature of Party B’s business requires Party B to purchase accident liability insurance under the law, which results in an increase of fire insurance premium for other tenants, Party B shall reimburse all affected tenants of the amount in premium increase.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XI. EQUIPMENT IMPROVEMENT:</w:t>
      </w:r>
    </w:p>
    <w:p>
      <w:pPr>
        <w:spacing w:after="0" w:line="230" w:lineRule="exact"/>
        <w:rPr>
          <w:sz w:val="20"/>
          <w:szCs w:val="20"/>
          <w:color w:val="auto"/>
        </w:rPr>
      </w:pPr>
    </w:p>
    <w:p>
      <w:pPr>
        <w:ind w:left="1140" w:right="620" w:hanging="443"/>
        <w:spacing w:after="0" w:line="326" w:lineRule="auto"/>
        <w:tabs>
          <w:tab w:leader="none" w:pos="1132" w:val="left"/>
        </w:tabs>
        <w:numPr>
          <w:ilvl w:val="0"/>
          <w:numId w:val="591"/>
        </w:numPr>
        <w:rPr>
          <w:rFonts w:ascii="Arial" w:cs="Arial" w:eastAsia="Arial" w:hAnsi="Arial"/>
          <w:sz w:val="15"/>
          <w:szCs w:val="15"/>
          <w:color w:val="auto"/>
        </w:rPr>
      </w:pPr>
      <w:r>
        <w:rPr>
          <w:rFonts w:ascii="Arial" w:cs="Arial" w:eastAsia="Arial" w:hAnsi="Arial"/>
          <w:sz w:val="15"/>
          <w:szCs w:val="15"/>
          <w:color w:val="auto"/>
        </w:rPr>
        <w:t>Any fumes, exhaust gas and sewage produced from Party B’s business operations shall be filtered and disposed by Party B before being discharged. The discharge shall meet the standards prescribed by environmental protection regulations. In the event the discharge creates pollution to the building, Party B shall be responsible for any cleanup to maintain the environmental quality of the business park.</w:t>
      </w:r>
    </w:p>
    <w:p>
      <w:pPr>
        <w:spacing w:after="0" w:line="136" w:lineRule="exact"/>
        <w:rPr>
          <w:rFonts w:ascii="Arial" w:cs="Arial" w:eastAsia="Arial" w:hAnsi="Arial"/>
          <w:sz w:val="15"/>
          <w:szCs w:val="15"/>
          <w:color w:val="auto"/>
        </w:rPr>
      </w:pPr>
    </w:p>
    <w:p>
      <w:pPr>
        <w:ind w:left="1120" w:hanging="423"/>
        <w:spacing w:after="0"/>
        <w:tabs>
          <w:tab w:leader="none" w:pos="1120" w:val="left"/>
        </w:tabs>
        <w:numPr>
          <w:ilvl w:val="0"/>
          <w:numId w:val="591"/>
        </w:numPr>
        <w:rPr>
          <w:rFonts w:ascii="Arial" w:cs="Arial" w:eastAsia="Arial" w:hAnsi="Arial"/>
          <w:sz w:val="15"/>
          <w:szCs w:val="15"/>
          <w:color w:val="auto"/>
        </w:rPr>
      </w:pPr>
      <w:r>
        <w:rPr>
          <w:rFonts w:ascii="Arial" w:cs="Arial" w:eastAsia="Arial" w:hAnsi="Arial"/>
          <w:sz w:val="15"/>
          <w:szCs w:val="15"/>
          <w:color w:val="auto"/>
        </w:rPr>
        <w:t>The fire safety and other related preventive equipment required by Party B in its business operations shall be purchased, and installed by Party B.</w:t>
      </w:r>
    </w:p>
    <w:p>
      <w:pPr>
        <w:spacing w:after="0" w:line="24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b w:val="1"/>
          <w:bCs w:val="1"/>
          <w:color w:val="auto"/>
        </w:rPr>
        <w:t xml:space="preserve">XII. PUBLIC SAFETY INSPECTION, CERTIFICATION AND DECLARATION: </w:t>
      </w:r>
      <w:r>
        <w:rPr>
          <w:rFonts w:ascii="Arial" w:cs="Arial" w:eastAsia="Arial" w:hAnsi="Arial"/>
          <w:sz w:val="16"/>
          <w:szCs w:val="16"/>
          <w:color w:val="auto"/>
        </w:rPr>
        <w:t>Party B shall allow for any public safety inspection, certification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declaration for the exclusive part of the leased premises in accordance with the “Regulations for Inspecting and Reporting Buildings Public Security” during the lease period at its own expense. If any process requires Party A to provide any certification or documents, Party A shall be cooperative in providing all necessary documentation. In the event that Party B fails to comply with any required regulations or declarations, Party B shall be responsible for all the related liabilities.</w:t>
      </w:r>
    </w:p>
    <w:p>
      <w:pPr>
        <w:spacing w:after="0" w:line="153"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XIII. FIRE SAFETY EQUIPMENT INSPECTION, REPAIR AND DECLARATION: </w:t>
      </w:r>
      <w:r>
        <w:rPr>
          <w:rFonts w:ascii="Arial" w:cs="Arial" w:eastAsia="Arial" w:hAnsi="Arial"/>
          <w:sz w:val="17"/>
          <w:szCs w:val="17"/>
          <w:color w:val="auto"/>
        </w:rPr>
        <w:t>Party B shall perform periodical inspections, repairs and declarations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public fire safety equipment for the exclusive part of the leased premises in accordance with the “Standards for Fire Safety Equipment Inspection, Repair and Declaration at a Variety of Sites” during the leased period at its expense. In the case that Party B does not perform the inspection and repair in due time, or the inspection/repair result does not comply with the regulations, Party B shall be responsible for all the related liabilities.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XIV. DEFAULT PANALTIES:</w:t>
      </w:r>
    </w:p>
    <w:p>
      <w:pPr>
        <w:spacing w:after="0" w:line="230" w:lineRule="exact"/>
        <w:rPr>
          <w:sz w:val="20"/>
          <w:szCs w:val="20"/>
          <w:color w:val="auto"/>
        </w:rPr>
      </w:pPr>
    </w:p>
    <w:p>
      <w:pPr>
        <w:ind w:left="1140" w:right="300" w:hanging="443"/>
        <w:spacing w:after="0" w:line="289" w:lineRule="auto"/>
        <w:tabs>
          <w:tab w:leader="none" w:pos="1132" w:val="left"/>
        </w:tabs>
        <w:numPr>
          <w:ilvl w:val="0"/>
          <w:numId w:val="592"/>
        </w:numPr>
        <w:rPr>
          <w:rFonts w:ascii="Arial" w:cs="Arial" w:eastAsia="Arial" w:hAnsi="Arial"/>
          <w:sz w:val="17"/>
          <w:szCs w:val="17"/>
          <w:color w:val="auto"/>
        </w:rPr>
      </w:pPr>
      <w:r>
        <w:rPr>
          <w:rFonts w:ascii="Arial" w:cs="Arial" w:eastAsia="Arial" w:hAnsi="Arial"/>
          <w:sz w:val="17"/>
          <w:szCs w:val="17"/>
          <w:color w:val="auto"/>
        </w:rPr>
        <w:t>In the event that either party violates the Lease Agreement and still fails to fulfill the Lease Agreement within the time limit after receiving the demand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right="100"/>
        <w:spacing w:after="0" w:line="273" w:lineRule="auto"/>
        <w:rPr>
          <w:sz w:val="20"/>
          <w:szCs w:val="20"/>
          <w:color w:val="auto"/>
        </w:rPr>
      </w:pPr>
      <w:r>
        <w:rPr>
          <w:rFonts w:ascii="Arial" w:cs="Arial" w:eastAsia="Arial" w:hAnsi="Arial"/>
          <w:sz w:val="17"/>
          <w:szCs w:val="17"/>
          <w:color w:val="auto"/>
        </w:rPr>
        <w:t>notice from the other party, the non-violating party may terminate the Lease Agreement. In addition to paying an amount equivalent to three months of the rental to the non-violating party as the default fine, the violating party shall also compensate the non-violating party for all of other resulting losses.</w:t>
      </w:r>
    </w:p>
    <w:p>
      <w:pPr>
        <w:spacing w:after="0" w:line="172" w:lineRule="exact"/>
        <w:rPr>
          <w:sz w:val="20"/>
          <w:szCs w:val="20"/>
          <w:color w:val="auto"/>
        </w:rPr>
      </w:pPr>
    </w:p>
    <w:p>
      <w:pPr>
        <w:ind w:left="1140" w:right="40" w:hanging="443"/>
        <w:spacing w:after="0" w:line="322" w:lineRule="auto"/>
        <w:tabs>
          <w:tab w:leader="none" w:pos="1132" w:val="left"/>
        </w:tabs>
        <w:numPr>
          <w:ilvl w:val="0"/>
          <w:numId w:val="593"/>
        </w:numPr>
        <w:rPr>
          <w:rFonts w:ascii="Arial" w:cs="Arial" w:eastAsia="Arial" w:hAnsi="Arial"/>
          <w:sz w:val="16"/>
          <w:szCs w:val="16"/>
          <w:color w:val="auto"/>
        </w:rPr>
      </w:pPr>
      <w:r>
        <w:rPr>
          <w:rFonts w:ascii="Arial" w:cs="Arial" w:eastAsia="Arial" w:hAnsi="Arial"/>
          <w:sz w:val="16"/>
          <w:szCs w:val="16"/>
          <w:color w:val="auto"/>
        </w:rPr>
        <w:t>In the case that the leased premises have been damaged and unusable, the Lease Agreement shall be ipso facto terminated. If the cause of damage is attributable to Party B, Party B shall pay the default fine and compensate for the damage as prescribed by the preceding paragraph.</w:t>
      </w:r>
    </w:p>
    <w:p>
      <w:pPr>
        <w:sectPr>
          <w:pgSz w:w="11900" w:h="16958" w:orient="portrait"/>
          <w:cols w:equalWidth="0" w:num="1">
            <w:col w:w="11400"/>
          </w:cols>
          <w:pgMar w:left="240" w:top="121" w:right="259" w:bottom="0" w:gutter="0" w:footer="0" w:header="0"/>
        </w:sectPr>
      </w:pPr>
    </w:p>
    <w:bookmarkStart w:id="380" w:name="page381"/>
    <w:bookmarkEnd w:id="380"/>
    <w:p>
      <w:pPr>
        <w:ind w:left="1140" w:hanging="443"/>
        <w:spacing w:after="0" w:line="326" w:lineRule="auto"/>
        <w:tabs>
          <w:tab w:leader="none" w:pos="1132" w:val="left"/>
        </w:tabs>
        <w:numPr>
          <w:ilvl w:val="0"/>
          <w:numId w:val="594"/>
        </w:numPr>
        <w:rPr>
          <w:rFonts w:ascii="Arial" w:cs="Arial" w:eastAsia="Arial" w:hAnsi="Arial"/>
          <w:sz w:val="15"/>
          <w:szCs w:val="15"/>
          <w:color w:val="auto"/>
        </w:rPr>
      </w:pPr>
      <w:r>
        <w:rPr>
          <w:rFonts w:ascii="Arial" w:cs="Arial" w:eastAsia="Arial" w:hAnsi="Arial"/>
          <w:sz w:val="15"/>
          <w:szCs w:val="15"/>
          <w:color w:val="auto"/>
        </w:rPr>
        <w:t>In the event that Party B refuses to return the leased premises after the lease expires or the Lease Agreement is terminated, it shall pay Party A a punitive default fine calculated on a daily basis by doubling the daily rental of the last month before expiration of the lease and termination of the Lease Agreement from the day following expiration of the lease or termination of the Lease Agreement until the day returning the leased premises.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XV. EARLY TERMINATION SPECIAL CLAUSES:</w:t>
      </w:r>
    </w:p>
    <w:p>
      <w:pPr>
        <w:spacing w:after="0" w:line="230" w:lineRule="exact"/>
        <w:rPr>
          <w:sz w:val="20"/>
          <w:szCs w:val="20"/>
          <w:color w:val="auto"/>
        </w:rPr>
      </w:pPr>
    </w:p>
    <w:p>
      <w:pPr>
        <w:ind w:left="1140" w:right="60" w:hanging="443"/>
        <w:spacing w:after="0" w:line="289" w:lineRule="auto"/>
        <w:tabs>
          <w:tab w:leader="none" w:pos="1132" w:val="left"/>
        </w:tabs>
        <w:numPr>
          <w:ilvl w:val="0"/>
          <w:numId w:val="595"/>
        </w:numPr>
        <w:rPr>
          <w:rFonts w:ascii="Arial" w:cs="Arial" w:eastAsia="Arial" w:hAnsi="Arial"/>
          <w:sz w:val="17"/>
          <w:szCs w:val="17"/>
          <w:color w:val="auto"/>
        </w:rPr>
      </w:pPr>
      <w:r>
        <w:rPr>
          <w:rFonts w:ascii="Arial" w:cs="Arial" w:eastAsia="Arial" w:hAnsi="Arial"/>
          <w:sz w:val="17"/>
          <w:szCs w:val="17"/>
          <w:color w:val="auto"/>
        </w:rPr>
        <w:t>If any party wishes to terminate the Lease Agreement prior to expiration of the Lease Agreement, the terminating party shall notify the other party in writing three months in advance. Unless otherwise specified in the Lease Agreement, both parties agree to the following:</w:t>
      </w:r>
    </w:p>
    <w:p>
      <w:pPr>
        <w:spacing w:after="0" w:line="158" w:lineRule="exact"/>
        <w:rPr>
          <w:rFonts w:ascii="Arial" w:cs="Arial" w:eastAsia="Arial" w:hAnsi="Arial"/>
          <w:sz w:val="17"/>
          <w:szCs w:val="17"/>
          <w:color w:val="auto"/>
        </w:rPr>
      </w:pPr>
    </w:p>
    <w:p>
      <w:pPr>
        <w:ind w:left="1380" w:hanging="243"/>
        <w:spacing w:after="0"/>
        <w:tabs>
          <w:tab w:leader="none" w:pos="1380" w:val="left"/>
        </w:tabs>
        <w:numPr>
          <w:ilvl w:val="1"/>
          <w:numId w:val="595"/>
        </w:numPr>
        <w:rPr>
          <w:rFonts w:ascii="Arial" w:cs="Arial" w:eastAsia="Arial" w:hAnsi="Arial"/>
          <w:sz w:val="17"/>
          <w:szCs w:val="17"/>
          <w:color w:val="auto"/>
        </w:rPr>
      </w:pPr>
      <w:r>
        <w:rPr>
          <w:rFonts w:ascii="Arial" w:cs="Arial" w:eastAsia="Arial" w:hAnsi="Arial"/>
          <w:sz w:val="17"/>
          <w:szCs w:val="17"/>
          <w:color w:val="auto"/>
        </w:rPr>
        <w:t>If the early termination is proposed by Party B:</w:t>
      </w:r>
    </w:p>
    <w:p>
      <w:pPr>
        <w:spacing w:after="0" w:line="224" w:lineRule="exact"/>
        <w:rPr>
          <w:rFonts w:ascii="Arial" w:cs="Arial" w:eastAsia="Arial" w:hAnsi="Arial"/>
          <w:sz w:val="17"/>
          <w:szCs w:val="17"/>
          <w:color w:val="auto"/>
        </w:rPr>
      </w:pPr>
    </w:p>
    <w:p>
      <w:pPr>
        <w:ind w:left="1620" w:right="200" w:hanging="231"/>
        <w:spacing w:after="0" w:line="289" w:lineRule="auto"/>
        <w:tabs>
          <w:tab w:leader="none" w:pos="1604" w:val="left"/>
        </w:tabs>
        <w:numPr>
          <w:ilvl w:val="2"/>
          <w:numId w:val="595"/>
        </w:numPr>
        <w:rPr>
          <w:rFonts w:ascii="Arial" w:cs="Arial" w:eastAsia="Arial" w:hAnsi="Arial"/>
          <w:sz w:val="17"/>
          <w:szCs w:val="17"/>
          <w:color w:val="auto"/>
        </w:rPr>
      </w:pPr>
      <w:r>
        <w:rPr>
          <w:rFonts w:ascii="Arial" w:cs="Arial" w:eastAsia="Arial" w:hAnsi="Arial"/>
          <w:sz w:val="17"/>
          <w:szCs w:val="17"/>
          <w:color w:val="auto"/>
        </w:rPr>
        <w:t>Party B shall pay all rent and expenses for the period occupied. Party A will be entitled to keep the security deposit as the fee for default. However, Party A shall return any pre-dated checks for any unaccrued rental period to Party B.</w:t>
      </w:r>
    </w:p>
    <w:p>
      <w:pPr>
        <w:spacing w:after="0" w:line="158" w:lineRule="exact"/>
        <w:rPr>
          <w:rFonts w:ascii="Arial" w:cs="Arial" w:eastAsia="Arial" w:hAnsi="Arial"/>
          <w:sz w:val="17"/>
          <w:szCs w:val="17"/>
          <w:color w:val="auto"/>
        </w:rPr>
      </w:pPr>
    </w:p>
    <w:p>
      <w:pPr>
        <w:ind w:left="1620" w:right="320" w:hanging="231"/>
        <w:spacing w:after="0" w:line="289" w:lineRule="auto"/>
        <w:tabs>
          <w:tab w:leader="none" w:pos="1652" w:val="left"/>
        </w:tabs>
        <w:numPr>
          <w:ilvl w:val="2"/>
          <w:numId w:val="595"/>
        </w:numPr>
        <w:rPr>
          <w:rFonts w:ascii="Arial" w:cs="Arial" w:eastAsia="Arial" w:hAnsi="Arial"/>
          <w:sz w:val="17"/>
          <w:szCs w:val="17"/>
          <w:color w:val="auto"/>
        </w:rPr>
      </w:pPr>
      <w:r>
        <w:rPr>
          <w:rFonts w:ascii="Arial" w:cs="Arial" w:eastAsia="Arial" w:hAnsi="Arial"/>
          <w:sz w:val="17"/>
          <w:szCs w:val="17"/>
          <w:color w:val="auto"/>
        </w:rPr>
        <w:t>Party B shall forfeit its right to waiver of rent during the Rent Exemption Period as stipulated in Paragraph 5 of Article 4, and shall pay Party A rent for the Rental Exemption Period.</w:t>
      </w:r>
    </w:p>
    <w:p>
      <w:pPr>
        <w:spacing w:after="0" w:line="158" w:lineRule="exact"/>
        <w:rPr>
          <w:rFonts w:ascii="Arial" w:cs="Arial" w:eastAsia="Arial" w:hAnsi="Arial"/>
          <w:sz w:val="17"/>
          <w:szCs w:val="17"/>
          <w:color w:val="auto"/>
        </w:rPr>
      </w:pPr>
    </w:p>
    <w:p>
      <w:pPr>
        <w:ind w:left="1380" w:hanging="243"/>
        <w:spacing w:after="0"/>
        <w:tabs>
          <w:tab w:leader="none" w:pos="1380" w:val="left"/>
        </w:tabs>
        <w:numPr>
          <w:ilvl w:val="1"/>
          <w:numId w:val="595"/>
        </w:numPr>
        <w:rPr>
          <w:rFonts w:ascii="Arial" w:cs="Arial" w:eastAsia="Arial" w:hAnsi="Arial"/>
          <w:sz w:val="17"/>
          <w:szCs w:val="17"/>
          <w:color w:val="auto"/>
        </w:rPr>
      </w:pPr>
      <w:r>
        <w:rPr>
          <w:rFonts w:ascii="Arial" w:cs="Arial" w:eastAsia="Arial" w:hAnsi="Arial"/>
          <w:sz w:val="17"/>
          <w:szCs w:val="17"/>
          <w:color w:val="auto"/>
        </w:rPr>
        <w:t>If the early termination is proposed by Party A:</w:t>
      </w:r>
    </w:p>
    <w:p>
      <w:pPr>
        <w:spacing w:after="0" w:line="224" w:lineRule="exact"/>
        <w:rPr>
          <w:rFonts w:ascii="Arial" w:cs="Arial" w:eastAsia="Arial" w:hAnsi="Arial"/>
          <w:sz w:val="17"/>
          <w:szCs w:val="17"/>
          <w:color w:val="auto"/>
        </w:rPr>
      </w:pPr>
    </w:p>
    <w:p>
      <w:pPr>
        <w:ind w:left="1620" w:right="160" w:hanging="231"/>
        <w:spacing w:after="0" w:line="289" w:lineRule="auto"/>
        <w:tabs>
          <w:tab w:leader="none" w:pos="1604" w:val="left"/>
        </w:tabs>
        <w:numPr>
          <w:ilvl w:val="2"/>
          <w:numId w:val="595"/>
        </w:numPr>
        <w:rPr>
          <w:rFonts w:ascii="Arial" w:cs="Arial" w:eastAsia="Arial" w:hAnsi="Arial"/>
          <w:sz w:val="17"/>
          <w:szCs w:val="17"/>
          <w:color w:val="auto"/>
        </w:rPr>
      </w:pPr>
      <w:r>
        <w:rPr>
          <w:rFonts w:ascii="Arial" w:cs="Arial" w:eastAsia="Arial" w:hAnsi="Arial"/>
          <w:sz w:val="17"/>
          <w:szCs w:val="17"/>
          <w:color w:val="auto"/>
        </w:rPr>
        <w:t>Party A shall return the security deposit to Party B when Party B vacates the leased premises. In addition, Party A shall also pay a default fine equal to two times the security deposit to Party B as compensation.</w:t>
      </w:r>
    </w:p>
    <w:p>
      <w:pPr>
        <w:spacing w:after="0" w:line="158" w:lineRule="exact"/>
        <w:rPr>
          <w:rFonts w:ascii="Arial" w:cs="Arial" w:eastAsia="Arial" w:hAnsi="Arial"/>
          <w:sz w:val="17"/>
          <w:szCs w:val="17"/>
          <w:color w:val="auto"/>
        </w:rPr>
      </w:pPr>
    </w:p>
    <w:p>
      <w:pPr>
        <w:ind w:left="1620" w:hanging="231"/>
        <w:spacing w:after="0"/>
        <w:tabs>
          <w:tab w:leader="none" w:pos="1620" w:val="left"/>
        </w:tabs>
        <w:numPr>
          <w:ilvl w:val="2"/>
          <w:numId w:val="595"/>
        </w:numPr>
        <w:rPr>
          <w:rFonts w:ascii="Arial" w:cs="Arial" w:eastAsia="Arial" w:hAnsi="Arial"/>
          <w:sz w:val="17"/>
          <w:szCs w:val="17"/>
          <w:color w:val="auto"/>
        </w:rPr>
      </w:pPr>
      <w:r>
        <w:rPr>
          <w:rFonts w:ascii="Arial" w:cs="Arial" w:eastAsia="Arial" w:hAnsi="Arial"/>
          <w:sz w:val="17"/>
          <w:szCs w:val="17"/>
          <w:color w:val="auto"/>
        </w:rPr>
        <w:t>When Party B vacates the leased premises, Party A shall return all</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remaining pre-dated checks for unaccrued rent to Party B.</w:t>
      </w:r>
    </w:p>
    <w:p>
      <w:pPr>
        <w:spacing w:after="0" w:line="224" w:lineRule="exact"/>
        <w:rPr>
          <w:sz w:val="20"/>
          <w:szCs w:val="20"/>
          <w:color w:val="auto"/>
        </w:rPr>
      </w:pPr>
    </w:p>
    <w:p>
      <w:pPr>
        <w:ind w:left="1140" w:right="200" w:hanging="443"/>
        <w:spacing w:after="0" w:line="285" w:lineRule="auto"/>
        <w:tabs>
          <w:tab w:leader="none" w:pos="1132" w:val="left"/>
        </w:tabs>
        <w:numPr>
          <w:ilvl w:val="0"/>
          <w:numId w:val="596"/>
        </w:numPr>
        <w:rPr>
          <w:rFonts w:ascii="Arial" w:cs="Arial" w:eastAsia="Arial" w:hAnsi="Arial"/>
          <w:sz w:val="16"/>
          <w:szCs w:val="16"/>
          <w:color w:val="auto"/>
        </w:rPr>
      </w:pPr>
      <w:r>
        <w:rPr>
          <w:rFonts w:ascii="Arial" w:cs="Arial" w:eastAsia="Arial" w:hAnsi="Arial"/>
          <w:sz w:val="16"/>
          <w:szCs w:val="16"/>
          <w:color w:val="auto"/>
        </w:rPr>
        <w:t>Prior to termination of the Lease Agreement, Party B shall comply with the Lease Agreement to pay for any rent, utilities, administrative fee, common area electric bill, air-conditioner utilization fee, parking space cleaning fee, gas fee, the fee to reissue truck access card (to replace the damaged or lost one), any expenses incurred to amend or register official business address and any expenses for restoring the premises to the original condition. On the other hand, Party A may exercise its right to directly deduct the amount required to be paid by Party B as specified in this Section from the security deposit in accordance with Section 1 — (1) and (2) of the Article.</w:t>
      </w:r>
    </w:p>
    <w:p>
      <w:pPr>
        <w:spacing w:after="0" w:line="166" w:lineRule="exact"/>
        <w:rPr>
          <w:rFonts w:ascii="Arial" w:cs="Arial" w:eastAsia="Arial" w:hAnsi="Arial"/>
          <w:sz w:val="16"/>
          <w:szCs w:val="16"/>
          <w:color w:val="auto"/>
        </w:rPr>
      </w:pPr>
    </w:p>
    <w:p>
      <w:pPr>
        <w:ind w:left="1140" w:right="160" w:hanging="443"/>
        <w:spacing w:after="0" w:line="289" w:lineRule="auto"/>
        <w:tabs>
          <w:tab w:leader="none" w:pos="1132" w:val="left"/>
        </w:tabs>
        <w:numPr>
          <w:ilvl w:val="0"/>
          <w:numId w:val="596"/>
        </w:numPr>
        <w:rPr>
          <w:rFonts w:ascii="Arial" w:cs="Arial" w:eastAsia="Arial" w:hAnsi="Arial"/>
          <w:sz w:val="17"/>
          <w:szCs w:val="17"/>
          <w:color w:val="auto"/>
        </w:rPr>
      </w:pPr>
      <w:r>
        <w:rPr>
          <w:rFonts w:ascii="Arial" w:cs="Arial" w:eastAsia="Arial" w:hAnsi="Arial"/>
          <w:sz w:val="17"/>
          <w:szCs w:val="17"/>
          <w:color w:val="auto"/>
        </w:rPr>
        <w:t>Unless otherwise specified in the Lease Agreement, either party shall not request the other party to provide any additional subsidy, compensation or payments of any kind.</w:t>
      </w:r>
    </w:p>
    <w:p>
      <w:pPr>
        <w:spacing w:after="0" w:line="152"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b w:val="1"/>
          <w:bCs w:val="1"/>
          <w:color w:val="auto"/>
        </w:rPr>
        <w:t xml:space="preserve">XVI. SPECIAL CLAUSES FOR MAINTENANCE AND REPAIR OF AIR CONDITIONING EQUIPMENT: </w:t>
      </w:r>
      <w:r>
        <w:rPr>
          <w:rFonts w:ascii="Arial" w:cs="Arial" w:eastAsia="Arial" w:hAnsi="Arial"/>
          <w:sz w:val="17"/>
          <w:szCs w:val="17"/>
          <w:color w:val="auto"/>
        </w:rPr>
        <w:t>During the lease period, Party A shall hire</w:t>
      </w:r>
      <w:r>
        <w:rPr>
          <w:rFonts w:ascii="Arial" w:cs="Arial" w:eastAsia="Arial" w:hAnsi="Arial"/>
          <w:sz w:val="17"/>
          <w:szCs w:val="17"/>
          <w:b w:val="1"/>
          <w:bCs w:val="1"/>
          <w:color w:val="auto"/>
        </w:rPr>
        <w:t xml:space="preserve"> </w:t>
      </w:r>
      <w:r>
        <w:rPr>
          <w:rFonts w:ascii="Arial" w:cs="Arial" w:eastAsia="Arial" w:hAnsi="Arial"/>
          <w:sz w:val="17"/>
          <w:szCs w:val="17"/>
          <w:color w:val="auto"/>
        </w:rPr>
        <w:t>workers to periodically maintain and repair the air conditioning equipment required for use within the leased premises, for which the cost of maintenance is 1,680 NT Dollars per air conditioner unit annually. The leased premises have 64 air conditioner units, so total maintenance and repair fees incurred during the leased period shall be 215,040 NT Dollars. According to Paragraph 4 of Article 6, such amount shall all be paid by Party B to Party A upon the execution of the Lease Agreement. In the event that Party B fails to make the payment or the check delivered to Party A for the payment bounces, the Lease Agreement shall be deemed agreed to be terminated.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XVII. CO-SIGNER:</w:t>
      </w:r>
    </w:p>
    <w:p>
      <w:pPr>
        <w:spacing w:after="0" w:line="230" w:lineRule="exact"/>
        <w:rPr>
          <w:sz w:val="20"/>
          <w:szCs w:val="20"/>
          <w:color w:val="auto"/>
        </w:rPr>
      </w:pPr>
    </w:p>
    <w:p>
      <w:pPr>
        <w:jc w:val="both"/>
        <w:ind w:left="1140" w:right="360" w:hanging="443"/>
        <w:spacing w:after="0" w:line="273" w:lineRule="auto"/>
        <w:tabs>
          <w:tab w:leader="none" w:pos="1132" w:val="left"/>
        </w:tabs>
        <w:numPr>
          <w:ilvl w:val="0"/>
          <w:numId w:val="597"/>
        </w:numPr>
        <w:rPr>
          <w:rFonts w:ascii="Arial" w:cs="Arial" w:eastAsia="Arial" w:hAnsi="Arial"/>
          <w:sz w:val="17"/>
          <w:szCs w:val="17"/>
          <w:color w:val="auto"/>
        </w:rPr>
      </w:pPr>
      <w:r>
        <w:rPr>
          <w:rFonts w:ascii="Arial" w:cs="Arial" w:eastAsia="Arial" w:hAnsi="Arial"/>
          <w:sz w:val="17"/>
          <w:szCs w:val="17"/>
          <w:color w:val="auto"/>
        </w:rPr>
        <w:t>Party B’s legal representative agrees to be Party B’s co-signer and guarantees Party B’s performance of its obligations stated in the respective clauses of the Lease Agreement. If Party B breaches the Lease Agreement, co-signer will take joint liability and fulfills the obligations which would have been performed by Party B.</w:t>
      </w:r>
    </w:p>
    <w:p>
      <w:pPr>
        <w:spacing w:after="0" w:line="171" w:lineRule="exact"/>
        <w:rPr>
          <w:rFonts w:ascii="Arial" w:cs="Arial" w:eastAsia="Arial" w:hAnsi="Arial"/>
          <w:sz w:val="17"/>
          <w:szCs w:val="17"/>
          <w:color w:val="auto"/>
        </w:rPr>
      </w:pPr>
    </w:p>
    <w:p>
      <w:pPr>
        <w:ind w:left="1140" w:right="120" w:hanging="443"/>
        <w:spacing w:after="0" w:line="273" w:lineRule="auto"/>
        <w:tabs>
          <w:tab w:leader="none" w:pos="1132" w:val="left"/>
        </w:tabs>
        <w:numPr>
          <w:ilvl w:val="0"/>
          <w:numId w:val="597"/>
        </w:numPr>
        <w:rPr>
          <w:rFonts w:ascii="Arial" w:cs="Arial" w:eastAsia="Arial" w:hAnsi="Arial"/>
          <w:sz w:val="17"/>
          <w:szCs w:val="17"/>
          <w:color w:val="auto"/>
        </w:rPr>
      </w:pPr>
      <w:r>
        <w:rPr>
          <w:rFonts w:ascii="Arial" w:cs="Arial" w:eastAsia="Arial" w:hAnsi="Arial"/>
          <w:sz w:val="17"/>
          <w:szCs w:val="17"/>
          <w:color w:val="auto"/>
        </w:rPr>
        <w:t>In of the event of change of Party B’s aforesaid legal representative after the execution of the Lease Agreement, Party B shall promptly notify Party A and proceed to change co-signer. However, prior to completion of affecting the change of cosigner, the original legal representative shall still bear the aforesaid liability,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which shall not be waived until the change is affected.</w:t>
      </w:r>
    </w:p>
    <w:p>
      <w:pPr>
        <w:spacing w:after="0" w:line="218"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b w:val="1"/>
          <w:bCs w:val="1"/>
          <w:color w:val="auto"/>
        </w:rPr>
        <w:t xml:space="preserve">XVIII. AGREED GOVERNING VENUE: </w:t>
      </w:r>
      <w:r>
        <w:rPr>
          <w:rFonts w:ascii="Arial" w:cs="Arial" w:eastAsia="Arial" w:hAnsi="Arial"/>
          <w:sz w:val="17"/>
          <w:szCs w:val="17"/>
          <w:color w:val="auto"/>
        </w:rPr>
        <w:t>Both Party A and Party B are all willing to perform the Lease Agreement in good faith. In the event any disputes</w:t>
      </w:r>
      <w:r>
        <w:rPr>
          <w:rFonts w:ascii="Arial" w:cs="Arial" w:eastAsia="Arial" w:hAnsi="Arial"/>
          <w:sz w:val="17"/>
          <w:szCs w:val="17"/>
          <w:b w:val="1"/>
          <w:bCs w:val="1"/>
          <w:color w:val="auto"/>
        </w:rPr>
        <w:t xml:space="preserve"> </w:t>
      </w:r>
      <w:r>
        <w:rPr>
          <w:rFonts w:ascii="Arial" w:cs="Arial" w:eastAsia="Arial" w:hAnsi="Arial"/>
          <w:sz w:val="17"/>
          <w:szCs w:val="17"/>
          <w:color w:val="auto"/>
        </w:rPr>
        <w:t>arise from the Lease Agreement leading to litigation, all court costs and attorney fees shall be paid by the breaching party. Both parties agree that the Taiwan Taipei District Court shall be the court of competent jurisdiction for the first instance.</w:t>
      </w:r>
    </w:p>
    <w:p>
      <w:pPr>
        <w:spacing w:after="0" w:line="162"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b w:val="1"/>
          <w:bCs w:val="1"/>
          <w:color w:val="auto"/>
        </w:rPr>
        <w:t xml:space="preserve">XIX. NOTICE DELIVERY ADDRESSES: </w:t>
      </w:r>
      <w:r>
        <w:rPr>
          <w:rFonts w:ascii="Arial" w:cs="Arial" w:eastAsia="Arial" w:hAnsi="Arial"/>
          <w:sz w:val="17"/>
          <w:szCs w:val="17"/>
          <w:color w:val="auto"/>
        </w:rPr>
        <w:t>Party A’s office for execution of the Lease Agreement shall the place for the delivery for any notices in relation to</w:t>
      </w:r>
      <w:r>
        <w:rPr>
          <w:rFonts w:ascii="Arial" w:cs="Arial" w:eastAsia="Arial" w:hAnsi="Arial"/>
          <w:sz w:val="17"/>
          <w:szCs w:val="17"/>
          <w:b w:val="1"/>
          <w:bCs w:val="1"/>
          <w:color w:val="auto"/>
        </w:rPr>
        <w:t xml:space="preserve"> </w:t>
      </w:r>
      <w:r>
        <w:rPr>
          <w:rFonts w:ascii="Arial" w:cs="Arial" w:eastAsia="Arial" w:hAnsi="Arial"/>
          <w:sz w:val="17"/>
          <w:szCs w:val="17"/>
          <w:color w:val="auto"/>
        </w:rPr>
        <w:t>the Lease Agreement. Party B’s address for delivery of notice shall be the location of the leased premises. Once notice is delivered to any of the aforesaid addresses, no matter whether the recipient refuses to receive the notice or does not receive the notice for any reasons, the notice shall be deemed to be lawfully delivered, for which both parties shall have no objection.</w:t>
      </w:r>
    </w:p>
    <w:p>
      <w:pPr>
        <w:spacing w:after="0" w:line="169" w:lineRule="exact"/>
        <w:rPr>
          <w:sz w:val="20"/>
          <w:szCs w:val="20"/>
          <w:color w:val="auto"/>
        </w:rPr>
      </w:pPr>
    </w:p>
    <w:p>
      <w:pPr>
        <w:ind w:right="120" w:firstLine="5"/>
        <w:spacing w:after="0" w:line="297" w:lineRule="auto"/>
        <w:tabs>
          <w:tab w:leader="none" w:pos="340" w:val="left"/>
        </w:tabs>
        <w:numPr>
          <w:ilvl w:val="0"/>
          <w:numId w:val="5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MISCELLANEOUS: </w:t>
      </w:r>
      <w:r>
        <w:rPr>
          <w:rFonts w:ascii="Arial" w:cs="Arial" w:eastAsia="Arial" w:hAnsi="Arial"/>
          <w:sz w:val="17"/>
          <w:szCs w:val="17"/>
          <w:color w:val="auto"/>
        </w:rPr>
        <w:t>Any matters not covered by the Lease Agreement shall be supplemented by both parties in writing. The Lease Agreement is made in</w:t>
      </w:r>
      <w:r>
        <w:rPr>
          <w:rFonts w:ascii="Arial" w:cs="Arial" w:eastAsia="Arial" w:hAnsi="Arial"/>
          <w:sz w:val="17"/>
          <w:szCs w:val="17"/>
          <w:b w:val="1"/>
          <w:bCs w:val="1"/>
          <w:color w:val="auto"/>
        </w:rPr>
        <w:t xml:space="preserve"> </w:t>
      </w:r>
      <w:r>
        <w:rPr>
          <w:rFonts w:ascii="Arial" w:cs="Arial" w:eastAsia="Arial" w:hAnsi="Arial"/>
          <w:sz w:val="17"/>
          <w:szCs w:val="17"/>
          <w:color w:val="auto"/>
        </w:rPr>
        <w:t>duplicate, and both Party A and Party B shall retain one copy each as proof.</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w:t>
      </w:r>
    </w:p>
    <w:p>
      <w:pPr>
        <w:spacing w:after="0" w:line="22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Party A: Admiral Overseas Corporation</w:t>
      </w:r>
    </w:p>
    <w:p>
      <w:pPr>
        <w:sectPr>
          <w:pgSz w:w="11900" w:h="16838" w:orient="portrait"/>
          <w:cols w:equalWidth="0" w:num="1">
            <w:col w:w="11420"/>
          </w:cols>
          <w:pgMar w:left="240" w:top="337" w:right="239" w:bottom="0" w:gutter="0" w:footer="0" w:header="0"/>
        </w:sectPr>
      </w:pPr>
    </w:p>
    <w:bookmarkStart w:id="381" w:name="page382"/>
    <w:bookmarkEnd w:id="381"/>
    <w:p>
      <w:pPr>
        <w:ind w:left="900"/>
        <w:spacing w:after="0"/>
        <w:rPr>
          <w:sz w:val="20"/>
          <w:szCs w:val="20"/>
          <w:color w:val="auto"/>
        </w:rPr>
      </w:pPr>
      <w:r>
        <w:rPr>
          <w:rFonts w:ascii="Arial" w:cs="Arial" w:eastAsia="Arial" w:hAnsi="Arial"/>
          <w:sz w:val="17"/>
          <w:szCs w:val="17"/>
          <w:color w:val="auto"/>
        </w:rPr>
        <w:t>Person in charge: Li, Chao-Hsiung</w:t>
      </w:r>
    </w:p>
    <w:p>
      <w:pPr>
        <w:spacing w:after="0" w:line="200" w:lineRule="exact"/>
        <w:rPr>
          <w:sz w:val="20"/>
          <w:szCs w:val="20"/>
          <w:color w:val="auto"/>
        </w:rPr>
      </w:pPr>
    </w:p>
    <w:p>
      <w:pPr>
        <w:spacing w:after="0" w:line="23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 Li, Chao-Hsiung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17145</wp:posOffset>
            </wp:positionV>
            <wp:extent cx="306324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063240" cy="8255"/>
                    </a:xfrm>
                    <a:prstGeom prst="rect">
                      <a:avLst/>
                    </a:prstGeom>
                    <a:noFill/>
                  </pic:spPr>
                </pic:pic>
              </a:graphicData>
            </a:graphic>
          </wp:anchor>
        </w:drawing>
      </w:r>
    </w:p>
    <w:p>
      <w:pPr>
        <w:spacing w:after="0" w:line="21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Business registration No.: 33115502</w:t>
      </w:r>
    </w:p>
    <w:p>
      <w:pPr>
        <w:spacing w:after="0" w:line="224" w:lineRule="exact"/>
        <w:rPr>
          <w:sz w:val="20"/>
          <w:szCs w:val="20"/>
          <w:color w:val="auto"/>
        </w:rPr>
      </w:pPr>
    </w:p>
    <w:p>
      <w:pPr>
        <w:ind w:left="900"/>
        <w:spacing w:after="0"/>
        <w:rPr>
          <w:sz w:val="20"/>
          <w:szCs w:val="20"/>
          <w:color w:val="auto"/>
        </w:rPr>
      </w:pPr>
      <w:r>
        <w:rPr>
          <w:rFonts w:ascii="Arial" w:cs="Arial" w:eastAsia="Arial" w:hAnsi="Arial"/>
          <w:sz w:val="15"/>
          <w:szCs w:val="15"/>
          <w:color w:val="auto"/>
        </w:rPr>
        <w:t>Address: 12F-3, No. 716, Zhongzheng Rd., Zhonghe Dist., New Taipei City</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TEL: (02) 82273006</w:t>
      </w:r>
    </w:p>
    <w:p>
      <w:pPr>
        <w:spacing w:after="0" w:line="22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Party B: Applied Optoelectronics Incorporated (AOI) Taiwan</w:t>
      </w:r>
    </w:p>
    <w:p>
      <w:pPr>
        <w:spacing w:after="0" w:line="22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Person in charge: Lin, Chih-Hsiang</w:t>
      </w:r>
    </w:p>
    <w:p>
      <w:pPr>
        <w:spacing w:after="0" w:line="200" w:lineRule="exact"/>
        <w:rPr>
          <w:sz w:val="20"/>
          <w:szCs w:val="20"/>
          <w:color w:val="auto"/>
        </w:rPr>
      </w:pPr>
    </w:p>
    <w:p>
      <w:pPr>
        <w:spacing w:after="0" w:line="23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 Lin, Chih-Hsiang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17145</wp:posOffset>
            </wp:positionV>
            <wp:extent cx="306324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063240" cy="8255"/>
                    </a:xfrm>
                    <a:prstGeom prst="rect">
                      <a:avLst/>
                    </a:prstGeom>
                    <a:noFill/>
                  </pic:spPr>
                </pic:pic>
              </a:graphicData>
            </a:graphic>
          </wp:anchor>
        </w:drawing>
      </w:r>
    </w:p>
    <w:p>
      <w:pPr>
        <w:spacing w:after="0" w:line="21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Business registration No.: 28410552</w:t>
      </w:r>
    </w:p>
    <w:p>
      <w:pPr>
        <w:spacing w:after="0" w:line="22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Address: 6F-1, No. 700, Zhongzheng Rd., Zhonghe Dist., New Taipei City</w:t>
      </w:r>
    </w:p>
    <w:p>
      <w:pPr>
        <w:spacing w:after="0" w:line="23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TEL: (02) 82279189</w:t>
      </w:r>
    </w:p>
    <w:p>
      <w:pPr>
        <w:spacing w:after="0" w:line="21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Party B’s back-up guarantor </w:t>
      </w:r>
      <w:r>
        <w:rPr>
          <w:rFonts w:ascii="Arial" w:cs="Arial" w:eastAsia="Arial" w:hAnsi="Arial"/>
          <w:sz w:val="17"/>
          <w:szCs w:val="17"/>
          <w:b w:val="1"/>
          <w:bCs w:val="1"/>
          <w:color w:val="auto"/>
        </w:rPr>
        <w:t>(co-signer)</w:t>
      </w:r>
      <w:r>
        <w:rPr>
          <w:rFonts w:ascii="Arial" w:cs="Arial" w:eastAsia="Arial" w:hAnsi="Arial"/>
          <w:sz w:val="17"/>
          <w:szCs w:val="17"/>
          <w:color w:val="auto"/>
        </w:rPr>
        <w:t>: Lin, Chih-Hsiang</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 Lin, Chih-Hsiang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17145</wp:posOffset>
            </wp:positionV>
            <wp:extent cx="306324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063240" cy="8255"/>
                    </a:xfrm>
                    <a:prstGeom prst="rect">
                      <a:avLst/>
                    </a:prstGeom>
                    <a:noFill/>
                  </pic:spPr>
                </pic:pic>
              </a:graphicData>
            </a:graphic>
          </wp:anchor>
        </w:drawing>
      </w:r>
    </w:p>
    <w:p>
      <w:pPr>
        <w:spacing w:after="0" w:line="21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Business registration No.: 28410552</w:t>
      </w:r>
    </w:p>
    <w:p>
      <w:pPr>
        <w:spacing w:after="0" w:line="22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Address:</w:t>
      </w:r>
    </w:p>
    <w:p>
      <w:pPr>
        <w:spacing w:after="0" w:line="22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TEL:</w:t>
      </w:r>
    </w:p>
    <w:p>
      <w:pPr>
        <w:spacing w:after="0" w:line="200" w:lineRule="exact"/>
        <w:rPr>
          <w:sz w:val="20"/>
          <w:szCs w:val="20"/>
          <w:color w:val="auto"/>
        </w:rPr>
      </w:pPr>
    </w:p>
    <w:p>
      <w:pPr>
        <w:spacing w:after="0" w:line="23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December 22, 2011</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82" w:name="page383"/>
    <w:bookmarkEnd w:id="382"/>
    <w:p>
      <w:pPr>
        <w:spacing w:after="0" w:line="8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10.10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COMMERCIAL BANK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40"/>
        <w:spacing w:after="0" w:line="289" w:lineRule="auto"/>
        <w:rPr>
          <w:sz w:val="20"/>
          <w:szCs w:val="20"/>
          <w:color w:val="auto"/>
        </w:rPr>
      </w:pPr>
      <w:r>
        <w:rPr>
          <w:rFonts w:ascii="Arial" w:cs="Arial" w:eastAsia="Arial" w:hAnsi="Arial"/>
          <w:sz w:val="17"/>
          <w:szCs w:val="17"/>
          <w:color w:val="auto"/>
        </w:rPr>
        <w:t>This AMENDED AND RESTATED LOAN AND SECURITY AGREEMENT (the “Agreement”) is effective as of May 20, 2009, by and between United Commercial Bank (“Bank”) and Applied Optoelectronics, Inc., a Texas corporation (“Borrower”).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3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Bank and Borrower are parties to that certain Loan and Security Agreement, dated as of September 6, 2007, as amended as amended from time to time (the “Original Agreement”). Borrower and Bank wish to amend and restate the terms of the Original Agreement. This Agreement sets forth the terms on which Bank will advance credit to Borrower and Borrower will repay the amounts owing to Bank.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parties agree as follows:</w:t>
      </w:r>
    </w:p>
    <w:p>
      <w:pPr>
        <w:spacing w:after="0" w:line="218" w:lineRule="exact"/>
        <w:rPr>
          <w:sz w:val="20"/>
          <w:szCs w:val="20"/>
          <w:color w:val="auto"/>
        </w:rPr>
      </w:pPr>
    </w:p>
    <w:p>
      <w:pPr>
        <w:ind w:left="1260" w:hanging="626"/>
        <w:spacing w:after="0"/>
        <w:tabs>
          <w:tab w:leader="none" w:pos="1260" w:val="left"/>
        </w:tabs>
        <w:numPr>
          <w:ilvl w:val="0"/>
          <w:numId w:val="599"/>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 AND CONSTRUCTION</w:t>
      </w:r>
      <w:r>
        <w:rPr>
          <w:rFonts w:ascii="Arial" w:cs="Arial" w:eastAsia="Arial" w:hAnsi="Arial"/>
          <w:sz w:val="17"/>
          <w:szCs w:val="17"/>
          <w:color w:val="auto"/>
        </w:rPr>
        <w:t>.</w:t>
      </w:r>
    </w:p>
    <w:p>
      <w:pPr>
        <w:spacing w:after="0" w:line="224" w:lineRule="exact"/>
        <w:rPr>
          <w:rFonts w:ascii="Arial" w:cs="Arial" w:eastAsia="Arial" w:hAnsi="Arial"/>
          <w:sz w:val="17"/>
          <w:szCs w:val="17"/>
          <w:b w:val="1"/>
          <w:bCs w:val="1"/>
          <w:color w:val="auto"/>
        </w:rPr>
      </w:pPr>
    </w:p>
    <w:p>
      <w:pPr>
        <w:ind w:left="12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1.1</w:t>
      </w:r>
      <w:r>
        <w:rPr>
          <w:rFonts w:ascii="Arial" w:cs="Arial" w:eastAsia="Arial" w:hAnsi="Arial"/>
          <w:sz w:val="16"/>
          <w:szCs w:val="16"/>
          <w:b w:val="1"/>
          <w:bCs w:val="1"/>
          <w:color w:val="auto"/>
        </w:rPr>
        <w:t>Definitions</w:t>
      </w:r>
      <w:r>
        <w:rPr>
          <w:rFonts w:ascii="Arial" w:cs="Arial" w:eastAsia="Arial" w:hAnsi="Arial"/>
          <w:sz w:val="16"/>
          <w:szCs w:val="16"/>
          <w:color w:val="auto"/>
        </w:rPr>
        <w:t>. As used in this Agreement, all capitalized terms shall have the following definitions:</w:t>
      </w:r>
    </w:p>
    <w:p>
      <w:pPr>
        <w:spacing w:after="0" w:line="230"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“Accounts” means all presently existing and hereafter arising accounts, contract rights, payment intangibles and all other forms of obligations owing to Borrower arising out of the sale or lease of goods (including, without limitation, the licensing of software and other technology) or the rendering of services by Borrower and any and all credit insurance, guaranties, and other security therefor, as well as all merchandise returned to or reclaimed by Borrower and Borrower’s Books relating to any of the foregoing.</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“Advance” or “Advances” means a cash advance or cash advances under the Revolving Line.</w:t>
      </w:r>
    </w:p>
    <w:p>
      <w:pPr>
        <w:spacing w:after="0" w:line="224"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“Affiliate” means, with respect to any Person, any Person that owns or controls directly or indirectly such Person, any Person that controls or is controlled by or is under common control with such Person, and each of such Person’s senior executive officers, directors, and partners.</w:t>
      </w:r>
    </w:p>
    <w:p>
      <w:pPr>
        <w:spacing w:after="0" w:line="158" w:lineRule="exact"/>
        <w:rPr>
          <w:sz w:val="20"/>
          <w:szCs w:val="20"/>
          <w:color w:val="auto"/>
        </w:rPr>
      </w:pPr>
    </w:p>
    <w:p>
      <w:pPr>
        <w:ind w:right="200" w:firstLine="629"/>
        <w:spacing w:after="0" w:line="290" w:lineRule="auto"/>
        <w:rPr>
          <w:sz w:val="20"/>
          <w:szCs w:val="20"/>
          <w:color w:val="auto"/>
        </w:rPr>
      </w:pPr>
      <w:r>
        <w:rPr>
          <w:rFonts w:ascii="Arial" w:cs="Arial" w:eastAsia="Arial" w:hAnsi="Arial"/>
          <w:sz w:val="16"/>
          <w:szCs w:val="16"/>
          <w:color w:val="auto"/>
        </w:rPr>
        <w:t>“Bank Expenses” means all reasonable costs or expenses (including reasonable attorneys’ fees and expenses, whether generated in-house or by outside counsel) incurred in connection with the preparation, negotiation, administration, and enforcement of the Loan Documents; reasonable Collateral audit fees; and Bank’s reasonable attorneys’ fees and expenses (whether generated in-house or by outside counsel) incurred in amending, enforcing or defending the Loan Documents (including fees and expenses of appeal), incurred before, during and after an Insolvency Proceeding, whether or not suit is brought.</w:t>
      </w:r>
    </w:p>
    <w:p>
      <w:pPr>
        <w:spacing w:after="0" w:line="159"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“Borrower Agreement” means the Export-Import Bank of the United States Revolving Guarantee Program Borrower Agreement of even date between Bank and Borrower.</w:t>
      </w:r>
    </w:p>
    <w:p>
      <w:pPr>
        <w:spacing w:after="0" w:line="158" w:lineRule="exact"/>
        <w:rPr>
          <w:sz w:val="20"/>
          <w:szCs w:val="20"/>
          <w:color w:val="auto"/>
        </w:rPr>
      </w:pPr>
    </w:p>
    <w:p>
      <w:pPr>
        <w:ind w:right="280" w:firstLine="629"/>
        <w:spacing w:after="0" w:line="289" w:lineRule="auto"/>
        <w:rPr>
          <w:sz w:val="20"/>
          <w:szCs w:val="20"/>
          <w:color w:val="auto"/>
        </w:rPr>
      </w:pPr>
      <w:r>
        <w:rPr>
          <w:rFonts w:ascii="Arial" w:cs="Arial" w:eastAsia="Arial" w:hAnsi="Arial"/>
          <w:sz w:val="17"/>
          <w:szCs w:val="17"/>
          <w:color w:val="auto"/>
        </w:rPr>
        <w:t>“Borrower’s Books” means all of Borrower’s books and records including: ledgers; records concerning Borrower’s assets or liabilities, the Collateral, business operations or financial condition; and all computer programs, or tape files, and the equipment, containing such information.</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“Business Day” means any day that is not a Saturday, Sunday, or other day on which banks in the State of California are authorized or required to close.</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“Cash” means unrestricted cash and cash equivalents.</w:t>
      </w:r>
    </w:p>
    <w:p>
      <w:pPr>
        <w:spacing w:after="0" w:line="224"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“Change in Control” shall mean a transaction in which any “person” or “group” (within the meaning of Section 13(d) and 14(d)(2) of the Securities Exchange Act of 1934) becomes the “beneficial owner” (as defined in Rule 13d-3 under the Securities Exchange Act of 1934), directly or indirectly, of a sufficient number of shares of all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classes of stock then outstanding of Borrower ordinarily entitled to vote in the election of directors, empowering such “person” or “group” to elect a majority of the Board of Directors of Borrower, who did not have such power before such transaction.</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“Closing Date” means the date of this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“Code” means the California Uniform Commercial Code as amended or supplemented from time to time.</w:t>
      </w:r>
    </w:p>
    <w:p>
      <w:pPr>
        <w:spacing w:after="0" w:line="218"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 xml:space="preserve">“Collateral” means the property described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hereto and all Negotiable Collateral and Intellectual Property Collateral to the extent not described on </w:t>
      </w:r>
      <w:r>
        <w:rPr>
          <w:rFonts w:ascii="Arial" w:cs="Arial" w:eastAsia="Arial" w:hAnsi="Arial"/>
          <w:sz w:val="17"/>
          <w:szCs w:val="17"/>
          <w:b w:val="1"/>
          <w:bCs w:val="1"/>
          <w:color w:val="auto"/>
        </w:rPr>
        <w:t>Exhibit A</w:t>
      </w:r>
      <w:r>
        <w:rPr>
          <w:rFonts w:ascii="Arial" w:cs="Arial" w:eastAsia="Arial" w:hAnsi="Arial"/>
          <w:sz w:val="17"/>
          <w:szCs w:val="17"/>
          <w:color w:val="auto"/>
        </w:rPr>
        <w:t>, except to the extent any such property (i) is nonassignable by its terms without the consent of the licensor thereof or another party (but only to the extent such prohibition on transfer is enforceable under applicable law, including, without limitation, Sections 9406 and 9408 of the Code), (ii) the granting of a security interest therein is contrary to applicable law, provided that upon the cessation of any such restriction or prohibition, such property shall automatically become part of the Collateral, or (iii) constitutes the capital stock of a controlled foreign corporation (as defined in the IRC), in excess of 65% of the voting power of all classes of capital stock of such controlled foreign corporations entitled to vote.</w:t>
      </w:r>
    </w:p>
    <w:p>
      <w:pPr>
        <w:spacing w:after="0" w:line="179" w:lineRule="exact"/>
        <w:rPr>
          <w:sz w:val="20"/>
          <w:szCs w:val="20"/>
          <w:color w:val="auto"/>
        </w:rPr>
      </w:pPr>
    </w:p>
    <w:p>
      <w:pPr>
        <w:jc w:val="both"/>
        <w:ind w:right="300" w:firstLine="629"/>
        <w:spacing w:after="0" w:line="322" w:lineRule="auto"/>
        <w:rPr>
          <w:sz w:val="20"/>
          <w:szCs w:val="20"/>
          <w:color w:val="auto"/>
        </w:rPr>
      </w:pPr>
      <w:r>
        <w:rPr>
          <w:rFonts w:ascii="Arial" w:cs="Arial" w:eastAsia="Arial" w:hAnsi="Arial"/>
          <w:sz w:val="16"/>
          <w:szCs w:val="16"/>
          <w:color w:val="auto"/>
        </w:rPr>
        <w:t>“Contingent Obligation” means, as applied to any Person, any direct or indirect liability, contingent or otherwise, of that Person with respect to (i) any indebtedness, lease, dividend, letter of credit or other obligation of another, including, without limitation, any such obligation directly or indirectly guaranteed,</w:t>
      </w:r>
    </w:p>
    <w:p>
      <w:pPr>
        <w:sectPr>
          <w:pgSz w:w="11900" w:h="16920" w:orient="portrait"/>
          <w:cols w:equalWidth="0" w:num="1">
            <w:col w:w="11420"/>
          </w:cols>
          <w:pgMar w:left="240" w:top="357" w:right="239" w:bottom="0" w:gutter="0" w:footer="0" w:header="0"/>
        </w:sectPr>
      </w:pPr>
    </w:p>
    <w:bookmarkStart w:id="383" w:name="page384"/>
    <w:bookmarkEnd w:id="383"/>
    <w:p>
      <w:pPr>
        <w:ind w:right="100"/>
        <w:spacing w:after="0" w:line="280" w:lineRule="auto"/>
        <w:rPr>
          <w:sz w:val="20"/>
          <w:szCs w:val="20"/>
          <w:color w:val="auto"/>
        </w:rPr>
      </w:pPr>
      <w:r>
        <w:rPr>
          <w:rFonts w:ascii="Arial" w:cs="Arial" w:eastAsia="Arial" w:hAnsi="Arial"/>
          <w:sz w:val="16"/>
          <w:szCs w:val="16"/>
          <w:color w:val="auto"/>
        </w:rPr>
        <w:t>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171"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“Copyrights” means any and all copyright rights, copyright applications, copyright registrations and like protections in each work or authorship and derivative work thereof, whether published or unpublished and whether or not the same also constitutes a trade secret, now or hereafter existing, created, acquired or held.</w:t>
      </w:r>
    </w:p>
    <w:p>
      <w:pPr>
        <w:spacing w:after="0" w:line="172"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“Credit Extension” means each Advance, Equipment Advance, Real Estate Advance, EXIM Advance, or any other extension of credit by Bank to or for the benefit of Borrower hereunder.</w:t>
      </w:r>
    </w:p>
    <w:p>
      <w:pPr>
        <w:spacing w:after="0" w:line="158"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“Current Assets” means, as of any applicable date, all amounts that should, in accordance with GAAP, be included as current assets on the consolidated balance sheet of Borrower and its Subsidiaries as at such date.</w:t>
      </w:r>
    </w:p>
    <w:p>
      <w:pPr>
        <w:spacing w:after="0" w:line="158" w:lineRule="exact"/>
        <w:rPr>
          <w:sz w:val="20"/>
          <w:szCs w:val="20"/>
          <w:color w:val="auto"/>
        </w:rPr>
      </w:pPr>
    </w:p>
    <w:p>
      <w:pPr>
        <w:ind w:right="180" w:firstLine="629"/>
        <w:spacing w:after="0" w:line="290" w:lineRule="auto"/>
        <w:rPr>
          <w:sz w:val="20"/>
          <w:szCs w:val="20"/>
          <w:color w:val="auto"/>
        </w:rPr>
      </w:pPr>
      <w:r>
        <w:rPr>
          <w:rFonts w:ascii="Arial" w:cs="Arial" w:eastAsia="Arial" w:hAnsi="Arial"/>
          <w:sz w:val="16"/>
          <w:szCs w:val="16"/>
          <w:color w:val="auto"/>
        </w:rPr>
        <w:t>“Current Liabilities” means, as of any applicable date, all amounts that should, in accordance with GAAP, be included as current liabilities on the consolidated balance sheet of Borrower and its Subsidiaries, as at such date. Notwithstanding the foregoing, if the credit extensions issued by Bank’s affiliate entity in China to Global Technology, Inc. is (a) collateralized by real estate owned by Global Technology, Inc. and (b) such credit extension(s) has a maturity of less than one year, then only one-third of the total credit extensions issued to Global Technology, Inc. shall be included in “Current Liabilities.”</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“Current Ratio” means a ratio of Current Assets to Current Liabilities.</w:t>
      </w:r>
    </w:p>
    <w:p>
      <w:pPr>
        <w:spacing w:after="0" w:line="224"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“Domestic Borrowing Base” means an amount equal to 80% of Eligible Accounts plus the lesser of 30% of Eligible Inventory or $1,000,000, as determined by Bank with reference to the most recent Borrowing Base Certificate delivered by Borrower. Notwithstanding the foregoing, Eligible Inventory shall not exceed 50% of the total Domestic Borrowing Base.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“EBITDASO” means earnings before interest, taxes, depreciation amortization and stock option expenses.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“Economic Impact Certification” means the Economic Impact Certification as defined in the Borrower Agreement.</w:t>
      </w:r>
    </w:p>
    <w:p>
      <w:pPr>
        <w:spacing w:after="0" w:line="224" w:lineRule="exact"/>
        <w:rPr>
          <w:sz w:val="20"/>
          <w:szCs w:val="20"/>
          <w:color w:val="auto"/>
        </w:rPr>
      </w:pPr>
    </w:p>
    <w:p>
      <w:pPr>
        <w:ind w:right="260" w:firstLine="629"/>
        <w:spacing w:after="0" w:line="273" w:lineRule="auto"/>
        <w:rPr>
          <w:sz w:val="20"/>
          <w:szCs w:val="20"/>
          <w:color w:val="auto"/>
        </w:rPr>
      </w:pPr>
      <w:r>
        <w:rPr>
          <w:rFonts w:ascii="Arial" w:cs="Arial" w:eastAsia="Arial" w:hAnsi="Arial"/>
          <w:sz w:val="17"/>
          <w:szCs w:val="17"/>
          <w:color w:val="auto"/>
        </w:rPr>
        <w:t>“Eligible Accounts” means those Accounts that arise in the ordinary course of Borrower’s business that comply with all of Borrower’s representations and warranties to Bank set forth in Section 5.16; provided, that Bank may change the standards of eligibility by giving Borrower 30 days prior written notice. Unless otherwise agreed to by Bank, Eligible Accounts shall not include the following:</w:t>
      </w:r>
    </w:p>
    <w:p>
      <w:pPr>
        <w:spacing w:after="0" w:line="172" w:lineRule="exact"/>
        <w:rPr>
          <w:sz w:val="20"/>
          <w:szCs w:val="20"/>
          <w:color w:val="auto"/>
        </w:rPr>
      </w:pPr>
    </w:p>
    <w:p>
      <w:pPr>
        <w:ind w:firstLine="634"/>
        <w:spacing w:after="0" w:line="273" w:lineRule="auto"/>
        <w:tabs>
          <w:tab w:leader="none" w:pos="1344" w:val="left"/>
        </w:tabs>
        <w:numPr>
          <w:ilvl w:val="1"/>
          <w:numId w:val="600"/>
        </w:numPr>
        <w:rPr>
          <w:rFonts w:ascii="Arial" w:cs="Arial" w:eastAsia="Arial" w:hAnsi="Arial"/>
          <w:sz w:val="17"/>
          <w:szCs w:val="17"/>
          <w:b w:val="1"/>
          <w:bCs w:val="1"/>
          <w:color w:val="auto"/>
        </w:rPr>
      </w:pPr>
      <w:r>
        <w:rPr>
          <w:rFonts w:ascii="Arial" w:cs="Arial" w:eastAsia="Arial" w:hAnsi="Arial"/>
          <w:sz w:val="17"/>
          <w:szCs w:val="17"/>
          <w:color w:val="auto"/>
        </w:rPr>
        <w:t>Accounts that the account debtor has failed to pay in full within 90 days of invoice date, unless such Accounts are backed by credit insurance in form and substance satisfactory to Bank, in which case such Accounts shall be excluded from Eligible Accounts if the account debtor has failed to pay in full within the “eligible claim days” as set forth in the applicable credit insurance agreement(s);</w:t>
      </w:r>
    </w:p>
    <w:p>
      <w:pPr>
        <w:spacing w:after="0" w:line="171" w:lineRule="exact"/>
        <w:rPr>
          <w:rFonts w:ascii="Arial" w:cs="Arial" w:eastAsia="Arial" w:hAnsi="Arial"/>
          <w:sz w:val="17"/>
          <w:szCs w:val="17"/>
          <w:b w:val="1"/>
          <w:bCs w:val="1"/>
          <w:color w:val="auto"/>
        </w:rPr>
      </w:pPr>
    </w:p>
    <w:p>
      <w:pPr>
        <w:ind w:left="1280" w:hanging="646"/>
        <w:spacing w:after="0"/>
        <w:tabs>
          <w:tab w:leader="none" w:pos="1280" w:val="left"/>
        </w:tabs>
        <w:numPr>
          <w:ilvl w:val="1"/>
          <w:numId w:val="600"/>
        </w:numPr>
        <w:rPr>
          <w:rFonts w:ascii="Arial" w:cs="Arial" w:eastAsia="Arial" w:hAnsi="Arial"/>
          <w:sz w:val="16"/>
          <w:szCs w:val="16"/>
          <w:b w:val="1"/>
          <w:bCs w:val="1"/>
          <w:color w:val="auto"/>
        </w:rPr>
      </w:pPr>
      <w:r>
        <w:rPr>
          <w:rFonts w:ascii="Arial" w:cs="Arial" w:eastAsia="Arial" w:hAnsi="Arial"/>
          <w:sz w:val="16"/>
          <w:szCs w:val="16"/>
          <w:color w:val="auto"/>
        </w:rPr>
        <w:t>Accounts with respect to an account debtor, 50% of whose Accounts the account debtor has failed to pay (i) within 90 days of invoice date or</w:t>
      </w:r>
    </w:p>
    <w:p>
      <w:pPr>
        <w:spacing w:after="0" w:line="37" w:lineRule="exact"/>
        <w:rPr>
          <w:rFonts w:ascii="Arial" w:cs="Arial" w:eastAsia="Arial" w:hAnsi="Arial"/>
          <w:sz w:val="16"/>
          <w:szCs w:val="16"/>
          <w:b w:val="1"/>
          <w:bCs w:val="1"/>
          <w:color w:val="auto"/>
        </w:rPr>
      </w:pPr>
    </w:p>
    <w:p>
      <w:pPr>
        <w:ind w:right="240" w:firstLine="5"/>
        <w:spacing w:after="0" w:line="275" w:lineRule="auto"/>
        <w:tabs>
          <w:tab w:leader="none" w:pos="257" w:val="left"/>
        </w:tabs>
        <w:numPr>
          <w:ilvl w:val="0"/>
          <w:numId w:val="601"/>
        </w:numPr>
        <w:rPr>
          <w:rFonts w:ascii="Arial" w:cs="Arial" w:eastAsia="Arial" w:hAnsi="Arial"/>
          <w:sz w:val="17"/>
          <w:szCs w:val="17"/>
          <w:color w:val="auto"/>
        </w:rPr>
      </w:pPr>
      <w:r>
        <w:rPr>
          <w:rFonts w:ascii="Arial" w:cs="Arial" w:eastAsia="Arial" w:hAnsi="Arial"/>
          <w:sz w:val="17"/>
          <w:szCs w:val="17"/>
          <w:color w:val="auto"/>
        </w:rPr>
        <w:t>has failed to pay within the “eligible claim days” as set forth in the applicable credit insurance agreement(s) for any such Accounts that are backed by credit insurance in form and substance satisfactory to Bank</w:t>
      </w:r>
    </w:p>
    <w:p>
      <w:pPr>
        <w:spacing w:after="0" w:line="169" w:lineRule="exact"/>
        <w:rPr>
          <w:rFonts w:ascii="Arial" w:cs="Arial" w:eastAsia="Arial" w:hAnsi="Arial"/>
          <w:sz w:val="17"/>
          <w:szCs w:val="17"/>
          <w:color w:val="auto"/>
        </w:rPr>
      </w:pPr>
    </w:p>
    <w:p>
      <w:pPr>
        <w:ind w:right="60" w:firstLine="634"/>
        <w:spacing w:after="0" w:line="298" w:lineRule="auto"/>
        <w:tabs>
          <w:tab w:leader="none" w:pos="1347" w:val="left"/>
        </w:tabs>
        <w:numPr>
          <w:ilvl w:val="1"/>
          <w:numId w:val="601"/>
        </w:numPr>
        <w:rPr>
          <w:rFonts w:ascii="Arial" w:cs="Arial" w:eastAsia="Arial" w:hAnsi="Arial"/>
          <w:sz w:val="16"/>
          <w:szCs w:val="16"/>
          <w:b w:val="1"/>
          <w:bCs w:val="1"/>
          <w:color w:val="auto"/>
        </w:rPr>
      </w:pPr>
      <w:r>
        <w:rPr>
          <w:rFonts w:ascii="Arial" w:cs="Arial" w:eastAsia="Arial" w:hAnsi="Arial"/>
          <w:sz w:val="16"/>
          <w:szCs w:val="16"/>
          <w:color w:val="auto"/>
        </w:rPr>
        <w:t>Accounts with respect to an account debtor, including Subsidiaries and Affiliates, whose total obligations to Borrower exceed twenty five percent (25%) of all Accounts (the “Concentration Limit”), to the extent such obligations exceed the aforementioned percentage, except as approved in writing by Bank and except that the Concentration Limit for Accounts with respect to which the account debtor is Cisco/SA shall be forty percent (40%);</w:t>
      </w:r>
    </w:p>
    <w:p>
      <w:pPr>
        <w:spacing w:after="0" w:line="153" w:lineRule="exact"/>
        <w:rPr>
          <w:rFonts w:ascii="Arial" w:cs="Arial" w:eastAsia="Arial" w:hAnsi="Arial"/>
          <w:sz w:val="16"/>
          <w:szCs w:val="16"/>
          <w:b w:val="1"/>
          <w:bCs w:val="1"/>
          <w:color w:val="auto"/>
        </w:rPr>
      </w:pPr>
    </w:p>
    <w:p>
      <w:pPr>
        <w:ind w:left="1360" w:hanging="726"/>
        <w:spacing w:after="0"/>
        <w:tabs>
          <w:tab w:leader="none" w:pos="1360" w:val="left"/>
        </w:tabs>
        <w:numPr>
          <w:ilvl w:val="1"/>
          <w:numId w:val="601"/>
        </w:numPr>
        <w:rPr>
          <w:rFonts w:ascii="Arial" w:cs="Arial" w:eastAsia="Arial" w:hAnsi="Arial"/>
          <w:sz w:val="15"/>
          <w:szCs w:val="15"/>
          <w:b w:val="1"/>
          <w:bCs w:val="1"/>
          <w:color w:val="auto"/>
        </w:rPr>
      </w:pPr>
      <w:r>
        <w:rPr>
          <w:rFonts w:ascii="Arial" w:cs="Arial" w:eastAsia="Arial" w:hAnsi="Arial"/>
          <w:sz w:val="15"/>
          <w:szCs w:val="15"/>
          <w:color w:val="auto"/>
        </w:rPr>
        <w:t>Accounts with respect to which the account debtor does not have its principal place of business in the United States, except for Eligible Foreign</w:t>
      </w:r>
    </w:p>
    <w:p>
      <w:pPr>
        <w:spacing w:after="0" w:line="49"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7"/>
          <w:szCs w:val="17"/>
          <w:color w:val="auto"/>
        </w:rPr>
        <w:t>Accounts;</w:t>
      </w:r>
    </w:p>
    <w:p>
      <w:pPr>
        <w:spacing w:after="0" w:line="212" w:lineRule="exact"/>
        <w:rPr>
          <w:rFonts w:ascii="Arial" w:cs="Arial" w:eastAsia="Arial" w:hAnsi="Arial"/>
          <w:sz w:val="15"/>
          <w:szCs w:val="15"/>
          <w:b w:val="1"/>
          <w:bCs w:val="1"/>
          <w:color w:val="auto"/>
        </w:rPr>
      </w:pPr>
    </w:p>
    <w:p>
      <w:pPr>
        <w:ind w:left="1360" w:hanging="726"/>
        <w:spacing w:after="0"/>
        <w:tabs>
          <w:tab w:leader="none" w:pos="1360" w:val="left"/>
        </w:tabs>
        <w:numPr>
          <w:ilvl w:val="1"/>
          <w:numId w:val="601"/>
        </w:numPr>
        <w:rPr>
          <w:rFonts w:ascii="Arial" w:cs="Arial" w:eastAsia="Arial" w:hAnsi="Arial"/>
          <w:sz w:val="16"/>
          <w:szCs w:val="16"/>
          <w:b w:val="1"/>
          <w:bCs w:val="1"/>
          <w:color w:val="auto"/>
        </w:rPr>
      </w:pPr>
      <w:r>
        <w:rPr>
          <w:rFonts w:ascii="Arial" w:cs="Arial" w:eastAsia="Arial" w:hAnsi="Arial"/>
          <w:sz w:val="16"/>
          <w:szCs w:val="16"/>
          <w:color w:val="auto"/>
        </w:rPr>
        <w:t>Accounts with respect to which the account debtor is the United States or any department, agency, or instrumentality of the United States;</w:t>
      </w:r>
    </w:p>
    <w:p>
      <w:pPr>
        <w:spacing w:after="0" w:line="235" w:lineRule="exact"/>
        <w:rPr>
          <w:rFonts w:ascii="Arial" w:cs="Arial" w:eastAsia="Arial" w:hAnsi="Arial"/>
          <w:sz w:val="16"/>
          <w:szCs w:val="16"/>
          <w:b w:val="1"/>
          <w:bCs w:val="1"/>
          <w:color w:val="auto"/>
        </w:rPr>
      </w:pPr>
    </w:p>
    <w:p>
      <w:pPr>
        <w:ind w:right="60" w:firstLine="634"/>
        <w:spacing w:after="0" w:line="289" w:lineRule="auto"/>
        <w:tabs>
          <w:tab w:leader="none" w:pos="1341" w:val="left"/>
        </w:tabs>
        <w:numPr>
          <w:ilvl w:val="1"/>
          <w:numId w:val="601"/>
        </w:numPr>
        <w:rPr>
          <w:rFonts w:ascii="Arial" w:cs="Arial" w:eastAsia="Arial" w:hAnsi="Arial"/>
          <w:sz w:val="17"/>
          <w:szCs w:val="17"/>
          <w:b w:val="1"/>
          <w:bCs w:val="1"/>
          <w:color w:val="auto"/>
        </w:rPr>
      </w:pPr>
      <w:r>
        <w:rPr>
          <w:rFonts w:ascii="Arial" w:cs="Arial" w:eastAsia="Arial" w:hAnsi="Arial"/>
          <w:sz w:val="17"/>
          <w:szCs w:val="17"/>
          <w:color w:val="auto"/>
        </w:rPr>
        <w:t>Accounts with respect to which Borrower is liable to the account debtor for goods sold or services rendered by the account debtor to Borrower, but only to the extent of any amounts owing to the account debtor against amounts owed to Borrower;</w:t>
      </w:r>
    </w:p>
    <w:p>
      <w:pPr>
        <w:spacing w:after="0" w:line="158" w:lineRule="exact"/>
        <w:rPr>
          <w:rFonts w:ascii="Arial" w:cs="Arial" w:eastAsia="Arial" w:hAnsi="Arial"/>
          <w:sz w:val="17"/>
          <w:szCs w:val="17"/>
          <w:b w:val="1"/>
          <w:bCs w:val="1"/>
          <w:color w:val="auto"/>
        </w:rPr>
      </w:pPr>
    </w:p>
    <w:p>
      <w:pPr>
        <w:ind w:right="420" w:firstLine="634"/>
        <w:spacing w:after="0" w:line="322" w:lineRule="auto"/>
        <w:tabs>
          <w:tab w:leader="none" w:pos="1344" w:val="left"/>
        </w:tabs>
        <w:numPr>
          <w:ilvl w:val="1"/>
          <w:numId w:val="601"/>
        </w:numPr>
        <w:rPr>
          <w:rFonts w:ascii="Arial" w:cs="Arial" w:eastAsia="Arial" w:hAnsi="Arial"/>
          <w:sz w:val="16"/>
          <w:szCs w:val="16"/>
          <w:b w:val="1"/>
          <w:bCs w:val="1"/>
          <w:color w:val="auto"/>
        </w:rPr>
      </w:pPr>
      <w:r>
        <w:rPr>
          <w:rFonts w:ascii="Arial" w:cs="Arial" w:eastAsia="Arial" w:hAnsi="Arial"/>
          <w:sz w:val="16"/>
          <w:szCs w:val="16"/>
          <w:color w:val="auto"/>
        </w:rPr>
        <w:t>Accounts with respect to which goods are placed on consignment, guaranteed sale, sale or return, sale on approval, bill and hold, demo or promotional, retentions and hold-backs, credit memo or other terms by reason of which the payment by the account debtor may be conditional;</w:t>
      </w:r>
    </w:p>
    <w:p>
      <w:pPr>
        <w:spacing w:after="0" w:line="135" w:lineRule="exact"/>
        <w:rPr>
          <w:rFonts w:ascii="Arial" w:cs="Arial" w:eastAsia="Arial" w:hAnsi="Arial"/>
          <w:sz w:val="16"/>
          <w:szCs w:val="16"/>
          <w:b w:val="1"/>
          <w:bCs w:val="1"/>
          <w:color w:val="auto"/>
        </w:rPr>
      </w:pPr>
    </w:p>
    <w:p>
      <w:pPr>
        <w:ind w:left="1360" w:hanging="726"/>
        <w:spacing w:after="0"/>
        <w:tabs>
          <w:tab w:leader="none" w:pos="1360" w:val="left"/>
        </w:tabs>
        <w:numPr>
          <w:ilvl w:val="1"/>
          <w:numId w:val="601"/>
        </w:numPr>
        <w:rPr>
          <w:rFonts w:ascii="Arial" w:cs="Arial" w:eastAsia="Arial" w:hAnsi="Arial"/>
          <w:sz w:val="17"/>
          <w:szCs w:val="17"/>
          <w:b w:val="1"/>
          <w:bCs w:val="1"/>
          <w:color w:val="auto"/>
        </w:rPr>
      </w:pPr>
      <w:r>
        <w:rPr>
          <w:rFonts w:ascii="Arial" w:cs="Arial" w:eastAsia="Arial" w:hAnsi="Arial"/>
          <w:sz w:val="17"/>
          <w:szCs w:val="17"/>
          <w:color w:val="auto"/>
        </w:rPr>
        <w:t>Accounts with respect to which the account debtor is an officer, employee, agent or Affiliate of Borrower;</w:t>
      </w:r>
    </w:p>
    <w:p>
      <w:pPr>
        <w:spacing w:after="0" w:line="224" w:lineRule="exact"/>
        <w:rPr>
          <w:rFonts w:ascii="Arial" w:cs="Arial" w:eastAsia="Arial" w:hAnsi="Arial"/>
          <w:sz w:val="17"/>
          <w:szCs w:val="17"/>
          <w:b w:val="1"/>
          <w:bCs w:val="1"/>
          <w:color w:val="auto"/>
        </w:rPr>
      </w:pPr>
    </w:p>
    <w:p>
      <w:pPr>
        <w:ind w:right="420" w:firstLine="634"/>
        <w:spacing w:after="0" w:line="322" w:lineRule="auto"/>
        <w:tabs>
          <w:tab w:leader="none" w:pos="1345" w:val="left"/>
        </w:tabs>
        <w:numPr>
          <w:ilvl w:val="1"/>
          <w:numId w:val="601"/>
        </w:numPr>
        <w:rPr>
          <w:rFonts w:ascii="Arial" w:cs="Arial" w:eastAsia="Arial" w:hAnsi="Arial"/>
          <w:sz w:val="16"/>
          <w:szCs w:val="16"/>
          <w:b w:val="1"/>
          <w:bCs w:val="1"/>
          <w:color w:val="auto"/>
        </w:rPr>
      </w:pPr>
      <w:r>
        <w:rPr>
          <w:rFonts w:ascii="Arial" w:cs="Arial" w:eastAsia="Arial" w:hAnsi="Arial"/>
          <w:sz w:val="16"/>
          <w:szCs w:val="16"/>
          <w:color w:val="auto"/>
        </w:rPr>
        <w:t>Accounts that have not yet been billed to the account debtor or that relate to deposits (such as good faith deposits) or other property of the account debtor held by Borrower for the performance of services or delivery of goods which Borrower has not yet performed or delivered;</w:t>
      </w:r>
    </w:p>
    <w:p>
      <w:pPr>
        <w:spacing w:after="0" w:line="135" w:lineRule="exact"/>
        <w:rPr>
          <w:rFonts w:ascii="Arial" w:cs="Arial" w:eastAsia="Arial" w:hAnsi="Arial"/>
          <w:sz w:val="16"/>
          <w:szCs w:val="16"/>
          <w:b w:val="1"/>
          <w:bCs w:val="1"/>
          <w:color w:val="auto"/>
        </w:rPr>
      </w:pPr>
    </w:p>
    <w:p>
      <w:pPr>
        <w:ind w:right="180" w:firstLine="634"/>
        <w:spacing w:after="0" w:line="273" w:lineRule="auto"/>
        <w:tabs>
          <w:tab w:leader="none" w:pos="1354" w:val="left"/>
        </w:tabs>
        <w:numPr>
          <w:ilvl w:val="1"/>
          <w:numId w:val="601"/>
        </w:numPr>
        <w:rPr>
          <w:rFonts w:ascii="Arial" w:cs="Arial" w:eastAsia="Arial" w:hAnsi="Arial"/>
          <w:sz w:val="17"/>
          <w:szCs w:val="17"/>
          <w:b w:val="1"/>
          <w:bCs w:val="1"/>
          <w:color w:val="auto"/>
        </w:rPr>
      </w:pPr>
      <w:r>
        <w:rPr>
          <w:rFonts w:ascii="Arial" w:cs="Arial" w:eastAsia="Arial" w:hAnsi="Arial"/>
          <w:sz w:val="17"/>
          <w:szCs w:val="17"/>
          <w:color w:val="auto"/>
        </w:rPr>
        <w:t>Accounts with respect to which the account debtor disputes liability or makes any claim with respect thereto as to which Bank believes, in its sole discretion, that there may be a basis for dispute (but only to the extent of the amount subject to such dispute or claim), or is subject to any Insolvency Proceeding, or becomes insolvent, or goes out of business;</w:t>
      </w:r>
    </w:p>
    <w:p>
      <w:pPr>
        <w:spacing w:after="0" w:line="171" w:lineRule="exact"/>
        <w:rPr>
          <w:rFonts w:ascii="Arial" w:cs="Arial" w:eastAsia="Arial" w:hAnsi="Arial"/>
          <w:sz w:val="17"/>
          <w:szCs w:val="17"/>
          <w:b w:val="1"/>
          <w:bCs w:val="1"/>
          <w:color w:val="auto"/>
        </w:rPr>
      </w:pPr>
    </w:p>
    <w:p>
      <w:pPr>
        <w:ind w:left="1280" w:hanging="646"/>
        <w:spacing w:after="0"/>
        <w:tabs>
          <w:tab w:leader="none" w:pos="1280" w:val="left"/>
        </w:tabs>
        <w:numPr>
          <w:ilvl w:val="1"/>
          <w:numId w:val="601"/>
        </w:numPr>
        <w:rPr>
          <w:rFonts w:ascii="Arial" w:cs="Arial" w:eastAsia="Arial" w:hAnsi="Arial"/>
          <w:sz w:val="17"/>
          <w:szCs w:val="17"/>
          <w:b w:val="1"/>
          <w:bCs w:val="1"/>
          <w:color w:val="auto"/>
        </w:rPr>
      </w:pPr>
      <w:r>
        <w:rPr>
          <w:rFonts w:ascii="Arial" w:cs="Arial" w:eastAsia="Arial" w:hAnsi="Arial"/>
          <w:sz w:val="17"/>
          <w:szCs w:val="17"/>
          <w:color w:val="auto"/>
        </w:rPr>
        <w:t>Customer deposits; and</w:t>
      </w:r>
    </w:p>
    <w:p>
      <w:pPr>
        <w:spacing w:after="0" w:line="224" w:lineRule="exact"/>
        <w:rPr>
          <w:rFonts w:ascii="Arial" w:cs="Arial" w:eastAsia="Arial" w:hAnsi="Arial"/>
          <w:sz w:val="17"/>
          <w:szCs w:val="17"/>
          <w:b w:val="1"/>
          <w:bCs w:val="1"/>
          <w:color w:val="auto"/>
        </w:rPr>
      </w:pPr>
    </w:p>
    <w:p>
      <w:pPr>
        <w:ind w:left="1280" w:hanging="646"/>
        <w:spacing w:after="0"/>
        <w:tabs>
          <w:tab w:leader="none" w:pos="1280" w:val="left"/>
        </w:tabs>
        <w:numPr>
          <w:ilvl w:val="1"/>
          <w:numId w:val="601"/>
        </w:numPr>
        <w:rPr>
          <w:rFonts w:ascii="Arial" w:cs="Arial" w:eastAsia="Arial" w:hAnsi="Arial"/>
          <w:sz w:val="17"/>
          <w:szCs w:val="17"/>
          <w:b w:val="1"/>
          <w:bCs w:val="1"/>
          <w:color w:val="auto"/>
        </w:rPr>
      </w:pPr>
      <w:r>
        <w:rPr>
          <w:rFonts w:ascii="Arial" w:cs="Arial" w:eastAsia="Arial" w:hAnsi="Arial"/>
          <w:sz w:val="17"/>
          <w:szCs w:val="17"/>
          <w:color w:val="auto"/>
        </w:rPr>
        <w:t>Accounts the collection of which Bank reasonably determines to be doubtful.</w:t>
      </w:r>
    </w:p>
    <w:p>
      <w:pPr>
        <w:sectPr>
          <w:pgSz w:w="11900" w:h="16838" w:orient="portrait"/>
          <w:cols w:equalWidth="0" w:num="1">
            <w:col w:w="11400"/>
          </w:cols>
          <w:pgMar w:left="240" w:top="127" w:right="259" w:bottom="0" w:gutter="0" w:footer="0" w:header="0"/>
        </w:sectPr>
      </w:pPr>
    </w:p>
    <w:bookmarkStart w:id="384" w:name="page385"/>
    <w:bookmarkEnd w:id="384"/>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“Eligible Foreign Accounts” means Accounts with respect to which the account debtor does not have its principal place of business in the United States and that arise from “drop shipment” (invoiced by Borrower but shipped from Global Technology, Inc., Applied Optoelectronics Taiwan or other foreign contractors of Borrower) whereby such Accounts are (i) backed by foreign credit insurance or letters of credit reasonably acceptable to Bank or (ii) with publicly traded foreign companies or a foreign subsidiary of a U.S. publicly traded company; and approved by EXIM Bank and EXIM Program s Department of Bank on a case-by-case basis. All Eligible Foreign Accounts must be calculated in U.S. Dollars.</w:t>
      </w:r>
    </w:p>
    <w:p>
      <w:pPr>
        <w:spacing w:after="0" w:line="179" w:lineRule="exact"/>
        <w:rPr>
          <w:sz w:val="20"/>
          <w:szCs w:val="20"/>
          <w:color w:val="auto"/>
        </w:rPr>
      </w:pPr>
    </w:p>
    <w:p>
      <w:pPr>
        <w:ind w:right="240" w:firstLine="629"/>
        <w:spacing w:after="0" w:line="268" w:lineRule="auto"/>
        <w:rPr>
          <w:sz w:val="20"/>
          <w:szCs w:val="20"/>
          <w:color w:val="auto"/>
        </w:rPr>
      </w:pPr>
      <w:r>
        <w:rPr>
          <w:rFonts w:ascii="Arial" w:cs="Arial" w:eastAsia="Arial" w:hAnsi="Arial"/>
          <w:sz w:val="17"/>
          <w:szCs w:val="17"/>
          <w:color w:val="auto"/>
        </w:rPr>
        <w:t>“Eligible Export-Related Accounts” means Eligible Export-Related Accounts Receivable as defined in the Borrower Agreement. Unless otherwise agreed to by Bank, Eligible Export-Related Accounts shall not include the following: Eligible Accounts, ineligible receivables as specified in the Borrower Agreement, receivables that do not comply with the requirements of EXIM’s most recent Country Limitation Schedule; or Accounts that the account debtor has failed to pay in full within 60 days of invoice date.</w:t>
      </w:r>
    </w:p>
    <w:p>
      <w:pPr>
        <w:spacing w:after="0" w:line="176"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“Eligible Export-Related Inventory” means eligible Export-Related Inventory as defined under Borrower Agreement and EXIM guidelines and as acceptable to Bank, including without limitation, minimum domestic content of fifty percent (50%). Unless otherwise agreed to by Bank, Eligible Export-Related Inventory shall not include the following: Eligible Inventory, Inventory not supported by export purchase orders, or ineligible inventory as specified in the Borrower Agreement.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“Eligible Inventory” means finished goods inventory located in the United States that is acceptable to Bank.</w:t>
      </w:r>
    </w:p>
    <w:p>
      <w:pPr>
        <w:spacing w:after="0" w:line="224"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“Environmental Laws” means all laws, rules, regulations, orders and the like issued by any federal state, local foreign or other governmental or quasi-governmental authority or any agency pertaining to the environment or to any hazardous materials or wastes, toxic substances, flammable, explosive or radioactive materials, asbestos or other similar materials.</w:t>
      </w:r>
    </w:p>
    <w:p>
      <w:pPr>
        <w:spacing w:after="0" w:line="172"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“Equipment” means all present and future machinery, equipment, tenant improvements, furniture, fixtures, vehicles, tools, parts and attachments in which Borrower has any interest.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“Equipment Advance(s)” means a cash advance or cash advances under the Equipment Line.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“Equipment Facility” or “Equipment Line” means a Credit Extension of up to $2,137,243.61.</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“Equipment Maturity Date” means September 6, 2010.</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“ERISA” means the Employee Retirement Income Security Act of 1974, as amended, and the regulations thereunder.</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“Event of Default” has the meaning assigned in Article 8.</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“EXIM” means the Export Import Bank of the United States.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“EXIM Advance” means a cash advance or cash advances under the EXIM Line.</w:t>
      </w:r>
    </w:p>
    <w:p>
      <w:pPr>
        <w:spacing w:after="0" w:line="224"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“EXIM Borrowing Base” means an amount equal to 90% of Eligible Export-Related Accounts plus 75% of Eligible Export-Related Inventory, as determined by Bank with reference to the most recent Export Related Borrowing Base Certificate delivered by Borrower; provided, however that Eligible Export-Related Inventory shall not exceed sixty percent (60%) of the aggregate EXIM Borrowing Base.</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“EXIM Line” means a Credit Extension of up to $3,500,000.</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“EXIM Maturity Date” means May 20, 2010.</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“GAAP” means generally accepted accounting principles, consistently applied, as in effect from time to time.</w:t>
      </w:r>
    </w:p>
    <w:p>
      <w:pPr>
        <w:spacing w:after="0" w:line="224" w:lineRule="exact"/>
        <w:rPr>
          <w:sz w:val="20"/>
          <w:szCs w:val="20"/>
          <w:color w:val="auto"/>
        </w:rPr>
      </w:pPr>
    </w:p>
    <w:p>
      <w:pPr>
        <w:ind w:right="520" w:firstLine="629"/>
        <w:spacing w:after="0" w:line="273" w:lineRule="auto"/>
        <w:rPr>
          <w:sz w:val="20"/>
          <w:szCs w:val="20"/>
          <w:color w:val="auto"/>
        </w:rPr>
      </w:pPr>
      <w:r>
        <w:rPr>
          <w:rFonts w:ascii="Arial" w:cs="Arial" w:eastAsia="Arial" w:hAnsi="Arial"/>
          <w:sz w:val="17"/>
          <w:szCs w:val="17"/>
          <w:color w:val="auto"/>
        </w:rPr>
        <w:t>“Indebtedness” means (a) all indebtedness for borrowed money or the deferred purchase price of property or services, including without limitation reimbursement and other obligations with respect to surety bonds and letters of credit, (b) all obligations evidenced by notes, bonds, debentures or similar instruments, (c) all capital lease obligations, and (d) all Contingent Obligations.</w:t>
      </w:r>
    </w:p>
    <w:p>
      <w:pPr>
        <w:spacing w:after="0" w:line="172" w:lineRule="exact"/>
        <w:rPr>
          <w:sz w:val="20"/>
          <w:szCs w:val="20"/>
          <w:color w:val="auto"/>
        </w:rPr>
      </w:pPr>
    </w:p>
    <w:p>
      <w:pPr>
        <w:ind w:right="400" w:firstLine="629"/>
        <w:spacing w:after="0" w:line="289" w:lineRule="auto"/>
        <w:rPr>
          <w:sz w:val="20"/>
          <w:szCs w:val="20"/>
          <w:color w:val="auto"/>
        </w:rPr>
      </w:pPr>
      <w:r>
        <w:rPr>
          <w:rFonts w:ascii="Arial" w:cs="Arial" w:eastAsia="Arial" w:hAnsi="Arial"/>
          <w:sz w:val="17"/>
          <w:szCs w:val="17"/>
          <w:color w:val="auto"/>
        </w:rPr>
        <w:t>“Insolvency Proceeding” means any proceeding commenced by or against any Person or entity under any provision of the United States Bankruptcy Code, as amended, or under any other bankruptcy or insolvency law, including assignments for the benefit of creditors.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“Intellectual Property Collateral” means all of Borrower’s right, title, and interest in and to the following:</w:t>
      </w:r>
    </w:p>
    <w:p>
      <w:pPr>
        <w:spacing w:after="0" w:line="224" w:lineRule="exact"/>
        <w:rPr>
          <w:sz w:val="20"/>
          <w:szCs w:val="20"/>
          <w:color w:val="auto"/>
        </w:rPr>
      </w:pPr>
    </w:p>
    <w:p>
      <w:pPr>
        <w:ind w:left="1280" w:hanging="567"/>
        <w:spacing w:after="0"/>
        <w:tabs>
          <w:tab w:leader="none" w:pos="1280" w:val="left"/>
        </w:tabs>
        <w:numPr>
          <w:ilvl w:val="0"/>
          <w:numId w:val="602"/>
        </w:numPr>
        <w:rPr>
          <w:rFonts w:ascii="Arial" w:cs="Arial" w:eastAsia="Arial" w:hAnsi="Arial"/>
          <w:sz w:val="17"/>
          <w:szCs w:val="17"/>
          <w:b w:val="1"/>
          <w:bCs w:val="1"/>
          <w:color w:val="auto"/>
        </w:rPr>
      </w:pPr>
      <w:r>
        <w:rPr>
          <w:rFonts w:ascii="Arial" w:cs="Arial" w:eastAsia="Arial" w:hAnsi="Arial"/>
          <w:sz w:val="17"/>
          <w:szCs w:val="17"/>
          <w:color w:val="auto"/>
        </w:rPr>
        <w:t>Copyrights, Trademarks and Patents;</w:t>
      </w:r>
    </w:p>
    <w:p>
      <w:pPr>
        <w:spacing w:after="0" w:line="224" w:lineRule="exact"/>
        <w:rPr>
          <w:rFonts w:ascii="Arial" w:cs="Arial" w:eastAsia="Arial" w:hAnsi="Arial"/>
          <w:sz w:val="17"/>
          <w:szCs w:val="17"/>
          <w:b w:val="1"/>
          <w:bCs w:val="1"/>
          <w:color w:val="auto"/>
        </w:rPr>
      </w:pPr>
    </w:p>
    <w:p>
      <w:pPr>
        <w:ind w:right="320" w:firstLine="713"/>
        <w:spacing w:after="0" w:line="289" w:lineRule="auto"/>
        <w:tabs>
          <w:tab w:leader="none" w:pos="1275" w:val="left"/>
        </w:tabs>
        <w:numPr>
          <w:ilvl w:val="0"/>
          <w:numId w:val="602"/>
        </w:numPr>
        <w:rPr>
          <w:rFonts w:ascii="Arial" w:cs="Arial" w:eastAsia="Arial" w:hAnsi="Arial"/>
          <w:sz w:val="17"/>
          <w:szCs w:val="17"/>
          <w:b w:val="1"/>
          <w:bCs w:val="1"/>
          <w:color w:val="auto"/>
        </w:rPr>
      </w:pPr>
      <w:r>
        <w:rPr>
          <w:rFonts w:ascii="Arial" w:cs="Arial" w:eastAsia="Arial" w:hAnsi="Arial"/>
          <w:sz w:val="17"/>
          <w:szCs w:val="17"/>
          <w:color w:val="auto"/>
        </w:rPr>
        <w:t>Any and all trade secrets, and any and all intellectual property rights in computer software and computer software products now or hereafter existing, created, acquired or held;</w:t>
      </w:r>
    </w:p>
    <w:p>
      <w:pPr>
        <w:spacing w:after="0" w:line="158" w:lineRule="exact"/>
        <w:rPr>
          <w:rFonts w:ascii="Arial" w:cs="Arial" w:eastAsia="Arial" w:hAnsi="Arial"/>
          <w:sz w:val="17"/>
          <w:szCs w:val="17"/>
          <w:b w:val="1"/>
          <w:bCs w:val="1"/>
          <w:color w:val="auto"/>
        </w:rPr>
      </w:pPr>
    </w:p>
    <w:p>
      <w:pPr>
        <w:ind w:left="1280" w:hanging="567"/>
        <w:spacing w:after="0"/>
        <w:tabs>
          <w:tab w:leader="none" w:pos="1280" w:val="left"/>
        </w:tabs>
        <w:numPr>
          <w:ilvl w:val="0"/>
          <w:numId w:val="602"/>
        </w:numPr>
        <w:rPr>
          <w:rFonts w:ascii="Arial" w:cs="Arial" w:eastAsia="Arial" w:hAnsi="Arial"/>
          <w:sz w:val="17"/>
          <w:szCs w:val="17"/>
          <w:b w:val="1"/>
          <w:bCs w:val="1"/>
          <w:color w:val="auto"/>
        </w:rPr>
      </w:pPr>
      <w:r>
        <w:rPr>
          <w:rFonts w:ascii="Arial" w:cs="Arial" w:eastAsia="Arial" w:hAnsi="Arial"/>
          <w:sz w:val="17"/>
          <w:szCs w:val="17"/>
          <w:color w:val="auto"/>
        </w:rPr>
        <w:t>Any and all design rights which may be available to Borrower now or hereafter existing, created, acquired or held;</w:t>
      </w:r>
    </w:p>
    <w:p>
      <w:pPr>
        <w:spacing w:after="0" w:line="224" w:lineRule="exact"/>
        <w:rPr>
          <w:rFonts w:ascii="Arial" w:cs="Arial" w:eastAsia="Arial" w:hAnsi="Arial"/>
          <w:sz w:val="17"/>
          <w:szCs w:val="17"/>
          <w:b w:val="1"/>
          <w:bCs w:val="1"/>
          <w:color w:val="auto"/>
        </w:rPr>
      </w:pPr>
    </w:p>
    <w:p>
      <w:pPr>
        <w:ind w:right="200" w:firstLine="713"/>
        <w:spacing w:after="0" w:line="289" w:lineRule="auto"/>
        <w:tabs>
          <w:tab w:leader="none" w:pos="1275" w:val="left"/>
        </w:tabs>
        <w:numPr>
          <w:ilvl w:val="0"/>
          <w:numId w:val="602"/>
        </w:numPr>
        <w:rPr>
          <w:rFonts w:ascii="Arial" w:cs="Arial" w:eastAsia="Arial" w:hAnsi="Arial"/>
          <w:sz w:val="17"/>
          <w:szCs w:val="17"/>
          <w:b w:val="1"/>
          <w:bCs w:val="1"/>
          <w:color w:val="auto"/>
        </w:rPr>
      </w:pPr>
      <w:r>
        <w:rPr>
          <w:rFonts w:ascii="Arial" w:cs="Arial" w:eastAsia="Arial" w:hAnsi="Arial"/>
          <w:sz w:val="17"/>
          <w:szCs w:val="17"/>
          <w:color w:val="auto"/>
        </w:rPr>
        <w:t>Any and all claims for damages by way of past, present and future infringement of any of the rights included above, with the right, but not the obligation, to sue for and collect such damages for said use or infringement of the intellectual property rights identified above;</w:t>
      </w:r>
    </w:p>
    <w:p>
      <w:pPr>
        <w:spacing w:after="0" w:line="158" w:lineRule="exact"/>
        <w:rPr>
          <w:rFonts w:ascii="Arial" w:cs="Arial" w:eastAsia="Arial" w:hAnsi="Arial"/>
          <w:sz w:val="17"/>
          <w:szCs w:val="17"/>
          <w:b w:val="1"/>
          <w:bCs w:val="1"/>
          <w:color w:val="auto"/>
        </w:rPr>
      </w:pPr>
    </w:p>
    <w:p>
      <w:pPr>
        <w:ind w:right="260" w:firstLine="713"/>
        <w:spacing w:after="0" w:line="289" w:lineRule="auto"/>
        <w:tabs>
          <w:tab w:leader="none" w:pos="1269" w:val="left"/>
        </w:tabs>
        <w:numPr>
          <w:ilvl w:val="0"/>
          <w:numId w:val="602"/>
        </w:numPr>
        <w:rPr>
          <w:rFonts w:ascii="Arial" w:cs="Arial" w:eastAsia="Arial" w:hAnsi="Arial"/>
          <w:sz w:val="17"/>
          <w:szCs w:val="17"/>
          <w:b w:val="1"/>
          <w:bCs w:val="1"/>
          <w:color w:val="auto"/>
        </w:rPr>
      </w:pPr>
      <w:r>
        <w:rPr>
          <w:rFonts w:ascii="Arial" w:cs="Arial" w:eastAsia="Arial" w:hAnsi="Arial"/>
          <w:sz w:val="17"/>
          <w:szCs w:val="17"/>
          <w:color w:val="auto"/>
        </w:rPr>
        <w:t>All licenses or other rights to use any of the Copyrights, Patents or Trademarks, and all license fees and royalties arising from such use to the extent permitted by such license or rights;</w:t>
      </w:r>
    </w:p>
    <w:p>
      <w:pPr>
        <w:sectPr>
          <w:pgSz w:w="11900" w:h="16871" w:orient="portrait"/>
          <w:cols w:equalWidth="0" w:num="1">
            <w:col w:w="11400"/>
          </w:cols>
          <w:pgMar w:left="240" w:top="127" w:right="259" w:bottom="0" w:gutter="0" w:footer="0" w:header="0"/>
        </w:sectPr>
      </w:pPr>
    </w:p>
    <w:bookmarkStart w:id="385" w:name="page386"/>
    <w:bookmarkEnd w:id="385"/>
    <w:p>
      <w:pPr>
        <w:ind w:left="1280" w:hanging="576"/>
        <w:spacing w:after="0"/>
        <w:tabs>
          <w:tab w:leader="none" w:pos="1280" w:val="left"/>
        </w:tabs>
        <w:numPr>
          <w:ilvl w:val="0"/>
          <w:numId w:val="603"/>
        </w:numPr>
        <w:rPr>
          <w:rFonts w:ascii="Arial" w:cs="Arial" w:eastAsia="Arial" w:hAnsi="Arial"/>
          <w:sz w:val="17"/>
          <w:szCs w:val="17"/>
          <w:b w:val="1"/>
          <w:bCs w:val="1"/>
          <w:color w:val="auto"/>
        </w:rPr>
      </w:pPr>
      <w:r>
        <w:rPr>
          <w:rFonts w:ascii="Arial" w:cs="Arial" w:eastAsia="Arial" w:hAnsi="Arial"/>
          <w:sz w:val="17"/>
          <w:szCs w:val="17"/>
          <w:color w:val="auto"/>
        </w:rPr>
        <w:t>All amendments, renewals and extensions of any of the Copyrights, Trademarks or Patents; and</w:t>
      </w:r>
    </w:p>
    <w:p>
      <w:pPr>
        <w:spacing w:after="0" w:line="224" w:lineRule="exact"/>
        <w:rPr>
          <w:rFonts w:ascii="Arial" w:cs="Arial" w:eastAsia="Arial" w:hAnsi="Arial"/>
          <w:sz w:val="17"/>
          <w:szCs w:val="17"/>
          <w:b w:val="1"/>
          <w:bCs w:val="1"/>
          <w:color w:val="auto"/>
        </w:rPr>
      </w:pPr>
    </w:p>
    <w:p>
      <w:pPr>
        <w:ind w:right="100" w:firstLine="713"/>
        <w:spacing w:after="0" w:line="289" w:lineRule="auto"/>
        <w:tabs>
          <w:tab w:leader="none" w:pos="1266" w:val="left"/>
        </w:tabs>
        <w:numPr>
          <w:ilvl w:val="0"/>
          <w:numId w:val="603"/>
        </w:numPr>
        <w:rPr>
          <w:rFonts w:ascii="Arial" w:cs="Arial" w:eastAsia="Arial" w:hAnsi="Arial"/>
          <w:sz w:val="17"/>
          <w:szCs w:val="17"/>
          <w:b w:val="1"/>
          <w:bCs w:val="1"/>
          <w:color w:val="auto"/>
        </w:rPr>
      </w:pPr>
      <w:r>
        <w:rPr>
          <w:rFonts w:ascii="Arial" w:cs="Arial" w:eastAsia="Arial" w:hAnsi="Arial"/>
          <w:sz w:val="17"/>
          <w:szCs w:val="17"/>
          <w:color w:val="auto"/>
        </w:rPr>
        <w:t>All proceeds and products of the foregoing, including without limitation all payments under insurance or any indemnity or warranty payable in respect of any of the foregoing.</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“Inventory” means all present and future inventory in which Borrower has any interest.</w:t>
      </w:r>
    </w:p>
    <w:p>
      <w:pPr>
        <w:spacing w:after="0" w:line="224"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“Investment” means any beneficial ownership of (including stock, partnership or limited liability company interest or other securities) any Person, or any loan, advance or capital contribution to any Person.</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“IRC” means the Internal Revenue Code of 1986, as amended, and the regulations thereunder.</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“Lien” means any mortgage, lien, deed of trust, charge, pledge, security interest or other encumbrance.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“Liquidity” means the sum of Cash plus the net amount of Credit Extensions available under the Revolving Line.</w:t>
      </w:r>
    </w:p>
    <w:p>
      <w:pPr>
        <w:spacing w:after="0" w:line="224" w:lineRule="exact"/>
        <w:rPr>
          <w:sz w:val="20"/>
          <w:szCs w:val="20"/>
          <w:color w:val="auto"/>
        </w:rPr>
      </w:pPr>
    </w:p>
    <w:p>
      <w:pPr>
        <w:ind w:right="400" w:firstLine="629"/>
        <w:spacing w:after="0" w:line="289" w:lineRule="auto"/>
        <w:rPr>
          <w:sz w:val="20"/>
          <w:szCs w:val="20"/>
          <w:color w:val="auto"/>
        </w:rPr>
      </w:pPr>
      <w:r>
        <w:rPr>
          <w:rFonts w:ascii="Arial" w:cs="Arial" w:eastAsia="Arial" w:hAnsi="Arial"/>
          <w:sz w:val="17"/>
          <w:szCs w:val="17"/>
          <w:color w:val="auto"/>
        </w:rPr>
        <w:t>“Loan Documents” means, collectively, this Agreement, any note or notes executed by Borrower, and any other document, instrument or agreement entered into in connection with this Agreement, including the Borrower Agreement, all as amended or extended from time to time.</w:t>
      </w:r>
    </w:p>
    <w:p>
      <w:pPr>
        <w:spacing w:after="0" w:line="158" w:lineRule="exact"/>
        <w:rPr>
          <w:sz w:val="20"/>
          <w:szCs w:val="20"/>
          <w:color w:val="auto"/>
        </w:rPr>
      </w:pPr>
    </w:p>
    <w:p>
      <w:pPr>
        <w:ind w:right="20" w:firstLine="629"/>
        <w:spacing w:after="0" w:line="281" w:lineRule="auto"/>
        <w:rPr>
          <w:sz w:val="20"/>
          <w:szCs w:val="20"/>
          <w:color w:val="auto"/>
        </w:rPr>
      </w:pPr>
      <w:r>
        <w:rPr>
          <w:rFonts w:ascii="Arial" w:cs="Arial" w:eastAsia="Arial" w:hAnsi="Arial"/>
          <w:sz w:val="16"/>
          <w:szCs w:val="16"/>
          <w:color w:val="auto"/>
        </w:rPr>
        <w:t>“Material Adverse Effect” means a material adverse effect on (i) the business operations, condition (financial or otherwise) or prospects of Borrower and its Subsidiaries taken as a whole, (ii) the ability of Borrower to repay the Obligations or otherwise perform its obligations under the Loan Documents,</w:t>
      </w:r>
    </w:p>
    <w:p>
      <w:pPr>
        <w:spacing w:after="0" w:line="1" w:lineRule="exact"/>
        <w:rPr>
          <w:sz w:val="20"/>
          <w:szCs w:val="20"/>
          <w:color w:val="auto"/>
        </w:rPr>
      </w:pPr>
    </w:p>
    <w:p>
      <w:pPr>
        <w:ind w:left="5680" w:right="3960" w:hanging="5675"/>
        <w:spacing w:after="0" w:line="532" w:lineRule="auto"/>
        <w:tabs>
          <w:tab w:leader="none" w:pos="320" w:val="left"/>
        </w:tabs>
        <w:numPr>
          <w:ilvl w:val="0"/>
          <w:numId w:val="604"/>
        </w:numPr>
        <w:rPr>
          <w:rFonts w:ascii="Arial" w:cs="Arial" w:eastAsia="Arial" w:hAnsi="Arial"/>
          <w:sz w:val="17"/>
          <w:szCs w:val="17"/>
          <w:color w:val="auto"/>
        </w:rPr>
      </w:pPr>
      <w:r>
        <w:rPr>
          <w:rFonts w:ascii="Arial" w:cs="Arial" w:eastAsia="Arial" w:hAnsi="Arial"/>
          <w:sz w:val="17"/>
          <w:szCs w:val="17"/>
          <w:color w:val="auto"/>
        </w:rPr>
        <w:t>Borrower’s interest in, or the value, perfection or priority of Bank’s security interest in the Collateral.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“Negotiable Collateral” means all of Borrower’s present and future letters of credit of which it is a beneficiary, drafts, instruments (including promissory notes), securities, documents of title, and chattel paper, and Borrower’s Books relating to any of the foregoing.</w:t>
      </w:r>
    </w:p>
    <w:p>
      <w:pPr>
        <w:spacing w:after="0" w:line="158" w:lineRule="exact"/>
        <w:rPr>
          <w:sz w:val="20"/>
          <w:szCs w:val="20"/>
          <w:color w:val="auto"/>
        </w:rPr>
      </w:pPr>
    </w:p>
    <w:p>
      <w:pPr>
        <w:ind w:firstLine="629"/>
        <w:spacing w:after="0" w:line="326" w:lineRule="auto"/>
        <w:rPr>
          <w:sz w:val="20"/>
          <w:szCs w:val="20"/>
          <w:color w:val="auto"/>
        </w:rPr>
      </w:pPr>
      <w:r>
        <w:rPr>
          <w:rFonts w:ascii="Arial" w:cs="Arial" w:eastAsia="Arial" w:hAnsi="Arial"/>
          <w:sz w:val="15"/>
          <w:szCs w:val="15"/>
          <w:color w:val="auto"/>
        </w:rPr>
        <w:t>“Obligations” means all debt, principal, interest, Bank Expenses and other amounts owed to Bank by Borrower pursuant to this Agreement or any other agreement, whether absolute or contingent, due or to become due, now existing or hereafter arising, including any interest that accrues after the commencement of an Insolvency Proceeding and including any debt, liability, or obligation owing from Borrower to others that Bank may have obtained by assignment or otherwise.</w:t>
      </w:r>
    </w:p>
    <w:p>
      <w:pPr>
        <w:spacing w:after="0" w:line="136" w:lineRule="exact"/>
        <w:rPr>
          <w:sz w:val="20"/>
          <w:szCs w:val="20"/>
          <w:color w:val="auto"/>
        </w:rPr>
      </w:pPr>
    </w:p>
    <w:p>
      <w:pPr>
        <w:ind w:right="240" w:firstLine="629"/>
        <w:spacing w:after="0" w:line="360" w:lineRule="auto"/>
        <w:rPr>
          <w:sz w:val="20"/>
          <w:szCs w:val="20"/>
          <w:color w:val="auto"/>
        </w:rPr>
      </w:pPr>
      <w:r>
        <w:rPr>
          <w:rFonts w:ascii="Arial" w:cs="Arial" w:eastAsia="Arial" w:hAnsi="Arial"/>
          <w:sz w:val="15"/>
          <w:szCs w:val="15"/>
          <w:color w:val="auto"/>
        </w:rPr>
        <w:t>“Orderly Liquidation Value” means the estimated gross amount, expressed in terms of money, that could typically be realized from a failed facility, assuming that the entire facility would be sold intact with a limited time to complete the sale (6 months) as of a specified date, e.g., the effective appraisal date.</w:t>
      </w:r>
    </w:p>
    <w:p>
      <w:pPr>
        <w:spacing w:after="0" w:line="112" w:lineRule="exact"/>
        <w:rPr>
          <w:sz w:val="20"/>
          <w:szCs w:val="20"/>
          <w:color w:val="auto"/>
        </w:rPr>
      </w:pPr>
    </w:p>
    <w:p>
      <w:pPr>
        <w:ind w:right="440" w:firstLine="629"/>
        <w:spacing w:after="0" w:line="289" w:lineRule="auto"/>
        <w:rPr>
          <w:sz w:val="20"/>
          <w:szCs w:val="20"/>
          <w:color w:val="auto"/>
        </w:rPr>
      </w:pPr>
      <w:r>
        <w:rPr>
          <w:rFonts w:ascii="Arial" w:cs="Arial" w:eastAsia="Arial" w:hAnsi="Arial"/>
          <w:sz w:val="17"/>
          <w:szCs w:val="17"/>
          <w:color w:val="auto"/>
        </w:rPr>
        <w:t>“Patents” means all patents, patent applications and like protections including without limitation improvements, divisions, continuations, renewals, reissues, extensions and continuations-in-part of the same.</w:t>
      </w:r>
    </w:p>
    <w:p>
      <w:pPr>
        <w:spacing w:after="0" w:line="158"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“Periodic Payments” means all installments or similar recurring payments that Borrower may now or hereafter become obligated to pay to Bank pursuant to the terms and provisions of any instrument, or agreement now or hereafter in existence between Borrower and Bank.</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“Permitted Indebtedness” means:</w:t>
      </w:r>
    </w:p>
    <w:p>
      <w:pPr>
        <w:spacing w:after="0" w:line="224" w:lineRule="exact"/>
        <w:rPr>
          <w:sz w:val="20"/>
          <w:szCs w:val="20"/>
          <w:color w:val="auto"/>
        </w:rPr>
      </w:pPr>
    </w:p>
    <w:p>
      <w:pPr>
        <w:ind w:left="1280" w:hanging="646"/>
        <w:spacing w:after="0"/>
        <w:tabs>
          <w:tab w:leader="none" w:pos="1280" w:val="left"/>
        </w:tabs>
        <w:numPr>
          <w:ilvl w:val="0"/>
          <w:numId w:val="605"/>
        </w:numPr>
        <w:rPr>
          <w:rFonts w:ascii="Arial" w:cs="Arial" w:eastAsia="Arial" w:hAnsi="Arial"/>
          <w:sz w:val="17"/>
          <w:szCs w:val="17"/>
          <w:b w:val="1"/>
          <w:bCs w:val="1"/>
          <w:color w:val="auto"/>
        </w:rPr>
      </w:pPr>
      <w:r>
        <w:rPr>
          <w:rFonts w:ascii="Arial" w:cs="Arial" w:eastAsia="Arial" w:hAnsi="Arial"/>
          <w:sz w:val="17"/>
          <w:szCs w:val="17"/>
          <w:color w:val="auto"/>
        </w:rPr>
        <w:t>Indebtedness of Borrower in favor of Bank arising under this Agreement or any other Loan Document;</w:t>
      </w:r>
    </w:p>
    <w:p>
      <w:pPr>
        <w:spacing w:after="0" w:line="224" w:lineRule="exact"/>
        <w:rPr>
          <w:rFonts w:ascii="Arial" w:cs="Arial" w:eastAsia="Arial" w:hAnsi="Arial"/>
          <w:sz w:val="17"/>
          <w:szCs w:val="17"/>
          <w:b w:val="1"/>
          <w:bCs w:val="1"/>
          <w:color w:val="auto"/>
        </w:rPr>
      </w:pPr>
    </w:p>
    <w:p>
      <w:pPr>
        <w:ind w:left="1280" w:hanging="646"/>
        <w:spacing w:after="0"/>
        <w:tabs>
          <w:tab w:leader="none" w:pos="1280" w:val="left"/>
        </w:tabs>
        <w:numPr>
          <w:ilvl w:val="0"/>
          <w:numId w:val="605"/>
        </w:numPr>
        <w:rPr>
          <w:rFonts w:ascii="Arial" w:cs="Arial" w:eastAsia="Arial" w:hAnsi="Arial"/>
          <w:sz w:val="17"/>
          <w:szCs w:val="17"/>
          <w:b w:val="1"/>
          <w:bCs w:val="1"/>
          <w:color w:val="auto"/>
        </w:rPr>
      </w:pPr>
      <w:r>
        <w:rPr>
          <w:rFonts w:ascii="Arial" w:cs="Arial" w:eastAsia="Arial" w:hAnsi="Arial"/>
          <w:sz w:val="17"/>
          <w:szCs w:val="17"/>
          <w:color w:val="auto"/>
        </w:rPr>
        <w:t>Indebtedness existing on the Closing Date and disclosed in the Schedule;</w:t>
      </w:r>
    </w:p>
    <w:p>
      <w:pPr>
        <w:spacing w:after="0" w:line="224" w:lineRule="exact"/>
        <w:rPr>
          <w:rFonts w:ascii="Arial" w:cs="Arial" w:eastAsia="Arial" w:hAnsi="Arial"/>
          <w:sz w:val="17"/>
          <w:szCs w:val="17"/>
          <w:b w:val="1"/>
          <w:bCs w:val="1"/>
          <w:color w:val="auto"/>
        </w:rPr>
      </w:pPr>
    </w:p>
    <w:p>
      <w:pPr>
        <w:ind w:right="80" w:firstLine="634"/>
        <w:spacing w:after="0" w:line="360" w:lineRule="auto"/>
        <w:tabs>
          <w:tab w:leader="none" w:pos="1269" w:val="left"/>
        </w:tabs>
        <w:numPr>
          <w:ilvl w:val="0"/>
          <w:numId w:val="605"/>
        </w:numPr>
        <w:rPr>
          <w:rFonts w:ascii="Arial" w:cs="Arial" w:eastAsia="Arial" w:hAnsi="Arial"/>
          <w:sz w:val="15"/>
          <w:szCs w:val="15"/>
          <w:b w:val="1"/>
          <w:bCs w:val="1"/>
          <w:color w:val="auto"/>
        </w:rPr>
      </w:pPr>
      <w:r>
        <w:rPr>
          <w:rFonts w:ascii="Arial" w:cs="Arial" w:eastAsia="Arial" w:hAnsi="Arial"/>
          <w:sz w:val="15"/>
          <w:szCs w:val="15"/>
          <w:color w:val="auto"/>
        </w:rPr>
        <w:t>Indebtedness not to exceed $50,000 in the aggregate in any fiscal year of Borrower secured by a lien described in clause (c) of the defined term “Permitted Liens,” provided such Indebtedness does not exceed the lesser of the cost or fair market value of the equipment financed with such Indebtedness;</w:t>
      </w:r>
    </w:p>
    <w:p>
      <w:pPr>
        <w:spacing w:after="0" w:line="111" w:lineRule="exact"/>
        <w:rPr>
          <w:rFonts w:ascii="Arial" w:cs="Arial" w:eastAsia="Arial" w:hAnsi="Arial"/>
          <w:sz w:val="15"/>
          <w:szCs w:val="15"/>
          <w:b w:val="1"/>
          <w:bCs w:val="1"/>
          <w:color w:val="auto"/>
        </w:rPr>
      </w:pPr>
    </w:p>
    <w:p>
      <w:pPr>
        <w:ind w:left="1280" w:hanging="646"/>
        <w:spacing w:after="0"/>
        <w:tabs>
          <w:tab w:leader="none" w:pos="1280" w:val="left"/>
        </w:tabs>
        <w:numPr>
          <w:ilvl w:val="0"/>
          <w:numId w:val="605"/>
        </w:numPr>
        <w:rPr>
          <w:rFonts w:ascii="Arial" w:cs="Arial" w:eastAsia="Arial" w:hAnsi="Arial"/>
          <w:sz w:val="17"/>
          <w:szCs w:val="17"/>
          <w:b w:val="1"/>
          <w:bCs w:val="1"/>
          <w:color w:val="auto"/>
        </w:rPr>
      </w:pPr>
      <w:r>
        <w:rPr>
          <w:rFonts w:ascii="Arial" w:cs="Arial" w:eastAsia="Arial" w:hAnsi="Arial"/>
          <w:sz w:val="17"/>
          <w:szCs w:val="17"/>
          <w:color w:val="auto"/>
        </w:rPr>
        <w:t>Subordinated Debt;</w:t>
      </w:r>
    </w:p>
    <w:p>
      <w:pPr>
        <w:spacing w:after="0" w:line="224" w:lineRule="exact"/>
        <w:rPr>
          <w:rFonts w:ascii="Arial" w:cs="Arial" w:eastAsia="Arial" w:hAnsi="Arial"/>
          <w:sz w:val="17"/>
          <w:szCs w:val="17"/>
          <w:b w:val="1"/>
          <w:bCs w:val="1"/>
          <w:color w:val="auto"/>
        </w:rPr>
      </w:pPr>
    </w:p>
    <w:p>
      <w:pPr>
        <w:ind w:left="1280" w:hanging="646"/>
        <w:spacing w:after="0"/>
        <w:tabs>
          <w:tab w:leader="none" w:pos="1280" w:val="left"/>
        </w:tabs>
        <w:numPr>
          <w:ilvl w:val="0"/>
          <w:numId w:val="605"/>
        </w:numPr>
        <w:rPr>
          <w:rFonts w:ascii="Arial" w:cs="Arial" w:eastAsia="Arial" w:hAnsi="Arial"/>
          <w:sz w:val="17"/>
          <w:szCs w:val="17"/>
          <w:b w:val="1"/>
          <w:bCs w:val="1"/>
          <w:color w:val="auto"/>
        </w:rPr>
      </w:pPr>
      <w:r>
        <w:rPr>
          <w:rFonts w:ascii="Arial" w:cs="Arial" w:eastAsia="Arial" w:hAnsi="Arial"/>
          <w:sz w:val="17"/>
          <w:szCs w:val="17"/>
          <w:color w:val="auto"/>
        </w:rPr>
        <w:t>Indebtedness to trade creditors incurred in the ordinary course of business; and</w:t>
      </w:r>
    </w:p>
    <w:p>
      <w:pPr>
        <w:spacing w:after="0" w:line="224" w:lineRule="exact"/>
        <w:rPr>
          <w:rFonts w:ascii="Arial" w:cs="Arial" w:eastAsia="Arial" w:hAnsi="Arial"/>
          <w:sz w:val="17"/>
          <w:szCs w:val="17"/>
          <w:b w:val="1"/>
          <w:bCs w:val="1"/>
          <w:color w:val="auto"/>
        </w:rPr>
      </w:pPr>
    </w:p>
    <w:p>
      <w:pPr>
        <w:ind w:right="60" w:firstLine="634"/>
        <w:spacing w:after="0" w:line="289" w:lineRule="auto"/>
        <w:tabs>
          <w:tab w:leader="none" w:pos="1263" w:val="left"/>
        </w:tabs>
        <w:numPr>
          <w:ilvl w:val="0"/>
          <w:numId w:val="605"/>
        </w:numPr>
        <w:rPr>
          <w:rFonts w:ascii="Arial" w:cs="Arial" w:eastAsia="Arial" w:hAnsi="Arial"/>
          <w:sz w:val="17"/>
          <w:szCs w:val="17"/>
          <w:b w:val="1"/>
          <w:bCs w:val="1"/>
          <w:color w:val="auto"/>
        </w:rPr>
      </w:pPr>
      <w:r>
        <w:rPr>
          <w:rFonts w:ascii="Arial" w:cs="Arial" w:eastAsia="Arial" w:hAnsi="Arial"/>
          <w:sz w:val="17"/>
          <w:szCs w:val="17"/>
          <w:color w:val="auto"/>
        </w:rPr>
        <w:t>Extensions, refinancings and renewals of any items of (a) through (e), provided that the principal amount is not increased or the terms modified to impose more burdensome terms upon Borrower or its Subsidiaries, as the case may be.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“Permitted Investment” means:</w:t>
      </w:r>
    </w:p>
    <w:p>
      <w:pPr>
        <w:spacing w:after="0" w:line="224" w:lineRule="exact"/>
        <w:rPr>
          <w:sz w:val="20"/>
          <w:szCs w:val="20"/>
          <w:color w:val="auto"/>
        </w:rPr>
      </w:pPr>
    </w:p>
    <w:p>
      <w:pPr>
        <w:ind w:left="1280" w:hanging="646"/>
        <w:spacing w:after="0"/>
        <w:tabs>
          <w:tab w:leader="none" w:pos="1280" w:val="left"/>
        </w:tabs>
        <w:numPr>
          <w:ilvl w:val="0"/>
          <w:numId w:val="606"/>
        </w:numPr>
        <w:rPr>
          <w:rFonts w:ascii="Arial" w:cs="Arial" w:eastAsia="Arial" w:hAnsi="Arial"/>
          <w:sz w:val="17"/>
          <w:szCs w:val="17"/>
          <w:b w:val="1"/>
          <w:bCs w:val="1"/>
          <w:color w:val="auto"/>
        </w:rPr>
      </w:pPr>
      <w:r>
        <w:rPr>
          <w:rFonts w:ascii="Arial" w:cs="Arial" w:eastAsia="Arial" w:hAnsi="Arial"/>
          <w:sz w:val="17"/>
          <w:szCs w:val="17"/>
          <w:color w:val="auto"/>
        </w:rPr>
        <w:t>Investments existing on the Closing Date disclosed in the Schedule;</w:t>
      </w:r>
    </w:p>
    <w:p>
      <w:pPr>
        <w:spacing w:after="0" w:line="224" w:lineRule="exact"/>
        <w:rPr>
          <w:rFonts w:ascii="Arial" w:cs="Arial" w:eastAsia="Arial" w:hAnsi="Arial"/>
          <w:sz w:val="17"/>
          <w:szCs w:val="17"/>
          <w:b w:val="1"/>
          <w:bCs w:val="1"/>
          <w:color w:val="auto"/>
        </w:rPr>
      </w:pPr>
    </w:p>
    <w:p>
      <w:pPr>
        <w:ind w:left="640" w:right="3600" w:hanging="6"/>
        <w:spacing w:after="0" w:line="511" w:lineRule="auto"/>
        <w:tabs>
          <w:tab w:leader="none" w:pos="1286" w:val="left"/>
        </w:tabs>
        <w:numPr>
          <w:ilvl w:val="0"/>
          <w:numId w:val="606"/>
        </w:numPr>
        <w:rPr>
          <w:rFonts w:ascii="Arial" w:cs="Arial" w:eastAsia="Arial" w:hAnsi="Arial"/>
          <w:sz w:val="17"/>
          <w:szCs w:val="17"/>
          <w:b w:val="1"/>
          <w:bCs w:val="1"/>
          <w:color w:val="auto"/>
        </w:rPr>
      </w:pPr>
      <w:r>
        <w:rPr>
          <w:rFonts w:ascii="Arial" w:cs="Arial" w:eastAsia="Arial" w:hAnsi="Arial"/>
          <w:sz w:val="17"/>
          <w:szCs w:val="17"/>
          <w:color w:val="auto"/>
        </w:rPr>
        <w:t>other Investments with Bank’s consent which shall not be unreasonably withheld or delayed. “Permitted Liens” means the following:</w:t>
      </w:r>
    </w:p>
    <w:p>
      <w:pPr>
        <w:spacing w:after="0" w:line="6" w:lineRule="exact"/>
        <w:rPr>
          <w:rFonts w:ascii="Arial" w:cs="Arial" w:eastAsia="Arial" w:hAnsi="Arial"/>
          <w:sz w:val="17"/>
          <w:szCs w:val="17"/>
          <w:b w:val="1"/>
          <w:bCs w:val="1"/>
          <w:color w:val="auto"/>
        </w:rPr>
      </w:pPr>
    </w:p>
    <w:p>
      <w:pPr>
        <w:ind w:right="280" w:firstLine="713"/>
        <w:spacing w:after="0" w:line="289" w:lineRule="auto"/>
        <w:tabs>
          <w:tab w:leader="none" w:pos="1266" w:val="left"/>
        </w:tabs>
        <w:numPr>
          <w:ilvl w:val="1"/>
          <w:numId w:val="606"/>
        </w:numPr>
        <w:rPr>
          <w:rFonts w:ascii="Arial" w:cs="Arial" w:eastAsia="Arial" w:hAnsi="Arial"/>
          <w:sz w:val="17"/>
          <w:szCs w:val="17"/>
          <w:b w:val="1"/>
          <w:bCs w:val="1"/>
          <w:color w:val="auto"/>
        </w:rPr>
      </w:pPr>
      <w:r>
        <w:rPr>
          <w:rFonts w:ascii="Arial" w:cs="Arial" w:eastAsia="Arial" w:hAnsi="Arial"/>
          <w:sz w:val="17"/>
          <w:szCs w:val="17"/>
          <w:color w:val="auto"/>
        </w:rPr>
        <w:t>Any Liens existing on the Closing Date and disclosed in the Schedule (excluding Liens to be satisfied with the proceeds of the Advances) or arising under this Agreement or the other Loan Documents;</w:t>
      </w:r>
    </w:p>
    <w:p>
      <w:pPr>
        <w:spacing w:after="0" w:line="158" w:lineRule="exact"/>
        <w:rPr>
          <w:rFonts w:ascii="Arial" w:cs="Arial" w:eastAsia="Arial" w:hAnsi="Arial"/>
          <w:sz w:val="17"/>
          <w:szCs w:val="17"/>
          <w:b w:val="1"/>
          <w:bCs w:val="1"/>
          <w:color w:val="auto"/>
        </w:rPr>
      </w:pPr>
    </w:p>
    <w:p>
      <w:pPr>
        <w:ind w:right="80" w:firstLine="713"/>
        <w:spacing w:after="0" w:line="322" w:lineRule="auto"/>
        <w:tabs>
          <w:tab w:leader="none" w:pos="1275" w:val="left"/>
        </w:tabs>
        <w:numPr>
          <w:ilvl w:val="1"/>
          <w:numId w:val="606"/>
        </w:numPr>
        <w:rPr>
          <w:rFonts w:ascii="Arial" w:cs="Arial" w:eastAsia="Arial" w:hAnsi="Arial"/>
          <w:sz w:val="16"/>
          <w:szCs w:val="16"/>
          <w:b w:val="1"/>
          <w:bCs w:val="1"/>
          <w:color w:val="auto"/>
        </w:rPr>
      </w:pPr>
      <w:r>
        <w:rPr>
          <w:rFonts w:ascii="Arial" w:cs="Arial" w:eastAsia="Arial" w:hAnsi="Arial"/>
          <w:sz w:val="16"/>
          <w:szCs w:val="16"/>
          <w:color w:val="auto"/>
        </w:rPr>
        <w:t>Liens for taxes, fees, assessments or other governmental charges or levies, either not delinquent or being contested in good faith by appropriate proceedings and for which Borrower maintains adequate reserves, provided the same have no priority over any of Bank’s security interests;</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60"/>
          </w:cols>
          <w:pgMar w:left="240" w:top="336" w:right="299" w:bottom="364" w:gutter="0" w:footer="0" w:header="0"/>
        </w:sectPr>
      </w:pPr>
    </w:p>
    <w:bookmarkStart w:id="386" w:name="page387"/>
    <w:bookmarkEnd w:id="386"/>
    <w:p>
      <w:pPr>
        <w:ind w:firstLine="713"/>
        <w:spacing w:after="0" w:line="268" w:lineRule="auto"/>
        <w:tabs>
          <w:tab w:leader="none" w:pos="1269" w:val="left"/>
        </w:tabs>
        <w:numPr>
          <w:ilvl w:val="1"/>
          <w:numId w:val="607"/>
        </w:numPr>
        <w:rPr>
          <w:rFonts w:ascii="Arial" w:cs="Arial" w:eastAsia="Arial" w:hAnsi="Arial"/>
          <w:sz w:val="17"/>
          <w:szCs w:val="17"/>
          <w:b w:val="1"/>
          <w:bCs w:val="1"/>
          <w:color w:val="auto"/>
        </w:rPr>
      </w:pPr>
      <w:r>
        <w:rPr>
          <w:rFonts w:ascii="Arial" w:cs="Arial" w:eastAsia="Arial" w:hAnsi="Arial"/>
          <w:sz w:val="17"/>
          <w:szCs w:val="17"/>
          <w:color w:val="auto"/>
        </w:rPr>
        <w:t>Liens not to exceed $50,000 in the aggregate (i) upon or in any Equipment (other than Equipment financed by an Equipment Advance) acquired or held by Borrower or any of its Subsidiaries to secure the purchase price of such Equipment or indebtedness incurred solely for the purpose of financing the acquisition or lease of such Equipment, or (ii) existing on such Equipment at the time of its acquisition, provided that the Lien is confined solely to the property so acquired and improvements thereon, and the proceeds of such Equipment;</w:t>
      </w:r>
    </w:p>
    <w:p>
      <w:pPr>
        <w:spacing w:after="0" w:line="175" w:lineRule="exact"/>
        <w:rPr>
          <w:rFonts w:ascii="Arial" w:cs="Arial" w:eastAsia="Arial" w:hAnsi="Arial"/>
          <w:sz w:val="17"/>
          <w:szCs w:val="17"/>
          <w:b w:val="1"/>
          <w:bCs w:val="1"/>
          <w:color w:val="auto"/>
        </w:rPr>
      </w:pPr>
    </w:p>
    <w:p>
      <w:pPr>
        <w:ind w:left="1280" w:hanging="567"/>
        <w:spacing w:after="0"/>
        <w:tabs>
          <w:tab w:leader="none" w:pos="1280" w:val="left"/>
        </w:tabs>
        <w:numPr>
          <w:ilvl w:val="1"/>
          <w:numId w:val="607"/>
        </w:numPr>
        <w:rPr>
          <w:rFonts w:ascii="Arial" w:cs="Arial" w:eastAsia="Arial" w:hAnsi="Arial"/>
          <w:sz w:val="16"/>
          <w:szCs w:val="16"/>
          <w:b w:val="1"/>
          <w:bCs w:val="1"/>
          <w:color w:val="auto"/>
        </w:rPr>
      </w:pPr>
      <w:r>
        <w:rPr>
          <w:rFonts w:ascii="Arial" w:cs="Arial" w:eastAsia="Arial" w:hAnsi="Arial"/>
          <w:sz w:val="16"/>
          <w:szCs w:val="16"/>
          <w:color w:val="auto"/>
        </w:rPr>
        <w:t>Liens incurred in connection with the extension, renewal or refinancing of the indebtedness secured by Liens of the type described in clauses</w:t>
      </w:r>
    </w:p>
    <w:p>
      <w:pPr>
        <w:spacing w:after="0" w:line="37" w:lineRule="exact"/>
        <w:rPr>
          <w:rFonts w:ascii="Arial" w:cs="Arial" w:eastAsia="Arial" w:hAnsi="Arial"/>
          <w:sz w:val="16"/>
          <w:szCs w:val="16"/>
          <w:b w:val="1"/>
          <w:bCs w:val="1"/>
          <w:color w:val="auto"/>
        </w:rPr>
      </w:pPr>
    </w:p>
    <w:p>
      <w:pPr>
        <w:ind w:right="300" w:firstLine="5"/>
        <w:spacing w:after="0" w:line="275" w:lineRule="auto"/>
        <w:tabs>
          <w:tab w:leader="none" w:pos="238" w:val="left"/>
        </w:tabs>
        <w:numPr>
          <w:ilvl w:val="0"/>
          <w:numId w:val="608"/>
        </w:numPr>
        <w:rPr>
          <w:rFonts w:ascii="Arial" w:cs="Arial" w:eastAsia="Arial" w:hAnsi="Arial"/>
          <w:sz w:val="17"/>
          <w:szCs w:val="17"/>
          <w:color w:val="auto"/>
        </w:rPr>
      </w:pPr>
      <w:r>
        <w:rPr>
          <w:rFonts w:ascii="Arial" w:cs="Arial" w:eastAsia="Arial" w:hAnsi="Arial"/>
          <w:sz w:val="17"/>
          <w:szCs w:val="17"/>
          <w:color w:val="auto"/>
        </w:rPr>
        <w:t>and (c) above, provided that any extension, renewal or replacement Lien shall be limited to the property encumbered by the existing Lien and the principal amount of the indebtedness being extended, renewed or refinanced does not increase; and</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“Permitted Transfer” means the conveyance, sale, lease, transfer or disposition by Borrower or any Subsidiary of:</w:t>
      </w:r>
    </w:p>
    <w:p>
      <w:pPr>
        <w:spacing w:after="0" w:line="224" w:lineRule="exact"/>
        <w:rPr>
          <w:sz w:val="20"/>
          <w:szCs w:val="20"/>
          <w:color w:val="auto"/>
        </w:rPr>
      </w:pPr>
    </w:p>
    <w:p>
      <w:pPr>
        <w:ind w:left="1280" w:hanging="646"/>
        <w:spacing w:after="0"/>
        <w:tabs>
          <w:tab w:leader="none" w:pos="1280" w:val="left"/>
        </w:tabs>
        <w:numPr>
          <w:ilvl w:val="0"/>
          <w:numId w:val="609"/>
        </w:numPr>
        <w:rPr>
          <w:rFonts w:ascii="Arial" w:cs="Arial" w:eastAsia="Arial" w:hAnsi="Arial"/>
          <w:sz w:val="17"/>
          <w:szCs w:val="17"/>
          <w:b w:val="1"/>
          <w:bCs w:val="1"/>
          <w:color w:val="auto"/>
        </w:rPr>
      </w:pPr>
      <w:r>
        <w:rPr>
          <w:rFonts w:ascii="Arial" w:cs="Arial" w:eastAsia="Arial" w:hAnsi="Arial"/>
          <w:sz w:val="17"/>
          <w:szCs w:val="17"/>
          <w:color w:val="auto"/>
        </w:rPr>
        <w:t>Inventory in the ordinary course of business;</w:t>
      </w:r>
    </w:p>
    <w:p>
      <w:pPr>
        <w:spacing w:after="0" w:line="224" w:lineRule="exact"/>
        <w:rPr>
          <w:rFonts w:ascii="Arial" w:cs="Arial" w:eastAsia="Arial" w:hAnsi="Arial"/>
          <w:sz w:val="17"/>
          <w:szCs w:val="17"/>
          <w:b w:val="1"/>
          <w:bCs w:val="1"/>
          <w:color w:val="auto"/>
        </w:rPr>
      </w:pPr>
    </w:p>
    <w:p>
      <w:pPr>
        <w:ind w:left="1280" w:hanging="646"/>
        <w:spacing w:after="0"/>
        <w:tabs>
          <w:tab w:leader="none" w:pos="1280" w:val="left"/>
        </w:tabs>
        <w:numPr>
          <w:ilvl w:val="0"/>
          <w:numId w:val="609"/>
        </w:numPr>
        <w:rPr>
          <w:rFonts w:ascii="Arial" w:cs="Arial" w:eastAsia="Arial" w:hAnsi="Arial"/>
          <w:sz w:val="17"/>
          <w:szCs w:val="17"/>
          <w:b w:val="1"/>
          <w:bCs w:val="1"/>
          <w:color w:val="auto"/>
        </w:rPr>
      </w:pPr>
      <w:r>
        <w:rPr>
          <w:rFonts w:ascii="Arial" w:cs="Arial" w:eastAsia="Arial" w:hAnsi="Arial"/>
          <w:sz w:val="17"/>
          <w:szCs w:val="17"/>
          <w:color w:val="auto"/>
        </w:rPr>
        <w:t>licenses and similar arrangements for the use of the property of Borrower or its Subsidiaries in the ordinary course of business;</w:t>
      </w:r>
    </w:p>
    <w:p>
      <w:pPr>
        <w:spacing w:after="0" w:line="224" w:lineRule="exact"/>
        <w:rPr>
          <w:rFonts w:ascii="Arial" w:cs="Arial" w:eastAsia="Arial" w:hAnsi="Arial"/>
          <w:sz w:val="17"/>
          <w:szCs w:val="17"/>
          <w:b w:val="1"/>
          <w:bCs w:val="1"/>
          <w:color w:val="auto"/>
        </w:rPr>
      </w:pPr>
    </w:p>
    <w:p>
      <w:pPr>
        <w:ind w:left="1280" w:hanging="646"/>
        <w:spacing w:after="0"/>
        <w:tabs>
          <w:tab w:leader="none" w:pos="1280" w:val="left"/>
        </w:tabs>
        <w:numPr>
          <w:ilvl w:val="0"/>
          <w:numId w:val="609"/>
        </w:numPr>
        <w:rPr>
          <w:rFonts w:ascii="Arial" w:cs="Arial" w:eastAsia="Arial" w:hAnsi="Arial"/>
          <w:sz w:val="17"/>
          <w:szCs w:val="17"/>
          <w:b w:val="1"/>
          <w:bCs w:val="1"/>
          <w:color w:val="auto"/>
        </w:rPr>
      </w:pPr>
      <w:r>
        <w:rPr>
          <w:rFonts w:ascii="Arial" w:cs="Arial" w:eastAsia="Arial" w:hAnsi="Arial"/>
          <w:sz w:val="17"/>
          <w:szCs w:val="17"/>
          <w:color w:val="auto"/>
        </w:rPr>
        <w:t>worn-out or obsolete Equipment; or</w:t>
      </w:r>
    </w:p>
    <w:p>
      <w:pPr>
        <w:spacing w:after="0" w:line="224" w:lineRule="exact"/>
        <w:rPr>
          <w:rFonts w:ascii="Arial" w:cs="Arial" w:eastAsia="Arial" w:hAnsi="Arial"/>
          <w:sz w:val="17"/>
          <w:szCs w:val="17"/>
          <w:b w:val="1"/>
          <w:bCs w:val="1"/>
          <w:color w:val="auto"/>
        </w:rPr>
      </w:pPr>
    </w:p>
    <w:p>
      <w:pPr>
        <w:ind w:left="1280" w:hanging="646"/>
        <w:spacing w:after="0"/>
        <w:tabs>
          <w:tab w:leader="none" w:pos="1280" w:val="left"/>
        </w:tabs>
        <w:numPr>
          <w:ilvl w:val="0"/>
          <w:numId w:val="609"/>
        </w:numPr>
        <w:rPr>
          <w:rFonts w:ascii="Arial" w:cs="Arial" w:eastAsia="Arial" w:hAnsi="Arial"/>
          <w:sz w:val="17"/>
          <w:szCs w:val="17"/>
          <w:b w:val="1"/>
          <w:bCs w:val="1"/>
          <w:color w:val="auto"/>
        </w:rPr>
      </w:pPr>
      <w:r>
        <w:rPr>
          <w:rFonts w:ascii="Arial" w:cs="Arial" w:eastAsia="Arial" w:hAnsi="Arial"/>
          <w:sz w:val="17"/>
          <w:szCs w:val="17"/>
          <w:color w:val="auto"/>
        </w:rPr>
        <w:t>other assets of Borrower or its Subsidiaries that do not in the aggregate exceed $150,000 during any fiscal year.</w:t>
      </w:r>
    </w:p>
    <w:p>
      <w:pPr>
        <w:spacing w:after="0" w:line="224"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“Person” means any individual, sole proprietorship, partnership, limited liability company, joint venture, trust, unincorporated organization, association, corporation, institution, public benefit corporation, firm, joint stock company, estate, entity or governmental agency.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“Prime Rate” means the variable rate of interest, per annum as published in The Wall Street Journal on the date of measurement.</w:t>
      </w:r>
    </w:p>
    <w:p>
      <w:pPr>
        <w:spacing w:after="0" w:line="224" w:lineRule="exact"/>
        <w:rPr>
          <w:sz w:val="20"/>
          <w:szCs w:val="20"/>
          <w:color w:val="auto"/>
        </w:rPr>
      </w:pPr>
    </w:p>
    <w:p>
      <w:pPr>
        <w:ind w:right="580" w:firstLine="629"/>
        <w:spacing w:after="0" w:line="322" w:lineRule="auto"/>
        <w:rPr>
          <w:sz w:val="20"/>
          <w:szCs w:val="20"/>
          <w:color w:val="auto"/>
        </w:rPr>
      </w:pPr>
      <w:r>
        <w:rPr>
          <w:rFonts w:ascii="Arial" w:cs="Arial" w:eastAsia="Arial" w:hAnsi="Arial"/>
          <w:sz w:val="16"/>
          <w:szCs w:val="16"/>
          <w:color w:val="auto"/>
        </w:rPr>
        <w:t>“Real Estate” means (a) the property located at 13115 Jess Pirtle Blvd., Sugar Land, Texas 77478 and (b) the property located on the tract of land containing 2.8911 acres (125,936 square feet) situated in the Brown &amp; Belknap League, Abstract No. 14, Fort Bend County, Texas..</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“Real Estate Advance” means a cash advance or cash advances under the Real Estate Facility.</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“Real Estate Maturity Date” means September 6, 2010.</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“Real Estate Facility” means a Credit Extension of up to $3,740,919.</w:t>
      </w:r>
    </w:p>
    <w:p>
      <w:pPr>
        <w:spacing w:after="0" w:line="224" w:lineRule="exact"/>
        <w:rPr>
          <w:sz w:val="20"/>
          <w:szCs w:val="20"/>
          <w:color w:val="auto"/>
        </w:rPr>
      </w:pPr>
    </w:p>
    <w:p>
      <w:pPr>
        <w:ind w:right="680" w:firstLine="629"/>
        <w:spacing w:after="0" w:line="289" w:lineRule="auto"/>
        <w:rPr>
          <w:sz w:val="20"/>
          <w:szCs w:val="20"/>
          <w:color w:val="auto"/>
        </w:rPr>
      </w:pPr>
      <w:r>
        <w:rPr>
          <w:rFonts w:ascii="Arial" w:cs="Arial" w:eastAsia="Arial" w:hAnsi="Arial"/>
          <w:sz w:val="17"/>
          <w:szCs w:val="17"/>
          <w:color w:val="auto"/>
        </w:rPr>
        <w:t>“Responsible Officer” means each of the Chief Executive Officer, the Chief Operating Officer, the Chief Financial Officer and the Controller of Borrower.</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“Revolving Facility” or “Revolving Line” means a Credit Extension of up to three million five hundred thousand dollars ($3,500,000).</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“Revolving Maturity Date” means May 20, 2010.</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“Schedule” means the schedule of exceptions attached hereto and approved by Bank, if any.</w:t>
      </w:r>
    </w:p>
    <w:p>
      <w:pPr>
        <w:spacing w:after="0" w:line="224" w:lineRule="exact"/>
        <w:rPr>
          <w:sz w:val="20"/>
          <w:szCs w:val="20"/>
          <w:color w:val="auto"/>
        </w:rPr>
      </w:pPr>
    </w:p>
    <w:p>
      <w:pPr>
        <w:ind w:right="440" w:firstLine="629"/>
        <w:spacing w:after="0" w:line="289" w:lineRule="auto"/>
        <w:rPr>
          <w:sz w:val="20"/>
          <w:szCs w:val="20"/>
          <w:color w:val="auto"/>
        </w:rPr>
      </w:pPr>
      <w:r>
        <w:rPr>
          <w:rFonts w:ascii="Arial" w:cs="Arial" w:eastAsia="Arial" w:hAnsi="Arial"/>
          <w:sz w:val="17"/>
          <w:szCs w:val="17"/>
          <w:color w:val="auto"/>
        </w:rPr>
        <w:t>“Shares” means the capital stock of all of Borrower’s Subsidiaries, including without limitation, Prime World International Holdings, Ltd. and Vale Systems, Inc.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firstLine="629"/>
        <w:spacing w:after="0" w:line="289" w:lineRule="auto"/>
        <w:rPr>
          <w:sz w:val="20"/>
          <w:szCs w:val="20"/>
          <w:color w:val="auto"/>
        </w:rPr>
      </w:pPr>
      <w:r>
        <w:rPr>
          <w:rFonts w:ascii="Arial" w:cs="Arial" w:eastAsia="Arial" w:hAnsi="Arial"/>
          <w:sz w:val="17"/>
          <w:szCs w:val="17"/>
          <w:color w:val="auto"/>
        </w:rPr>
        <w:t>“Subordinated Debt” means any debt incurred by Borrower that is subordinated in writing to the debt owing by Borrower to Bank on terms reasonably acceptable to Bank (and identified as being such by Borrower and Bank).</w:t>
      </w:r>
    </w:p>
    <w:p>
      <w:pPr>
        <w:spacing w:after="0" w:line="158" w:lineRule="exact"/>
        <w:rPr>
          <w:sz w:val="20"/>
          <w:szCs w:val="20"/>
          <w:color w:val="auto"/>
        </w:rPr>
      </w:pPr>
    </w:p>
    <w:p>
      <w:pPr>
        <w:ind w:right="240" w:firstLine="629"/>
        <w:spacing w:after="0" w:line="298" w:lineRule="auto"/>
        <w:rPr>
          <w:sz w:val="20"/>
          <w:szCs w:val="20"/>
          <w:color w:val="auto"/>
        </w:rPr>
      </w:pPr>
      <w:r>
        <w:rPr>
          <w:rFonts w:ascii="Arial" w:cs="Arial" w:eastAsia="Arial" w:hAnsi="Arial"/>
          <w:sz w:val="16"/>
          <w:szCs w:val="16"/>
          <w:color w:val="auto"/>
        </w:rPr>
        <w:t>“Subsidiary” means any corporation, partnership or limited liability company or joint venture in which (i) any general partnership interest or (ii) more than 50% of the stock, limited liability company interest or joint venture of which by the terms thereof ordinary voting power to elect the Board of Directors, managers or trustees of the entity, at the time as of which any determination is being made, is owned by Borrower, either directly or through an Affiliate.</w:t>
      </w:r>
    </w:p>
    <w:p>
      <w:pPr>
        <w:spacing w:after="0" w:line="154"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“Tangible Net Worth” means at any date as of which the amount thereof shall be determined, the sum of the capital stock, partnership interest or limited liability company interest of Borrower and its Subsidiaries minus intangible assets, determined in accordance with GAAP.</w:t>
      </w:r>
    </w:p>
    <w:p>
      <w:pPr>
        <w:spacing w:after="0" w:line="158" w:lineRule="exact"/>
        <w:rPr>
          <w:sz w:val="20"/>
          <w:szCs w:val="20"/>
          <w:color w:val="auto"/>
        </w:rPr>
      </w:pPr>
    </w:p>
    <w:p>
      <w:pPr>
        <w:ind w:right="520" w:firstLine="629"/>
        <w:spacing w:after="0" w:line="322" w:lineRule="auto"/>
        <w:rPr>
          <w:sz w:val="20"/>
          <w:szCs w:val="20"/>
          <w:color w:val="auto"/>
        </w:rPr>
      </w:pPr>
      <w:r>
        <w:rPr>
          <w:rFonts w:ascii="Arial" w:cs="Arial" w:eastAsia="Arial" w:hAnsi="Arial"/>
          <w:sz w:val="16"/>
          <w:szCs w:val="16"/>
          <w:color w:val="auto"/>
        </w:rPr>
        <w:t>“Total Liabilities” means at any date as of which the amount thereof shall be determined, all obligations that should, in accordance with GAAP be classified as liabilities on the consolidated balance sheet of Borrower, including in any event, to the extent not already included, all Indebtedness.</w:t>
      </w:r>
    </w:p>
    <w:p>
      <w:pPr>
        <w:spacing w:after="0" w:line="136" w:lineRule="exact"/>
        <w:rPr>
          <w:sz w:val="20"/>
          <w:szCs w:val="20"/>
          <w:color w:val="auto"/>
        </w:rPr>
      </w:pPr>
    </w:p>
    <w:p>
      <w:pPr>
        <w:ind w:right="400" w:firstLine="629"/>
        <w:spacing w:after="0" w:line="289" w:lineRule="auto"/>
        <w:rPr>
          <w:sz w:val="20"/>
          <w:szCs w:val="20"/>
          <w:color w:val="auto"/>
        </w:rPr>
      </w:pPr>
      <w:r>
        <w:rPr>
          <w:rFonts w:ascii="Arial" w:cs="Arial" w:eastAsia="Arial" w:hAnsi="Arial"/>
          <w:sz w:val="17"/>
          <w:szCs w:val="17"/>
          <w:color w:val="auto"/>
        </w:rPr>
        <w:t>“Trademarks”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“Working Capital Facility” means the Revolving Facility.</w:t>
      </w:r>
    </w:p>
    <w:p>
      <w:pPr>
        <w:spacing w:after="0" w:line="218" w:lineRule="exact"/>
        <w:rPr>
          <w:sz w:val="20"/>
          <w:szCs w:val="20"/>
          <w:color w:val="auto"/>
        </w:rPr>
      </w:pPr>
    </w:p>
    <w:p>
      <w:pPr>
        <w:ind w:right="100" w:firstLine="1259"/>
        <w:spacing w:after="0" w:line="297" w:lineRule="auto"/>
        <w:rPr>
          <w:sz w:val="20"/>
          <w:szCs w:val="20"/>
          <w:color w:val="auto"/>
        </w:rPr>
      </w:pPr>
      <w:r>
        <w:rPr>
          <w:rFonts w:ascii="Arial" w:cs="Arial" w:eastAsia="Arial" w:hAnsi="Arial"/>
          <w:sz w:val="17"/>
          <w:szCs w:val="17"/>
          <w:b w:val="1"/>
          <w:bCs w:val="1"/>
          <w:color w:val="auto"/>
        </w:rPr>
        <w:t>1.2 Accounting Terms</w:t>
      </w:r>
      <w:r>
        <w:rPr>
          <w:rFonts w:ascii="Arial" w:cs="Arial" w:eastAsia="Arial" w:hAnsi="Arial"/>
          <w:sz w:val="17"/>
          <w:szCs w:val="17"/>
          <w:color w:val="auto"/>
        </w:rPr>
        <w:t>. Any accounting term not specifically defined in Section 1.1 shall be construed in accordance with GAAP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calculations shall be made in accordance with GAAP. The term “financial statements” shall include the accompanying notes and schedules.</w:t>
      </w:r>
    </w:p>
    <w:p>
      <w:pPr>
        <w:spacing w:after="0" w:line="145" w:lineRule="exact"/>
        <w:rPr>
          <w:sz w:val="20"/>
          <w:szCs w:val="20"/>
          <w:color w:val="auto"/>
        </w:rPr>
      </w:pPr>
    </w:p>
    <w:p>
      <w:pPr>
        <w:ind w:left="1260" w:hanging="626"/>
        <w:spacing w:after="0"/>
        <w:tabs>
          <w:tab w:leader="none" w:pos="1260" w:val="left"/>
        </w:tabs>
        <w:numPr>
          <w:ilvl w:val="0"/>
          <w:numId w:val="610"/>
        </w:numPr>
        <w:rPr>
          <w:rFonts w:ascii="Arial" w:cs="Arial" w:eastAsia="Arial" w:hAnsi="Arial"/>
          <w:sz w:val="17"/>
          <w:szCs w:val="17"/>
          <w:b w:val="1"/>
          <w:bCs w:val="1"/>
          <w:color w:val="auto"/>
        </w:rPr>
      </w:pPr>
      <w:r>
        <w:rPr>
          <w:rFonts w:ascii="Arial" w:cs="Arial" w:eastAsia="Arial" w:hAnsi="Arial"/>
          <w:sz w:val="17"/>
          <w:szCs w:val="17"/>
          <w:b w:val="1"/>
          <w:bCs w:val="1"/>
          <w:color w:val="auto"/>
        </w:rPr>
        <w:t>LOAN AND TERMS OF PAYMENT</w:t>
      </w:r>
      <w:r>
        <w:rPr>
          <w:rFonts w:ascii="Arial" w:cs="Arial" w:eastAsia="Arial" w:hAnsi="Arial"/>
          <w:sz w:val="17"/>
          <w:szCs w:val="17"/>
          <w:color w:val="auto"/>
        </w:rPr>
        <w:t>.</w:t>
      </w:r>
    </w:p>
    <w:p>
      <w:pPr>
        <w:spacing w:after="0" w:line="224" w:lineRule="exact"/>
        <w:rPr>
          <w:rFonts w:ascii="Arial" w:cs="Arial" w:eastAsia="Arial" w:hAnsi="Arial"/>
          <w:sz w:val="17"/>
          <w:szCs w:val="17"/>
          <w:b w:val="1"/>
          <w:bCs w:val="1"/>
          <w:color w:val="auto"/>
        </w:rPr>
      </w:pPr>
    </w:p>
    <w:p>
      <w:pPr>
        <w:ind w:left="12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2.1</w:t>
      </w:r>
      <w:r>
        <w:rPr>
          <w:rFonts w:ascii="Arial" w:cs="Arial" w:eastAsia="Arial" w:hAnsi="Arial"/>
          <w:sz w:val="15"/>
          <w:szCs w:val="15"/>
          <w:b w:val="1"/>
          <w:bCs w:val="1"/>
          <w:color w:val="auto"/>
        </w:rPr>
        <w:t>Credit Extensions</w:t>
      </w:r>
      <w:r>
        <w:rPr>
          <w:rFonts w:ascii="Arial" w:cs="Arial" w:eastAsia="Arial" w:hAnsi="Arial"/>
          <w:sz w:val="15"/>
          <w:szCs w:val="15"/>
          <w:color w:val="auto"/>
        </w:rPr>
        <w:t>.</w:t>
      </w:r>
    </w:p>
    <w:p>
      <w:pPr>
        <w:spacing w:after="0" w:line="224" w:lineRule="exact"/>
        <w:rPr>
          <w:rFonts w:ascii="Arial" w:cs="Arial" w:eastAsia="Arial" w:hAnsi="Arial"/>
          <w:sz w:val="17"/>
          <w:szCs w:val="17"/>
          <w:b w:val="1"/>
          <w:bCs w:val="1"/>
          <w:color w:val="auto"/>
        </w:rPr>
      </w:pPr>
    </w:p>
    <w:p>
      <w:pPr>
        <w:jc w:val="both"/>
        <w:ind w:right="120" w:firstLine="1893"/>
        <w:spacing w:after="0" w:line="277" w:lineRule="auto"/>
        <w:tabs>
          <w:tab w:leader="none" w:pos="2524" w:val="left"/>
        </w:tabs>
        <w:numPr>
          <w:ilvl w:val="1"/>
          <w:numId w:val="610"/>
        </w:numPr>
        <w:rPr>
          <w:rFonts w:ascii="Arial" w:cs="Arial" w:eastAsia="Arial" w:hAnsi="Arial"/>
          <w:sz w:val="17"/>
          <w:szCs w:val="17"/>
          <w:b w:val="1"/>
          <w:bCs w:val="1"/>
          <w:color w:val="auto"/>
        </w:rPr>
      </w:pPr>
      <w:r>
        <w:rPr>
          <w:rFonts w:ascii="Arial" w:cs="Arial" w:eastAsia="Arial" w:hAnsi="Arial"/>
          <w:sz w:val="17"/>
          <w:szCs w:val="17"/>
          <w:b w:val="1"/>
          <w:bCs w:val="1"/>
          <w:color w:val="auto"/>
        </w:rPr>
        <w:t>Promise to Pay</w:t>
      </w:r>
      <w:r>
        <w:rPr>
          <w:rFonts w:ascii="Arial" w:cs="Arial" w:eastAsia="Arial" w:hAnsi="Arial"/>
          <w:sz w:val="17"/>
          <w:szCs w:val="17"/>
          <w:color w:val="auto"/>
        </w:rPr>
        <w:t>. Borrower promises to pay to Bank, in lawful money of the United States of America, the aggregate unpaid</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 amount of all Credit Extensions made by Bank to Borrower, together with interest on the unpaid principal amount of such Credit Extensions at rates in accordance with the terms hereof.</w:t>
      </w:r>
    </w:p>
    <w:p>
      <w:pPr>
        <w:sectPr>
          <w:pgSz w:w="11900" w:h="16838" w:orient="portrait"/>
          <w:cols w:equalWidth="0" w:num="1">
            <w:col w:w="11360"/>
          </w:cols>
          <w:pgMar w:left="240" w:top="127" w:right="299" w:bottom="0" w:gutter="0" w:footer="0" w:header="0"/>
        </w:sectPr>
      </w:pPr>
    </w:p>
    <w:bookmarkStart w:id="387" w:name="page388"/>
    <w:bookmarkEnd w:id="387"/>
    <w:p>
      <w:pPr>
        <w:spacing w:after="0" w:line="13" w:lineRule="exact"/>
        <w:rPr>
          <w:sz w:val="20"/>
          <w:szCs w:val="20"/>
          <w:color w:val="auto"/>
        </w:rPr>
      </w:pPr>
    </w:p>
    <w:p>
      <w:pPr>
        <w:ind w:left="2540" w:hanging="647"/>
        <w:spacing w:after="0"/>
        <w:tabs>
          <w:tab w:leader="none" w:pos="2540" w:val="left"/>
        </w:tabs>
        <w:numPr>
          <w:ilvl w:val="0"/>
          <w:numId w:val="611"/>
        </w:numPr>
        <w:rPr>
          <w:rFonts w:ascii="Arial" w:cs="Arial" w:eastAsia="Arial" w:hAnsi="Arial"/>
          <w:sz w:val="17"/>
          <w:szCs w:val="17"/>
          <w:b w:val="1"/>
          <w:bCs w:val="1"/>
          <w:color w:val="auto"/>
        </w:rPr>
      </w:pPr>
      <w:r>
        <w:rPr>
          <w:rFonts w:ascii="Arial" w:cs="Arial" w:eastAsia="Arial" w:hAnsi="Arial"/>
          <w:sz w:val="17"/>
          <w:szCs w:val="17"/>
          <w:b w:val="1"/>
          <w:bCs w:val="1"/>
          <w:color w:val="auto"/>
        </w:rPr>
        <w:t>Advances Under Revolving Line</w:t>
      </w:r>
      <w:r>
        <w:rPr>
          <w:rFonts w:ascii="Arial" w:cs="Arial" w:eastAsia="Arial" w:hAnsi="Arial"/>
          <w:sz w:val="17"/>
          <w:szCs w:val="17"/>
          <w:color w:val="auto"/>
        </w:rPr>
        <w:t>.</w:t>
      </w:r>
    </w:p>
    <w:p>
      <w:pPr>
        <w:spacing w:after="0" w:line="224" w:lineRule="exact"/>
        <w:rPr>
          <w:rFonts w:ascii="Arial" w:cs="Arial" w:eastAsia="Arial" w:hAnsi="Arial"/>
          <w:sz w:val="17"/>
          <w:szCs w:val="17"/>
          <w:b w:val="1"/>
          <w:bCs w:val="1"/>
          <w:color w:val="auto"/>
        </w:rPr>
      </w:pPr>
    </w:p>
    <w:p>
      <w:pPr>
        <w:ind w:right="60" w:firstLine="2522"/>
        <w:spacing w:after="0" w:line="265" w:lineRule="auto"/>
        <w:tabs>
          <w:tab w:leader="none" w:pos="3154" w:val="left"/>
        </w:tabs>
        <w:numPr>
          <w:ilvl w:val="1"/>
          <w:numId w:val="611"/>
        </w:numPr>
        <w:rPr>
          <w:rFonts w:ascii="Arial" w:cs="Arial" w:eastAsia="Arial" w:hAnsi="Arial"/>
          <w:sz w:val="17"/>
          <w:szCs w:val="17"/>
          <w:b w:val="1"/>
          <w:bCs w:val="1"/>
          <w:color w:val="auto"/>
        </w:rPr>
      </w:pPr>
      <w:r>
        <w:rPr>
          <w:rFonts w:ascii="Arial" w:cs="Arial" w:eastAsia="Arial" w:hAnsi="Arial"/>
          <w:sz w:val="17"/>
          <w:szCs w:val="17"/>
          <w:b w:val="1"/>
          <w:bCs w:val="1"/>
          <w:color w:val="auto"/>
        </w:rPr>
        <w:t>Amount</w:t>
      </w:r>
      <w:r>
        <w:rPr>
          <w:rFonts w:ascii="Arial" w:cs="Arial" w:eastAsia="Arial" w:hAnsi="Arial"/>
          <w:sz w:val="17"/>
          <w:szCs w:val="17"/>
          <w:color w:val="auto"/>
        </w:rPr>
        <w:t>. Subject to and upon the terms and conditions of this Agreement (1) Borrower may request Advances in 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aggregate outstanding amount not to exceed the lesser of (A) the Revolving Line or (B) the Borrowing Base; and (2) amounts borrowed pursuant to this Section 2.1(b) may be repaid and reborrowed at any time prior to the Revolving Maturity Date, at which time all Advances under this Section 2.1(b) shall be immediately due and payable. Borrower may prepay any Advances without penalty or premium. Borrower shall deliver to Bank a promissory note for the Advances in substantially the form attached hereto as </w:t>
      </w:r>
      <w:r>
        <w:rPr>
          <w:rFonts w:ascii="Arial" w:cs="Arial" w:eastAsia="Arial" w:hAnsi="Arial"/>
          <w:sz w:val="17"/>
          <w:szCs w:val="17"/>
          <w:b w:val="1"/>
          <w:bCs w:val="1"/>
          <w:color w:val="auto"/>
        </w:rPr>
        <w:t>Exhibit B-1</w:t>
      </w:r>
      <w:r>
        <w:rPr>
          <w:rFonts w:ascii="Arial" w:cs="Arial" w:eastAsia="Arial" w:hAnsi="Arial"/>
          <w:sz w:val="17"/>
          <w:szCs w:val="17"/>
          <w:color w:val="auto"/>
        </w:rPr>
        <w:t>. Bank may enforce its rights in respect of the Advances under this Agreement without such note.</w:t>
      </w:r>
    </w:p>
    <w:p>
      <w:pPr>
        <w:spacing w:after="0" w:line="173" w:lineRule="exact"/>
        <w:rPr>
          <w:rFonts w:ascii="Arial" w:cs="Arial" w:eastAsia="Arial" w:hAnsi="Arial"/>
          <w:sz w:val="17"/>
          <w:szCs w:val="17"/>
          <w:b w:val="1"/>
          <w:bCs w:val="1"/>
          <w:color w:val="auto"/>
        </w:rPr>
      </w:pPr>
    </w:p>
    <w:p>
      <w:pPr>
        <w:ind w:right="40" w:firstLine="2522"/>
        <w:spacing w:after="0" w:line="267" w:lineRule="auto"/>
        <w:tabs>
          <w:tab w:leader="none" w:pos="3150" w:val="left"/>
        </w:tabs>
        <w:numPr>
          <w:ilvl w:val="1"/>
          <w:numId w:val="611"/>
        </w:numPr>
        <w:rPr>
          <w:rFonts w:ascii="Arial" w:cs="Arial" w:eastAsia="Arial" w:hAnsi="Arial"/>
          <w:sz w:val="17"/>
          <w:szCs w:val="17"/>
          <w:b w:val="1"/>
          <w:bCs w:val="1"/>
          <w:color w:val="auto"/>
        </w:rPr>
      </w:pPr>
      <w:r>
        <w:rPr>
          <w:rFonts w:ascii="Arial" w:cs="Arial" w:eastAsia="Arial" w:hAnsi="Arial"/>
          <w:sz w:val="17"/>
          <w:szCs w:val="17"/>
          <w:b w:val="1"/>
          <w:bCs w:val="1"/>
          <w:color w:val="auto"/>
        </w:rPr>
        <w:t>Borrowing Procedure</w:t>
      </w:r>
      <w:r>
        <w:rPr>
          <w:rFonts w:ascii="Arial" w:cs="Arial" w:eastAsia="Arial" w:hAnsi="Arial"/>
          <w:sz w:val="17"/>
          <w:szCs w:val="17"/>
          <w:color w:val="auto"/>
        </w:rPr>
        <w:t>. Whenever Borrower desires an Advance, Borrower will notify Bank by facsimile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transmission of an advance request in substantially the form of </w:t>
      </w:r>
      <w:r>
        <w:rPr>
          <w:rFonts w:ascii="Arial" w:cs="Arial" w:eastAsia="Arial" w:hAnsi="Arial"/>
          <w:sz w:val="17"/>
          <w:szCs w:val="17"/>
          <w:b w:val="1"/>
          <w:bCs w:val="1"/>
          <w:color w:val="auto"/>
        </w:rPr>
        <w:t>Exhibit C</w:t>
      </w:r>
      <w:r>
        <w:rPr>
          <w:rFonts w:ascii="Arial" w:cs="Arial" w:eastAsia="Arial" w:hAnsi="Arial"/>
          <w:sz w:val="17"/>
          <w:szCs w:val="17"/>
          <w:color w:val="auto"/>
        </w:rPr>
        <w:t xml:space="preserve"> hereto no later than noon Pacific Time on the Business Day that is one (1) Business Day prior to the Business Day on which an Advance is made. Bank is authorized to make Advances under this Agreement, based upon instructions received from a Responsible Officer or a designee of a Responsible Officer. Bank will credit the amount of Advances made under this Section 2.1(b) to a Borrower’s deposit account, as specified by Borrower.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00" w:firstLine="2522"/>
        <w:spacing w:after="0" w:line="297" w:lineRule="auto"/>
        <w:tabs>
          <w:tab w:leader="none" w:pos="3146" w:val="left"/>
        </w:tabs>
        <w:numPr>
          <w:ilvl w:val="1"/>
          <w:numId w:val="612"/>
        </w:numPr>
        <w:rPr>
          <w:rFonts w:ascii="Arial" w:cs="Arial" w:eastAsia="Arial" w:hAnsi="Arial"/>
          <w:sz w:val="17"/>
          <w:szCs w:val="17"/>
          <w:b w:val="1"/>
          <w:bCs w:val="1"/>
          <w:color w:val="auto"/>
        </w:rPr>
      </w:pPr>
      <w:r>
        <w:rPr>
          <w:rFonts w:ascii="Arial" w:cs="Arial" w:eastAsia="Arial" w:hAnsi="Arial"/>
          <w:sz w:val="17"/>
          <w:szCs w:val="17"/>
          <w:b w:val="1"/>
          <w:bCs w:val="1"/>
          <w:color w:val="auto"/>
        </w:rPr>
        <w:t>Payments</w:t>
      </w:r>
      <w:r>
        <w:rPr>
          <w:rFonts w:ascii="Arial" w:cs="Arial" w:eastAsia="Arial" w:hAnsi="Arial"/>
          <w:sz w:val="17"/>
          <w:szCs w:val="17"/>
          <w:color w:val="auto"/>
        </w:rPr>
        <w:t>. Borrower shall pay interest on the aggregate outstanding principal amount of the Advances on the fifth</w:t>
      </w:r>
      <w:r>
        <w:rPr>
          <w:rFonts w:ascii="Arial" w:cs="Arial" w:eastAsia="Arial" w:hAnsi="Arial"/>
          <w:sz w:val="17"/>
          <w:szCs w:val="17"/>
          <w:b w:val="1"/>
          <w:bCs w:val="1"/>
          <w:color w:val="auto"/>
        </w:rPr>
        <w:t xml:space="preserve"> </w:t>
      </w:r>
      <w:r>
        <w:rPr>
          <w:rFonts w:ascii="Arial" w:cs="Arial" w:eastAsia="Arial" w:hAnsi="Arial"/>
          <w:sz w:val="17"/>
          <w:szCs w:val="17"/>
          <w:color w:val="auto"/>
        </w:rPr>
        <w:t>day of each month for so long as any Advances are outstanding. All Advances shall be due and payable on the Revolving Maturity Date.</w:t>
      </w:r>
    </w:p>
    <w:p>
      <w:pPr>
        <w:spacing w:after="0" w:line="145" w:lineRule="exact"/>
        <w:rPr>
          <w:rFonts w:ascii="Arial" w:cs="Arial" w:eastAsia="Arial" w:hAnsi="Arial"/>
          <w:sz w:val="17"/>
          <w:szCs w:val="17"/>
          <w:b w:val="1"/>
          <w:bCs w:val="1"/>
          <w:color w:val="auto"/>
        </w:rPr>
      </w:pPr>
    </w:p>
    <w:p>
      <w:pPr>
        <w:ind w:right="40" w:firstLine="2522"/>
        <w:spacing w:after="0" w:line="277" w:lineRule="auto"/>
        <w:tabs>
          <w:tab w:leader="none" w:pos="3149" w:val="left"/>
        </w:tabs>
        <w:numPr>
          <w:ilvl w:val="1"/>
          <w:numId w:val="612"/>
        </w:numPr>
        <w:rPr>
          <w:rFonts w:ascii="Arial" w:cs="Arial" w:eastAsia="Arial" w:hAnsi="Arial"/>
          <w:sz w:val="17"/>
          <w:szCs w:val="17"/>
          <w:b w:val="1"/>
          <w:bCs w:val="1"/>
          <w:color w:val="auto"/>
        </w:rPr>
      </w:pPr>
      <w:r>
        <w:rPr>
          <w:rFonts w:ascii="Arial" w:cs="Arial" w:eastAsia="Arial" w:hAnsi="Arial"/>
          <w:sz w:val="17"/>
          <w:szCs w:val="17"/>
          <w:b w:val="1"/>
          <w:bCs w:val="1"/>
          <w:color w:val="auto"/>
        </w:rPr>
        <w:t>Optional Prepayment of the Advances; Termination</w:t>
      </w:r>
      <w:r>
        <w:rPr>
          <w:rFonts w:ascii="Arial" w:cs="Arial" w:eastAsia="Arial" w:hAnsi="Arial"/>
          <w:sz w:val="17"/>
          <w:szCs w:val="17"/>
          <w:color w:val="auto"/>
        </w:rPr>
        <w:t>. Borrower may at any time prepay any Advance, in whole or</w:t>
      </w:r>
      <w:r>
        <w:rPr>
          <w:rFonts w:ascii="Arial" w:cs="Arial" w:eastAsia="Arial" w:hAnsi="Arial"/>
          <w:sz w:val="17"/>
          <w:szCs w:val="17"/>
          <w:b w:val="1"/>
          <w:bCs w:val="1"/>
          <w:color w:val="auto"/>
        </w:rPr>
        <w:t xml:space="preserve"> </w:t>
      </w:r>
      <w:r>
        <w:rPr>
          <w:rFonts w:ascii="Arial" w:cs="Arial" w:eastAsia="Arial" w:hAnsi="Arial"/>
          <w:sz w:val="17"/>
          <w:szCs w:val="17"/>
          <w:color w:val="auto"/>
        </w:rPr>
        <w:t>in part, without premium or penalty; and may terminate this Agreement and any other Loan Documents by giving notice of termination to Bank and the performance or payment in full of all outstanding Obligations hereunder.</w:t>
      </w:r>
    </w:p>
    <w:p>
      <w:pPr>
        <w:spacing w:after="0" w:line="162" w:lineRule="exact"/>
        <w:rPr>
          <w:rFonts w:ascii="Arial" w:cs="Arial" w:eastAsia="Arial" w:hAnsi="Arial"/>
          <w:sz w:val="17"/>
          <w:szCs w:val="17"/>
          <w:b w:val="1"/>
          <w:bCs w:val="1"/>
          <w:color w:val="auto"/>
        </w:rPr>
      </w:pPr>
    </w:p>
    <w:p>
      <w:pPr>
        <w:ind w:left="2540" w:hanging="647"/>
        <w:spacing w:after="0"/>
        <w:tabs>
          <w:tab w:leader="none" w:pos="2540" w:val="left"/>
        </w:tabs>
        <w:numPr>
          <w:ilvl w:val="0"/>
          <w:numId w:val="613"/>
        </w:numPr>
        <w:rPr>
          <w:rFonts w:ascii="Arial" w:cs="Arial" w:eastAsia="Arial" w:hAnsi="Arial"/>
          <w:sz w:val="17"/>
          <w:szCs w:val="17"/>
          <w:b w:val="1"/>
          <w:bCs w:val="1"/>
          <w:color w:val="auto"/>
        </w:rPr>
      </w:pPr>
      <w:r>
        <w:rPr>
          <w:rFonts w:ascii="Arial" w:cs="Arial" w:eastAsia="Arial" w:hAnsi="Arial"/>
          <w:sz w:val="17"/>
          <w:szCs w:val="17"/>
          <w:b w:val="1"/>
          <w:bCs w:val="1"/>
          <w:color w:val="auto"/>
        </w:rPr>
        <w:t>Equipment Advances</w:t>
      </w:r>
      <w:r>
        <w:rPr>
          <w:rFonts w:ascii="Arial" w:cs="Arial" w:eastAsia="Arial" w:hAnsi="Arial"/>
          <w:sz w:val="17"/>
          <w:szCs w:val="17"/>
          <w:color w:val="auto"/>
        </w:rPr>
        <w:t>.</w:t>
      </w:r>
    </w:p>
    <w:p>
      <w:pPr>
        <w:spacing w:after="0" w:line="224" w:lineRule="exact"/>
        <w:rPr>
          <w:rFonts w:ascii="Arial" w:cs="Arial" w:eastAsia="Arial" w:hAnsi="Arial"/>
          <w:sz w:val="17"/>
          <w:szCs w:val="17"/>
          <w:b w:val="1"/>
          <w:bCs w:val="1"/>
          <w:color w:val="auto"/>
        </w:rPr>
      </w:pPr>
    </w:p>
    <w:p>
      <w:pPr>
        <w:ind w:right="100" w:firstLine="2522"/>
        <w:spacing w:after="0" w:line="267" w:lineRule="auto"/>
        <w:tabs>
          <w:tab w:leader="none" w:pos="3154" w:val="left"/>
        </w:tabs>
        <w:numPr>
          <w:ilvl w:val="1"/>
          <w:numId w:val="6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Amount. </w:t>
      </w:r>
      <w:r>
        <w:rPr>
          <w:rFonts w:ascii="Arial" w:cs="Arial" w:eastAsia="Arial" w:hAnsi="Arial"/>
          <w:sz w:val="17"/>
          <w:szCs w:val="17"/>
          <w:color w:val="auto"/>
        </w:rPr>
        <w:t>Subject to and upon the terms and conditions of this Agreement, Bank has made Equipment Advances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Borrower, and the aggregate amount of such Equipment Advances is two million one hundred thirty seven thousand two hundred forth three dollars and sixty one cents ($2,137,243.61). No further Equipment Advances shall be made to Borrower. Borrower shall deliver to Bank a promissory note for the Equipment Advance in substantially the form attached hereto as </w:t>
      </w:r>
      <w:r>
        <w:rPr>
          <w:rFonts w:ascii="Arial" w:cs="Arial" w:eastAsia="Arial" w:hAnsi="Arial"/>
          <w:sz w:val="17"/>
          <w:szCs w:val="17"/>
          <w:b w:val="1"/>
          <w:bCs w:val="1"/>
          <w:color w:val="auto"/>
        </w:rPr>
        <w:t>Exhibit B-2</w:t>
      </w:r>
      <w:r>
        <w:rPr>
          <w:rFonts w:ascii="Arial" w:cs="Arial" w:eastAsia="Arial" w:hAnsi="Arial"/>
          <w:sz w:val="17"/>
          <w:szCs w:val="17"/>
          <w:color w:val="auto"/>
        </w:rPr>
        <w:t>. Bank may enforce its rights in respect of the Equipment Advance under this Agreement without such note.</w:t>
      </w:r>
    </w:p>
    <w:p>
      <w:pPr>
        <w:spacing w:after="0" w:line="171" w:lineRule="exact"/>
        <w:rPr>
          <w:rFonts w:ascii="Arial" w:cs="Arial" w:eastAsia="Arial" w:hAnsi="Arial"/>
          <w:sz w:val="17"/>
          <w:szCs w:val="17"/>
          <w:b w:val="1"/>
          <w:bCs w:val="1"/>
          <w:color w:val="auto"/>
        </w:rPr>
      </w:pPr>
    </w:p>
    <w:p>
      <w:pPr>
        <w:ind w:firstLine="2522"/>
        <w:spacing w:after="0" w:line="277" w:lineRule="auto"/>
        <w:tabs>
          <w:tab w:leader="none" w:pos="3150" w:val="left"/>
        </w:tabs>
        <w:numPr>
          <w:ilvl w:val="1"/>
          <w:numId w:val="6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w:t>
      </w:r>
      <w:r>
        <w:rPr>
          <w:rFonts w:ascii="Arial" w:cs="Arial" w:eastAsia="Arial" w:hAnsi="Arial"/>
          <w:sz w:val="17"/>
          <w:szCs w:val="17"/>
          <w:color w:val="auto"/>
        </w:rPr>
        <w:t>On the fifth day of each month until the Equipment Advance Maturity Date, Borrower shall repay the</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Equipment Advance in equal monthly installments constituting principal plus accrued interest as prescribed by Bank. The entire principal balance and all accrued but unpaid interest on the Equipment Advance shall be due and payable on the Equipment Advance Maturity Date.</w:t>
      </w:r>
    </w:p>
    <w:p>
      <w:pPr>
        <w:spacing w:after="0" w:line="162" w:lineRule="exact"/>
        <w:rPr>
          <w:rFonts w:ascii="Arial" w:cs="Arial" w:eastAsia="Arial" w:hAnsi="Arial"/>
          <w:sz w:val="17"/>
          <w:szCs w:val="17"/>
          <w:b w:val="1"/>
          <w:bCs w:val="1"/>
          <w:color w:val="auto"/>
        </w:rPr>
      </w:pPr>
    </w:p>
    <w:p>
      <w:pPr>
        <w:ind w:left="2540" w:hanging="647"/>
        <w:spacing w:after="0"/>
        <w:tabs>
          <w:tab w:leader="none" w:pos="2540" w:val="left"/>
        </w:tabs>
        <w:numPr>
          <w:ilvl w:val="0"/>
          <w:numId w:val="613"/>
        </w:numPr>
        <w:rPr>
          <w:rFonts w:ascii="Arial" w:cs="Arial" w:eastAsia="Arial" w:hAnsi="Arial"/>
          <w:sz w:val="17"/>
          <w:szCs w:val="17"/>
          <w:b w:val="1"/>
          <w:bCs w:val="1"/>
          <w:color w:val="auto"/>
        </w:rPr>
      </w:pPr>
      <w:r>
        <w:rPr>
          <w:rFonts w:ascii="Arial" w:cs="Arial" w:eastAsia="Arial" w:hAnsi="Arial"/>
          <w:sz w:val="17"/>
          <w:szCs w:val="17"/>
          <w:b w:val="1"/>
          <w:bCs w:val="1"/>
          <w:color w:val="auto"/>
        </w:rPr>
        <w:t>Real Estate Facility.</w:t>
      </w:r>
    </w:p>
    <w:p>
      <w:pPr>
        <w:spacing w:after="0" w:line="224" w:lineRule="exact"/>
        <w:rPr>
          <w:rFonts w:ascii="Arial" w:cs="Arial" w:eastAsia="Arial" w:hAnsi="Arial"/>
          <w:sz w:val="17"/>
          <w:szCs w:val="17"/>
          <w:b w:val="1"/>
          <w:bCs w:val="1"/>
          <w:color w:val="auto"/>
        </w:rPr>
      </w:pPr>
    </w:p>
    <w:p>
      <w:pPr>
        <w:ind w:right="320" w:firstLine="2522"/>
        <w:spacing w:after="0" w:line="267" w:lineRule="auto"/>
        <w:tabs>
          <w:tab w:leader="none" w:pos="3154" w:val="left"/>
        </w:tabs>
        <w:numPr>
          <w:ilvl w:val="1"/>
          <w:numId w:val="6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Amount. </w:t>
      </w:r>
      <w:r>
        <w:rPr>
          <w:rFonts w:ascii="Arial" w:cs="Arial" w:eastAsia="Arial" w:hAnsi="Arial"/>
          <w:sz w:val="17"/>
          <w:szCs w:val="17"/>
          <w:color w:val="auto"/>
        </w:rPr>
        <w:t>Subject to and upon the terms and conditions of this Agreement, a Bank has made one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Advance to Borrower (recorded as loan number 288-000072-0), and the aggregate principal amount of such Real Estate Advance is three million five hundred thirty six thousand six hundred seventy nine dollars and seventy eight cents ($3,536,679.78). No further Real Estate Advances shall be made to Borrower. Borrower shall deliver to Bank a promissory note for the Real Estate Advance in substantially the form attached hereto as </w:t>
      </w:r>
      <w:r>
        <w:rPr>
          <w:rFonts w:ascii="Arial" w:cs="Arial" w:eastAsia="Arial" w:hAnsi="Arial"/>
          <w:sz w:val="17"/>
          <w:szCs w:val="17"/>
          <w:b w:val="1"/>
          <w:bCs w:val="1"/>
          <w:color w:val="auto"/>
        </w:rPr>
        <w:t>Exhibit B-3</w:t>
      </w:r>
      <w:r>
        <w:rPr>
          <w:rFonts w:ascii="Arial" w:cs="Arial" w:eastAsia="Arial" w:hAnsi="Arial"/>
          <w:sz w:val="17"/>
          <w:szCs w:val="17"/>
          <w:color w:val="auto"/>
        </w:rPr>
        <w:t>. Bank may enforce its rights in respect of the Real Estate Advance under this Agreement without such note.</w:t>
      </w:r>
    </w:p>
    <w:p>
      <w:pPr>
        <w:spacing w:after="0" w:line="171" w:lineRule="exact"/>
        <w:rPr>
          <w:rFonts w:ascii="Arial" w:cs="Arial" w:eastAsia="Arial" w:hAnsi="Arial"/>
          <w:sz w:val="17"/>
          <w:szCs w:val="17"/>
          <w:b w:val="1"/>
          <w:bCs w:val="1"/>
          <w:color w:val="auto"/>
        </w:rPr>
      </w:pPr>
    </w:p>
    <w:p>
      <w:pPr>
        <w:jc w:val="both"/>
        <w:ind w:right="100" w:firstLine="2522"/>
        <w:spacing w:after="0" w:line="277" w:lineRule="auto"/>
        <w:tabs>
          <w:tab w:leader="none" w:pos="3150" w:val="left"/>
        </w:tabs>
        <w:numPr>
          <w:ilvl w:val="1"/>
          <w:numId w:val="6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w:t>
      </w:r>
      <w:r>
        <w:rPr>
          <w:rFonts w:ascii="Arial" w:cs="Arial" w:eastAsia="Arial" w:hAnsi="Arial"/>
          <w:sz w:val="17"/>
          <w:szCs w:val="17"/>
          <w:color w:val="auto"/>
        </w:rPr>
        <w:t>On the fifth day of each of each until the Real Estate Maturity Date, Borrower shall repay the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Advance in equal installments of principal and interest as prescribed by Bank. The entire principal balance and all accrued but unpaid interest on the Real Estate Advance shall be due and payable on the Real Estate Maturity Date.</w:t>
      </w:r>
    </w:p>
    <w:p>
      <w:pPr>
        <w:spacing w:after="0" w:line="162" w:lineRule="exact"/>
        <w:rPr>
          <w:rFonts w:ascii="Arial" w:cs="Arial" w:eastAsia="Arial" w:hAnsi="Arial"/>
          <w:sz w:val="17"/>
          <w:szCs w:val="17"/>
          <w:b w:val="1"/>
          <w:bCs w:val="1"/>
          <w:color w:val="auto"/>
        </w:rPr>
      </w:pPr>
    </w:p>
    <w:p>
      <w:pPr>
        <w:ind w:left="2540" w:hanging="647"/>
        <w:spacing w:after="0"/>
        <w:tabs>
          <w:tab w:leader="none" w:pos="2540" w:val="left"/>
        </w:tabs>
        <w:numPr>
          <w:ilvl w:val="0"/>
          <w:numId w:val="613"/>
        </w:numPr>
        <w:rPr>
          <w:rFonts w:ascii="Arial" w:cs="Arial" w:eastAsia="Arial" w:hAnsi="Arial"/>
          <w:sz w:val="17"/>
          <w:szCs w:val="17"/>
          <w:b w:val="1"/>
          <w:bCs w:val="1"/>
          <w:color w:val="auto"/>
        </w:rPr>
      </w:pPr>
      <w:r>
        <w:rPr>
          <w:rFonts w:ascii="Arial" w:cs="Arial" w:eastAsia="Arial" w:hAnsi="Arial"/>
          <w:sz w:val="17"/>
          <w:szCs w:val="17"/>
          <w:b w:val="1"/>
          <w:bCs w:val="1"/>
          <w:color w:val="auto"/>
        </w:rPr>
        <w:t>Advances Under EXIM Line.</w:t>
      </w:r>
    </w:p>
    <w:p>
      <w:pPr>
        <w:spacing w:after="0" w:line="224" w:lineRule="exact"/>
        <w:rPr>
          <w:rFonts w:ascii="Arial" w:cs="Arial" w:eastAsia="Arial" w:hAnsi="Arial"/>
          <w:sz w:val="17"/>
          <w:szCs w:val="17"/>
          <w:b w:val="1"/>
          <w:bCs w:val="1"/>
          <w:color w:val="auto"/>
        </w:rPr>
      </w:pPr>
    </w:p>
    <w:p>
      <w:pPr>
        <w:ind w:firstLine="2522"/>
        <w:spacing w:after="0" w:line="285" w:lineRule="auto"/>
        <w:tabs>
          <w:tab w:leader="none" w:pos="3154" w:val="left"/>
        </w:tabs>
        <w:numPr>
          <w:ilvl w:val="1"/>
          <w:numId w:val="613"/>
        </w:numPr>
        <w:rPr>
          <w:rFonts w:ascii="Arial" w:cs="Arial" w:eastAsia="Arial" w:hAnsi="Arial"/>
          <w:sz w:val="16"/>
          <w:szCs w:val="16"/>
          <w:b w:val="1"/>
          <w:bCs w:val="1"/>
          <w:color w:val="auto"/>
        </w:rPr>
      </w:pPr>
      <w:r>
        <w:rPr>
          <w:rFonts w:ascii="Arial" w:cs="Arial" w:eastAsia="Arial" w:hAnsi="Arial"/>
          <w:sz w:val="16"/>
          <w:szCs w:val="16"/>
          <w:b w:val="1"/>
          <w:bCs w:val="1"/>
          <w:color w:val="auto"/>
        </w:rPr>
        <w:t>Amount</w:t>
      </w:r>
      <w:r>
        <w:rPr>
          <w:rFonts w:ascii="Arial" w:cs="Arial" w:eastAsia="Arial" w:hAnsi="Arial"/>
          <w:sz w:val="16"/>
          <w:szCs w:val="16"/>
          <w:color w:val="auto"/>
        </w:rPr>
        <w:t>. Subject to and upon the terms and conditions of this Agreement, Borrower may request EXIM Advances in</w:t>
      </w:r>
      <w:r>
        <w:rPr>
          <w:rFonts w:ascii="Arial" w:cs="Arial" w:eastAsia="Arial" w:hAnsi="Arial"/>
          <w:sz w:val="16"/>
          <w:szCs w:val="16"/>
          <w:b w:val="1"/>
          <w:bCs w:val="1"/>
          <w:color w:val="auto"/>
        </w:rPr>
        <w:t xml:space="preserve"> </w:t>
      </w:r>
      <w:r>
        <w:rPr>
          <w:rFonts w:ascii="Arial" w:cs="Arial" w:eastAsia="Arial" w:hAnsi="Arial"/>
          <w:sz w:val="16"/>
          <w:szCs w:val="16"/>
          <w:color w:val="auto"/>
        </w:rPr>
        <w:t>an aggregate outstanding amount not to exceed the lesser of (A) the EXIM Line or (B) the EXIM Borrowing Base. Amounts borrowed pursuant to this</w:t>
      </w:r>
    </w:p>
    <w:p>
      <w:pPr>
        <w:ind w:right="60"/>
        <w:spacing w:after="0" w:line="263" w:lineRule="auto"/>
        <w:rPr>
          <w:rFonts w:ascii="Arial" w:cs="Arial" w:eastAsia="Arial" w:hAnsi="Arial"/>
          <w:sz w:val="16"/>
          <w:szCs w:val="16"/>
          <w:b w:val="1"/>
          <w:bCs w:val="1"/>
          <w:color w:val="auto"/>
        </w:rPr>
      </w:pPr>
      <w:r>
        <w:rPr>
          <w:rFonts w:ascii="Arial" w:cs="Arial" w:eastAsia="Arial" w:hAnsi="Arial"/>
          <w:sz w:val="17"/>
          <w:szCs w:val="17"/>
          <w:color w:val="auto"/>
        </w:rPr>
        <w:t xml:space="preserve">Section 2.1(e) may be repaid and reborrowed at any time prior to the EXIM Maturity Date, at which time all EXIM Advances under this Section 2.1(e) shall be immediately due and payable. Borrower may prepay any Advances without penalty or premium. Borrower shall deliver to Bank a promissory note for the EXIM Advances in substantially the form attached hereto as </w:t>
      </w:r>
      <w:r>
        <w:rPr>
          <w:rFonts w:ascii="Arial" w:cs="Arial" w:eastAsia="Arial" w:hAnsi="Arial"/>
          <w:sz w:val="17"/>
          <w:szCs w:val="17"/>
          <w:b w:val="1"/>
          <w:bCs w:val="1"/>
          <w:color w:val="auto"/>
        </w:rPr>
        <w:t>Exhibit B-4</w:t>
      </w:r>
      <w:r>
        <w:rPr>
          <w:rFonts w:ascii="Arial" w:cs="Arial" w:eastAsia="Arial" w:hAnsi="Arial"/>
          <w:sz w:val="17"/>
          <w:szCs w:val="17"/>
          <w:color w:val="auto"/>
        </w:rPr>
        <w:t>. Bank may enforce its rights in respect of the EXIM Advances under this Agreement without such note.</w:t>
      </w:r>
    </w:p>
    <w:p>
      <w:pPr>
        <w:spacing w:after="0" w:line="173" w:lineRule="exact"/>
        <w:rPr>
          <w:rFonts w:ascii="Arial" w:cs="Arial" w:eastAsia="Arial" w:hAnsi="Arial"/>
          <w:sz w:val="16"/>
          <w:szCs w:val="16"/>
          <w:b w:val="1"/>
          <w:bCs w:val="1"/>
          <w:color w:val="auto"/>
        </w:rPr>
      </w:pPr>
    </w:p>
    <w:p>
      <w:pPr>
        <w:ind w:right="40" w:firstLine="2522"/>
        <w:spacing w:after="0" w:line="267" w:lineRule="auto"/>
        <w:tabs>
          <w:tab w:leader="none" w:pos="3150" w:val="left"/>
        </w:tabs>
        <w:numPr>
          <w:ilvl w:val="1"/>
          <w:numId w:val="613"/>
        </w:numPr>
        <w:rPr>
          <w:rFonts w:ascii="Arial" w:cs="Arial" w:eastAsia="Arial" w:hAnsi="Arial"/>
          <w:sz w:val="17"/>
          <w:szCs w:val="17"/>
          <w:b w:val="1"/>
          <w:bCs w:val="1"/>
          <w:color w:val="auto"/>
        </w:rPr>
      </w:pPr>
      <w:r>
        <w:rPr>
          <w:rFonts w:ascii="Arial" w:cs="Arial" w:eastAsia="Arial" w:hAnsi="Arial"/>
          <w:sz w:val="17"/>
          <w:szCs w:val="17"/>
          <w:b w:val="1"/>
          <w:bCs w:val="1"/>
          <w:color w:val="auto"/>
        </w:rPr>
        <w:t>Borrowing Procedure</w:t>
      </w:r>
      <w:r>
        <w:rPr>
          <w:rFonts w:ascii="Arial" w:cs="Arial" w:eastAsia="Arial" w:hAnsi="Arial"/>
          <w:sz w:val="17"/>
          <w:szCs w:val="17"/>
          <w:color w:val="auto"/>
        </w:rPr>
        <w:t>. Whenever Borrower desires an EXIM Advance, Borrower will notify Bank by facsimile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transmission of an advance request in substantially the form of </w:t>
      </w:r>
      <w:r>
        <w:rPr>
          <w:rFonts w:ascii="Arial" w:cs="Arial" w:eastAsia="Arial" w:hAnsi="Arial"/>
          <w:sz w:val="17"/>
          <w:szCs w:val="17"/>
          <w:b w:val="1"/>
          <w:bCs w:val="1"/>
          <w:color w:val="auto"/>
        </w:rPr>
        <w:t>Exhibit C</w:t>
      </w:r>
      <w:r>
        <w:rPr>
          <w:rFonts w:ascii="Arial" w:cs="Arial" w:eastAsia="Arial" w:hAnsi="Arial"/>
          <w:sz w:val="17"/>
          <w:szCs w:val="17"/>
          <w:color w:val="auto"/>
        </w:rPr>
        <w:t xml:space="preserve"> hereto no later than noon Pacific Time on the Business Day that is one (1) Business Day prior to the Business Day on which an EXIM Advance is made. Bank is authorized to make EXIM Advances under this Agreement, based upon instructions received from a Responsible Officer or a designee of a Responsible Officer. Bank will credit the amount of Advances made under this Section 2.1(d) to a Borrower’s deposit account, as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specified by Borrower.</w:t>
      </w:r>
    </w:p>
    <w:p>
      <w:pPr>
        <w:spacing w:after="0" w:line="218" w:lineRule="exact"/>
        <w:rPr>
          <w:sz w:val="20"/>
          <w:szCs w:val="20"/>
          <w:color w:val="auto"/>
        </w:rPr>
      </w:pPr>
    </w:p>
    <w:p>
      <w:pPr>
        <w:ind w:right="60" w:firstLine="2522"/>
        <w:spacing w:after="0" w:line="330" w:lineRule="auto"/>
        <w:tabs>
          <w:tab w:leader="none" w:pos="3146" w:val="left"/>
        </w:tabs>
        <w:numPr>
          <w:ilvl w:val="0"/>
          <w:numId w:val="614"/>
        </w:numPr>
        <w:rPr>
          <w:rFonts w:ascii="Arial" w:cs="Arial" w:eastAsia="Arial" w:hAnsi="Arial"/>
          <w:sz w:val="16"/>
          <w:szCs w:val="16"/>
          <w:b w:val="1"/>
          <w:bCs w:val="1"/>
          <w:color w:val="auto"/>
        </w:rPr>
      </w:pPr>
      <w:r>
        <w:rPr>
          <w:rFonts w:ascii="Arial" w:cs="Arial" w:eastAsia="Arial" w:hAnsi="Arial"/>
          <w:sz w:val="16"/>
          <w:szCs w:val="16"/>
          <w:b w:val="1"/>
          <w:bCs w:val="1"/>
          <w:color w:val="auto"/>
        </w:rPr>
        <w:t>Payments</w:t>
      </w:r>
      <w:r>
        <w:rPr>
          <w:rFonts w:ascii="Arial" w:cs="Arial" w:eastAsia="Arial" w:hAnsi="Arial"/>
          <w:sz w:val="16"/>
          <w:szCs w:val="16"/>
          <w:color w:val="auto"/>
        </w:rPr>
        <w:t>. Borrower shall pay interest on the aggregate outstanding principal amount of the EXIM Advances on the</w:t>
      </w:r>
      <w:r>
        <w:rPr>
          <w:rFonts w:ascii="Arial" w:cs="Arial" w:eastAsia="Arial" w:hAnsi="Arial"/>
          <w:sz w:val="16"/>
          <w:szCs w:val="16"/>
          <w:b w:val="1"/>
          <w:bCs w:val="1"/>
          <w:color w:val="auto"/>
        </w:rPr>
        <w:t xml:space="preserve"> </w:t>
      </w:r>
      <w:r>
        <w:rPr>
          <w:rFonts w:ascii="Arial" w:cs="Arial" w:eastAsia="Arial" w:hAnsi="Arial"/>
          <w:sz w:val="16"/>
          <w:szCs w:val="16"/>
          <w:color w:val="auto"/>
        </w:rPr>
        <w:t>fifth day of each month for so long as any EXIM Advances are outstanding. All EXIM Advances shall be due and payable on the EXIM Maturity Date.</w:t>
      </w:r>
    </w:p>
    <w:p>
      <w:pPr>
        <w:spacing w:after="0" w:line="123" w:lineRule="exact"/>
        <w:rPr>
          <w:rFonts w:ascii="Arial" w:cs="Arial" w:eastAsia="Arial" w:hAnsi="Arial"/>
          <w:sz w:val="16"/>
          <w:szCs w:val="16"/>
          <w:b w:val="1"/>
          <w:bCs w:val="1"/>
          <w:color w:val="auto"/>
        </w:rPr>
      </w:pPr>
    </w:p>
    <w:p>
      <w:pPr>
        <w:ind w:right="520" w:firstLine="2522"/>
        <w:spacing w:after="0" w:line="330" w:lineRule="auto"/>
        <w:tabs>
          <w:tab w:leader="none" w:pos="3149" w:val="left"/>
        </w:tabs>
        <w:numPr>
          <w:ilvl w:val="0"/>
          <w:numId w:val="6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Additional Conditions. </w:t>
      </w:r>
      <w:r>
        <w:rPr>
          <w:rFonts w:ascii="Arial" w:cs="Arial" w:eastAsia="Arial" w:hAnsi="Arial"/>
          <w:sz w:val="16"/>
          <w:szCs w:val="16"/>
          <w:color w:val="auto"/>
        </w:rPr>
        <w:t>The obligation of Bank to make the initial EXIM Advance is subject to the condition</w:t>
      </w:r>
      <w:r>
        <w:rPr>
          <w:rFonts w:ascii="Arial" w:cs="Arial" w:eastAsia="Arial" w:hAnsi="Arial"/>
          <w:sz w:val="16"/>
          <w:szCs w:val="16"/>
          <w:b w:val="1"/>
          <w:bCs w:val="1"/>
          <w:color w:val="auto"/>
        </w:rPr>
        <w:t xml:space="preserve"> </w:t>
      </w:r>
      <w:r>
        <w:rPr>
          <w:rFonts w:ascii="Arial" w:cs="Arial" w:eastAsia="Arial" w:hAnsi="Arial"/>
          <w:sz w:val="16"/>
          <w:szCs w:val="16"/>
          <w:color w:val="auto"/>
        </w:rPr>
        <w:t>precedent that Bank shall have received, in form and substance satisfactory to Bank, the Borrower Agreement and an Economic Impact Certification.</w:t>
      </w:r>
    </w:p>
    <w:p>
      <w:pPr>
        <w:spacing w:after="0" w:line="123" w:lineRule="exact"/>
        <w:rPr>
          <w:sz w:val="20"/>
          <w:szCs w:val="20"/>
          <w:color w:val="auto"/>
        </w:rPr>
      </w:pPr>
    </w:p>
    <w:p>
      <w:pPr>
        <w:ind w:right="120" w:firstLine="1259"/>
        <w:spacing w:after="0" w:line="297" w:lineRule="auto"/>
        <w:rPr>
          <w:sz w:val="20"/>
          <w:szCs w:val="20"/>
          <w:color w:val="auto"/>
        </w:rPr>
      </w:pPr>
      <w:r>
        <w:rPr>
          <w:rFonts w:ascii="Arial" w:cs="Arial" w:eastAsia="Arial" w:hAnsi="Arial"/>
          <w:sz w:val="17"/>
          <w:szCs w:val="17"/>
          <w:b w:val="1"/>
          <w:bCs w:val="1"/>
          <w:color w:val="auto"/>
        </w:rPr>
        <w:t>2.2 Overadvances</w:t>
      </w:r>
      <w:r>
        <w:rPr>
          <w:rFonts w:ascii="Arial" w:cs="Arial" w:eastAsia="Arial" w:hAnsi="Arial"/>
          <w:sz w:val="17"/>
          <w:szCs w:val="17"/>
          <w:color w:val="auto"/>
        </w:rPr>
        <w:t>. If the aggregate amount of the outstanding Advances exceeds the lesser of the Revolving Line or the Borrowing Base</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Borrower shall immediately pay to Bank, in cash, the amount of such excess.</w:t>
      </w:r>
    </w:p>
    <w:p>
      <w:pPr>
        <w:sectPr>
          <w:pgSz w:w="11900" w:h="16851" w:orient="portrait"/>
          <w:cols w:equalWidth="0" w:num="1">
            <w:col w:w="11400"/>
          </w:cols>
          <w:pgMar w:left="240" w:top="121" w:right="259" w:bottom="0" w:gutter="0" w:footer="0" w:header="0"/>
        </w:sectPr>
      </w:pPr>
    </w:p>
    <w:bookmarkStart w:id="388" w:name="page389"/>
    <w:bookmarkEnd w:id="388"/>
    <w:p>
      <w:pPr>
        <w:ind w:left="1260"/>
        <w:spacing w:after="0"/>
        <w:tabs>
          <w:tab w:leader="none" w:pos="186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5"/>
          <w:szCs w:val="15"/>
          <w:b w:val="1"/>
          <w:bCs w:val="1"/>
          <w:color w:val="auto"/>
        </w:rPr>
        <w:t>Interest Rates, Payments, and Calculations.</w:t>
      </w:r>
    </w:p>
    <w:p>
      <w:pPr>
        <w:spacing w:after="0" w:line="224" w:lineRule="exact"/>
        <w:rPr>
          <w:sz w:val="20"/>
          <w:szCs w:val="20"/>
          <w:color w:val="auto"/>
        </w:rPr>
      </w:pPr>
    </w:p>
    <w:p>
      <w:pPr>
        <w:ind w:left="2520" w:hanging="627"/>
        <w:spacing w:after="0"/>
        <w:tabs>
          <w:tab w:leader="none" w:pos="2520" w:val="left"/>
        </w:tabs>
        <w:numPr>
          <w:ilvl w:val="0"/>
          <w:numId w:val="615"/>
        </w:numPr>
        <w:rPr>
          <w:rFonts w:ascii="Arial" w:cs="Arial" w:eastAsia="Arial" w:hAnsi="Arial"/>
          <w:sz w:val="17"/>
          <w:szCs w:val="17"/>
          <w:b w:val="1"/>
          <w:bCs w:val="1"/>
          <w:color w:val="auto"/>
        </w:rPr>
      </w:pPr>
      <w:r>
        <w:rPr>
          <w:rFonts w:ascii="Arial" w:cs="Arial" w:eastAsia="Arial" w:hAnsi="Arial"/>
          <w:sz w:val="17"/>
          <w:szCs w:val="17"/>
          <w:b w:val="1"/>
          <w:bCs w:val="1"/>
          <w:color w:val="auto"/>
        </w:rPr>
        <w:t>Interest Rates</w:t>
      </w:r>
      <w:r>
        <w:rPr>
          <w:rFonts w:ascii="Arial" w:cs="Arial" w:eastAsia="Arial" w:hAnsi="Arial"/>
          <w:sz w:val="17"/>
          <w:szCs w:val="17"/>
          <w:color w:val="auto"/>
        </w:rPr>
        <w:t>.</w:t>
      </w:r>
    </w:p>
    <w:p>
      <w:pPr>
        <w:spacing w:after="0" w:line="224" w:lineRule="exact"/>
        <w:rPr>
          <w:rFonts w:ascii="Arial" w:cs="Arial" w:eastAsia="Arial" w:hAnsi="Arial"/>
          <w:sz w:val="17"/>
          <w:szCs w:val="17"/>
          <w:b w:val="1"/>
          <w:bCs w:val="1"/>
          <w:color w:val="auto"/>
        </w:rPr>
      </w:pPr>
    </w:p>
    <w:p>
      <w:pPr>
        <w:ind w:right="180" w:firstLine="2522"/>
        <w:spacing w:after="0" w:line="277" w:lineRule="auto"/>
        <w:tabs>
          <w:tab w:leader="none" w:pos="3154" w:val="left"/>
        </w:tabs>
        <w:numPr>
          <w:ilvl w:val="1"/>
          <w:numId w:val="6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Revolving Advance Interest Rate. </w:t>
      </w:r>
      <w:r>
        <w:rPr>
          <w:rFonts w:ascii="Arial" w:cs="Arial" w:eastAsia="Arial" w:hAnsi="Arial"/>
          <w:sz w:val="17"/>
          <w:szCs w:val="17"/>
          <w:color w:val="auto"/>
        </w:rPr>
        <w:t>Except as set forth in Section 2.3(b), the outstanding principal balance of each</w:t>
      </w:r>
      <w:r>
        <w:rPr>
          <w:rFonts w:ascii="Arial" w:cs="Arial" w:eastAsia="Arial" w:hAnsi="Arial"/>
          <w:sz w:val="17"/>
          <w:szCs w:val="17"/>
          <w:b w:val="1"/>
          <w:bCs w:val="1"/>
          <w:color w:val="auto"/>
        </w:rPr>
        <w:t xml:space="preserve"> </w:t>
      </w:r>
      <w:r>
        <w:rPr>
          <w:rFonts w:ascii="Arial" w:cs="Arial" w:eastAsia="Arial" w:hAnsi="Arial"/>
          <w:sz w:val="17"/>
          <w:szCs w:val="17"/>
          <w:color w:val="auto"/>
        </w:rPr>
        <w:t>Revolving Advance shall bear interest (computed daily on the basis of a 360 day year and actual days elapsed), at a floating rate per annum equal to the Prime Rate plus 3.25%.</w:t>
      </w:r>
    </w:p>
    <w:p>
      <w:pPr>
        <w:spacing w:after="0" w:line="162" w:lineRule="exact"/>
        <w:rPr>
          <w:rFonts w:ascii="Arial" w:cs="Arial" w:eastAsia="Arial" w:hAnsi="Arial"/>
          <w:sz w:val="17"/>
          <w:szCs w:val="17"/>
          <w:b w:val="1"/>
          <w:bCs w:val="1"/>
          <w:color w:val="auto"/>
        </w:rPr>
      </w:pPr>
    </w:p>
    <w:p>
      <w:pPr>
        <w:ind w:right="200" w:firstLine="2522"/>
        <w:spacing w:after="0" w:line="277" w:lineRule="auto"/>
        <w:tabs>
          <w:tab w:leader="none" w:pos="3150" w:val="left"/>
        </w:tabs>
        <w:numPr>
          <w:ilvl w:val="1"/>
          <w:numId w:val="615"/>
        </w:numPr>
        <w:rPr>
          <w:rFonts w:ascii="Arial" w:cs="Arial" w:eastAsia="Arial" w:hAnsi="Arial"/>
          <w:sz w:val="17"/>
          <w:szCs w:val="17"/>
          <w:b w:val="1"/>
          <w:bCs w:val="1"/>
          <w:color w:val="auto"/>
        </w:rPr>
      </w:pPr>
      <w:r>
        <w:rPr>
          <w:rFonts w:ascii="Arial" w:cs="Arial" w:eastAsia="Arial" w:hAnsi="Arial"/>
          <w:sz w:val="17"/>
          <w:szCs w:val="17"/>
          <w:b w:val="1"/>
          <w:bCs w:val="1"/>
          <w:color w:val="auto"/>
        </w:rPr>
        <w:t>Equipment Advance Interest Rate</w:t>
      </w:r>
      <w:r>
        <w:rPr>
          <w:rFonts w:ascii="Arial" w:cs="Arial" w:eastAsia="Arial" w:hAnsi="Arial"/>
          <w:sz w:val="17"/>
          <w:szCs w:val="17"/>
          <w:color w:val="auto"/>
        </w:rPr>
        <w:t>. Except as set forth in Section 2.3(b), the outstanding principal balance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Equipment Advance shall bear interest (computed daily on the basis of a 360 day year and actual days elapsed), at a variable rate equal to the Prime Rate plus 3.00%.</w:t>
      </w:r>
    </w:p>
    <w:p>
      <w:pPr>
        <w:spacing w:after="0" w:line="162" w:lineRule="exact"/>
        <w:rPr>
          <w:rFonts w:ascii="Arial" w:cs="Arial" w:eastAsia="Arial" w:hAnsi="Arial"/>
          <w:sz w:val="17"/>
          <w:szCs w:val="17"/>
          <w:b w:val="1"/>
          <w:bCs w:val="1"/>
          <w:color w:val="auto"/>
        </w:rPr>
      </w:pPr>
    </w:p>
    <w:p>
      <w:pPr>
        <w:ind w:right="180" w:firstLine="2522"/>
        <w:spacing w:after="0" w:line="277" w:lineRule="auto"/>
        <w:tabs>
          <w:tab w:leader="none" w:pos="3146" w:val="left"/>
        </w:tabs>
        <w:numPr>
          <w:ilvl w:val="1"/>
          <w:numId w:val="615"/>
        </w:numPr>
        <w:rPr>
          <w:rFonts w:ascii="Arial" w:cs="Arial" w:eastAsia="Arial" w:hAnsi="Arial"/>
          <w:sz w:val="17"/>
          <w:szCs w:val="17"/>
          <w:b w:val="1"/>
          <w:bCs w:val="1"/>
          <w:color w:val="auto"/>
        </w:rPr>
      </w:pPr>
      <w:r>
        <w:rPr>
          <w:rFonts w:ascii="Arial" w:cs="Arial" w:eastAsia="Arial" w:hAnsi="Arial"/>
          <w:sz w:val="17"/>
          <w:szCs w:val="17"/>
          <w:b w:val="1"/>
          <w:bCs w:val="1"/>
          <w:color w:val="auto"/>
        </w:rPr>
        <w:t>Real Estate Advance Interest Rat</w:t>
      </w:r>
      <w:r>
        <w:rPr>
          <w:rFonts w:ascii="Arial" w:cs="Arial" w:eastAsia="Arial" w:hAnsi="Arial"/>
          <w:sz w:val="17"/>
          <w:szCs w:val="17"/>
          <w:color w:val="auto"/>
        </w:rPr>
        <w:t>e. Except as set forth in Section 2.3(b), the outstanding principal balance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Real Estate Advance shall bear interest (computed daily on the basis of a 360 day year and actual days elapsed), at a variable rate equal to the Prime Rate plus 3.00%.</w:t>
      </w:r>
    </w:p>
    <w:p>
      <w:pPr>
        <w:spacing w:after="0" w:line="162" w:lineRule="exact"/>
        <w:rPr>
          <w:rFonts w:ascii="Arial" w:cs="Arial" w:eastAsia="Arial" w:hAnsi="Arial"/>
          <w:sz w:val="17"/>
          <w:szCs w:val="17"/>
          <w:b w:val="1"/>
          <w:bCs w:val="1"/>
          <w:color w:val="auto"/>
        </w:rPr>
      </w:pPr>
    </w:p>
    <w:p>
      <w:pPr>
        <w:ind w:right="60" w:firstLine="2522"/>
        <w:spacing w:after="0" w:line="330" w:lineRule="auto"/>
        <w:tabs>
          <w:tab w:leader="none" w:pos="3149" w:val="left"/>
        </w:tabs>
        <w:numPr>
          <w:ilvl w:val="1"/>
          <w:numId w:val="6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EXIM Advance Interest Rate. </w:t>
      </w:r>
      <w:r>
        <w:rPr>
          <w:rFonts w:ascii="Arial" w:cs="Arial" w:eastAsia="Arial" w:hAnsi="Arial"/>
          <w:sz w:val="16"/>
          <w:szCs w:val="16"/>
          <w:color w:val="auto"/>
        </w:rPr>
        <w:t>Except as set forth in Section 2.3(b), the outstanding principal balance of the EXIM</w:t>
      </w:r>
      <w:r>
        <w:rPr>
          <w:rFonts w:ascii="Arial" w:cs="Arial" w:eastAsia="Arial" w:hAnsi="Arial"/>
          <w:sz w:val="16"/>
          <w:szCs w:val="16"/>
          <w:b w:val="1"/>
          <w:bCs w:val="1"/>
          <w:color w:val="auto"/>
        </w:rPr>
        <w:t xml:space="preserve"> </w:t>
      </w:r>
      <w:r>
        <w:rPr>
          <w:rFonts w:ascii="Arial" w:cs="Arial" w:eastAsia="Arial" w:hAnsi="Arial"/>
          <w:sz w:val="16"/>
          <w:szCs w:val="16"/>
          <w:color w:val="auto"/>
        </w:rPr>
        <w:t>Advances shall bear interest (computed daily on the basis of a 360 day year and actual days elapsed), at a variable rate equal to the Prime Rate plus 3.25%.</w:t>
      </w:r>
    </w:p>
    <w:p>
      <w:pPr>
        <w:spacing w:after="0" w:line="129" w:lineRule="exact"/>
        <w:rPr>
          <w:sz w:val="20"/>
          <w:szCs w:val="20"/>
          <w:color w:val="auto"/>
        </w:rPr>
      </w:pPr>
    </w:p>
    <w:p>
      <w:pPr>
        <w:ind w:right="80" w:firstLine="629"/>
        <w:spacing w:after="0" w:line="263" w:lineRule="auto"/>
        <w:rPr>
          <w:sz w:val="20"/>
          <w:szCs w:val="20"/>
          <w:color w:val="auto"/>
        </w:rPr>
      </w:pPr>
      <w:r>
        <w:rPr>
          <w:rFonts w:ascii="Arial" w:cs="Arial" w:eastAsia="Arial" w:hAnsi="Arial"/>
          <w:sz w:val="17"/>
          <w:szCs w:val="17"/>
          <w:color w:val="auto"/>
        </w:rPr>
        <w:t>Notwithstanding the foregoing, at no time shall the interest rate applied to any Credit Extension be less than 7.50% per annum (computed daily on the basis of a 360 day year and actual days elapsed) (the “Floor Rate”); provided however, in the event Borrower (A) consummates its next round of equity financing (currently contemplated as a Series F Preferred Stock financing) whereby Borrower receives proceeds of at least $13,500,000 (including the conversion of any outstanding convertible debt securities into Borrower’s equity securities) and (B) Borrower achieves at least one calendar quarter with a minimum quarterly EBITDASO of at least $500,000, then the Floor Rate applied to all Credit Extensions shall be 6.50% per annum (computed daily on the basis of a 360 day year and actual days elapsed).</w:t>
      </w:r>
    </w:p>
    <w:p>
      <w:pPr>
        <w:spacing w:after="0" w:line="177" w:lineRule="exact"/>
        <w:rPr>
          <w:sz w:val="20"/>
          <w:szCs w:val="20"/>
          <w:color w:val="auto"/>
        </w:rPr>
      </w:pPr>
    </w:p>
    <w:p>
      <w:pPr>
        <w:ind w:right="40" w:firstLine="1893"/>
        <w:spacing w:after="0" w:line="270" w:lineRule="auto"/>
        <w:tabs>
          <w:tab w:leader="none" w:pos="2534" w:val="left"/>
        </w:tabs>
        <w:numPr>
          <w:ilvl w:val="0"/>
          <w:numId w:val="6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Late Fee/Default Rate. </w:t>
      </w:r>
      <w:r>
        <w:rPr>
          <w:rFonts w:ascii="Arial" w:cs="Arial" w:eastAsia="Arial" w:hAnsi="Arial"/>
          <w:sz w:val="17"/>
          <w:szCs w:val="17"/>
          <w:color w:val="auto"/>
        </w:rPr>
        <w:t>All Obligations shall bear interest, from and after the occurrence and during the continuance of an</w:t>
      </w:r>
      <w:r>
        <w:rPr>
          <w:rFonts w:ascii="Arial" w:cs="Arial" w:eastAsia="Arial" w:hAnsi="Arial"/>
          <w:sz w:val="17"/>
          <w:szCs w:val="17"/>
          <w:b w:val="1"/>
          <w:bCs w:val="1"/>
          <w:color w:val="auto"/>
        </w:rPr>
        <w:t xml:space="preserve"> </w:t>
      </w:r>
      <w:r>
        <w:rPr>
          <w:rFonts w:ascii="Arial" w:cs="Arial" w:eastAsia="Arial" w:hAnsi="Arial"/>
          <w:sz w:val="17"/>
          <w:szCs w:val="17"/>
          <w:color w:val="auto"/>
        </w:rPr>
        <w:t>Event of Default, at a rate equal to five (5) percentage points above the interest rate applicable immediately prior to the occurrence of the Event of Default. If any payment is not made within 10 days after the date such payment is due, Borrower shall pay Agent a late fee equal to the lesser of (i) 5% of the amount of such unpaid amount or (ii) the maximum amount permitted to be charged under applicable law.</w:t>
      </w:r>
    </w:p>
    <w:p>
      <w:pPr>
        <w:spacing w:after="0" w:line="169" w:lineRule="exact"/>
        <w:rPr>
          <w:rFonts w:ascii="Arial" w:cs="Arial" w:eastAsia="Arial" w:hAnsi="Arial"/>
          <w:sz w:val="17"/>
          <w:szCs w:val="17"/>
          <w:b w:val="1"/>
          <w:bCs w:val="1"/>
          <w:color w:val="auto"/>
        </w:rPr>
      </w:pPr>
    </w:p>
    <w:p>
      <w:pPr>
        <w:ind w:right="140" w:firstLine="1893"/>
        <w:spacing w:after="0" w:line="302" w:lineRule="auto"/>
        <w:tabs>
          <w:tab w:leader="none" w:pos="2527" w:val="left"/>
        </w:tabs>
        <w:numPr>
          <w:ilvl w:val="0"/>
          <w:numId w:val="6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Payments. </w:t>
      </w:r>
      <w:r>
        <w:rPr>
          <w:rFonts w:ascii="Arial" w:cs="Arial" w:eastAsia="Arial" w:hAnsi="Arial"/>
          <w:sz w:val="16"/>
          <w:szCs w:val="16"/>
          <w:color w:val="auto"/>
        </w:rPr>
        <w:t>Any interest not paid when due shall be compounded by becoming a part of the Obligations, and such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shall thereafter accrue interest at the rate then applicable hereunder. All payments shall be made free and clear of, and without deduction or withholding for, any present or future taxes or other charges imposed by any jurisdiction. Payments will be made via auto debit from the Borrower’s account at Bank.</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0" w:firstLine="1893"/>
        <w:spacing w:after="0" w:line="297" w:lineRule="auto"/>
        <w:tabs>
          <w:tab w:leader="none" w:pos="2534" w:val="left"/>
        </w:tabs>
        <w:numPr>
          <w:ilvl w:val="0"/>
          <w:numId w:val="6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Computation. </w:t>
      </w:r>
      <w:r>
        <w:rPr>
          <w:rFonts w:ascii="Arial" w:cs="Arial" w:eastAsia="Arial" w:hAnsi="Arial"/>
          <w:sz w:val="17"/>
          <w:szCs w:val="17"/>
          <w:color w:val="auto"/>
        </w:rPr>
        <w:t>The applicable rate of interest hereunder shall be increased or decreased effective as of the day the Prime Rate</w:t>
      </w:r>
      <w:r>
        <w:rPr>
          <w:rFonts w:ascii="Arial" w:cs="Arial" w:eastAsia="Arial" w:hAnsi="Arial"/>
          <w:sz w:val="17"/>
          <w:szCs w:val="17"/>
          <w:b w:val="1"/>
          <w:bCs w:val="1"/>
          <w:color w:val="auto"/>
        </w:rPr>
        <w:t xml:space="preserve"> </w:t>
      </w:r>
      <w:r>
        <w:rPr>
          <w:rFonts w:ascii="Arial" w:cs="Arial" w:eastAsia="Arial" w:hAnsi="Arial"/>
          <w:sz w:val="17"/>
          <w:szCs w:val="17"/>
          <w:color w:val="auto"/>
        </w:rPr>
        <w:t>is changed as provided in the definition thereof, by an amount equal to such change in the Prime Rate.</w:t>
      </w:r>
    </w:p>
    <w:p>
      <w:pPr>
        <w:spacing w:after="0" w:line="145" w:lineRule="exact"/>
        <w:rPr>
          <w:rFonts w:ascii="Arial" w:cs="Arial" w:eastAsia="Arial" w:hAnsi="Arial"/>
          <w:sz w:val="17"/>
          <w:szCs w:val="17"/>
          <w:b w:val="1"/>
          <w:bCs w:val="1"/>
          <w:color w:val="auto"/>
        </w:rPr>
      </w:pPr>
    </w:p>
    <w:p>
      <w:pPr>
        <w:ind w:firstLine="1893"/>
        <w:spacing w:after="0" w:line="261" w:lineRule="auto"/>
        <w:tabs>
          <w:tab w:leader="none" w:pos="2527" w:val="left"/>
        </w:tabs>
        <w:numPr>
          <w:ilvl w:val="0"/>
          <w:numId w:val="617"/>
        </w:numPr>
        <w:rPr>
          <w:rFonts w:ascii="Arial" w:cs="Arial" w:eastAsia="Arial" w:hAnsi="Arial"/>
          <w:sz w:val="17"/>
          <w:szCs w:val="17"/>
          <w:b w:val="1"/>
          <w:bCs w:val="1"/>
          <w:color w:val="auto"/>
        </w:rPr>
      </w:pPr>
      <w:r>
        <w:rPr>
          <w:rFonts w:ascii="Arial" w:cs="Arial" w:eastAsia="Arial" w:hAnsi="Arial"/>
          <w:sz w:val="17"/>
          <w:szCs w:val="17"/>
          <w:b w:val="1"/>
          <w:bCs w:val="1"/>
          <w:color w:val="auto"/>
        </w:rPr>
        <w:t>Crediting Payments</w:t>
      </w:r>
      <w:r>
        <w:rPr>
          <w:rFonts w:ascii="Arial" w:cs="Arial" w:eastAsia="Arial" w:hAnsi="Arial"/>
          <w:sz w:val="17"/>
          <w:szCs w:val="17"/>
          <w:color w:val="auto"/>
        </w:rPr>
        <w:t>. Prior to the occurrence of an Event of Default, Bank shall credit a wire transfer of funds, check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item of payment to such deposit account or Obligation as Borrower specifies. After the occurrence and continuance of an Event of Default, the receipt by Bank of any wire transfer of funds, check, or other item of payment shall be immediately applied to conditionally reduce Obligations, but shall not be considered a payment on account unless such payment is of immediately available federal funds or unless and until such check or other item of payment is honored when presented for payment. Notwithstanding anything to the contrary contained herein, any wire transfer or other payment received by Bank after 12:00 noon Pacific time shall be deemed to have been received by Bank as of the opening of business on the immediately following Business Day. Any wire transfer or other payment received by Bank before 12:00 noon Pacific time shall be deemed to have been received by Bank as of the opening of business on such Business Day. Whenever any payment to Bank under the Loan Documents would otherwise be due (except by reason of acceleration) on a date that is not a Business Day, such payment shall instead be due on the next Business Day, and additional fees or interest, as the case may be, shall accrue and be payable for the period of such extension.</w:t>
      </w:r>
    </w:p>
    <w:p>
      <w:pPr>
        <w:spacing w:after="0" w:line="181"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b w:val="1"/>
          <w:bCs w:val="1"/>
          <w:color w:val="auto"/>
        </w:rPr>
        <w:t>2.4</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 Borrower shall pay to Bank the following:</w:t>
      </w:r>
    </w:p>
    <w:p>
      <w:pPr>
        <w:spacing w:after="0" w:line="224" w:lineRule="exact"/>
        <w:rPr>
          <w:sz w:val="20"/>
          <w:szCs w:val="20"/>
          <w:color w:val="auto"/>
        </w:rPr>
      </w:pPr>
    </w:p>
    <w:p>
      <w:pPr>
        <w:ind w:left="2520" w:hanging="627"/>
        <w:spacing w:after="0"/>
        <w:tabs>
          <w:tab w:leader="none" w:pos="2520" w:val="left"/>
        </w:tabs>
        <w:numPr>
          <w:ilvl w:val="0"/>
          <w:numId w:val="618"/>
        </w:numPr>
        <w:rPr>
          <w:rFonts w:ascii="Arial" w:cs="Arial" w:eastAsia="Arial" w:hAnsi="Arial"/>
          <w:sz w:val="17"/>
          <w:szCs w:val="17"/>
          <w:b w:val="1"/>
          <w:bCs w:val="1"/>
          <w:color w:val="auto"/>
        </w:rPr>
      </w:pPr>
      <w:r>
        <w:rPr>
          <w:rFonts w:ascii="Arial" w:cs="Arial" w:eastAsia="Arial" w:hAnsi="Arial"/>
          <w:sz w:val="17"/>
          <w:szCs w:val="17"/>
          <w:b w:val="1"/>
          <w:bCs w:val="1"/>
          <w:color w:val="auto"/>
        </w:rPr>
        <w:t>Facility Fee</w:t>
      </w:r>
      <w:r>
        <w:rPr>
          <w:rFonts w:ascii="Arial" w:cs="Arial" w:eastAsia="Arial" w:hAnsi="Arial"/>
          <w:sz w:val="17"/>
          <w:szCs w:val="17"/>
          <w:color w:val="auto"/>
        </w:rPr>
        <w:t>. On the Closing Date, a fee equal to $33,850 (which includes an EXIM fee of $16,350) which shall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nonrefundable;</w:t>
      </w:r>
    </w:p>
    <w:p>
      <w:pPr>
        <w:spacing w:after="0" w:line="206" w:lineRule="exact"/>
        <w:rPr>
          <w:sz w:val="20"/>
          <w:szCs w:val="20"/>
          <w:color w:val="auto"/>
        </w:rPr>
      </w:pPr>
    </w:p>
    <w:p>
      <w:pPr>
        <w:ind w:right="120" w:firstLine="1893"/>
        <w:spacing w:after="0" w:line="297" w:lineRule="auto"/>
        <w:tabs>
          <w:tab w:leader="none" w:pos="2534" w:val="left"/>
        </w:tabs>
        <w:numPr>
          <w:ilvl w:val="0"/>
          <w:numId w:val="619"/>
        </w:numPr>
        <w:rPr>
          <w:rFonts w:ascii="Arial" w:cs="Arial" w:eastAsia="Arial" w:hAnsi="Arial"/>
          <w:sz w:val="17"/>
          <w:szCs w:val="17"/>
          <w:b w:val="1"/>
          <w:bCs w:val="1"/>
          <w:color w:val="auto"/>
        </w:rPr>
      </w:pPr>
      <w:r>
        <w:rPr>
          <w:rFonts w:ascii="Arial" w:cs="Arial" w:eastAsia="Arial" w:hAnsi="Arial"/>
          <w:sz w:val="17"/>
          <w:szCs w:val="17"/>
          <w:b w:val="1"/>
          <w:bCs w:val="1"/>
          <w:color w:val="auto"/>
        </w:rPr>
        <w:t>Bank Expenses</w:t>
      </w:r>
      <w:r>
        <w:rPr>
          <w:rFonts w:ascii="Arial" w:cs="Arial" w:eastAsia="Arial" w:hAnsi="Arial"/>
          <w:sz w:val="17"/>
          <w:szCs w:val="17"/>
          <w:color w:val="auto"/>
        </w:rPr>
        <w:t>. On the Closing Date, all Bank Expenses incurred through the Closing Date, and, after the Closing Date, all</w:t>
      </w:r>
      <w:r>
        <w:rPr>
          <w:rFonts w:ascii="Arial" w:cs="Arial" w:eastAsia="Arial" w:hAnsi="Arial"/>
          <w:sz w:val="17"/>
          <w:szCs w:val="17"/>
          <w:b w:val="1"/>
          <w:bCs w:val="1"/>
          <w:color w:val="auto"/>
        </w:rPr>
        <w:t xml:space="preserve"> </w:t>
      </w:r>
      <w:r>
        <w:rPr>
          <w:rFonts w:ascii="Arial" w:cs="Arial" w:eastAsia="Arial" w:hAnsi="Arial"/>
          <w:sz w:val="17"/>
          <w:szCs w:val="17"/>
          <w:color w:val="auto"/>
        </w:rPr>
        <w:t>Bank Expenses, as and when they become due; and</w:t>
      </w:r>
    </w:p>
    <w:p>
      <w:pPr>
        <w:spacing w:after="0" w:line="145" w:lineRule="exact"/>
        <w:rPr>
          <w:rFonts w:ascii="Arial" w:cs="Arial" w:eastAsia="Arial" w:hAnsi="Arial"/>
          <w:sz w:val="17"/>
          <w:szCs w:val="17"/>
          <w:b w:val="1"/>
          <w:bCs w:val="1"/>
          <w:color w:val="auto"/>
        </w:rPr>
      </w:pPr>
    </w:p>
    <w:p>
      <w:pPr>
        <w:ind w:left="2540" w:hanging="647"/>
        <w:spacing w:after="0"/>
        <w:tabs>
          <w:tab w:leader="none" w:pos="2540" w:val="left"/>
        </w:tabs>
        <w:numPr>
          <w:ilvl w:val="0"/>
          <w:numId w:val="619"/>
        </w:numPr>
        <w:rPr>
          <w:rFonts w:ascii="Arial" w:cs="Arial" w:eastAsia="Arial" w:hAnsi="Arial"/>
          <w:sz w:val="17"/>
          <w:szCs w:val="17"/>
          <w:b w:val="1"/>
          <w:bCs w:val="1"/>
          <w:color w:val="auto"/>
        </w:rPr>
      </w:pPr>
      <w:r>
        <w:rPr>
          <w:rFonts w:ascii="Arial" w:cs="Arial" w:eastAsia="Arial" w:hAnsi="Arial"/>
          <w:sz w:val="17"/>
          <w:szCs w:val="17"/>
          <w:b w:val="1"/>
          <w:bCs w:val="1"/>
          <w:color w:val="auto"/>
        </w:rPr>
        <w:t>EXIM Fee</w:t>
      </w:r>
      <w:r>
        <w:rPr>
          <w:rFonts w:ascii="Arial" w:cs="Arial" w:eastAsia="Arial" w:hAnsi="Arial"/>
          <w:sz w:val="17"/>
          <w:szCs w:val="17"/>
          <w:color w:val="auto"/>
        </w:rPr>
        <w:t>. Such other fees as EXIM may charge from time to time.</w:t>
      </w:r>
    </w:p>
    <w:p>
      <w:pPr>
        <w:spacing w:after="0" w:line="224" w:lineRule="exact"/>
        <w:rPr>
          <w:sz w:val="20"/>
          <w:szCs w:val="20"/>
          <w:color w:val="auto"/>
        </w:rPr>
      </w:pPr>
    </w:p>
    <w:p>
      <w:pPr>
        <w:ind w:right="140" w:firstLine="1259"/>
        <w:spacing w:after="0" w:line="270" w:lineRule="auto"/>
        <w:rPr>
          <w:sz w:val="20"/>
          <w:szCs w:val="20"/>
          <w:color w:val="auto"/>
        </w:rPr>
      </w:pPr>
      <w:r>
        <w:rPr>
          <w:rFonts w:ascii="Arial" w:cs="Arial" w:eastAsia="Arial" w:hAnsi="Arial"/>
          <w:sz w:val="17"/>
          <w:szCs w:val="17"/>
          <w:b w:val="1"/>
          <w:bCs w:val="1"/>
          <w:color w:val="auto"/>
        </w:rPr>
        <w:t>2.5 Term</w:t>
      </w:r>
      <w:r>
        <w:rPr>
          <w:rFonts w:ascii="Arial" w:cs="Arial" w:eastAsia="Arial" w:hAnsi="Arial"/>
          <w:sz w:val="17"/>
          <w:szCs w:val="17"/>
          <w:color w:val="auto"/>
        </w:rPr>
        <w:t>. This Agreement shall become effective on the Closing Date and, subject to Section 12.7, shall continue in full force and effect</w:t>
      </w:r>
      <w:r>
        <w:rPr>
          <w:rFonts w:ascii="Arial" w:cs="Arial" w:eastAsia="Arial" w:hAnsi="Arial"/>
          <w:sz w:val="17"/>
          <w:szCs w:val="17"/>
          <w:b w:val="1"/>
          <w:bCs w:val="1"/>
          <w:color w:val="auto"/>
        </w:rPr>
        <w:t xml:space="preserve"> </w:t>
      </w:r>
      <w:r>
        <w:rPr>
          <w:rFonts w:ascii="Arial" w:cs="Arial" w:eastAsia="Arial" w:hAnsi="Arial"/>
          <w:sz w:val="17"/>
          <w:szCs w:val="17"/>
          <w:color w:val="auto"/>
        </w:rPr>
        <w:t>for so long as any Obligations remain outstanding or Bank has any obligation to make Credit Extensions under this Agreement. Notwithstanding the foregoing, Bank shall have the right to terminate its obligation to make Credit Extensions under this Agreement immediately and without notice upon the occurrence and during the continuance of an Event of Default.</w:t>
      </w:r>
    </w:p>
    <w:p>
      <w:pPr>
        <w:spacing w:after="0" w:line="169" w:lineRule="exact"/>
        <w:rPr>
          <w:sz w:val="20"/>
          <w:szCs w:val="20"/>
          <w:color w:val="auto"/>
        </w:rPr>
      </w:pPr>
    </w:p>
    <w:p>
      <w:pPr>
        <w:ind w:left="1260" w:hanging="626"/>
        <w:spacing w:after="0"/>
        <w:tabs>
          <w:tab w:leader="none" w:pos="1260" w:val="left"/>
        </w:tabs>
        <w:numPr>
          <w:ilvl w:val="0"/>
          <w:numId w:val="620"/>
        </w:numPr>
        <w:rPr>
          <w:rFonts w:ascii="Arial" w:cs="Arial" w:eastAsia="Arial" w:hAnsi="Arial"/>
          <w:sz w:val="17"/>
          <w:szCs w:val="17"/>
          <w:b w:val="1"/>
          <w:bCs w:val="1"/>
          <w:color w:val="auto"/>
        </w:rPr>
      </w:pPr>
      <w:r>
        <w:rPr>
          <w:rFonts w:ascii="Arial" w:cs="Arial" w:eastAsia="Arial" w:hAnsi="Arial"/>
          <w:sz w:val="17"/>
          <w:szCs w:val="17"/>
          <w:b w:val="1"/>
          <w:bCs w:val="1"/>
          <w:color w:val="auto"/>
        </w:rPr>
        <w:t>CONDITIONS OF LOANS</w:t>
      </w:r>
      <w:r>
        <w:rPr>
          <w:rFonts w:ascii="Arial" w:cs="Arial" w:eastAsia="Arial" w:hAnsi="Arial"/>
          <w:sz w:val="17"/>
          <w:szCs w:val="17"/>
          <w:color w:val="auto"/>
        </w:rPr>
        <w:t>.</w:t>
      </w:r>
    </w:p>
    <w:p>
      <w:pPr>
        <w:spacing w:after="0" w:line="224" w:lineRule="exact"/>
        <w:rPr>
          <w:sz w:val="20"/>
          <w:szCs w:val="20"/>
          <w:color w:val="auto"/>
        </w:rPr>
      </w:pPr>
    </w:p>
    <w:p>
      <w:pPr>
        <w:ind w:right="460" w:firstLine="1259"/>
        <w:spacing w:after="0" w:line="297" w:lineRule="auto"/>
        <w:rPr>
          <w:sz w:val="20"/>
          <w:szCs w:val="20"/>
          <w:color w:val="auto"/>
        </w:rPr>
      </w:pPr>
      <w:r>
        <w:rPr>
          <w:rFonts w:ascii="Arial" w:cs="Arial" w:eastAsia="Arial" w:hAnsi="Arial"/>
          <w:sz w:val="17"/>
          <w:szCs w:val="17"/>
          <w:b w:val="1"/>
          <w:bCs w:val="1"/>
          <w:color w:val="auto"/>
        </w:rPr>
        <w:t>3.1 Conditions Precedent to Initial Credit Extension</w:t>
      </w:r>
      <w:r>
        <w:rPr>
          <w:rFonts w:ascii="Arial" w:cs="Arial" w:eastAsia="Arial" w:hAnsi="Arial"/>
          <w:sz w:val="17"/>
          <w:szCs w:val="17"/>
          <w:color w:val="auto"/>
        </w:rPr>
        <w:t>. The obligation of Bank to make the initial Credit Extension is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 precedent that Bank shall have received, in form and substance satisfactory to Bank, the following:</w:t>
      </w:r>
    </w:p>
    <w:p>
      <w:pPr>
        <w:spacing w:after="0" w:line="151" w:lineRule="exact"/>
        <w:rPr>
          <w:sz w:val="20"/>
          <w:szCs w:val="20"/>
          <w:color w:val="auto"/>
        </w:rPr>
      </w:pPr>
    </w:p>
    <w:p>
      <w:pPr>
        <w:ind w:left="2520" w:hanging="627"/>
        <w:spacing w:after="0"/>
        <w:tabs>
          <w:tab w:leader="none" w:pos="2520" w:val="left"/>
        </w:tabs>
        <w:numPr>
          <w:ilvl w:val="0"/>
          <w:numId w:val="621"/>
        </w:numPr>
        <w:rPr>
          <w:rFonts w:ascii="Arial" w:cs="Arial" w:eastAsia="Arial" w:hAnsi="Arial"/>
          <w:sz w:val="17"/>
          <w:szCs w:val="17"/>
          <w:b w:val="1"/>
          <w:bCs w:val="1"/>
          <w:color w:val="auto"/>
        </w:rPr>
      </w:pPr>
      <w:r>
        <w:rPr>
          <w:rFonts w:ascii="Arial" w:cs="Arial" w:eastAsia="Arial" w:hAnsi="Arial"/>
          <w:sz w:val="17"/>
          <w:szCs w:val="17"/>
          <w:color w:val="auto"/>
        </w:rPr>
        <w:t>this Agreement;</w:t>
      </w:r>
    </w:p>
    <w:p>
      <w:pPr>
        <w:spacing w:after="0" w:line="224" w:lineRule="exact"/>
        <w:rPr>
          <w:rFonts w:ascii="Arial" w:cs="Arial" w:eastAsia="Arial" w:hAnsi="Arial"/>
          <w:sz w:val="17"/>
          <w:szCs w:val="17"/>
          <w:b w:val="1"/>
          <w:bCs w:val="1"/>
          <w:color w:val="auto"/>
        </w:rPr>
      </w:pPr>
    </w:p>
    <w:p>
      <w:pPr>
        <w:ind w:left="2540" w:hanging="647"/>
        <w:spacing w:after="0"/>
        <w:tabs>
          <w:tab w:leader="none" w:pos="2540" w:val="left"/>
        </w:tabs>
        <w:numPr>
          <w:ilvl w:val="0"/>
          <w:numId w:val="621"/>
        </w:numPr>
        <w:rPr>
          <w:rFonts w:ascii="Arial" w:cs="Arial" w:eastAsia="Arial" w:hAnsi="Arial"/>
          <w:sz w:val="17"/>
          <w:szCs w:val="17"/>
          <w:b w:val="1"/>
          <w:bCs w:val="1"/>
          <w:color w:val="auto"/>
        </w:rPr>
      </w:pPr>
      <w:r>
        <w:rPr>
          <w:rFonts w:ascii="Arial" w:cs="Arial" w:eastAsia="Arial" w:hAnsi="Arial"/>
          <w:sz w:val="17"/>
          <w:szCs w:val="17"/>
          <w:color w:val="auto"/>
        </w:rPr>
        <w:t>a financing statement (Form UCC-1);</w:t>
      </w:r>
    </w:p>
    <w:p>
      <w:pPr>
        <w:sectPr>
          <w:pgSz w:w="11900" w:h="16838" w:orient="portrait"/>
          <w:cols w:equalWidth="0" w:num="1">
            <w:col w:w="11380"/>
          </w:cols>
          <w:pgMar w:left="240" w:top="331" w:right="279" w:bottom="0" w:gutter="0" w:footer="0" w:header="0"/>
        </w:sectPr>
      </w:pPr>
    </w:p>
    <w:bookmarkStart w:id="389" w:name="page390"/>
    <w:bookmarkEnd w:id="389"/>
    <w:p>
      <w:pPr>
        <w:spacing w:after="0" w:line="62" w:lineRule="exact"/>
        <w:rPr>
          <w:sz w:val="20"/>
          <w:szCs w:val="20"/>
          <w:color w:val="auto"/>
        </w:rPr>
      </w:pPr>
    </w:p>
    <w:p>
      <w:pPr>
        <w:ind w:left="2540" w:hanging="647"/>
        <w:spacing w:after="0"/>
        <w:tabs>
          <w:tab w:leader="none" w:pos="2540" w:val="left"/>
        </w:tabs>
        <w:numPr>
          <w:ilvl w:val="0"/>
          <w:numId w:val="622"/>
        </w:numPr>
        <w:rPr>
          <w:rFonts w:ascii="Arial" w:cs="Arial" w:eastAsia="Arial" w:hAnsi="Arial"/>
          <w:sz w:val="16"/>
          <w:szCs w:val="16"/>
          <w:b w:val="1"/>
          <w:bCs w:val="1"/>
          <w:color w:val="auto"/>
        </w:rPr>
      </w:pPr>
      <w:r>
        <w:rPr>
          <w:rFonts w:ascii="Arial" w:cs="Arial" w:eastAsia="Arial" w:hAnsi="Arial"/>
          <w:sz w:val="16"/>
          <w:szCs w:val="16"/>
          <w:color w:val="auto"/>
        </w:rPr>
        <w:t>an audit of the Collateral conducted by an auditor satisfactory to Bank, the results of which shall be reasonably satisfactory to</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Bank;</w:t>
      </w:r>
    </w:p>
    <w:p>
      <w:pPr>
        <w:spacing w:after="0" w:line="212" w:lineRule="exact"/>
        <w:rPr>
          <w:sz w:val="20"/>
          <w:szCs w:val="20"/>
          <w:color w:val="auto"/>
        </w:rPr>
      </w:pPr>
    </w:p>
    <w:p>
      <w:pPr>
        <w:ind w:left="2540" w:hanging="647"/>
        <w:spacing w:after="0"/>
        <w:tabs>
          <w:tab w:leader="none" w:pos="2540" w:val="left"/>
        </w:tabs>
        <w:numPr>
          <w:ilvl w:val="0"/>
          <w:numId w:val="623"/>
        </w:numPr>
        <w:rPr>
          <w:rFonts w:ascii="Arial" w:cs="Arial" w:eastAsia="Arial" w:hAnsi="Arial"/>
          <w:sz w:val="16"/>
          <w:szCs w:val="16"/>
          <w:b w:val="1"/>
          <w:bCs w:val="1"/>
          <w:color w:val="auto"/>
        </w:rPr>
      </w:pPr>
      <w:r>
        <w:rPr>
          <w:rFonts w:ascii="Arial" w:cs="Arial" w:eastAsia="Arial" w:hAnsi="Arial"/>
          <w:sz w:val="16"/>
          <w:szCs w:val="16"/>
          <w:color w:val="auto"/>
        </w:rPr>
        <w:t>a certificate of the Secretary of Borrower with respect to incumbency and resolutions authorizing the execution and delivery of</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this Agreement;</w:t>
      </w:r>
    </w:p>
    <w:p>
      <w:pPr>
        <w:spacing w:after="0" w:line="212" w:lineRule="exact"/>
        <w:rPr>
          <w:sz w:val="20"/>
          <w:szCs w:val="20"/>
          <w:color w:val="auto"/>
        </w:rPr>
      </w:pPr>
    </w:p>
    <w:p>
      <w:pPr>
        <w:ind w:left="2540" w:hanging="647"/>
        <w:spacing w:after="0"/>
        <w:tabs>
          <w:tab w:leader="none" w:pos="2540" w:val="left"/>
        </w:tabs>
        <w:numPr>
          <w:ilvl w:val="0"/>
          <w:numId w:val="624"/>
        </w:numPr>
        <w:rPr>
          <w:rFonts w:ascii="Arial" w:cs="Arial" w:eastAsia="Arial" w:hAnsi="Arial"/>
          <w:sz w:val="17"/>
          <w:szCs w:val="17"/>
          <w:b w:val="1"/>
          <w:bCs w:val="1"/>
          <w:color w:val="auto"/>
        </w:rPr>
      </w:pPr>
      <w:r>
        <w:rPr>
          <w:rFonts w:ascii="Arial" w:cs="Arial" w:eastAsia="Arial" w:hAnsi="Arial"/>
          <w:sz w:val="17"/>
          <w:szCs w:val="17"/>
          <w:color w:val="auto"/>
        </w:rPr>
        <w:t>a certificate of insurance naming Bank as loss payee and additional insured;</w:t>
      </w:r>
    </w:p>
    <w:p>
      <w:pPr>
        <w:spacing w:after="0" w:line="224" w:lineRule="exact"/>
        <w:rPr>
          <w:rFonts w:ascii="Arial" w:cs="Arial" w:eastAsia="Arial" w:hAnsi="Arial"/>
          <w:sz w:val="17"/>
          <w:szCs w:val="17"/>
          <w:b w:val="1"/>
          <w:bCs w:val="1"/>
          <w:color w:val="auto"/>
        </w:rPr>
      </w:pPr>
    </w:p>
    <w:p>
      <w:pPr>
        <w:ind w:left="5620" w:right="3740" w:hanging="3727"/>
        <w:spacing w:after="0" w:line="547" w:lineRule="auto"/>
        <w:tabs>
          <w:tab w:leader="none" w:pos="2516" w:val="left"/>
        </w:tabs>
        <w:numPr>
          <w:ilvl w:val="0"/>
          <w:numId w:val="624"/>
        </w:numPr>
        <w:rPr>
          <w:rFonts w:ascii="Arial" w:cs="Arial" w:eastAsia="Arial" w:hAnsi="Arial"/>
          <w:sz w:val="17"/>
          <w:szCs w:val="17"/>
          <w:b w:val="1"/>
          <w:bCs w:val="1"/>
          <w:color w:val="auto"/>
        </w:rPr>
      </w:pPr>
      <w:r>
        <w:rPr>
          <w:rFonts w:ascii="Arial" w:cs="Arial" w:eastAsia="Arial" w:hAnsi="Arial"/>
          <w:sz w:val="17"/>
          <w:szCs w:val="17"/>
          <w:color w:val="auto"/>
        </w:rPr>
        <w:t>payment of the fees and Bank Expenses then due specified in Section 2.4; 11</w:t>
      </w:r>
    </w:p>
    <w:p>
      <w:pPr>
        <w:spacing w:after="0" w:line="200" w:lineRule="exact"/>
        <w:rPr>
          <w:rFonts w:ascii="Arial" w:cs="Arial" w:eastAsia="Arial" w:hAnsi="Arial"/>
          <w:sz w:val="17"/>
          <w:szCs w:val="17"/>
          <w:b w:val="1"/>
          <w:bCs w:val="1"/>
          <w:color w:val="auto"/>
        </w:rPr>
      </w:pPr>
    </w:p>
    <w:p>
      <w:pPr>
        <w:spacing w:after="0" w:line="233" w:lineRule="exact"/>
        <w:rPr>
          <w:rFonts w:ascii="Arial" w:cs="Arial" w:eastAsia="Arial" w:hAnsi="Arial"/>
          <w:sz w:val="17"/>
          <w:szCs w:val="17"/>
          <w:b w:val="1"/>
          <w:bCs w:val="1"/>
          <w:color w:val="auto"/>
        </w:rPr>
      </w:pPr>
    </w:p>
    <w:p>
      <w:pPr>
        <w:jc w:val="both"/>
        <w:ind w:right="320" w:firstLine="1893"/>
        <w:spacing w:after="0" w:line="273" w:lineRule="auto"/>
        <w:tabs>
          <w:tab w:leader="none" w:pos="2524" w:val="left"/>
        </w:tabs>
        <w:numPr>
          <w:ilvl w:val="0"/>
          <w:numId w:val="624"/>
        </w:numPr>
        <w:rPr>
          <w:rFonts w:ascii="Arial" w:cs="Arial" w:eastAsia="Arial" w:hAnsi="Arial"/>
          <w:sz w:val="17"/>
          <w:szCs w:val="17"/>
          <w:b w:val="1"/>
          <w:bCs w:val="1"/>
          <w:color w:val="auto"/>
        </w:rPr>
      </w:pPr>
      <w:r>
        <w:rPr>
          <w:rFonts w:ascii="Arial" w:cs="Arial" w:eastAsia="Arial" w:hAnsi="Arial"/>
          <w:sz w:val="17"/>
          <w:szCs w:val="17"/>
          <w:color w:val="auto"/>
        </w:rPr>
        <w:t>current financial statements, including audited statements for Borrower’s most recently ended fiscal year, together with an unqualified opinion, company prepared consolidated and consolidating balance sheets and income statements for the most recently ended month in accordance with Section 6.2, and such other updated financial information as Bank may reasonably request;</w:t>
      </w:r>
    </w:p>
    <w:p>
      <w:pPr>
        <w:spacing w:after="0" w:line="171" w:lineRule="exact"/>
        <w:rPr>
          <w:rFonts w:ascii="Arial" w:cs="Arial" w:eastAsia="Arial" w:hAnsi="Arial"/>
          <w:sz w:val="17"/>
          <w:szCs w:val="17"/>
          <w:b w:val="1"/>
          <w:bCs w:val="1"/>
          <w:color w:val="auto"/>
        </w:rPr>
      </w:pPr>
    </w:p>
    <w:p>
      <w:pPr>
        <w:ind w:left="2540" w:hanging="647"/>
        <w:spacing w:after="0"/>
        <w:tabs>
          <w:tab w:leader="none" w:pos="2540" w:val="left"/>
        </w:tabs>
        <w:numPr>
          <w:ilvl w:val="0"/>
          <w:numId w:val="624"/>
        </w:numPr>
        <w:rPr>
          <w:rFonts w:ascii="Arial" w:cs="Arial" w:eastAsia="Arial" w:hAnsi="Arial"/>
          <w:sz w:val="17"/>
          <w:szCs w:val="17"/>
          <w:b w:val="1"/>
          <w:bCs w:val="1"/>
          <w:color w:val="auto"/>
        </w:rPr>
      </w:pPr>
      <w:r>
        <w:rPr>
          <w:rFonts w:ascii="Arial" w:cs="Arial" w:eastAsia="Arial" w:hAnsi="Arial"/>
          <w:sz w:val="17"/>
          <w:szCs w:val="17"/>
          <w:color w:val="auto"/>
        </w:rPr>
        <w:t>an intellectual property security agreement</w:t>
      </w:r>
    </w:p>
    <w:p>
      <w:pPr>
        <w:spacing w:after="0" w:line="224" w:lineRule="exact"/>
        <w:rPr>
          <w:rFonts w:ascii="Arial" w:cs="Arial" w:eastAsia="Arial" w:hAnsi="Arial"/>
          <w:sz w:val="17"/>
          <w:szCs w:val="17"/>
          <w:b w:val="1"/>
          <w:bCs w:val="1"/>
          <w:color w:val="auto"/>
        </w:rPr>
      </w:pPr>
    </w:p>
    <w:p>
      <w:pPr>
        <w:ind w:left="2520" w:hanging="627"/>
        <w:spacing w:after="0"/>
        <w:tabs>
          <w:tab w:leader="none" w:pos="2520" w:val="left"/>
        </w:tabs>
        <w:numPr>
          <w:ilvl w:val="0"/>
          <w:numId w:val="624"/>
        </w:numPr>
        <w:rPr>
          <w:rFonts w:ascii="Arial" w:cs="Arial" w:eastAsia="Arial" w:hAnsi="Arial"/>
          <w:sz w:val="17"/>
          <w:szCs w:val="17"/>
          <w:b w:val="1"/>
          <w:bCs w:val="1"/>
          <w:color w:val="auto"/>
        </w:rPr>
      </w:pPr>
      <w:r>
        <w:rPr>
          <w:rFonts w:ascii="Arial" w:cs="Arial" w:eastAsia="Arial" w:hAnsi="Arial"/>
          <w:sz w:val="17"/>
          <w:szCs w:val="17"/>
          <w:color w:val="auto"/>
        </w:rPr>
        <w:t>a Warrant in form and substance satisfactory to Bank;</w:t>
      </w:r>
    </w:p>
    <w:p>
      <w:pPr>
        <w:spacing w:after="0" w:line="224" w:lineRule="exact"/>
        <w:rPr>
          <w:rFonts w:ascii="Arial" w:cs="Arial" w:eastAsia="Arial" w:hAnsi="Arial"/>
          <w:sz w:val="17"/>
          <w:szCs w:val="17"/>
          <w:b w:val="1"/>
          <w:bCs w:val="1"/>
          <w:color w:val="auto"/>
        </w:rPr>
      </w:pPr>
    </w:p>
    <w:p>
      <w:pPr>
        <w:ind w:left="2540" w:hanging="647"/>
        <w:spacing w:after="0"/>
        <w:tabs>
          <w:tab w:leader="none" w:pos="2540" w:val="left"/>
        </w:tabs>
        <w:numPr>
          <w:ilvl w:val="0"/>
          <w:numId w:val="624"/>
        </w:numPr>
        <w:rPr>
          <w:rFonts w:ascii="Arial" w:cs="Arial" w:eastAsia="Arial" w:hAnsi="Arial"/>
          <w:sz w:val="17"/>
          <w:szCs w:val="17"/>
          <w:b w:val="1"/>
          <w:bCs w:val="1"/>
          <w:color w:val="auto"/>
        </w:rPr>
      </w:pPr>
      <w:r>
        <w:rPr>
          <w:rFonts w:ascii="Arial" w:cs="Arial" w:eastAsia="Arial" w:hAnsi="Arial"/>
          <w:sz w:val="17"/>
          <w:szCs w:val="17"/>
          <w:color w:val="auto"/>
        </w:rPr>
        <w:t>good standing certificates of Borrower;</w:t>
      </w:r>
    </w:p>
    <w:p>
      <w:pPr>
        <w:spacing w:after="0" w:line="224" w:lineRule="exact"/>
        <w:rPr>
          <w:rFonts w:ascii="Arial" w:cs="Arial" w:eastAsia="Arial" w:hAnsi="Arial"/>
          <w:sz w:val="17"/>
          <w:szCs w:val="17"/>
          <w:b w:val="1"/>
          <w:bCs w:val="1"/>
          <w:color w:val="auto"/>
        </w:rPr>
      </w:pPr>
    </w:p>
    <w:p>
      <w:pPr>
        <w:ind w:left="2540" w:hanging="647"/>
        <w:spacing w:after="0"/>
        <w:tabs>
          <w:tab w:leader="none" w:pos="2540" w:val="left"/>
        </w:tabs>
        <w:numPr>
          <w:ilvl w:val="0"/>
          <w:numId w:val="624"/>
        </w:numPr>
        <w:rPr>
          <w:rFonts w:ascii="Arial" w:cs="Arial" w:eastAsia="Arial" w:hAnsi="Arial"/>
          <w:sz w:val="16"/>
          <w:szCs w:val="16"/>
          <w:b w:val="1"/>
          <w:bCs w:val="1"/>
          <w:color w:val="auto"/>
        </w:rPr>
      </w:pPr>
      <w:r>
        <w:rPr>
          <w:rFonts w:ascii="Arial" w:cs="Arial" w:eastAsia="Arial" w:hAnsi="Arial"/>
          <w:sz w:val="16"/>
          <w:szCs w:val="16"/>
          <w:color w:val="auto"/>
        </w:rPr>
        <w:t>a ratification and confirmation of the continuing effectiveness of the Deeds of Trust, in form and substance satisfactory to</w:t>
      </w:r>
    </w:p>
    <w:p>
      <w:pPr>
        <w:spacing w:after="0" w:line="37"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7"/>
          <w:szCs w:val="17"/>
          <w:color w:val="auto"/>
        </w:rPr>
        <w:t>Bank;</w:t>
      </w:r>
    </w:p>
    <w:p>
      <w:pPr>
        <w:spacing w:after="0" w:line="206" w:lineRule="exact"/>
        <w:rPr>
          <w:rFonts w:ascii="Arial" w:cs="Arial" w:eastAsia="Arial" w:hAnsi="Arial"/>
          <w:sz w:val="16"/>
          <w:szCs w:val="16"/>
          <w:b w:val="1"/>
          <w:bCs w:val="1"/>
          <w:color w:val="auto"/>
        </w:rPr>
      </w:pPr>
    </w:p>
    <w:p>
      <w:pPr>
        <w:ind w:left="2520" w:hanging="627"/>
        <w:spacing w:after="0"/>
        <w:tabs>
          <w:tab w:leader="none" w:pos="2520" w:val="left"/>
        </w:tabs>
        <w:numPr>
          <w:ilvl w:val="0"/>
          <w:numId w:val="624"/>
        </w:numPr>
        <w:rPr>
          <w:rFonts w:ascii="Arial" w:cs="Arial" w:eastAsia="Arial" w:hAnsi="Arial"/>
          <w:sz w:val="17"/>
          <w:szCs w:val="17"/>
          <w:b w:val="1"/>
          <w:bCs w:val="1"/>
          <w:color w:val="auto"/>
        </w:rPr>
      </w:pPr>
      <w:r>
        <w:rPr>
          <w:rFonts w:ascii="Arial" w:cs="Arial" w:eastAsia="Arial" w:hAnsi="Arial"/>
          <w:sz w:val="17"/>
          <w:szCs w:val="17"/>
          <w:color w:val="auto"/>
        </w:rPr>
        <w:t xml:space="preserve">a Compliance Certificate in the form of </w:t>
      </w:r>
      <w:r>
        <w:rPr>
          <w:rFonts w:ascii="Arial" w:cs="Arial" w:eastAsia="Arial" w:hAnsi="Arial"/>
          <w:sz w:val="17"/>
          <w:szCs w:val="17"/>
          <w:b w:val="1"/>
          <w:bCs w:val="1"/>
          <w:color w:val="auto"/>
        </w:rPr>
        <w:t>Exhibit C</w:t>
      </w:r>
      <w:r>
        <w:rPr>
          <w:rFonts w:ascii="Arial" w:cs="Arial" w:eastAsia="Arial" w:hAnsi="Arial"/>
          <w:sz w:val="17"/>
          <w:szCs w:val="17"/>
          <w:color w:val="auto"/>
        </w:rPr>
        <w:t xml:space="preserve"> attached hereto, or other mutually agreeable form of such certificate;</w:t>
      </w:r>
    </w:p>
    <w:p>
      <w:pPr>
        <w:spacing w:after="0" w:line="230" w:lineRule="exact"/>
        <w:rPr>
          <w:rFonts w:ascii="Arial" w:cs="Arial" w:eastAsia="Arial" w:hAnsi="Arial"/>
          <w:sz w:val="17"/>
          <w:szCs w:val="17"/>
          <w:b w:val="1"/>
          <w:bCs w:val="1"/>
          <w:color w:val="auto"/>
        </w:rPr>
      </w:pPr>
    </w:p>
    <w:p>
      <w:pPr>
        <w:ind w:right="320" w:firstLine="1893"/>
        <w:spacing w:after="0" w:line="289" w:lineRule="auto"/>
        <w:tabs>
          <w:tab w:leader="none" w:pos="2530" w:val="left"/>
        </w:tabs>
        <w:numPr>
          <w:ilvl w:val="0"/>
          <w:numId w:val="624"/>
        </w:numPr>
        <w:rPr>
          <w:rFonts w:ascii="Arial" w:cs="Arial" w:eastAsia="Arial" w:hAnsi="Arial"/>
          <w:sz w:val="17"/>
          <w:szCs w:val="17"/>
          <w:b w:val="1"/>
          <w:bCs w:val="1"/>
          <w:color w:val="auto"/>
        </w:rPr>
      </w:pPr>
      <w:r>
        <w:rPr>
          <w:rFonts w:ascii="Arial" w:cs="Arial" w:eastAsia="Arial" w:hAnsi="Arial"/>
          <w:sz w:val="17"/>
          <w:szCs w:val="17"/>
          <w:color w:val="auto"/>
        </w:rPr>
        <w:t>an endorsement from Bank’s title insurance company to Bank’s title insurance policy with respect to the Deeds of Trust, in form and substance satisfactory to Bank;</w:t>
      </w:r>
    </w:p>
    <w:p>
      <w:pPr>
        <w:spacing w:after="0" w:line="158" w:lineRule="exact"/>
        <w:rPr>
          <w:rFonts w:ascii="Arial" w:cs="Arial" w:eastAsia="Arial" w:hAnsi="Arial"/>
          <w:sz w:val="17"/>
          <w:szCs w:val="17"/>
          <w:b w:val="1"/>
          <w:bCs w:val="1"/>
          <w:color w:val="auto"/>
        </w:rPr>
      </w:pPr>
    </w:p>
    <w:p>
      <w:pPr>
        <w:ind w:right="180" w:firstLine="1893"/>
        <w:spacing w:after="0" w:line="273" w:lineRule="auto"/>
        <w:tabs>
          <w:tab w:leader="none" w:pos="2534" w:val="left"/>
        </w:tabs>
        <w:numPr>
          <w:ilvl w:val="0"/>
          <w:numId w:val="624"/>
        </w:numPr>
        <w:rPr>
          <w:rFonts w:ascii="Arial" w:cs="Arial" w:eastAsia="Arial" w:hAnsi="Arial"/>
          <w:sz w:val="17"/>
          <w:szCs w:val="17"/>
          <w:b w:val="1"/>
          <w:bCs w:val="1"/>
          <w:color w:val="auto"/>
        </w:rPr>
      </w:pPr>
      <w:r>
        <w:rPr>
          <w:rFonts w:ascii="Arial" w:cs="Arial" w:eastAsia="Arial" w:hAnsi="Arial"/>
          <w:sz w:val="17"/>
          <w:szCs w:val="17"/>
          <w:color w:val="auto"/>
        </w:rPr>
        <w:t>delivery of the share certificates representing the Shares and for each share certificate, four instruments of assignment (“Assignment Separate from Certificate”) in substantially similar form as those attached hereto, and any pledge agreement or other documentation as Bank or its legal counsel may reasonably deem necessary or appropriate to perfect Bank’s security interest in the Shares;</w:t>
      </w:r>
    </w:p>
    <w:p>
      <w:pPr>
        <w:spacing w:after="0" w:line="171" w:lineRule="exact"/>
        <w:rPr>
          <w:rFonts w:ascii="Arial" w:cs="Arial" w:eastAsia="Arial" w:hAnsi="Arial"/>
          <w:sz w:val="17"/>
          <w:szCs w:val="17"/>
          <w:b w:val="1"/>
          <w:bCs w:val="1"/>
          <w:color w:val="auto"/>
        </w:rPr>
      </w:pPr>
    </w:p>
    <w:p>
      <w:pPr>
        <w:ind w:right="80" w:firstLine="1893"/>
        <w:spacing w:after="0" w:line="298" w:lineRule="auto"/>
        <w:tabs>
          <w:tab w:leader="none" w:pos="2524" w:val="left"/>
        </w:tabs>
        <w:numPr>
          <w:ilvl w:val="0"/>
          <w:numId w:val="624"/>
        </w:numPr>
        <w:rPr>
          <w:rFonts w:ascii="Arial" w:cs="Arial" w:eastAsia="Arial" w:hAnsi="Arial"/>
          <w:sz w:val="16"/>
          <w:szCs w:val="16"/>
          <w:b w:val="1"/>
          <w:bCs w:val="1"/>
          <w:color w:val="auto"/>
        </w:rPr>
      </w:pPr>
      <w:r>
        <w:rPr>
          <w:rFonts w:ascii="Arial" w:cs="Arial" w:eastAsia="Arial" w:hAnsi="Arial"/>
          <w:sz w:val="16"/>
          <w:szCs w:val="16"/>
          <w:color w:val="auto"/>
        </w:rPr>
        <w:t>evidence of Bank’s perfected security interest in the shares of Global Technology Inc., a corporation organized in the British Virgin Islands and wholly-owned subsidiary of Prime World International Holdings, Ltd. including the delivery of the share certificates of Global Technology Inc. and any share pledge agreement or other documentation, as Bank or its legal counsel may reasonably deem necessary or appropriate; and</w:t>
      </w:r>
    </w:p>
    <w:p>
      <w:pPr>
        <w:spacing w:after="0" w:line="153" w:lineRule="exact"/>
        <w:rPr>
          <w:rFonts w:ascii="Arial" w:cs="Arial" w:eastAsia="Arial" w:hAnsi="Arial"/>
          <w:sz w:val="16"/>
          <w:szCs w:val="16"/>
          <w:b w:val="1"/>
          <w:bCs w:val="1"/>
          <w:color w:val="auto"/>
        </w:rPr>
      </w:pPr>
    </w:p>
    <w:p>
      <w:pPr>
        <w:ind w:left="2540" w:hanging="647"/>
        <w:spacing w:after="0"/>
        <w:tabs>
          <w:tab w:leader="none" w:pos="2540" w:val="left"/>
        </w:tabs>
        <w:numPr>
          <w:ilvl w:val="0"/>
          <w:numId w:val="624"/>
        </w:numPr>
        <w:rPr>
          <w:rFonts w:ascii="Arial" w:cs="Arial" w:eastAsia="Arial" w:hAnsi="Arial"/>
          <w:sz w:val="16"/>
          <w:szCs w:val="16"/>
          <w:b w:val="1"/>
          <w:bCs w:val="1"/>
          <w:color w:val="auto"/>
        </w:rPr>
      </w:pPr>
      <w:r>
        <w:rPr>
          <w:rFonts w:ascii="Arial" w:cs="Arial" w:eastAsia="Arial" w:hAnsi="Arial"/>
          <w:sz w:val="16"/>
          <w:szCs w:val="16"/>
          <w:color w:val="auto"/>
        </w:rPr>
        <w:t>such other documents, and completion of such other matters, as Bank may reasonably deem necessary or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-3947795</wp:posOffset>
            </wp:positionV>
            <wp:extent cx="7271385" cy="2921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10" w:lineRule="exact"/>
        <w:rPr>
          <w:sz w:val="20"/>
          <w:szCs w:val="20"/>
          <w:color w:val="auto"/>
        </w:rPr>
      </w:pPr>
    </w:p>
    <w:p>
      <w:pPr>
        <w:ind w:right="260" w:firstLine="1259"/>
        <w:spacing w:after="0" w:line="297" w:lineRule="auto"/>
        <w:rPr>
          <w:sz w:val="20"/>
          <w:szCs w:val="20"/>
          <w:color w:val="auto"/>
        </w:rPr>
      </w:pPr>
      <w:r>
        <w:rPr>
          <w:rFonts w:ascii="Arial" w:cs="Arial" w:eastAsia="Arial" w:hAnsi="Arial"/>
          <w:sz w:val="17"/>
          <w:szCs w:val="17"/>
          <w:b w:val="1"/>
          <w:bCs w:val="1"/>
          <w:color w:val="auto"/>
        </w:rPr>
        <w:t>3.2 Conditions Precedent to all Credit Extensions</w:t>
      </w:r>
      <w:r>
        <w:rPr>
          <w:rFonts w:ascii="Arial" w:cs="Arial" w:eastAsia="Arial" w:hAnsi="Arial"/>
          <w:sz w:val="17"/>
          <w:szCs w:val="17"/>
          <w:color w:val="auto"/>
        </w:rPr>
        <w:t>. The obligation of Bank to make each Credit Extension, including the initial Credit</w:t>
      </w:r>
      <w:r>
        <w:rPr>
          <w:rFonts w:ascii="Arial" w:cs="Arial" w:eastAsia="Arial" w:hAnsi="Arial"/>
          <w:sz w:val="17"/>
          <w:szCs w:val="17"/>
          <w:b w:val="1"/>
          <w:bCs w:val="1"/>
          <w:color w:val="auto"/>
        </w:rPr>
        <w:t xml:space="preserve"> </w:t>
      </w:r>
      <w:r>
        <w:rPr>
          <w:rFonts w:ascii="Arial" w:cs="Arial" w:eastAsia="Arial" w:hAnsi="Arial"/>
          <w:sz w:val="17"/>
          <w:szCs w:val="17"/>
          <w:color w:val="auto"/>
        </w:rPr>
        <w:t>Extension, is further subject to the following conditions:</w:t>
      </w:r>
    </w:p>
    <w:p>
      <w:pPr>
        <w:spacing w:after="0" w:line="151" w:lineRule="exact"/>
        <w:rPr>
          <w:sz w:val="20"/>
          <w:szCs w:val="20"/>
          <w:color w:val="auto"/>
        </w:rPr>
      </w:pPr>
    </w:p>
    <w:p>
      <w:pPr>
        <w:ind w:left="2520" w:hanging="627"/>
        <w:spacing w:after="0"/>
        <w:tabs>
          <w:tab w:leader="none" w:pos="2520" w:val="left"/>
        </w:tabs>
        <w:numPr>
          <w:ilvl w:val="1"/>
          <w:numId w:val="625"/>
        </w:numPr>
        <w:rPr>
          <w:rFonts w:ascii="Arial" w:cs="Arial" w:eastAsia="Arial" w:hAnsi="Arial"/>
          <w:sz w:val="17"/>
          <w:szCs w:val="17"/>
          <w:b w:val="1"/>
          <w:bCs w:val="1"/>
          <w:color w:val="auto"/>
        </w:rPr>
      </w:pPr>
      <w:r>
        <w:rPr>
          <w:rFonts w:ascii="Arial" w:cs="Arial" w:eastAsia="Arial" w:hAnsi="Arial"/>
          <w:sz w:val="17"/>
          <w:szCs w:val="17"/>
          <w:color w:val="auto"/>
        </w:rPr>
        <w:t>timely receipt by Bank of the Payment/Advance Form as provided in Section 2.1; and</w:t>
      </w:r>
    </w:p>
    <w:p>
      <w:pPr>
        <w:spacing w:after="0" w:line="224" w:lineRule="exact"/>
        <w:rPr>
          <w:rFonts w:ascii="Arial" w:cs="Arial" w:eastAsia="Arial" w:hAnsi="Arial"/>
          <w:sz w:val="17"/>
          <w:szCs w:val="17"/>
          <w:b w:val="1"/>
          <w:bCs w:val="1"/>
          <w:color w:val="auto"/>
        </w:rPr>
      </w:pPr>
    </w:p>
    <w:p>
      <w:pPr>
        <w:ind w:right="60" w:firstLine="1893"/>
        <w:spacing w:after="0" w:line="285" w:lineRule="auto"/>
        <w:tabs>
          <w:tab w:leader="none" w:pos="2534" w:val="left"/>
        </w:tabs>
        <w:numPr>
          <w:ilvl w:val="1"/>
          <w:numId w:val="625"/>
        </w:numPr>
        <w:rPr>
          <w:rFonts w:ascii="Arial" w:cs="Arial" w:eastAsia="Arial" w:hAnsi="Arial"/>
          <w:sz w:val="16"/>
          <w:szCs w:val="16"/>
          <w:b w:val="1"/>
          <w:bCs w:val="1"/>
          <w:color w:val="auto"/>
        </w:rPr>
      </w:pPr>
      <w:r>
        <w:rPr>
          <w:rFonts w:ascii="Arial" w:cs="Arial" w:eastAsia="Arial" w:hAnsi="Arial"/>
          <w:sz w:val="16"/>
          <w:szCs w:val="16"/>
          <w:color w:val="auto"/>
        </w:rPr>
        <w:t>the representations and warranties contained in Section 5 shall be true and correct in all material respects on and as of the date of such Payment/Advance Form and on the effective date of each Credit Extension as though made at and as of each such date, and no Event of Default shall have occurred and be continuing, or would exist after giving effect to such Credit Extension (provided, however, that those representations and warranties expressly referring to another date shall be true, correct and complete in all material respects as of such date). The making of each Credit Extension shall be deemed to be a representation and warranty by Borrower on the date of such Credit Extension as to the accuracy of the facts referred to in this Section 3.2(b).</w:t>
      </w:r>
    </w:p>
    <w:p>
      <w:pPr>
        <w:spacing w:after="0" w:line="160" w:lineRule="exact"/>
        <w:rPr>
          <w:rFonts w:ascii="Arial" w:cs="Arial" w:eastAsia="Arial" w:hAnsi="Arial"/>
          <w:sz w:val="16"/>
          <w:szCs w:val="16"/>
          <w:b w:val="1"/>
          <w:bCs w:val="1"/>
          <w:color w:val="auto"/>
        </w:rPr>
      </w:pPr>
    </w:p>
    <w:p>
      <w:pPr>
        <w:ind w:left="1260" w:hanging="626"/>
        <w:spacing w:after="0"/>
        <w:tabs>
          <w:tab w:leader="none" w:pos="1260" w:val="left"/>
        </w:tabs>
        <w:numPr>
          <w:ilvl w:val="0"/>
          <w:numId w:val="626"/>
        </w:numPr>
        <w:rPr>
          <w:rFonts w:ascii="Arial" w:cs="Arial" w:eastAsia="Arial" w:hAnsi="Arial"/>
          <w:sz w:val="17"/>
          <w:szCs w:val="17"/>
          <w:b w:val="1"/>
          <w:bCs w:val="1"/>
          <w:color w:val="auto"/>
        </w:rPr>
      </w:pPr>
      <w:r>
        <w:rPr>
          <w:rFonts w:ascii="Arial" w:cs="Arial" w:eastAsia="Arial" w:hAnsi="Arial"/>
          <w:sz w:val="17"/>
          <w:szCs w:val="17"/>
          <w:b w:val="1"/>
          <w:bCs w:val="1"/>
          <w:color w:val="auto"/>
        </w:rPr>
        <w:t>CREATION OF SECURITY INTEREST</w:t>
      </w:r>
      <w:r>
        <w:rPr>
          <w:rFonts w:ascii="Arial" w:cs="Arial" w:eastAsia="Arial" w:hAnsi="Arial"/>
          <w:sz w:val="17"/>
          <w:szCs w:val="17"/>
          <w:color w:val="auto"/>
        </w:rPr>
        <w:t>.</w:t>
      </w:r>
    </w:p>
    <w:p>
      <w:pPr>
        <w:spacing w:after="0" w:line="224" w:lineRule="exact"/>
        <w:rPr>
          <w:rFonts w:ascii="Arial" w:cs="Arial" w:eastAsia="Arial" w:hAnsi="Arial"/>
          <w:sz w:val="17"/>
          <w:szCs w:val="17"/>
          <w:b w:val="1"/>
          <w:bCs w:val="1"/>
          <w:color w:val="auto"/>
        </w:rPr>
      </w:pPr>
    </w:p>
    <w:p>
      <w:pPr>
        <w:ind w:left="12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4.1</w:t>
      </w:r>
      <w:r>
        <w:rPr>
          <w:rFonts w:ascii="Arial" w:cs="Arial" w:eastAsia="Arial" w:hAnsi="Arial"/>
          <w:sz w:val="16"/>
          <w:szCs w:val="16"/>
          <w:b w:val="1"/>
          <w:bCs w:val="1"/>
          <w:color w:val="auto"/>
        </w:rPr>
        <w:t>Grant of Security Interest</w:t>
      </w:r>
      <w:r>
        <w:rPr>
          <w:rFonts w:ascii="Arial" w:cs="Arial" w:eastAsia="Arial" w:hAnsi="Arial"/>
          <w:sz w:val="16"/>
          <w:szCs w:val="16"/>
          <w:color w:val="auto"/>
        </w:rPr>
        <w:t>. Borrower grants and pledges to Bank a continuing security interest in all presently existing and hereafter</w:t>
      </w:r>
    </w:p>
    <w:p>
      <w:pPr>
        <w:spacing w:after="0" w:line="3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acquired or arising Collateral in order to secure prompt payment of any and all Obligations and in order to secure prompt performance by Borrower of Borrower’s covenants and duties under the Loan Documents. Except as set forth in the Schedule and with respect to motor vehicles and trailers, such security interest constitutes a valid, first priority security interest in the presently existing Collateral, and will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color w:val="auto"/>
        </w:rPr>
        <w:t>constitute a valid, first priority security interest in Collateral acquired after the date hereof. Borrower also hereby agrees not to sell, transfer, assign, mortgage, pledge, lease, grant a security interest in, or encumber any of its intellectual property.</w:t>
      </w:r>
    </w:p>
    <w:p>
      <w:pPr>
        <w:spacing w:after="0" w:line="152" w:lineRule="exact"/>
        <w:rPr>
          <w:sz w:val="20"/>
          <w:szCs w:val="20"/>
          <w:color w:val="auto"/>
        </w:rPr>
      </w:pPr>
    </w:p>
    <w:p>
      <w:pPr>
        <w:ind w:right="300" w:firstLine="1259"/>
        <w:spacing w:after="0" w:line="330" w:lineRule="auto"/>
        <w:rPr>
          <w:sz w:val="20"/>
          <w:szCs w:val="20"/>
          <w:color w:val="auto"/>
        </w:rPr>
      </w:pPr>
      <w:r>
        <w:rPr>
          <w:rFonts w:ascii="Arial" w:cs="Arial" w:eastAsia="Arial" w:hAnsi="Arial"/>
          <w:sz w:val="15"/>
          <w:szCs w:val="15"/>
          <w:b w:val="1"/>
          <w:bCs w:val="1"/>
          <w:color w:val="auto"/>
        </w:rPr>
        <w:t xml:space="preserve">4.2 Delivery of Additional Documentation Required. </w:t>
      </w:r>
      <w:r>
        <w:rPr>
          <w:rFonts w:ascii="Arial" w:cs="Arial" w:eastAsia="Arial" w:hAnsi="Arial"/>
          <w:sz w:val="15"/>
          <w:szCs w:val="15"/>
          <w:color w:val="auto"/>
        </w:rPr>
        <w:t>Borrower shall from time to time execute and deliver to Bank, at the request of</w:t>
      </w:r>
      <w:r>
        <w:rPr>
          <w:rFonts w:ascii="Arial" w:cs="Arial" w:eastAsia="Arial" w:hAnsi="Arial"/>
          <w:sz w:val="15"/>
          <w:szCs w:val="15"/>
          <w:b w:val="1"/>
          <w:bCs w:val="1"/>
          <w:color w:val="auto"/>
        </w:rPr>
        <w:t xml:space="preserve"> </w:t>
      </w:r>
      <w:r>
        <w:rPr>
          <w:rFonts w:ascii="Arial" w:cs="Arial" w:eastAsia="Arial" w:hAnsi="Arial"/>
          <w:sz w:val="15"/>
          <w:szCs w:val="15"/>
          <w:color w:val="auto"/>
        </w:rPr>
        <w:t>Bank, all Negotiable Collateral, all financing statements and other documents that Bank may reasonably request, in form satisfactory to Bank, to perfect and continue perfected Bank’s security interests in the Collateral and in order to fully consummate all of the transactions contemplated under the Loan Documents.</w:t>
      </w:r>
    </w:p>
    <w:p>
      <w:pPr>
        <w:spacing w:after="0" w:line="128" w:lineRule="exact"/>
        <w:rPr>
          <w:sz w:val="20"/>
          <w:szCs w:val="20"/>
          <w:color w:val="auto"/>
        </w:rPr>
      </w:pPr>
    </w:p>
    <w:p>
      <w:pPr>
        <w:ind w:right="60" w:firstLine="1259"/>
        <w:spacing w:after="0" w:line="270" w:lineRule="auto"/>
        <w:rPr>
          <w:sz w:val="20"/>
          <w:szCs w:val="20"/>
          <w:color w:val="auto"/>
        </w:rPr>
      </w:pPr>
      <w:r>
        <w:rPr>
          <w:rFonts w:ascii="Arial" w:cs="Arial" w:eastAsia="Arial" w:hAnsi="Arial"/>
          <w:sz w:val="17"/>
          <w:szCs w:val="17"/>
          <w:b w:val="1"/>
          <w:bCs w:val="1"/>
          <w:color w:val="auto"/>
        </w:rPr>
        <w:t>4.3 Right to Inspect</w:t>
      </w:r>
      <w:r>
        <w:rPr>
          <w:rFonts w:ascii="Arial" w:cs="Arial" w:eastAsia="Arial" w:hAnsi="Arial"/>
          <w:sz w:val="17"/>
          <w:szCs w:val="17"/>
          <w:color w:val="auto"/>
        </w:rPr>
        <w:t>. Bank (through any of its officers, employees, or agents) shall have the right, upon reasonable prior notice, from time</w:t>
      </w:r>
      <w:r>
        <w:rPr>
          <w:rFonts w:ascii="Arial" w:cs="Arial" w:eastAsia="Arial" w:hAnsi="Arial"/>
          <w:sz w:val="17"/>
          <w:szCs w:val="17"/>
          <w:b w:val="1"/>
          <w:bCs w:val="1"/>
          <w:color w:val="auto"/>
        </w:rPr>
        <w:t xml:space="preserve"> </w:t>
      </w:r>
      <w:r>
        <w:rPr>
          <w:rFonts w:ascii="Arial" w:cs="Arial" w:eastAsia="Arial" w:hAnsi="Arial"/>
          <w:sz w:val="17"/>
          <w:szCs w:val="17"/>
          <w:color w:val="auto"/>
        </w:rPr>
        <w:t>to time during Borrower’s usual business hours but no more than once a year (unless an Event of Default has occurred and is continuing), to inspect Borrower’s Books and to make copies thereof and to check, test, and appraise the Collateral in order to verify Borrower’s financial condition or the amount, condition of, or any other matter relating to, the Collateral.</w:t>
      </w:r>
    </w:p>
    <w:p>
      <w:pPr>
        <w:spacing w:after="0" w:line="169" w:lineRule="exact"/>
        <w:rPr>
          <w:sz w:val="20"/>
          <w:szCs w:val="20"/>
          <w:color w:val="auto"/>
        </w:rPr>
      </w:pPr>
    </w:p>
    <w:p>
      <w:pPr>
        <w:jc w:val="both"/>
        <w:ind w:firstLine="1259"/>
        <w:spacing w:after="0" w:line="330" w:lineRule="auto"/>
        <w:rPr>
          <w:sz w:val="20"/>
          <w:szCs w:val="20"/>
          <w:color w:val="auto"/>
        </w:rPr>
      </w:pPr>
      <w:r>
        <w:rPr>
          <w:rFonts w:ascii="Arial" w:cs="Arial" w:eastAsia="Arial" w:hAnsi="Arial"/>
          <w:sz w:val="16"/>
          <w:szCs w:val="16"/>
          <w:b w:val="1"/>
          <w:bCs w:val="1"/>
          <w:color w:val="auto"/>
        </w:rPr>
        <w:t>4.4 Deeds of Trust</w:t>
      </w:r>
      <w:r>
        <w:rPr>
          <w:rFonts w:ascii="Arial" w:cs="Arial" w:eastAsia="Arial" w:hAnsi="Arial"/>
          <w:sz w:val="16"/>
          <w:szCs w:val="16"/>
          <w:color w:val="auto"/>
        </w:rPr>
        <w:t>. Borrower acknowledges Bank’s continuing security interest pursuant to the Deed of Trust, Assignments, Fixture Filing</w:t>
      </w:r>
      <w:r>
        <w:rPr>
          <w:rFonts w:ascii="Arial" w:cs="Arial" w:eastAsia="Arial" w:hAnsi="Arial"/>
          <w:sz w:val="16"/>
          <w:szCs w:val="16"/>
          <w:b w:val="1"/>
          <w:bCs w:val="1"/>
          <w:color w:val="auto"/>
        </w:rPr>
        <w:t xml:space="preserve"> </w:t>
      </w:r>
      <w:r>
        <w:rPr>
          <w:rFonts w:ascii="Arial" w:cs="Arial" w:eastAsia="Arial" w:hAnsi="Arial"/>
          <w:sz w:val="16"/>
          <w:szCs w:val="16"/>
          <w:color w:val="auto"/>
        </w:rPr>
        <w:t>and Security Agreement dated as of May 19, 2004 and recorded as instrument number 2004063868, by and between Borrower as Trustor (as defined therein), U.F.</w:t>
      </w:r>
    </w:p>
    <w:p>
      <w:pPr>
        <w:sectPr>
          <w:pgSz w:w="11900" w:h="16900" w:orient="portrait"/>
          <w:cols w:equalWidth="0" w:num="1">
            <w:col w:w="11420"/>
          </w:cols>
          <w:pgMar w:left="240" w:top="127" w:right="239" w:bottom="0" w:gutter="0" w:footer="0" w:header="0"/>
        </w:sectPr>
      </w:pPr>
    </w:p>
    <w:bookmarkStart w:id="390" w:name="page391"/>
    <w:bookmarkEnd w:id="390"/>
    <w:p>
      <w:pPr>
        <w:ind w:right="100"/>
        <w:spacing w:after="0" w:line="326" w:lineRule="auto"/>
        <w:rPr>
          <w:sz w:val="20"/>
          <w:szCs w:val="20"/>
          <w:color w:val="auto"/>
        </w:rPr>
      </w:pPr>
      <w:r>
        <w:rPr>
          <w:rFonts w:ascii="Arial" w:cs="Arial" w:eastAsia="Arial" w:hAnsi="Arial"/>
          <w:sz w:val="15"/>
          <w:szCs w:val="15"/>
          <w:color w:val="auto"/>
        </w:rPr>
        <w:t>Service Corporation as Trustee (as defined therein), and Bank as Beneficiary (as defined therein), as amended and supplemented from time to time; and Borrower also acknowledges Bank’s continuing security interest in the property located on the tract of land containing 2.8911 acres (125,936 square feet) situated in the Brown &amp; Belknap League, Abstract No. 14, Fort Bend County, Texas, recorded as instrument number 2008024303 (collectively, the “Deeds of Trust”).</w:t>
      </w:r>
    </w:p>
    <w:p>
      <w:pPr>
        <w:spacing w:after="0" w:line="130" w:lineRule="exact"/>
        <w:rPr>
          <w:sz w:val="20"/>
          <w:szCs w:val="20"/>
          <w:color w:val="auto"/>
        </w:rPr>
      </w:pPr>
    </w:p>
    <w:p>
      <w:pPr>
        <w:ind w:right="40" w:firstLine="1259"/>
        <w:spacing w:after="0" w:line="330" w:lineRule="auto"/>
        <w:rPr>
          <w:sz w:val="20"/>
          <w:szCs w:val="20"/>
          <w:color w:val="auto"/>
        </w:rPr>
      </w:pPr>
      <w:r>
        <w:rPr>
          <w:rFonts w:ascii="Arial" w:cs="Arial" w:eastAsia="Arial" w:hAnsi="Arial"/>
          <w:sz w:val="16"/>
          <w:szCs w:val="16"/>
          <w:b w:val="1"/>
          <w:bCs w:val="1"/>
          <w:color w:val="auto"/>
        </w:rPr>
        <w:t xml:space="preserve">4.5 EXIM. </w:t>
      </w:r>
      <w:r>
        <w:rPr>
          <w:rFonts w:ascii="Arial" w:cs="Arial" w:eastAsia="Arial" w:hAnsi="Arial"/>
          <w:sz w:val="16"/>
          <w:szCs w:val="16"/>
          <w:color w:val="auto"/>
        </w:rPr>
        <w:t>Upon the occurrence and continuation of an Event of Default, in the event EXIM seeks to exercise remedies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Bank will assign such portion of its security interest in the Loan Documents and the Collateral as EXIM reasonably requests to effect such exercise.</w:t>
      </w:r>
    </w:p>
    <w:p>
      <w:pPr>
        <w:spacing w:after="0" w:line="123" w:lineRule="exact"/>
        <w:rPr>
          <w:sz w:val="20"/>
          <w:szCs w:val="20"/>
          <w:color w:val="auto"/>
        </w:rPr>
      </w:pPr>
    </w:p>
    <w:p>
      <w:pPr>
        <w:ind w:right="120" w:firstLine="1259"/>
        <w:spacing w:after="0" w:line="261" w:lineRule="auto"/>
        <w:rPr>
          <w:sz w:val="20"/>
          <w:szCs w:val="20"/>
          <w:color w:val="auto"/>
        </w:rPr>
      </w:pPr>
      <w:r>
        <w:rPr>
          <w:rFonts w:ascii="Arial" w:cs="Arial" w:eastAsia="Arial" w:hAnsi="Arial"/>
          <w:sz w:val="17"/>
          <w:szCs w:val="17"/>
          <w:b w:val="1"/>
          <w:bCs w:val="1"/>
          <w:color w:val="auto"/>
        </w:rPr>
        <w:t xml:space="preserve">4.6 Pledge of Shares. </w:t>
      </w:r>
      <w:r>
        <w:rPr>
          <w:rFonts w:ascii="Arial" w:cs="Arial" w:eastAsia="Arial" w:hAnsi="Arial"/>
          <w:sz w:val="17"/>
          <w:szCs w:val="17"/>
          <w:color w:val="auto"/>
        </w:rPr>
        <w:t>Borrower pledges, assigns and grants to Bank a security interest in all the Shares held or owned of record by</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Closing Date, the certificate or certificates for the Shares will be delivered to Bank, accompanied by instruments of assignment duly executed in blank by Borrower. To the extent required by the terms and conditions governing the Shares, Borrower shall cause the books of each entity whose Shares are part of the Collateral and any transfer Bank to reflect the pledge of the Shares. Unless an Event of Default shall have occurred and be continuing, Borrower shall be entitled to exercise any voting rights with respect to the relevant Shares and to give consents, waivers and ratifications in respect thereof, provided that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be suspended upon the occurrence and continuance of an Event of Default.</w:t>
      </w:r>
    </w:p>
    <w:p>
      <w:pPr>
        <w:spacing w:after="0" w:line="181" w:lineRule="exact"/>
        <w:rPr>
          <w:sz w:val="20"/>
          <w:szCs w:val="20"/>
          <w:color w:val="auto"/>
        </w:rPr>
      </w:pPr>
    </w:p>
    <w:p>
      <w:pPr>
        <w:ind w:left="640" w:right="6780" w:hanging="6"/>
        <w:spacing w:after="0" w:line="515" w:lineRule="auto"/>
        <w:tabs>
          <w:tab w:leader="none" w:pos="1269" w:val="left"/>
        </w:tabs>
        <w:numPr>
          <w:ilvl w:val="0"/>
          <w:numId w:val="627"/>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represents and warrants as follows:</w:t>
      </w:r>
    </w:p>
    <w:p>
      <w:pPr>
        <w:ind w:right="20" w:firstLine="1259"/>
        <w:spacing w:after="0" w:line="277" w:lineRule="auto"/>
        <w:rPr>
          <w:sz w:val="20"/>
          <w:szCs w:val="20"/>
          <w:color w:val="auto"/>
        </w:rPr>
      </w:pPr>
      <w:r>
        <w:rPr>
          <w:rFonts w:ascii="Arial" w:cs="Arial" w:eastAsia="Arial" w:hAnsi="Arial"/>
          <w:sz w:val="17"/>
          <w:szCs w:val="17"/>
          <w:b w:val="1"/>
          <w:bCs w:val="1"/>
          <w:color w:val="auto"/>
        </w:rPr>
        <w:t>5.1 Due Organization and Qualification</w:t>
      </w:r>
      <w:r>
        <w:rPr>
          <w:rFonts w:ascii="Arial" w:cs="Arial" w:eastAsia="Arial" w:hAnsi="Arial"/>
          <w:sz w:val="17"/>
          <w:szCs w:val="17"/>
          <w:color w:val="auto"/>
        </w:rPr>
        <w:t>. Borrower and each Subsidiary is a corporation duly existing under the laws of the state in</w:t>
      </w:r>
      <w:r>
        <w:rPr>
          <w:rFonts w:ascii="Arial" w:cs="Arial" w:eastAsia="Arial" w:hAnsi="Arial"/>
          <w:sz w:val="17"/>
          <w:szCs w:val="17"/>
          <w:b w:val="1"/>
          <w:bCs w:val="1"/>
          <w:color w:val="auto"/>
        </w:rPr>
        <w:t xml:space="preserve"> </w:t>
      </w:r>
      <w:r>
        <w:rPr>
          <w:rFonts w:ascii="Arial" w:cs="Arial" w:eastAsia="Arial" w:hAnsi="Arial"/>
          <w:sz w:val="17"/>
          <w:szCs w:val="17"/>
          <w:color w:val="auto"/>
        </w:rPr>
        <w:t>which it is incorporated and qualified and licensed to do business in any state in which the conduct of its business or its ownership of property requires that it be so qualified, except where the failure to do so would not reasonably be expected to cause a Material Adverse Effect.</w:t>
      </w:r>
    </w:p>
    <w:p>
      <w:pPr>
        <w:spacing w:after="0" w:line="162" w:lineRule="exact"/>
        <w:rPr>
          <w:sz w:val="20"/>
          <w:szCs w:val="20"/>
          <w:color w:val="auto"/>
        </w:rPr>
      </w:pPr>
    </w:p>
    <w:p>
      <w:pPr>
        <w:ind w:firstLine="1259"/>
        <w:spacing w:after="0" w:line="277" w:lineRule="auto"/>
        <w:rPr>
          <w:sz w:val="20"/>
          <w:szCs w:val="20"/>
          <w:color w:val="auto"/>
        </w:rPr>
      </w:pPr>
      <w:r>
        <w:rPr>
          <w:rFonts w:ascii="Arial" w:cs="Arial" w:eastAsia="Arial" w:hAnsi="Arial"/>
          <w:sz w:val="17"/>
          <w:szCs w:val="17"/>
          <w:b w:val="1"/>
          <w:bCs w:val="1"/>
          <w:color w:val="auto"/>
        </w:rPr>
        <w:t>5.2 Due Authorization; No Conflict</w:t>
      </w:r>
      <w:r>
        <w:rPr>
          <w:rFonts w:ascii="Arial" w:cs="Arial" w:eastAsia="Arial" w:hAnsi="Arial"/>
          <w:sz w:val="17"/>
          <w:szCs w:val="17"/>
          <w:color w:val="auto"/>
        </w:rPr>
        <w:t>. The execution, delivery, and performance of the Loan Documents are within Borrower’s powers,</w:t>
      </w:r>
      <w:r>
        <w:rPr>
          <w:rFonts w:ascii="Arial" w:cs="Arial" w:eastAsia="Arial" w:hAnsi="Arial"/>
          <w:sz w:val="17"/>
          <w:szCs w:val="17"/>
          <w:b w:val="1"/>
          <w:bCs w:val="1"/>
          <w:color w:val="auto"/>
        </w:rPr>
        <w:t xml:space="preserve"> </w:t>
      </w:r>
      <w:r>
        <w:rPr>
          <w:rFonts w:ascii="Arial" w:cs="Arial" w:eastAsia="Arial" w:hAnsi="Arial"/>
          <w:sz w:val="17"/>
          <w:szCs w:val="17"/>
          <w:color w:val="auto"/>
        </w:rPr>
        <w:t>have been duly authorized, and are not in conflict with nor constitute a breach of any provision contained in Borrower’s Certificate of Incorporation or Bylaws, nor will they constitute an event of default under any material agreement by which Borrower is bound. Borrower is not in default under 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agreement by which it is bound, except to the extent such default would not reasonably be expected to cause a Material Adverse Effect.</w:t>
      </w:r>
    </w:p>
    <w:p>
      <w:pPr>
        <w:spacing w:after="0" w:line="218" w:lineRule="exact"/>
        <w:rPr>
          <w:sz w:val="20"/>
          <w:szCs w:val="20"/>
          <w:color w:val="auto"/>
        </w:rPr>
      </w:pPr>
    </w:p>
    <w:p>
      <w:pPr>
        <w:ind w:right="40" w:firstLine="1259"/>
        <w:spacing w:after="0" w:line="297" w:lineRule="auto"/>
        <w:rPr>
          <w:sz w:val="20"/>
          <w:szCs w:val="20"/>
          <w:color w:val="auto"/>
        </w:rPr>
      </w:pPr>
      <w:r>
        <w:rPr>
          <w:rFonts w:ascii="Arial" w:cs="Arial" w:eastAsia="Arial" w:hAnsi="Arial"/>
          <w:sz w:val="17"/>
          <w:szCs w:val="17"/>
          <w:b w:val="1"/>
          <w:bCs w:val="1"/>
          <w:color w:val="auto"/>
        </w:rPr>
        <w:t>5.3 No Prior Encumbrances</w:t>
      </w:r>
      <w:r>
        <w:rPr>
          <w:rFonts w:ascii="Arial" w:cs="Arial" w:eastAsia="Arial" w:hAnsi="Arial"/>
          <w:sz w:val="17"/>
          <w:szCs w:val="17"/>
          <w:color w:val="auto"/>
        </w:rPr>
        <w:t>. Borrower has good and marketable title to the Collateral, free and clear of Liens, except for Permitted Liens</w:t>
      </w:r>
      <w:r>
        <w:rPr>
          <w:rFonts w:ascii="Arial" w:cs="Arial" w:eastAsia="Arial" w:hAnsi="Arial"/>
          <w:sz w:val="17"/>
          <w:szCs w:val="17"/>
          <w:b w:val="1"/>
          <w:bCs w:val="1"/>
          <w:color w:val="auto"/>
        </w:rPr>
        <w:t xml:space="preserve"> </w:t>
      </w:r>
      <w:r>
        <w:rPr>
          <w:rFonts w:ascii="Arial" w:cs="Arial" w:eastAsia="Arial" w:hAnsi="Arial"/>
          <w:sz w:val="17"/>
          <w:szCs w:val="17"/>
          <w:color w:val="auto"/>
        </w:rPr>
        <w:t>as determined to exist from time to time.</w:t>
      </w:r>
    </w:p>
    <w:p>
      <w:pPr>
        <w:spacing w:after="0" w:line="145" w:lineRule="exact"/>
        <w:rPr>
          <w:sz w:val="20"/>
          <w:szCs w:val="20"/>
          <w:color w:val="auto"/>
        </w:rPr>
      </w:pPr>
    </w:p>
    <w:p>
      <w:pPr>
        <w:ind w:right="280" w:firstLine="1259"/>
        <w:spacing w:after="0" w:line="277" w:lineRule="auto"/>
        <w:rPr>
          <w:sz w:val="20"/>
          <w:szCs w:val="20"/>
          <w:color w:val="auto"/>
        </w:rPr>
      </w:pPr>
      <w:r>
        <w:rPr>
          <w:rFonts w:ascii="Arial" w:cs="Arial" w:eastAsia="Arial" w:hAnsi="Arial"/>
          <w:sz w:val="17"/>
          <w:szCs w:val="17"/>
          <w:b w:val="1"/>
          <w:bCs w:val="1"/>
          <w:color w:val="auto"/>
        </w:rPr>
        <w:t>5.4 Collateral</w:t>
      </w:r>
      <w:r>
        <w:rPr>
          <w:rFonts w:ascii="Arial" w:cs="Arial" w:eastAsia="Arial" w:hAnsi="Arial"/>
          <w:sz w:val="17"/>
          <w:szCs w:val="17"/>
          <w:color w:val="auto"/>
        </w:rPr>
        <w:t>. Borrower has rights in or the power to transfer the Collateral, and its title to the Collateral is free and clear of Liens,</w:t>
      </w:r>
      <w:r>
        <w:rPr>
          <w:rFonts w:ascii="Arial" w:cs="Arial" w:eastAsia="Arial" w:hAnsi="Arial"/>
          <w:sz w:val="17"/>
          <w:szCs w:val="17"/>
          <w:b w:val="1"/>
          <w:bCs w:val="1"/>
          <w:color w:val="auto"/>
        </w:rPr>
        <w:t xml:space="preserve"> </w:t>
      </w:r>
      <w:r>
        <w:rPr>
          <w:rFonts w:ascii="Arial" w:cs="Arial" w:eastAsia="Arial" w:hAnsi="Arial"/>
          <w:sz w:val="17"/>
          <w:szCs w:val="17"/>
          <w:color w:val="auto"/>
        </w:rPr>
        <w:t>adverse claims, and restrictions on transfer or pledge except for Permitted Liens. All Collateral is located solely in the United States. Except as set forth in the Schedule, none of the Collateral is maintained or invested with a Person other than Bank or Bank’s Affiliates.</w:t>
      </w:r>
    </w:p>
    <w:p>
      <w:pPr>
        <w:spacing w:after="0" w:line="162" w:lineRule="exact"/>
        <w:rPr>
          <w:sz w:val="20"/>
          <w:szCs w:val="20"/>
          <w:color w:val="auto"/>
        </w:rPr>
      </w:pPr>
    </w:p>
    <w:p>
      <w:pPr>
        <w:ind w:right="120" w:firstLine="1259"/>
        <w:spacing w:after="0" w:line="297" w:lineRule="auto"/>
        <w:rPr>
          <w:sz w:val="20"/>
          <w:szCs w:val="20"/>
          <w:color w:val="auto"/>
        </w:rPr>
      </w:pPr>
      <w:r>
        <w:rPr>
          <w:rFonts w:ascii="Arial" w:cs="Arial" w:eastAsia="Arial" w:hAnsi="Arial"/>
          <w:sz w:val="17"/>
          <w:szCs w:val="17"/>
          <w:b w:val="1"/>
          <w:bCs w:val="1"/>
          <w:color w:val="auto"/>
        </w:rPr>
        <w:t>5.5 Merchantable Inventory</w:t>
      </w:r>
      <w:r>
        <w:rPr>
          <w:rFonts w:ascii="Arial" w:cs="Arial" w:eastAsia="Arial" w:hAnsi="Arial"/>
          <w:sz w:val="17"/>
          <w:szCs w:val="17"/>
          <w:color w:val="auto"/>
        </w:rPr>
        <w:t>. All Inventory is in all material respects of good and marketable quality, free from all material defects other</w:t>
      </w:r>
      <w:r>
        <w:rPr>
          <w:rFonts w:ascii="Arial" w:cs="Arial" w:eastAsia="Arial" w:hAnsi="Arial"/>
          <w:sz w:val="17"/>
          <w:szCs w:val="17"/>
          <w:b w:val="1"/>
          <w:bCs w:val="1"/>
          <w:color w:val="auto"/>
        </w:rPr>
        <w:t xml:space="preserve"> </w:t>
      </w:r>
      <w:r>
        <w:rPr>
          <w:rFonts w:ascii="Arial" w:cs="Arial" w:eastAsia="Arial" w:hAnsi="Arial"/>
          <w:sz w:val="17"/>
          <w:szCs w:val="17"/>
          <w:color w:val="auto"/>
        </w:rPr>
        <w:t>than defects at such rate of occurrence as are customary and usual for information technology and consumer electronic goods and software.</w:t>
      </w:r>
    </w:p>
    <w:p>
      <w:pPr>
        <w:spacing w:after="0" w:line="145" w:lineRule="exact"/>
        <w:rPr>
          <w:sz w:val="20"/>
          <w:szCs w:val="20"/>
          <w:color w:val="auto"/>
        </w:rPr>
      </w:pPr>
    </w:p>
    <w:p>
      <w:pPr>
        <w:ind w:right="40" w:firstLine="1259"/>
        <w:spacing w:after="0" w:line="281" w:lineRule="auto"/>
        <w:rPr>
          <w:sz w:val="20"/>
          <w:szCs w:val="20"/>
          <w:color w:val="auto"/>
        </w:rPr>
      </w:pPr>
      <w:r>
        <w:rPr>
          <w:rFonts w:ascii="Arial" w:cs="Arial" w:eastAsia="Arial" w:hAnsi="Arial"/>
          <w:sz w:val="16"/>
          <w:szCs w:val="16"/>
          <w:b w:val="1"/>
          <w:bCs w:val="1"/>
          <w:color w:val="auto"/>
        </w:rPr>
        <w:t xml:space="preserve">5.6 Intellectual Property Collateral. </w:t>
      </w:r>
      <w:r>
        <w:rPr>
          <w:rFonts w:ascii="Arial" w:cs="Arial" w:eastAsia="Arial" w:hAnsi="Arial"/>
          <w:sz w:val="16"/>
          <w:szCs w:val="16"/>
          <w:color w:val="auto"/>
        </w:rPr>
        <w:t>Borrower is the sole owner of the Intellectual Property Collateral, except for non-exclusive licenses</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by Borrower to its customers or other third parties in the ordinary course of business. Each of the Patents is valid and enforceable, and no part of the Intellectual Property Collateral has been judged invalid or unenforceable, in whole or in part, and except as disclosed in the Schedule, no claim has been made that any part of the Intellectual Property Collateral violates the rights of any third party. Borrower’s rights as licensees of any individual licensor of intellectual property do not give rise to more than five percent (5%) of its gross revenue in any given quarter, including without limitation revenue derived from the sale, licensing, rendering or disposition of any product or service. Except as set forth in the Schedule, Borrower is not a party to, or bound by, any agreement that restricts the grant by Borrower of a security interest in Borrower’s rights under such agreement other than agreements entered into by Borrower with licensors, vendors and business partners in the ordinary course of Borrower’s business.</w:t>
      </w:r>
    </w:p>
    <w:p>
      <w:pPr>
        <w:spacing w:after="0" w:line="164" w:lineRule="exact"/>
        <w:rPr>
          <w:sz w:val="20"/>
          <w:szCs w:val="20"/>
          <w:color w:val="auto"/>
        </w:rPr>
      </w:pPr>
    </w:p>
    <w:p>
      <w:pPr>
        <w:ind w:right="20" w:firstLine="1259"/>
        <w:spacing w:after="0" w:line="277" w:lineRule="auto"/>
        <w:rPr>
          <w:sz w:val="20"/>
          <w:szCs w:val="20"/>
          <w:color w:val="auto"/>
        </w:rPr>
      </w:pPr>
      <w:r>
        <w:rPr>
          <w:rFonts w:ascii="Arial" w:cs="Arial" w:eastAsia="Arial" w:hAnsi="Arial"/>
          <w:sz w:val="17"/>
          <w:szCs w:val="17"/>
          <w:b w:val="1"/>
          <w:bCs w:val="1"/>
          <w:color w:val="auto"/>
        </w:rPr>
        <w:t>5.7 Name; Location of Chief Executive Office</w:t>
      </w:r>
      <w:r>
        <w:rPr>
          <w:rFonts w:ascii="Arial" w:cs="Arial" w:eastAsia="Arial" w:hAnsi="Arial"/>
          <w:sz w:val="17"/>
          <w:szCs w:val="17"/>
          <w:color w:val="auto"/>
        </w:rPr>
        <w:t>. Except as disclosed in the Schedule, Borrower has not done business under any name</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that specified on the signature page hereof, and its exact legal name is as set forth in the first paragraph of this Agreement. The chief executive office of Borrower is located in the United States at the address indicated in Section 10 hereof.</w:t>
      </w:r>
    </w:p>
    <w:p>
      <w:pPr>
        <w:spacing w:after="0" w:line="162" w:lineRule="exact"/>
        <w:rPr>
          <w:sz w:val="20"/>
          <w:szCs w:val="20"/>
          <w:color w:val="auto"/>
        </w:rPr>
      </w:pPr>
    </w:p>
    <w:p>
      <w:pPr>
        <w:ind w:right="180" w:firstLine="1259"/>
        <w:spacing w:after="0" w:line="330" w:lineRule="auto"/>
        <w:rPr>
          <w:sz w:val="20"/>
          <w:szCs w:val="20"/>
          <w:color w:val="auto"/>
        </w:rPr>
      </w:pPr>
      <w:r>
        <w:rPr>
          <w:rFonts w:ascii="Arial" w:cs="Arial" w:eastAsia="Arial" w:hAnsi="Arial"/>
          <w:sz w:val="16"/>
          <w:szCs w:val="16"/>
          <w:b w:val="1"/>
          <w:bCs w:val="1"/>
          <w:color w:val="auto"/>
        </w:rPr>
        <w:t>5.8 Litigation</w:t>
      </w:r>
      <w:r>
        <w:rPr>
          <w:rFonts w:ascii="Arial" w:cs="Arial" w:eastAsia="Arial" w:hAnsi="Arial"/>
          <w:sz w:val="16"/>
          <w:szCs w:val="16"/>
          <w:color w:val="auto"/>
        </w:rPr>
        <w:t>. Except as set forth in the Schedule, there are no actions or proceedings pending by or against Borrower or any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before any court or administrative agency in which a likely adverse decision would reasonably be expected to have a Material Adverse Effect.</w:t>
      </w:r>
    </w:p>
    <w:p>
      <w:pPr>
        <w:spacing w:after="0" w:line="123" w:lineRule="exact"/>
        <w:rPr>
          <w:sz w:val="20"/>
          <w:szCs w:val="20"/>
          <w:color w:val="auto"/>
        </w:rPr>
      </w:pPr>
    </w:p>
    <w:p>
      <w:pPr>
        <w:jc w:val="both"/>
        <w:ind w:right="60" w:firstLine="1259"/>
        <w:spacing w:after="0" w:line="292" w:lineRule="auto"/>
        <w:rPr>
          <w:sz w:val="20"/>
          <w:szCs w:val="20"/>
          <w:color w:val="auto"/>
        </w:rPr>
      </w:pPr>
      <w:r>
        <w:rPr>
          <w:rFonts w:ascii="Arial" w:cs="Arial" w:eastAsia="Arial" w:hAnsi="Arial"/>
          <w:sz w:val="16"/>
          <w:szCs w:val="16"/>
          <w:b w:val="1"/>
          <w:bCs w:val="1"/>
          <w:color w:val="auto"/>
        </w:rPr>
        <w:t>5.9 No Material Adverse Change in Financial Statements</w:t>
      </w:r>
      <w:r>
        <w:rPr>
          <w:rFonts w:ascii="Arial" w:cs="Arial" w:eastAsia="Arial" w:hAnsi="Arial"/>
          <w:sz w:val="16"/>
          <w:szCs w:val="16"/>
          <w:color w:val="auto"/>
        </w:rPr>
        <w:t>. All consolidated and consolidating financial statements related to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Subsidiary that are delivered by Borrower to Bank fairly present in all material respects Borrower’s consolidated and consolidating financial condition as of the date thereof and Borrower’s consolidated and consolidating results of operations for the period then ended. There has not been a material adverse change in the consolidated or in the consolidating financial condition of Borrower since the date of the most recent of such financial statements submitted to Bank.</w:t>
      </w:r>
    </w:p>
    <w:p>
      <w:pPr>
        <w:spacing w:after="0" w:line="153" w:lineRule="exact"/>
        <w:rPr>
          <w:sz w:val="20"/>
          <w:szCs w:val="20"/>
          <w:color w:val="auto"/>
        </w:rPr>
      </w:pPr>
    </w:p>
    <w:p>
      <w:pPr>
        <w:ind w:right="340" w:firstLine="1259"/>
        <w:spacing w:after="0" w:line="277" w:lineRule="auto"/>
        <w:rPr>
          <w:sz w:val="20"/>
          <w:szCs w:val="20"/>
          <w:color w:val="auto"/>
        </w:rPr>
      </w:pPr>
      <w:r>
        <w:rPr>
          <w:rFonts w:ascii="Arial" w:cs="Arial" w:eastAsia="Arial" w:hAnsi="Arial"/>
          <w:sz w:val="17"/>
          <w:szCs w:val="17"/>
          <w:b w:val="1"/>
          <w:bCs w:val="1"/>
          <w:color w:val="auto"/>
        </w:rPr>
        <w:t>5.10 Solvency, Payment of Debts</w:t>
      </w:r>
      <w:r>
        <w:rPr>
          <w:rFonts w:ascii="Arial" w:cs="Arial" w:eastAsia="Arial" w:hAnsi="Arial"/>
          <w:sz w:val="17"/>
          <w:szCs w:val="17"/>
          <w:color w:val="auto"/>
        </w:rPr>
        <w:t>. Borrower is able to pay its debts (including trade debts) as they mature; the fair saleable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Borrower’s assets (including goodwill minus disposition costs) exceeds the fair value of its liabilities; and Borrower is not left with unreasonably small capital after the transactions contemplated by this Agreement.</w:t>
      </w:r>
    </w:p>
    <w:p>
      <w:pPr>
        <w:spacing w:after="0" w:line="162" w:lineRule="exact"/>
        <w:rPr>
          <w:sz w:val="20"/>
          <w:szCs w:val="20"/>
          <w:color w:val="auto"/>
        </w:rPr>
      </w:pPr>
    </w:p>
    <w:p>
      <w:pPr>
        <w:jc w:val="both"/>
        <w:ind w:right="40" w:firstLine="1259"/>
        <w:spacing w:after="0" w:line="287" w:lineRule="auto"/>
        <w:rPr>
          <w:sz w:val="20"/>
          <w:szCs w:val="20"/>
          <w:color w:val="auto"/>
        </w:rPr>
      </w:pPr>
      <w:r>
        <w:rPr>
          <w:rFonts w:ascii="Arial" w:cs="Arial" w:eastAsia="Arial" w:hAnsi="Arial"/>
          <w:sz w:val="16"/>
          <w:szCs w:val="16"/>
          <w:b w:val="1"/>
          <w:bCs w:val="1"/>
          <w:color w:val="auto"/>
        </w:rPr>
        <w:t>5.11 Compliance with Laws and Regulations</w:t>
      </w:r>
      <w:r>
        <w:rPr>
          <w:rFonts w:ascii="Arial" w:cs="Arial" w:eastAsia="Arial" w:hAnsi="Arial"/>
          <w:sz w:val="16"/>
          <w:szCs w:val="16"/>
          <w:color w:val="auto"/>
        </w:rPr>
        <w:t>. Borrower and each Subsidiary have met the minimum funding requirements of ERISA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any employee benefit plans subject to ERISA. No event has occurred resulting from Borrower’s failure to comply with ERISA that is reasonably likely to result in Borrower’s incurring any liability that could have a Material Adverse Effect. Borrower is not an “investment company” or a company “controlled” by an “investment company” within the meaning of the Investment Company Act of 1940. Borrower is not engaged principally, or as one of the important activities, in the business of extending credit for the purpose of purchasing or carrying margin stock (within the meaning of Regulations T and U of the</w:t>
      </w:r>
    </w:p>
    <w:p>
      <w:pPr>
        <w:sectPr>
          <w:pgSz w:w="11900" w:h="16838" w:orient="portrait"/>
          <w:cols w:equalWidth="0" w:num="1">
            <w:col w:w="11420"/>
          </w:cols>
          <w:pgMar w:left="240" w:top="127" w:right="239" w:bottom="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09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391" w:name="page392"/>
    <w:bookmarkEnd w:id="391"/>
    <w:p>
      <w:pPr>
        <w:ind w:right="40"/>
        <w:spacing w:after="0" w:line="283" w:lineRule="auto"/>
        <w:rPr>
          <w:sz w:val="20"/>
          <w:szCs w:val="20"/>
          <w:color w:val="auto"/>
        </w:rPr>
      </w:pPr>
      <w:r>
        <w:rPr>
          <w:rFonts w:ascii="Arial" w:cs="Arial" w:eastAsia="Arial" w:hAnsi="Arial"/>
          <w:sz w:val="16"/>
          <w:szCs w:val="16"/>
          <w:color w:val="auto"/>
        </w:rPr>
        <w:t>Board of Governors of the Federal Reserve System). Borrower has complied in all material respects with all the provisions of the Federal Fair Labor Standards Act. Borrower is in compliance with all Environmental Laws, regulations and ordinances except where the failure to comply is not reasonably likely to have a Material Adverse Effect. Borrower has not violated any statutes, laws, ordinances or rules applicable to it, the violation of which would reasonably be expected to have a Material Adverse Effect. Borrower and each Subsidiary have filed or caused to be filed all tax returns required to be filed, and have paid, or have made adequate provision for the payment of, all taxes reflected therein except those being contested in good faith with adequate reserves under GAAP or where the failure to file such returns or pay such taxes would not reasonably be expected to have a Material Adverse Effect.</w:t>
      </w:r>
    </w:p>
    <w:p>
      <w:pPr>
        <w:spacing w:after="0" w:line="161" w:lineRule="exact"/>
        <w:rPr>
          <w:sz w:val="20"/>
          <w:szCs w:val="20"/>
          <w:color w:val="auto"/>
        </w:rPr>
      </w:pPr>
    </w:p>
    <w:p>
      <w:pPr>
        <w:ind w:right="100" w:firstLine="1259"/>
        <w:spacing w:after="0" w:line="297" w:lineRule="auto"/>
        <w:rPr>
          <w:sz w:val="20"/>
          <w:szCs w:val="20"/>
          <w:color w:val="auto"/>
        </w:rPr>
      </w:pPr>
      <w:r>
        <w:rPr>
          <w:rFonts w:ascii="Arial" w:cs="Arial" w:eastAsia="Arial" w:hAnsi="Arial"/>
          <w:sz w:val="17"/>
          <w:szCs w:val="17"/>
          <w:b w:val="1"/>
          <w:bCs w:val="1"/>
          <w:color w:val="auto"/>
        </w:rPr>
        <w:t>5.12 Subsidiaries</w:t>
      </w:r>
      <w:r>
        <w:rPr>
          <w:rFonts w:ascii="Arial" w:cs="Arial" w:eastAsia="Arial" w:hAnsi="Arial"/>
          <w:sz w:val="17"/>
          <w:szCs w:val="17"/>
          <w:color w:val="auto"/>
        </w:rPr>
        <w:t>. Except as disclosed on the Schedule, Borrower does not own any stock, partnership interest or other equity securities of</w:t>
      </w:r>
      <w:r>
        <w:rPr>
          <w:rFonts w:ascii="Arial" w:cs="Arial" w:eastAsia="Arial" w:hAnsi="Arial"/>
          <w:sz w:val="17"/>
          <w:szCs w:val="17"/>
          <w:b w:val="1"/>
          <w:bCs w:val="1"/>
          <w:color w:val="auto"/>
        </w:rPr>
        <w:t xml:space="preserve"> </w:t>
      </w:r>
      <w:r>
        <w:rPr>
          <w:rFonts w:ascii="Arial" w:cs="Arial" w:eastAsia="Arial" w:hAnsi="Arial"/>
          <w:sz w:val="17"/>
          <w:szCs w:val="17"/>
          <w:color w:val="auto"/>
        </w:rPr>
        <w:t>any Person, except for Permitted Investments.</w:t>
      </w:r>
    </w:p>
    <w:p>
      <w:pPr>
        <w:spacing w:after="0" w:line="145" w:lineRule="exact"/>
        <w:rPr>
          <w:sz w:val="20"/>
          <w:szCs w:val="20"/>
          <w:color w:val="auto"/>
        </w:rPr>
      </w:pPr>
    </w:p>
    <w:p>
      <w:pPr>
        <w:ind w:right="20" w:firstLine="1259"/>
        <w:spacing w:after="0" w:line="277" w:lineRule="auto"/>
        <w:rPr>
          <w:sz w:val="20"/>
          <w:szCs w:val="20"/>
          <w:color w:val="auto"/>
        </w:rPr>
      </w:pPr>
      <w:r>
        <w:rPr>
          <w:rFonts w:ascii="Arial" w:cs="Arial" w:eastAsia="Arial" w:hAnsi="Arial"/>
          <w:sz w:val="17"/>
          <w:szCs w:val="17"/>
          <w:b w:val="1"/>
          <w:bCs w:val="1"/>
          <w:color w:val="auto"/>
        </w:rPr>
        <w:t>5.13 Government Consents</w:t>
      </w:r>
      <w:r>
        <w:rPr>
          <w:rFonts w:ascii="Arial" w:cs="Arial" w:eastAsia="Arial" w:hAnsi="Arial"/>
          <w:sz w:val="17"/>
          <w:szCs w:val="17"/>
          <w:color w:val="auto"/>
        </w:rPr>
        <w:t>. Borrower and each Subsidiary have obtained all consents, approvals and authorizations of, made all</w:t>
      </w:r>
      <w:r>
        <w:rPr>
          <w:rFonts w:ascii="Arial" w:cs="Arial" w:eastAsia="Arial" w:hAnsi="Arial"/>
          <w:sz w:val="17"/>
          <w:szCs w:val="17"/>
          <w:b w:val="1"/>
          <w:bCs w:val="1"/>
          <w:color w:val="auto"/>
        </w:rPr>
        <w:t xml:space="preserve"> </w:t>
      </w:r>
      <w:r>
        <w:rPr>
          <w:rFonts w:ascii="Arial" w:cs="Arial" w:eastAsia="Arial" w:hAnsi="Arial"/>
          <w:sz w:val="17"/>
          <w:szCs w:val="17"/>
          <w:color w:val="auto"/>
        </w:rPr>
        <w:t>declarations or filings with, and given all notices to, all governmental authorities that are necessary for the continued operation of Borrower’s business as currently conducted, except where the failure to do so would not reasonably be expected to cause a Material Adverse Effect.</w:t>
      </w:r>
    </w:p>
    <w:p>
      <w:pPr>
        <w:spacing w:after="0" w:line="162" w:lineRule="exact"/>
        <w:rPr>
          <w:sz w:val="20"/>
          <w:szCs w:val="20"/>
          <w:color w:val="auto"/>
        </w:rPr>
      </w:pPr>
    </w:p>
    <w:p>
      <w:pPr>
        <w:ind w:right="260" w:firstLine="1259"/>
        <w:spacing w:after="0" w:line="330" w:lineRule="auto"/>
        <w:rPr>
          <w:sz w:val="20"/>
          <w:szCs w:val="20"/>
          <w:color w:val="auto"/>
        </w:rPr>
      </w:pPr>
      <w:r>
        <w:rPr>
          <w:rFonts w:ascii="Arial" w:cs="Arial" w:eastAsia="Arial" w:hAnsi="Arial"/>
          <w:sz w:val="16"/>
          <w:szCs w:val="16"/>
          <w:b w:val="1"/>
          <w:bCs w:val="1"/>
          <w:color w:val="auto"/>
        </w:rPr>
        <w:t>5.14 Inbound Licenses</w:t>
      </w:r>
      <w:r>
        <w:rPr>
          <w:rFonts w:ascii="Arial" w:cs="Arial" w:eastAsia="Arial" w:hAnsi="Arial"/>
          <w:sz w:val="16"/>
          <w:szCs w:val="16"/>
          <w:color w:val="auto"/>
        </w:rPr>
        <w:t>. Except as disclosed on the Schedule, Borrower is not a party to, nor is bound by, any license or other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that prohibits or otherwise restricts Borrower from granting a security interest in Borrower’s interest in such license or agreement or any other property.</w:t>
      </w:r>
    </w:p>
    <w:p>
      <w:pPr>
        <w:spacing w:after="0" w:line="123" w:lineRule="exact"/>
        <w:rPr>
          <w:sz w:val="20"/>
          <w:szCs w:val="20"/>
          <w:color w:val="auto"/>
        </w:rPr>
      </w:pPr>
    </w:p>
    <w:p>
      <w:pPr>
        <w:ind w:right="140" w:firstLine="1259"/>
        <w:spacing w:after="0" w:line="297" w:lineRule="auto"/>
        <w:rPr>
          <w:sz w:val="20"/>
          <w:szCs w:val="20"/>
          <w:color w:val="auto"/>
        </w:rPr>
      </w:pPr>
      <w:r>
        <w:rPr>
          <w:rFonts w:ascii="Arial" w:cs="Arial" w:eastAsia="Arial" w:hAnsi="Arial"/>
          <w:sz w:val="17"/>
          <w:szCs w:val="17"/>
          <w:b w:val="1"/>
          <w:bCs w:val="1"/>
          <w:color w:val="auto"/>
        </w:rPr>
        <w:t xml:space="preserve">5.15 Bona Fide Accounts. </w:t>
      </w:r>
      <w:r>
        <w:rPr>
          <w:rFonts w:ascii="Arial" w:cs="Arial" w:eastAsia="Arial" w:hAnsi="Arial"/>
          <w:sz w:val="17"/>
          <w:szCs w:val="17"/>
          <w:color w:val="auto"/>
        </w:rPr>
        <w:t>The Accounts are bona fide existing obligations. The property giving rise to such Accounts has been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to the account debtor or to the account debtor’s agent for immediate shipment to and unconditional acceptance by the account debtor.</w:t>
      </w:r>
    </w:p>
    <w:p>
      <w:pPr>
        <w:spacing w:after="0" w:line="145" w:lineRule="exact"/>
        <w:rPr>
          <w:sz w:val="20"/>
          <w:szCs w:val="20"/>
          <w:color w:val="auto"/>
        </w:rPr>
      </w:pPr>
    </w:p>
    <w:p>
      <w:pPr>
        <w:jc w:val="both"/>
        <w:ind w:right="40" w:firstLine="1259"/>
        <w:spacing w:after="0" w:line="267" w:lineRule="auto"/>
        <w:rPr>
          <w:sz w:val="20"/>
          <w:szCs w:val="20"/>
          <w:color w:val="auto"/>
        </w:rPr>
      </w:pPr>
      <w:r>
        <w:rPr>
          <w:rFonts w:ascii="Arial" w:cs="Arial" w:eastAsia="Arial" w:hAnsi="Arial"/>
          <w:sz w:val="17"/>
          <w:szCs w:val="17"/>
          <w:b w:val="1"/>
          <w:bCs w:val="1"/>
          <w:color w:val="auto"/>
        </w:rPr>
        <w:t xml:space="preserve">5.16 Shares. </w:t>
      </w:r>
      <w:r>
        <w:rPr>
          <w:rFonts w:ascii="Arial" w:cs="Arial" w:eastAsia="Arial" w:hAnsi="Arial"/>
          <w:sz w:val="17"/>
          <w:szCs w:val="17"/>
          <w:color w:val="auto"/>
        </w:rPr>
        <w:t>Borrower has full power and authority to create a first lien on the Shares and no disability or contractual obligation exists that</w:t>
      </w:r>
      <w:r>
        <w:rPr>
          <w:rFonts w:ascii="Arial" w:cs="Arial" w:eastAsia="Arial" w:hAnsi="Arial"/>
          <w:sz w:val="17"/>
          <w:szCs w:val="17"/>
          <w:b w:val="1"/>
          <w:bCs w:val="1"/>
          <w:color w:val="auto"/>
        </w:rPr>
        <w:t xml:space="preserve"> </w:t>
      </w:r>
      <w:r>
        <w:rPr>
          <w:rFonts w:ascii="Arial" w:cs="Arial" w:eastAsia="Arial" w:hAnsi="Arial"/>
          <w:sz w:val="17"/>
          <w:szCs w:val="17"/>
          <w:color w:val="auto"/>
        </w:rPr>
        <w:t>would prohibit Borrower from pledging the Shares pursuant to this Agreement. There are no subscriptions, warrants, rights of first refusal or other restrictions on transfer relative to, or options exercisable with respect to the Shares. The Shares have been and will be duly authorized and validly issued, and are fully paid and non-assessable. The Shares are not the subject of any present or threatened suit, action, arbitration, administrative or other proceeding, and Borrower knows of no reasonable grounds for the institution of any such proceedings.</w:t>
      </w:r>
    </w:p>
    <w:p>
      <w:pPr>
        <w:spacing w:after="0" w:line="171" w:lineRule="exact"/>
        <w:rPr>
          <w:sz w:val="20"/>
          <w:szCs w:val="20"/>
          <w:color w:val="auto"/>
        </w:rPr>
      </w:pPr>
    </w:p>
    <w:p>
      <w:pPr>
        <w:ind w:right="80" w:firstLine="1259"/>
        <w:spacing w:after="0" w:line="287" w:lineRule="auto"/>
        <w:rPr>
          <w:sz w:val="20"/>
          <w:szCs w:val="20"/>
          <w:color w:val="auto"/>
        </w:rPr>
      </w:pPr>
      <w:r>
        <w:rPr>
          <w:rFonts w:ascii="Arial" w:cs="Arial" w:eastAsia="Arial" w:hAnsi="Arial"/>
          <w:sz w:val="16"/>
          <w:szCs w:val="16"/>
          <w:b w:val="1"/>
          <w:bCs w:val="1"/>
          <w:color w:val="auto"/>
        </w:rPr>
        <w:t>5.17 Full Disclosure</w:t>
      </w:r>
      <w:r>
        <w:rPr>
          <w:rFonts w:ascii="Arial" w:cs="Arial" w:eastAsia="Arial" w:hAnsi="Arial"/>
          <w:sz w:val="16"/>
          <w:szCs w:val="16"/>
          <w:color w:val="auto"/>
        </w:rPr>
        <w:t>. No representation, warranty or other statement made by Borrower in any certificate or written statement furnished to</w:t>
      </w:r>
      <w:r>
        <w:rPr>
          <w:rFonts w:ascii="Arial" w:cs="Arial" w:eastAsia="Arial" w:hAnsi="Arial"/>
          <w:sz w:val="16"/>
          <w:szCs w:val="16"/>
          <w:b w:val="1"/>
          <w:bCs w:val="1"/>
          <w:color w:val="auto"/>
        </w:rPr>
        <w:t xml:space="preserve"> </w:t>
      </w:r>
      <w:r>
        <w:rPr>
          <w:rFonts w:ascii="Arial" w:cs="Arial" w:eastAsia="Arial" w:hAnsi="Arial"/>
          <w:sz w:val="16"/>
          <w:szCs w:val="16"/>
          <w:color w:val="auto"/>
        </w:rPr>
        <w:t>Bank taken together with all such certificates and written statements furnished to Bank contains any untrue statement of a material fact or omits to state a material fact necessary in order to make the statements contained in such certificates or statements not misleading, it being recognized by Bank that the projections and forecasts provided by Borrower in good faith and based upon reasonable assumptions are not to be viewed as facts and that actual results during the period or periods covered by any such projections and forecasts may differ from the projected or forecasted results.</w:t>
      </w:r>
    </w:p>
    <w:p>
      <w:pPr>
        <w:spacing w:after="0" w:line="158" w:lineRule="exact"/>
        <w:rPr>
          <w:sz w:val="20"/>
          <w:szCs w:val="20"/>
          <w:color w:val="auto"/>
        </w:rPr>
      </w:pPr>
    </w:p>
    <w:p>
      <w:pPr>
        <w:ind w:left="640" w:right="7720" w:hanging="6"/>
        <w:spacing w:after="0" w:line="515" w:lineRule="auto"/>
        <w:tabs>
          <w:tab w:leader="none" w:pos="1269" w:val="left"/>
        </w:tabs>
        <w:numPr>
          <w:ilvl w:val="0"/>
          <w:numId w:val="628"/>
        </w:numPr>
        <w:rPr>
          <w:rFonts w:ascii="Arial" w:cs="Arial" w:eastAsia="Arial" w:hAnsi="Arial"/>
          <w:sz w:val="17"/>
          <w:szCs w:val="17"/>
          <w:b w:val="1"/>
          <w:bCs w:val="1"/>
          <w:color w:val="auto"/>
        </w:rPr>
      </w:pPr>
      <w:r>
        <w:rPr>
          <w:rFonts w:ascii="Arial" w:cs="Arial" w:eastAsia="Arial" w:hAnsi="Arial"/>
          <w:sz w:val="17"/>
          <w:szCs w:val="17"/>
          <w:b w:val="1"/>
          <w:bCs w:val="1"/>
          <w:color w:val="auto"/>
        </w:rPr>
        <w:t>AFFIRMATIVE COVENANTS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shall do all of the following:</w:t>
      </w:r>
    </w:p>
    <w:p>
      <w:pPr>
        <w:ind w:firstLine="1259"/>
        <w:spacing w:after="0" w:line="264" w:lineRule="auto"/>
        <w:rPr>
          <w:sz w:val="20"/>
          <w:szCs w:val="20"/>
          <w:color w:val="auto"/>
        </w:rPr>
      </w:pPr>
      <w:r>
        <w:rPr>
          <w:rFonts w:ascii="Arial" w:cs="Arial" w:eastAsia="Arial" w:hAnsi="Arial"/>
          <w:sz w:val="17"/>
          <w:szCs w:val="17"/>
          <w:b w:val="1"/>
          <w:bCs w:val="1"/>
          <w:color w:val="auto"/>
        </w:rPr>
        <w:t>6.1 Good Standing and Government Compliance</w:t>
      </w:r>
      <w:r>
        <w:rPr>
          <w:rFonts w:ascii="Arial" w:cs="Arial" w:eastAsia="Arial" w:hAnsi="Arial"/>
          <w:sz w:val="17"/>
          <w:szCs w:val="17"/>
          <w:color w:val="auto"/>
        </w:rPr>
        <w:t>. Borrower shall maintain its and each of its Subsidiaries’ corporate existence and good</w:t>
      </w:r>
      <w:r>
        <w:rPr>
          <w:rFonts w:ascii="Arial" w:cs="Arial" w:eastAsia="Arial" w:hAnsi="Arial"/>
          <w:sz w:val="17"/>
          <w:szCs w:val="17"/>
          <w:b w:val="1"/>
          <w:bCs w:val="1"/>
          <w:color w:val="auto"/>
        </w:rPr>
        <w:t xml:space="preserve"> </w:t>
      </w:r>
      <w:r>
        <w:rPr>
          <w:rFonts w:ascii="Arial" w:cs="Arial" w:eastAsia="Arial" w:hAnsi="Arial"/>
          <w:sz w:val="17"/>
          <w:szCs w:val="17"/>
          <w:color w:val="auto"/>
        </w:rPr>
        <w:t>standing in each jurisdiction under whose laws Borrower and its Subsidiaries are organized, and shall maintain qualification and good standing in each other jurisdiction in which the failure to so qualify would reasonably be expected to have a Material Adverse Effect. Borrower shall meet, and shall cause each Subsidiary to meet, the minimum funding requirements of ERISA with respect to any employee benefit plans subject to ERISA. Borrower shall comply in all material respects with all applicable Environmental Laws, and maintain all material permits, licenses and approvals required thereunder where the failure to do so would reasonably be expected to have a Material Adverse Effect. Borrower shall comply, and shall cause each Subsidiary to comply, with all statutes, laws, ordinances and government rules and regulations to which it is subject, and shall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maintain, and shall cause each of its Subsidiaries to maintain, in force all licenses, approvals and agreements, the loss of which or failure to comply with which would reasonably be expected to have a Material Adverse Effect.</w:t>
      </w:r>
    </w:p>
    <w:p>
      <w:pPr>
        <w:spacing w:after="0" w:line="152"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b w:val="1"/>
          <w:bCs w:val="1"/>
          <w:color w:val="auto"/>
        </w:rPr>
        <w:t>6.2</w:t>
      </w:r>
      <w:r>
        <w:rPr>
          <w:sz w:val="20"/>
          <w:szCs w:val="20"/>
          <w:color w:val="auto"/>
        </w:rPr>
        <w:tab/>
      </w:r>
      <w:r>
        <w:rPr>
          <w:rFonts w:ascii="Arial" w:cs="Arial" w:eastAsia="Arial" w:hAnsi="Arial"/>
          <w:sz w:val="16"/>
          <w:szCs w:val="16"/>
          <w:b w:val="1"/>
          <w:bCs w:val="1"/>
          <w:color w:val="auto"/>
        </w:rPr>
        <w:t>Financial Statements, Reports, Certificates</w:t>
      </w:r>
      <w:r>
        <w:rPr>
          <w:rFonts w:ascii="Arial" w:cs="Arial" w:eastAsia="Arial" w:hAnsi="Arial"/>
          <w:sz w:val="16"/>
          <w:szCs w:val="16"/>
          <w:color w:val="auto"/>
        </w:rPr>
        <w:t>. Borrower shall deliver to Bank:</w:t>
      </w:r>
    </w:p>
    <w:p>
      <w:pPr>
        <w:spacing w:after="0" w:line="230" w:lineRule="exact"/>
        <w:rPr>
          <w:sz w:val="20"/>
          <w:szCs w:val="20"/>
          <w:color w:val="auto"/>
        </w:rPr>
      </w:pPr>
    </w:p>
    <w:p>
      <w:pPr>
        <w:ind w:firstLine="1893"/>
        <w:spacing w:after="0" w:line="293" w:lineRule="auto"/>
        <w:tabs>
          <w:tab w:leader="none" w:pos="2524" w:val="left"/>
        </w:tabs>
        <w:numPr>
          <w:ilvl w:val="1"/>
          <w:numId w:val="629"/>
        </w:numPr>
        <w:rPr>
          <w:rFonts w:ascii="Arial" w:cs="Arial" w:eastAsia="Arial" w:hAnsi="Arial"/>
          <w:sz w:val="15"/>
          <w:szCs w:val="15"/>
          <w:b w:val="1"/>
          <w:bCs w:val="1"/>
          <w:color w:val="auto"/>
        </w:rPr>
      </w:pPr>
      <w:r>
        <w:rPr>
          <w:rFonts w:ascii="Arial" w:cs="Arial" w:eastAsia="Arial" w:hAnsi="Arial"/>
          <w:sz w:val="15"/>
          <w:szCs w:val="15"/>
          <w:color w:val="auto"/>
        </w:rPr>
        <w:t>as soon as available, but in any event within 20 days after the end of each calendar month, a company prepared consolidated and consolidating balance sheet and income statement covering Borrower’s operations during such period, in a form reasonably acceptable to Bank and certified by a Responsible Officer; (ii) as soon as available, but in any event within 150 days after the end of Borrower’s fiscal year, audited consolidated and consolidating financial statements of Borrower prepared in accordance with GAAP, consistently applied, together with an opinion which is unqualified or otherwise consented to in writing by Bank on such financial statements of an independent certified public accounting firm reasonably acceptable to Bank; (iii) if applicable, copies of all statements, reports and notices sent or made available generally by Borrower to its security holders or to any holders of Subordinated Debt and all reports on Forms 10-K and 10-Q filed with the Securities and Exchange Commission; (iv) promptly upon receipt of notice thereof, a report of any legal actions pending or threatened against Borrower or any Subsidiary that could result in damages or costs to Borrower or any Subsidiary of $100,000 or more; (v) promptly upon receipt, each management letter prepared by Borrower’s independent certified public accounting firm regarding Borrower’s management control systems; and</w:t>
      </w:r>
    </w:p>
    <w:p>
      <w:pPr>
        <w:spacing w:after="0" w:line="4" w:lineRule="exact"/>
        <w:rPr>
          <w:rFonts w:ascii="Arial" w:cs="Arial" w:eastAsia="Arial" w:hAnsi="Arial"/>
          <w:sz w:val="15"/>
          <w:szCs w:val="15"/>
          <w:b w:val="1"/>
          <w:bCs w:val="1"/>
          <w:color w:val="auto"/>
        </w:rPr>
      </w:pPr>
    </w:p>
    <w:p>
      <w:pPr>
        <w:ind w:right="40" w:firstLine="5"/>
        <w:spacing w:after="0" w:line="266" w:lineRule="auto"/>
        <w:tabs>
          <w:tab w:leader="none" w:pos="296" w:val="left"/>
        </w:tabs>
        <w:numPr>
          <w:ilvl w:val="0"/>
          <w:numId w:val="630"/>
        </w:numPr>
        <w:rPr>
          <w:rFonts w:ascii="Arial" w:cs="Arial" w:eastAsia="Arial" w:hAnsi="Arial"/>
          <w:sz w:val="17"/>
          <w:szCs w:val="17"/>
          <w:color w:val="auto"/>
        </w:rPr>
      </w:pPr>
      <w:r>
        <w:rPr>
          <w:rFonts w:ascii="Arial" w:cs="Arial" w:eastAsia="Arial" w:hAnsi="Arial"/>
          <w:sz w:val="17"/>
          <w:szCs w:val="17"/>
          <w:color w:val="auto"/>
        </w:rPr>
        <w:t>such budgets, sales projections, operating plans or other financial information generally prepared by Borrower in the ordinary course of business as Bank may reasonably request from time to time. Notwithstanding the foregoing, Borrower shall deliver its audited consolidated and consolidating financial statements for 2008 no later than June 30, 2009.</w:t>
      </w:r>
    </w:p>
    <w:p>
      <w:pPr>
        <w:spacing w:after="0" w:line="177" w:lineRule="exact"/>
        <w:rPr>
          <w:rFonts w:ascii="Arial" w:cs="Arial" w:eastAsia="Arial" w:hAnsi="Arial"/>
          <w:sz w:val="17"/>
          <w:szCs w:val="17"/>
          <w:color w:val="auto"/>
        </w:rPr>
      </w:pPr>
    </w:p>
    <w:p>
      <w:pPr>
        <w:ind w:right="40" w:firstLine="1893"/>
        <w:spacing w:after="0" w:line="263" w:lineRule="auto"/>
        <w:tabs>
          <w:tab w:leader="none" w:pos="2534" w:val="left"/>
        </w:tabs>
        <w:numPr>
          <w:ilvl w:val="1"/>
          <w:numId w:val="630"/>
        </w:numPr>
        <w:rPr>
          <w:rFonts w:ascii="Arial" w:cs="Arial" w:eastAsia="Arial" w:hAnsi="Arial"/>
          <w:sz w:val="17"/>
          <w:szCs w:val="17"/>
          <w:b w:val="1"/>
          <w:bCs w:val="1"/>
          <w:color w:val="auto"/>
        </w:rPr>
      </w:pPr>
      <w:r>
        <w:rPr>
          <w:rFonts w:ascii="Arial" w:cs="Arial" w:eastAsia="Arial" w:hAnsi="Arial"/>
          <w:sz w:val="17"/>
          <w:szCs w:val="17"/>
          <w:color w:val="auto"/>
        </w:rPr>
        <w:t xml:space="preserve">Within 20 days after the last day of each month, Borrower shall deliver to Bank a Borrowing Base Certificate signed by a Responsible Officer in substantially the form of </w:t>
      </w:r>
      <w:r>
        <w:rPr>
          <w:rFonts w:ascii="Arial" w:cs="Arial" w:eastAsia="Arial" w:hAnsi="Arial"/>
          <w:sz w:val="17"/>
          <w:szCs w:val="17"/>
          <w:b w:val="1"/>
          <w:bCs w:val="1"/>
          <w:color w:val="auto"/>
        </w:rPr>
        <w:t>Exhibit D-1</w:t>
      </w:r>
      <w:r>
        <w:rPr>
          <w:rFonts w:ascii="Arial" w:cs="Arial" w:eastAsia="Arial" w:hAnsi="Arial"/>
          <w:sz w:val="17"/>
          <w:szCs w:val="17"/>
          <w:color w:val="auto"/>
        </w:rPr>
        <w:t xml:space="preserve"> hereto, together with an inventory report in format satisfactory to Bank and aged listings by invoice date of accounts receivable and accounts payable. Within 20 days after the last day of each month in which EXIM Advances are outstanding, Borrower shall deliver to Bank an Export Related Borrowing Base Certificate signed by a Responsible Officer in substantially the form of </w:t>
      </w:r>
      <w:r>
        <w:rPr>
          <w:rFonts w:ascii="Arial" w:cs="Arial" w:eastAsia="Arial" w:hAnsi="Arial"/>
          <w:sz w:val="17"/>
          <w:szCs w:val="17"/>
          <w:b w:val="1"/>
          <w:bCs w:val="1"/>
          <w:color w:val="auto"/>
        </w:rPr>
        <w:t>Exhibit D-2</w:t>
      </w:r>
      <w:r>
        <w:rPr>
          <w:rFonts w:ascii="Arial" w:cs="Arial" w:eastAsia="Arial" w:hAnsi="Arial"/>
          <w:sz w:val="17"/>
          <w:szCs w:val="17"/>
          <w:color w:val="auto"/>
        </w:rPr>
        <w:t xml:space="preserve"> hereto, together with aged listings by payment due date of foreign accounts receivable and accounts payable, a summary report of export purchase orders and an inventory report in format satisfactory to Bank</w:t>
      </w:r>
    </w:p>
    <w:p>
      <w:pPr>
        <w:spacing w:after="0" w:line="183" w:lineRule="exact"/>
        <w:rPr>
          <w:rFonts w:ascii="Arial" w:cs="Arial" w:eastAsia="Arial" w:hAnsi="Arial"/>
          <w:sz w:val="17"/>
          <w:szCs w:val="17"/>
          <w:b w:val="1"/>
          <w:bCs w:val="1"/>
          <w:color w:val="auto"/>
        </w:rPr>
      </w:pPr>
    </w:p>
    <w:p>
      <w:pPr>
        <w:ind w:right="440" w:firstLine="1893"/>
        <w:spacing w:after="0" w:line="322" w:lineRule="auto"/>
        <w:tabs>
          <w:tab w:leader="none" w:pos="2527" w:val="left"/>
        </w:tabs>
        <w:numPr>
          <w:ilvl w:val="1"/>
          <w:numId w:val="630"/>
        </w:numPr>
        <w:rPr>
          <w:rFonts w:ascii="Arial" w:cs="Arial" w:eastAsia="Arial" w:hAnsi="Arial"/>
          <w:sz w:val="16"/>
          <w:szCs w:val="16"/>
          <w:b w:val="1"/>
          <w:bCs w:val="1"/>
          <w:color w:val="auto"/>
        </w:rPr>
      </w:pPr>
      <w:r>
        <w:rPr>
          <w:rFonts w:ascii="Arial" w:cs="Arial" w:eastAsia="Arial" w:hAnsi="Arial"/>
          <w:sz w:val="16"/>
          <w:szCs w:val="16"/>
          <w:color w:val="auto"/>
        </w:rPr>
        <w:t xml:space="preserve">Within 20 days after the last day of each month, Borrower shall deliver to Bank with the monthly financial statements a Compliance Certificate certified as of the last day of the applicable month and signed by a Responsible Officer in substantially the form of </w:t>
      </w:r>
      <w:r>
        <w:rPr>
          <w:rFonts w:ascii="Arial" w:cs="Arial" w:eastAsia="Arial" w:hAnsi="Arial"/>
          <w:sz w:val="16"/>
          <w:szCs w:val="16"/>
          <w:b w:val="1"/>
          <w:bCs w:val="1"/>
          <w:color w:val="auto"/>
        </w:rPr>
        <w:t>Exhibit E</w:t>
      </w:r>
      <w:r>
        <w:rPr>
          <w:rFonts w:ascii="Arial" w:cs="Arial" w:eastAsia="Arial" w:hAnsi="Arial"/>
          <w:sz w:val="16"/>
          <w:szCs w:val="16"/>
          <w:color w:val="auto"/>
        </w:rPr>
        <w:t xml:space="preserve"> hereto.</w:t>
      </w:r>
    </w:p>
    <w:p>
      <w:pPr>
        <w:sectPr>
          <w:pgSz w:w="11900" w:h="16838" w:orient="portrait"/>
          <w:cols w:equalWidth="0" w:num="1">
            <w:col w:w="11400"/>
          </w:cols>
          <w:pgMar w:left="240" w:top="573" w:right="259" w:bottom="0" w:gutter="0" w:footer="0" w:header="0"/>
        </w:sectPr>
      </w:pPr>
    </w:p>
    <w:bookmarkStart w:id="392" w:name="page393"/>
    <w:bookmarkEnd w:id="392"/>
    <w:p>
      <w:pPr>
        <w:ind w:right="20" w:firstLine="1893"/>
        <w:spacing w:after="0" w:line="273" w:lineRule="auto"/>
        <w:tabs>
          <w:tab w:leader="none" w:pos="2534" w:val="left"/>
        </w:tabs>
        <w:numPr>
          <w:ilvl w:val="0"/>
          <w:numId w:val="631"/>
        </w:numPr>
        <w:rPr>
          <w:rFonts w:ascii="Arial" w:cs="Arial" w:eastAsia="Arial" w:hAnsi="Arial"/>
          <w:sz w:val="17"/>
          <w:szCs w:val="17"/>
          <w:b w:val="1"/>
          <w:bCs w:val="1"/>
          <w:color w:val="auto"/>
        </w:rPr>
      </w:pPr>
      <w:r>
        <w:rPr>
          <w:rFonts w:ascii="Arial" w:cs="Arial" w:eastAsia="Arial" w:hAnsi="Arial"/>
          <w:sz w:val="17"/>
          <w:szCs w:val="17"/>
          <w:color w:val="auto"/>
        </w:rPr>
        <w:t>As soon as possible and in any event within three (3) Business Days after becoming aware of the occurrence or existence of an Event of Default hereunder, a written statement of a Responsible Officer setting forth details of the Event of Default, and the action which Borrower has taken or proposes to take with respect thereto.</w:t>
      </w:r>
    </w:p>
    <w:p>
      <w:pPr>
        <w:spacing w:after="0" w:line="171" w:lineRule="exact"/>
        <w:rPr>
          <w:rFonts w:ascii="Arial" w:cs="Arial" w:eastAsia="Arial" w:hAnsi="Arial"/>
          <w:sz w:val="17"/>
          <w:szCs w:val="17"/>
          <w:b w:val="1"/>
          <w:bCs w:val="1"/>
          <w:color w:val="auto"/>
        </w:rPr>
      </w:pPr>
    </w:p>
    <w:p>
      <w:pPr>
        <w:jc w:val="both"/>
        <w:ind w:right="140" w:firstLine="1893"/>
        <w:spacing w:after="0" w:line="265" w:lineRule="auto"/>
        <w:tabs>
          <w:tab w:leader="none" w:pos="2527" w:val="left"/>
        </w:tabs>
        <w:numPr>
          <w:ilvl w:val="0"/>
          <w:numId w:val="631"/>
        </w:numPr>
        <w:rPr>
          <w:rFonts w:ascii="Arial" w:cs="Arial" w:eastAsia="Arial" w:hAnsi="Arial"/>
          <w:sz w:val="17"/>
          <w:szCs w:val="17"/>
          <w:b w:val="1"/>
          <w:bCs w:val="1"/>
          <w:color w:val="auto"/>
        </w:rPr>
      </w:pPr>
      <w:r>
        <w:rPr>
          <w:rFonts w:ascii="Arial" w:cs="Arial" w:eastAsia="Arial" w:hAnsi="Arial"/>
          <w:sz w:val="17"/>
          <w:szCs w:val="17"/>
          <w:color w:val="auto"/>
        </w:rPr>
        <w:t>Within 30 days of the last day of each fiscal quarter, a report signed by Borrower, in form reasonably acceptable to Bank, listing any applications or registrations that Borrower has made or filed in respect of any Patents, Copyrights or Trademarks and the status of any outstanding applications or registrations, as well as any material change in Borrower’s Intellectual Property Collateral, including but not limited to any subsequent ownership right of Borrower in or to any Trademark, Patent or Copyright not specified in Exhibits A, B, and C of any Intellectual Property Security Agreement delivered to Bank by Borrower in connection with this Agreement.</w:t>
      </w:r>
    </w:p>
    <w:p>
      <w:pPr>
        <w:spacing w:after="0" w:line="179" w:lineRule="exact"/>
        <w:rPr>
          <w:rFonts w:ascii="Arial" w:cs="Arial" w:eastAsia="Arial" w:hAnsi="Arial"/>
          <w:sz w:val="17"/>
          <w:szCs w:val="17"/>
          <w:b w:val="1"/>
          <w:bCs w:val="1"/>
          <w:color w:val="auto"/>
        </w:rPr>
      </w:pPr>
    </w:p>
    <w:p>
      <w:pPr>
        <w:ind w:right="200" w:firstLine="1893"/>
        <w:spacing w:after="0" w:line="273" w:lineRule="auto"/>
        <w:tabs>
          <w:tab w:leader="none" w:pos="2521" w:val="left"/>
        </w:tabs>
        <w:numPr>
          <w:ilvl w:val="0"/>
          <w:numId w:val="631"/>
        </w:numPr>
        <w:rPr>
          <w:rFonts w:ascii="Arial" w:cs="Arial" w:eastAsia="Arial" w:hAnsi="Arial"/>
          <w:sz w:val="17"/>
          <w:szCs w:val="17"/>
          <w:b w:val="1"/>
          <w:bCs w:val="1"/>
          <w:color w:val="auto"/>
        </w:rPr>
      </w:pPr>
      <w:r>
        <w:rPr>
          <w:rFonts w:ascii="Arial" w:cs="Arial" w:eastAsia="Arial" w:hAnsi="Arial"/>
          <w:sz w:val="17"/>
          <w:szCs w:val="17"/>
          <w:color w:val="auto"/>
        </w:rPr>
        <w:t>Within 20 days after the last day of each month, Borrower shall deliver to Bank a monthly summary of Export Purchase Orders, and within 20 days after the last of each quarter, Borrower shall deliver to Bank copies of approximately ten percent (10%) of all actual Export Purchase Orders, as a sample representation of all Export Purchase Orders.</w:t>
      </w:r>
    </w:p>
    <w:p>
      <w:pPr>
        <w:spacing w:after="0" w:line="172" w:lineRule="exact"/>
        <w:rPr>
          <w:sz w:val="20"/>
          <w:szCs w:val="20"/>
          <w:color w:val="auto"/>
        </w:rPr>
      </w:pPr>
    </w:p>
    <w:p>
      <w:pPr>
        <w:ind w:right="460" w:firstLine="629"/>
        <w:spacing w:after="0" w:line="273" w:lineRule="auto"/>
        <w:rPr>
          <w:sz w:val="20"/>
          <w:szCs w:val="20"/>
          <w:color w:val="auto"/>
        </w:rPr>
      </w:pPr>
      <w:r>
        <w:rPr>
          <w:rFonts w:ascii="Arial" w:cs="Arial" w:eastAsia="Arial" w:hAnsi="Arial"/>
          <w:sz w:val="17"/>
          <w:szCs w:val="17"/>
          <w:color w:val="auto"/>
        </w:rPr>
        <w:t>Borrower may deliver to Bank on an electronic basis any certificates, reports or information required pursuant to this Section 6.2, and Bank shall be entitled to rely on the information contained in the electronic files, provided that Bank in good faith believes that the files were delivered by a Responsible Officer. If Borrower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delivers this information electronically, it shall also deliver to Bank by U.S. Mail, reputable overnight courier service, hand delivery, facsimile or .pdf file within 5 Business Days of submission of the unsigned electronic copy the certification of monthly financial statements, the intellectual property report, the Domestic Borrowing Base Certificate, the Export Related Borrowing Base Certificate and the Compliance Certificate, each bearing the physical signature of the Responsible Officer.</w:t>
      </w:r>
    </w:p>
    <w:p>
      <w:pPr>
        <w:spacing w:after="0" w:line="170" w:lineRule="exact"/>
        <w:rPr>
          <w:sz w:val="20"/>
          <w:szCs w:val="20"/>
          <w:color w:val="auto"/>
        </w:rPr>
      </w:pPr>
    </w:p>
    <w:p>
      <w:pPr>
        <w:ind w:right="320" w:firstLine="1259"/>
        <w:spacing w:after="0" w:line="277" w:lineRule="auto"/>
        <w:rPr>
          <w:sz w:val="20"/>
          <w:szCs w:val="20"/>
          <w:color w:val="auto"/>
        </w:rPr>
      </w:pPr>
      <w:r>
        <w:rPr>
          <w:rFonts w:ascii="Arial" w:cs="Arial" w:eastAsia="Arial" w:hAnsi="Arial"/>
          <w:sz w:val="17"/>
          <w:szCs w:val="17"/>
          <w:b w:val="1"/>
          <w:bCs w:val="1"/>
          <w:color w:val="auto"/>
        </w:rPr>
        <w:t xml:space="preserve">6.3 Collateral Audits. </w:t>
      </w:r>
      <w:r>
        <w:rPr>
          <w:rFonts w:ascii="Arial" w:cs="Arial" w:eastAsia="Arial" w:hAnsi="Arial"/>
          <w:sz w:val="17"/>
          <w:szCs w:val="17"/>
          <w:color w:val="auto"/>
        </w:rPr>
        <w:t>Bank shall have a right from time to time hereafter to audit Borrower’s Accounts and appraise Collateral at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Borrower’s expense, provided that such audits will be conducted no more often than twice every twelve months unless an Event of Default has occurred and is continuing.</w:t>
      </w:r>
    </w:p>
    <w:p>
      <w:pPr>
        <w:spacing w:after="0" w:line="162" w:lineRule="exact"/>
        <w:rPr>
          <w:sz w:val="20"/>
          <w:szCs w:val="20"/>
          <w:color w:val="auto"/>
        </w:rPr>
      </w:pPr>
    </w:p>
    <w:p>
      <w:pPr>
        <w:ind w:right="220" w:firstLine="1259"/>
        <w:spacing w:after="0" w:line="297" w:lineRule="auto"/>
        <w:rPr>
          <w:sz w:val="20"/>
          <w:szCs w:val="20"/>
          <w:color w:val="auto"/>
        </w:rPr>
      </w:pPr>
      <w:r>
        <w:rPr>
          <w:rFonts w:ascii="Arial" w:cs="Arial" w:eastAsia="Arial" w:hAnsi="Arial"/>
          <w:sz w:val="17"/>
          <w:szCs w:val="17"/>
          <w:b w:val="1"/>
          <w:bCs w:val="1"/>
          <w:color w:val="auto"/>
        </w:rPr>
        <w:t xml:space="preserve">6.4 Current Ratio. </w:t>
      </w:r>
      <w:r>
        <w:rPr>
          <w:rFonts w:ascii="Arial" w:cs="Arial" w:eastAsia="Arial" w:hAnsi="Arial"/>
          <w:sz w:val="17"/>
          <w:szCs w:val="17"/>
          <w:color w:val="auto"/>
        </w:rPr>
        <w:t>Borrower shall maintain, as of the last day of each month starting with month ending May 31, 2009, a Current Ratio</w:t>
      </w:r>
      <w:r>
        <w:rPr>
          <w:rFonts w:ascii="Arial" w:cs="Arial" w:eastAsia="Arial" w:hAnsi="Arial"/>
          <w:sz w:val="17"/>
          <w:szCs w:val="17"/>
          <w:b w:val="1"/>
          <w:bCs w:val="1"/>
          <w:color w:val="auto"/>
        </w:rPr>
        <w:t xml:space="preserve"> </w:t>
      </w:r>
      <w:r>
        <w:rPr>
          <w:rFonts w:ascii="Arial" w:cs="Arial" w:eastAsia="Arial" w:hAnsi="Arial"/>
          <w:sz w:val="17"/>
          <w:szCs w:val="17"/>
          <w:color w:val="auto"/>
        </w:rPr>
        <w:t>equal to or greater than 1.20 to 1.00.</w:t>
      </w:r>
    </w:p>
    <w:p>
      <w:pPr>
        <w:spacing w:after="0" w:line="145" w:lineRule="exact"/>
        <w:rPr>
          <w:sz w:val="20"/>
          <w:szCs w:val="20"/>
          <w:color w:val="auto"/>
        </w:rPr>
      </w:pPr>
    </w:p>
    <w:p>
      <w:pPr>
        <w:ind w:right="180" w:firstLine="1259"/>
        <w:spacing w:after="0" w:line="277" w:lineRule="auto"/>
        <w:rPr>
          <w:sz w:val="20"/>
          <w:szCs w:val="20"/>
          <w:color w:val="auto"/>
        </w:rPr>
      </w:pPr>
      <w:r>
        <w:rPr>
          <w:rFonts w:ascii="Arial" w:cs="Arial" w:eastAsia="Arial" w:hAnsi="Arial"/>
          <w:sz w:val="17"/>
          <w:szCs w:val="17"/>
          <w:b w:val="1"/>
          <w:bCs w:val="1"/>
          <w:color w:val="auto"/>
        </w:rPr>
        <w:t xml:space="preserve">6.5 Total Liabilities to Tangible Net Worth Ratio. </w:t>
      </w:r>
      <w:r>
        <w:rPr>
          <w:rFonts w:ascii="Arial" w:cs="Arial" w:eastAsia="Arial" w:hAnsi="Arial"/>
          <w:sz w:val="17"/>
          <w:szCs w:val="17"/>
          <w:color w:val="auto"/>
        </w:rPr>
        <w:t>Borrower shall maintain as of the last day of each month starting with month ending</w:t>
      </w:r>
      <w:r>
        <w:rPr>
          <w:rFonts w:ascii="Arial" w:cs="Arial" w:eastAsia="Arial" w:hAnsi="Arial"/>
          <w:sz w:val="17"/>
          <w:szCs w:val="17"/>
          <w:b w:val="1"/>
          <w:bCs w:val="1"/>
          <w:color w:val="auto"/>
        </w:rPr>
        <w:t xml:space="preserve"> </w:t>
      </w:r>
      <w:r>
        <w:rPr>
          <w:rFonts w:ascii="Arial" w:cs="Arial" w:eastAsia="Arial" w:hAnsi="Arial"/>
          <w:sz w:val="17"/>
          <w:szCs w:val="17"/>
          <w:color w:val="auto"/>
        </w:rPr>
        <w:t>May 31, 2009 and through month ending June 30, 2010, a ratio of Total Liabilities to Tangible Net Worth not greater than 1.20 to 1:00; and as of the last day of each month following June 30, 2010, a ratio of Total Liabilities to Tangible Net Worth not greater than 1.10 to 1.00.</w:t>
      </w:r>
    </w:p>
    <w:p>
      <w:pPr>
        <w:spacing w:after="0" w:line="162"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b w:val="1"/>
          <w:bCs w:val="1"/>
          <w:color w:val="auto"/>
        </w:rPr>
        <w:t>6.6</w:t>
      </w:r>
      <w:r>
        <w:rPr>
          <w:sz w:val="20"/>
          <w:szCs w:val="20"/>
          <w:color w:val="auto"/>
        </w:rPr>
        <w:tab/>
      </w:r>
      <w:r>
        <w:rPr>
          <w:rFonts w:ascii="Arial" w:cs="Arial" w:eastAsia="Arial" w:hAnsi="Arial"/>
          <w:sz w:val="16"/>
          <w:szCs w:val="16"/>
          <w:b w:val="1"/>
          <w:bCs w:val="1"/>
          <w:color w:val="auto"/>
        </w:rPr>
        <w:t>Minimum EBITDASO</w:t>
      </w:r>
      <w:r>
        <w:rPr>
          <w:rFonts w:ascii="Arial" w:cs="Arial" w:eastAsia="Arial" w:hAnsi="Arial"/>
          <w:sz w:val="16"/>
          <w:szCs w:val="16"/>
          <w:color w:val="auto"/>
        </w:rPr>
        <w:t>. Borrower shall maintain a minimum quarterly EBITDASO of at least the following amounts:</w:t>
      </w:r>
    </w:p>
    <w:p>
      <w:pPr>
        <w:spacing w:after="0" w:line="220" w:lineRule="exact"/>
        <w:rPr>
          <w:sz w:val="20"/>
          <w:szCs w:val="20"/>
          <w:color w:val="auto"/>
        </w:rPr>
      </w:pPr>
    </w:p>
    <w:tbl>
      <w:tblPr>
        <w:tblLayout w:type="fixed"/>
        <w:tblInd w:w="1900" w:type="dxa"/>
        <w:tblCellMar>
          <w:top w:w="0" w:type="dxa"/>
          <w:left w:w="0" w:type="dxa"/>
          <w:bottom w:w="0" w:type="dxa"/>
          <w:right w:w="0" w:type="dxa"/>
        </w:tblCellMar>
      </w:tblPr>
      <w:tr>
        <w:trPr>
          <w:trHeight w:val="167"/>
        </w:trPr>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Quarter(s) Ending</w:t>
            </w:r>
          </w:p>
        </w:tc>
        <w:tc>
          <w:tcPr>
            <w:tcW w:w="4300" w:type="dxa"/>
            <w:vAlign w:val="bottom"/>
          </w:tcPr>
          <w:p>
            <w:pPr>
              <w:ind w:left="1900"/>
              <w:spacing w:after="0"/>
              <w:rPr>
                <w:sz w:val="20"/>
                <w:szCs w:val="20"/>
                <w:color w:val="auto"/>
              </w:rPr>
            </w:pPr>
            <w:r>
              <w:rPr>
                <w:rFonts w:ascii="Arial" w:cs="Arial" w:eastAsia="Arial" w:hAnsi="Arial"/>
                <w:sz w:val="14"/>
                <w:szCs w:val="14"/>
                <w:b w:val="1"/>
                <w:bCs w:val="1"/>
                <w:color w:val="auto"/>
              </w:rPr>
              <w:t>Amount</w:t>
            </w:r>
          </w:p>
        </w:tc>
      </w:tr>
      <w:tr>
        <w:trPr>
          <w:trHeight w:val="203"/>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June 30, 2009:</w:t>
            </w:r>
          </w:p>
        </w:tc>
        <w:tc>
          <w:tcPr>
            <w:tcW w:w="22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(loss not to exceed $600,000)</w:t>
            </w:r>
          </w:p>
        </w:tc>
      </w:tr>
      <w:tr>
        <w:trPr>
          <w:trHeight w:val="210"/>
        </w:trPr>
        <w:tc>
          <w:tcPr>
            <w:tcW w:w="4060" w:type="dxa"/>
            <w:vAlign w:val="bottom"/>
            <w:gridSpan w:val="2"/>
          </w:tcPr>
          <w:p>
            <w:pPr>
              <w:spacing w:after="0"/>
              <w:rPr>
                <w:sz w:val="20"/>
                <w:szCs w:val="20"/>
                <w:color w:val="auto"/>
              </w:rPr>
            </w:pPr>
            <w:r>
              <w:rPr>
                <w:rFonts w:ascii="Arial" w:cs="Arial" w:eastAsia="Arial" w:hAnsi="Arial"/>
                <w:sz w:val="17"/>
                <w:szCs w:val="17"/>
                <w:color w:val="auto"/>
              </w:rPr>
              <w:t>September 30, 2009:</w:t>
            </w:r>
          </w:p>
        </w:tc>
        <w:tc>
          <w:tcPr>
            <w:tcW w:w="4300" w:type="dxa"/>
            <w:vAlign w:val="bottom"/>
          </w:tcPr>
          <w:p>
            <w:pPr>
              <w:spacing w:after="0"/>
              <w:rPr>
                <w:sz w:val="20"/>
                <w:szCs w:val="20"/>
                <w:color w:val="auto"/>
              </w:rPr>
            </w:pPr>
            <w:r>
              <w:rPr>
                <w:rFonts w:ascii="Arial" w:cs="Arial" w:eastAsia="Arial" w:hAnsi="Arial"/>
                <w:sz w:val="17"/>
                <w:szCs w:val="17"/>
                <w:color w:val="auto"/>
              </w:rPr>
              <w:t>$500,000</w:t>
            </w:r>
          </w:p>
        </w:tc>
      </w:tr>
      <w:tr>
        <w:trPr>
          <w:trHeight w:val="210"/>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2009:</w:t>
            </w: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$1,000,000</w:t>
            </w:r>
          </w:p>
        </w:tc>
      </w:tr>
      <w:tr>
        <w:trPr>
          <w:trHeight w:val="210"/>
        </w:trPr>
        <w:tc>
          <w:tcPr>
            <w:tcW w:w="4060" w:type="dxa"/>
            <w:vAlign w:val="bottom"/>
            <w:gridSpan w:val="2"/>
          </w:tcPr>
          <w:p>
            <w:pPr>
              <w:spacing w:after="0"/>
              <w:rPr>
                <w:sz w:val="20"/>
                <w:szCs w:val="20"/>
                <w:color w:val="auto"/>
              </w:rPr>
            </w:pPr>
            <w:r>
              <w:rPr>
                <w:rFonts w:ascii="Arial" w:cs="Arial" w:eastAsia="Arial" w:hAnsi="Arial"/>
                <w:sz w:val="17"/>
                <w:szCs w:val="17"/>
                <w:color w:val="auto"/>
              </w:rPr>
              <w:t>March 31 of each year starting 2010:</w:t>
            </w:r>
          </w:p>
        </w:tc>
        <w:tc>
          <w:tcPr>
            <w:tcW w:w="4300" w:type="dxa"/>
            <w:vAlign w:val="bottom"/>
          </w:tcPr>
          <w:p>
            <w:pPr>
              <w:spacing w:after="0"/>
              <w:rPr>
                <w:sz w:val="20"/>
                <w:szCs w:val="20"/>
                <w:color w:val="auto"/>
              </w:rPr>
            </w:pPr>
            <w:r>
              <w:rPr>
                <w:rFonts w:ascii="Arial" w:cs="Arial" w:eastAsia="Arial" w:hAnsi="Arial"/>
                <w:sz w:val="17"/>
                <w:szCs w:val="17"/>
                <w:color w:val="auto"/>
              </w:rPr>
              <w:t>$300,000</w:t>
            </w:r>
          </w:p>
        </w:tc>
      </w:tr>
      <w:tr>
        <w:trPr>
          <w:trHeight w:val="197"/>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7"/>
              </w:rPr>
              <w:t>June 30, September 30 and December 31 of each year</w:t>
            </w:r>
          </w:p>
        </w:tc>
        <w:tc>
          <w:tcPr>
            <w:tcW w:w="4300" w:type="dxa"/>
            <w:vAlign w:val="bottom"/>
            <w:shd w:val="clear" w:color="auto" w:fill="CCEEFF"/>
          </w:tcPr>
          <w:p>
            <w:pPr>
              <w:spacing w:after="0"/>
              <w:rPr>
                <w:sz w:val="17"/>
                <w:szCs w:val="17"/>
                <w:color w:val="auto"/>
              </w:rPr>
            </w:pPr>
          </w:p>
        </w:tc>
      </w:tr>
      <w:tr>
        <w:trPr>
          <w:trHeight w:val="222"/>
        </w:trPr>
        <w:tc>
          <w:tcPr>
            <w:tcW w:w="40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starting 2010:</w:t>
            </w: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$1,000,000</w:t>
            </w:r>
          </w:p>
        </w:tc>
      </w:tr>
    </w:tbl>
    <w:p>
      <w:pPr>
        <w:spacing w:after="0" w:line="191" w:lineRule="exact"/>
        <w:rPr>
          <w:sz w:val="20"/>
          <w:szCs w:val="20"/>
          <w:color w:val="auto"/>
        </w:rPr>
      </w:pPr>
    </w:p>
    <w:p>
      <w:pPr>
        <w:ind w:right="100" w:firstLine="1259"/>
        <w:spacing w:after="0" w:line="267" w:lineRule="auto"/>
        <w:rPr>
          <w:sz w:val="20"/>
          <w:szCs w:val="20"/>
          <w:color w:val="auto"/>
        </w:rPr>
      </w:pPr>
      <w:r>
        <w:rPr>
          <w:rFonts w:ascii="Arial" w:cs="Arial" w:eastAsia="Arial" w:hAnsi="Arial"/>
          <w:sz w:val="17"/>
          <w:szCs w:val="17"/>
          <w:b w:val="1"/>
          <w:bCs w:val="1"/>
          <w:color w:val="auto"/>
        </w:rPr>
        <w:t xml:space="preserve">6.7 Inventory; Returns. </w:t>
      </w:r>
      <w:r>
        <w:rPr>
          <w:rFonts w:ascii="Arial" w:cs="Arial" w:eastAsia="Arial" w:hAnsi="Arial"/>
          <w:sz w:val="17"/>
          <w:szCs w:val="17"/>
          <w:color w:val="auto"/>
        </w:rPr>
        <w:t>Borrower shall keep all Inventory in good and merchantable condition, free from all material defects except for</w:t>
      </w:r>
      <w:r>
        <w:rPr>
          <w:rFonts w:ascii="Arial" w:cs="Arial" w:eastAsia="Arial" w:hAnsi="Arial"/>
          <w:sz w:val="17"/>
          <w:szCs w:val="17"/>
          <w:b w:val="1"/>
          <w:bCs w:val="1"/>
          <w:color w:val="auto"/>
        </w:rPr>
        <w:t xml:space="preserve"> </w:t>
      </w:r>
      <w:r>
        <w:rPr>
          <w:rFonts w:ascii="Arial" w:cs="Arial" w:eastAsia="Arial" w:hAnsi="Arial"/>
          <w:sz w:val="17"/>
          <w:szCs w:val="17"/>
          <w:color w:val="auto"/>
        </w:rPr>
        <w:t>Inventory for which adequate reserves have been made. Borrower shall cause all returns by their customers and terminations of customer agreements to be on the same basis and in accordance with the usual customary practices of Borrower, as they exist from time to time. Borrower shall promptly notify Bank of all terminations of customer agreements, and of all customer disputes and customer claims, where the termination, dispute or claim involves more than two hundred fifty thousand dollars ($250,000).</w:t>
      </w:r>
    </w:p>
    <w:p>
      <w:pPr>
        <w:spacing w:after="0" w:line="171" w:lineRule="exact"/>
        <w:rPr>
          <w:sz w:val="20"/>
          <w:szCs w:val="20"/>
          <w:color w:val="auto"/>
        </w:rPr>
      </w:pPr>
    </w:p>
    <w:p>
      <w:pPr>
        <w:ind w:right="180" w:firstLine="1259"/>
        <w:spacing w:after="0" w:line="311" w:lineRule="auto"/>
        <w:rPr>
          <w:sz w:val="20"/>
          <w:szCs w:val="20"/>
          <w:color w:val="auto"/>
        </w:rPr>
      </w:pPr>
      <w:r>
        <w:rPr>
          <w:rFonts w:ascii="Arial" w:cs="Arial" w:eastAsia="Arial" w:hAnsi="Arial"/>
          <w:sz w:val="15"/>
          <w:szCs w:val="15"/>
          <w:b w:val="1"/>
          <w:bCs w:val="1"/>
          <w:color w:val="auto"/>
        </w:rPr>
        <w:t>6.8 Taxes</w:t>
      </w:r>
      <w:r>
        <w:rPr>
          <w:rFonts w:ascii="Arial" w:cs="Arial" w:eastAsia="Arial" w:hAnsi="Arial"/>
          <w:sz w:val="15"/>
          <w:szCs w:val="15"/>
          <w:color w:val="auto"/>
        </w:rPr>
        <w:t>. Borrower shall make, and cause each Subsidiary to make, due and timely payment or deposit of all material federal, state, and</w:t>
      </w:r>
      <w:r>
        <w:rPr>
          <w:rFonts w:ascii="Arial" w:cs="Arial" w:eastAsia="Arial" w:hAnsi="Arial"/>
          <w:sz w:val="15"/>
          <w:szCs w:val="15"/>
          <w:b w:val="1"/>
          <w:bCs w:val="1"/>
          <w:color w:val="auto"/>
        </w:rPr>
        <w:t xml:space="preserve"> </w:t>
      </w:r>
      <w:r>
        <w:rPr>
          <w:rFonts w:ascii="Arial" w:cs="Arial" w:eastAsia="Arial" w:hAnsi="Arial"/>
          <w:sz w:val="15"/>
          <w:szCs w:val="15"/>
          <w:color w:val="auto"/>
        </w:rPr>
        <w:t>local taxes, assessments, or contributions required of it by law, including, but not limited to, those laws concerning income taxes, F.I.C.A., F.U.T.A. and state disability, and will execute and deliver to Bank, on demand, proof satisfactory to Bank indicating that Borrower or a Subsidiary has made such payments or deposits and any appropriate certificates attesting to the payment or deposit thereof; provided that Borrower or a Subsidiary need not make any payment if the amount or validity of such payment is contested in good faith by appropriate proceedings and is reserved against (to the extent required by GAAP) by Borrower.</w:t>
      </w:r>
    </w:p>
    <w:p>
      <w:pPr>
        <w:spacing w:after="0" w:line="141"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b w:val="1"/>
          <w:bCs w:val="1"/>
          <w:color w:val="auto"/>
        </w:rPr>
        <w:t>6.9</w:t>
      </w:r>
      <w:r>
        <w:rPr>
          <w:sz w:val="20"/>
          <w:szCs w:val="20"/>
          <w:color w:val="auto"/>
        </w:rPr>
        <w:tab/>
      </w:r>
      <w:r>
        <w:rPr>
          <w:rFonts w:ascii="Arial" w:cs="Arial" w:eastAsia="Arial" w:hAnsi="Arial"/>
          <w:sz w:val="15"/>
          <w:szCs w:val="15"/>
          <w:b w:val="1"/>
          <w:bCs w:val="1"/>
          <w:color w:val="auto"/>
        </w:rPr>
        <w:t>Insurance</w:t>
      </w:r>
      <w:r>
        <w:rPr>
          <w:rFonts w:ascii="Arial" w:cs="Arial" w:eastAsia="Arial" w:hAnsi="Arial"/>
          <w:sz w:val="15"/>
          <w:szCs w:val="15"/>
          <w:color w:val="auto"/>
        </w:rPr>
        <w:t>.</w:t>
      </w:r>
    </w:p>
    <w:p>
      <w:pPr>
        <w:spacing w:after="0" w:line="230" w:lineRule="exact"/>
        <w:rPr>
          <w:sz w:val="20"/>
          <w:szCs w:val="20"/>
          <w:color w:val="auto"/>
        </w:rPr>
      </w:pPr>
    </w:p>
    <w:p>
      <w:pPr>
        <w:ind w:right="60" w:firstLine="1893"/>
        <w:spacing w:after="0" w:line="263" w:lineRule="auto"/>
        <w:tabs>
          <w:tab w:leader="none" w:pos="2524" w:val="left"/>
        </w:tabs>
        <w:numPr>
          <w:ilvl w:val="0"/>
          <w:numId w:val="632"/>
        </w:numPr>
        <w:rPr>
          <w:rFonts w:ascii="Arial" w:cs="Arial" w:eastAsia="Arial" w:hAnsi="Arial"/>
          <w:sz w:val="17"/>
          <w:szCs w:val="17"/>
          <w:b w:val="1"/>
          <w:bCs w:val="1"/>
          <w:color w:val="auto"/>
        </w:rPr>
      </w:pPr>
      <w:r>
        <w:rPr>
          <w:rFonts w:ascii="Arial" w:cs="Arial" w:eastAsia="Arial" w:hAnsi="Arial"/>
          <w:sz w:val="17"/>
          <w:szCs w:val="17"/>
          <w:color w:val="auto"/>
        </w:rPr>
        <w:t>Borrower, at its expense, shall keep the Collateral insured against loss or damage by fire, theft, explosion, sprinklers, and all other hazards and risks, and in such amounts, as ordinarily insured against by other owners in similar businesses conducted in the locations where Borrower’s business is conducted on the date hereof, but no less than the sum of the book value of domestic Equipment and domestic Inventory. Borrower shall also maintain liability and other insurance in amounts and of a type that are customary to businesses similar to Borrower’s. Borrower, at its expense, shall keep the Real Estate insured against loss or damage by fire, theft, explosion, sprinklers, and all other hazards and risks, and in an amount no less than the replacement cost and on terms reasonably acceptable to Bank.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firstLine="1893"/>
        <w:spacing w:after="0" w:line="283" w:lineRule="auto"/>
        <w:tabs>
          <w:tab w:leader="none" w:pos="2534" w:val="left"/>
        </w:tabs>
        <w:numPr>
          <w:ilvl w:val="0"/>
          <w:numId w:val="633"/>
        </w:numPr>
        <w:rPr>
          <w:rFonts w:ascii="Arial" w:cs="Arial" w:eastAsia="Arial" w:hAnsi="Arial"/>
          <w:sz w:val="16"/>
          <w:szCs w:val="16"/>
          <w:b w:val="1"/>
          <w:bCs w:val="1"/>
          <w:color w:val="auto"/>
        </w:rPr>
      </w:pPr>
      <w:r>
        <w:rPr>
          <w:rFonts w:ascii="Arial" w:cs="Arial" w:eastAsia="Arial" w:hAnsi="Arial"/>
          <w:sz w:val="16"/>
          <w:szCs w:val="16"/>
          <w:color w:val="auto"/>
        </w:rPr>
        <w:t>All such policies of insurance shall be in such form, with such companies, and in such amounts as reasonably satisfactory to Bank. All policies of property insurance shall contain a lender’s loss payable endorsement, in a form satisfactory to Bank, showing Bank as an additional loss payee, and all liability insurance policies shall show Bank as an additional insured and specify that the insurer must give at least 20 days notice to Bank before canceling its policy for any reason. Upon Bank’s request, Borrower shall deliver to Bank certified copies of the policies of insurance and evidence of all premium payments. If no Event of Default has occurred and is continuing, proceeds payable under any casualty policy will, at Borrower’s option, be payable to Borrower to replace the property subject to the claim, provided that any such replacement property shall be deemed Collateral in which Bank has been granted a first priority</w:t>
      </w:r>
    </w:p>
    <w:p>
      <w:pPr>
        <w:sectPr>
          <w:pgSz w:w="11900" w:h="16838" w:orient="portrait"/>
          <w:cols w:equalWidth="0" w:num="1">
            <w:col w:w="11420"/>
          </w:cols>
          <w:pgMar w:left="240" w:top="127" w:right="239" w:bottom="0" w:gutter="0" w:footer="0" w:header="0"/>
        </w:sectPr>
      </w:pPr>
    </w:p>
    <w:bookmarkStart w:id="393" w:name="page394"/>
    <w:bookmarkEnd w:id="393"/>
    <w:p>
      <w:pPr>
        <w:ind w:right="140"/>
        <w:spacing w:after="0" w:line="289" w:lineRule="auto"/>
        <w:rPr>
          <w:sz w:val="20"/>
          <w:szCs w:val="20"/>
          <w:color w:val="auto"/>
        </w:rPr>
      </w:pPr>
      <w:r>
        <w:rPr>
          <w:rFonts w:ascii="Arial" w:cs="Arial" w:eastAsia="Arial" w:hAnsi="Arial"/>
          <w:sz w:val="17"/>
          <w:szCs w:val="17"/>
          <w:color w:val="auto"/>
        </w:rPr>
        <w:t>security interest. If an Event of Default has occurred and is continuing, all proceeds payable under any such policy shall, at Bank’s option, be payable to Bank to be applied on account of the Obligations.</w:t>
      </w:r>
    </w:p>
    <w:p>
      <w:pPr>
        <w:spacing w:after="0" w:line="152" w:lineRule="exact"/>
        <w:rPr>
          <w:sz w:val="20"/>
          <w:szCs w:val="20"/>
          <w:color w:val="auto"/>
        </w:rPr>
      </w:pPr>
    </w:p>
    <w:p>
      <w:pPr>
        <w:ind w:right="260" w:firstLine="1259"/>
        <w:spacing w:after="0" w:line="297" w:lineRule="auto"/>
        <w:rPr>
          <w:sz w:val="20"/>
          <w:szCs w:val="20"/>
          <w:color w:val="auto"/>
        </w:rPr>
      </w:pPr>
      <w:r>
        <w:rPr>
          <w:rFonts w:ascii="Arial" w:cs="Arial" w:eastAsia="Arial" w:hAnsi="Arial"/>
          <w:sz w:val="17"/>
          <w:szCs w:val="17"/>
          <w:b w:val="1"/>
          <w:bCs w:val="1"/>
          <w:color w:val="auto"/>
        </w:rPr>
        <w:t>6.10 Primary Depository</w:t>
      </w:r>
      <w:r>
        <w:rPr>
          <w:rFonts w:ascii="Arial" w:cs="Arial" w:eastAsia="Arial" w:hAnsi="Arial"/>
          <w:sz w:val="17"/>
          <w:szCs w:val="17"/>
          <w:color w:val="auto"/>
        </w:rPr>
        <w:t>. Borrower shall maintain all its depository and operating accounts with Bank and its investment accounts with</w:t>
      </w:r>
      <w:r>
        <w:rPr>
          <w:rFonts w:ascii="Arial" w:cs="Arial" w:eastAsia="Arial" w:hAnsi="Arial"/>
          <w:sz w:val="17"/>
          <w:szCs w:val="17"/>
          <w:b w:val="1"/>
          <w:bCs w:val="1"/>
          <w:color w:val="auto"/>
        </w:rPr>
        <w:t xml:space="preserve"> </w:t>
      </w:r>
      <w:r>
        <w:rPr>
          <w:rFonts w:ascii="Arial" w:cs="Arial" w:eastAsia="Arial" w:hAnsi="Arial"/>
          <w:sz w:val="17"/>
          <w:szCs w:val="17"/>
          <w:color w:val="auto"/>
        </w:rPr>
        <w:t>Bank or Bank’s Affiliates.</w:t>
      </w:r>
    </w:p>
    <w:p>
      <w:pPr>
        <w:spacing w:after="0" w:line="145"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b w:val="1"/>
          <w:bCs w:val="1"/>
          <w:color w:val="auto"/>
        </w:rPr>
        <w:t>6.11</w:t>
      </w:r>
      <w:r>
        <w:rPr>
          <w:sz w:val="20"/>
          <w:szCs w:val="20"/>
          <w:color w:val="auto"/>
        </w:rPr>
        <w:tab/>
      </w:r>
      <w:r>
        <w:rPr>
          <w:rFonts w:ascii="Arial" w:cs="Arial" w:eastAsia="Arial" w:hAnsi="Arial"/>
          <w:sz w:val="15"/>
          <w:szCs w:val="15"/>
          <w:b w:val="1"/>
          <w:bCs w:val="1"/>
          <w:color w:val="auto"/>
        </w:rPr>
        <w:t>Registration of Intellectual Property Rights.</w:t>
      </w:r>
    </w:p>
    <w:p>
      <w:pPr>
        <w:spacing w:after="0" w:line="230" w:lineRule="exact"/>
        <w:rPr>
          <w:sz w:val="20"/>
          <w:szCs w:val="20"/>
          <w:color w:val="auto"/>
        </w:rPr>
      </w:pPr>
    </w:p>
    <w:p>
      <w:pPr>
        <w:ind w:right="40" w:firstLine="1893"/>
        <w:spacing w:after="0" w:line="268" w:lineRule="auto"/>
        <w:tabs>
          <w:tab w:leader="none" w:pos="2524" w:val="left"/>
        </w:tabs>
        <w:numPr>
          <w:ilvl w:val="0"/>
          <w:numId w:val="634"/>
        </w:numPr>
        <w:rPr>
          <w:rFonts w:ascii="Arial" w:cs="Arial" w:eastAsia="Arial" w:hAnsi="Arial"/>
          <w:sz w:val="17"/>
          <w:szCs w:val="17"/>
          <w:b w:val="1"/>
          <w:bCs w:val="1"/>
          <w:color w:val="auto"/>
        </w:rPr>
      </w:pPr>
      <w:r>
        <w:rPr>
          <w:rFonts w:ascii="Arial" w:cs="Arial" w:eastAsia="Arial" w:hAnsi="Arial"/>
          <w:sz w:val="17"/>
          <w:szCs w:val="17"/>
          <w:color w:val="auto"/>
        </w:rPr>
        <w:t>Borrower shall register or cause to be registered on an expedited basis (to the extent not already registered) with the United States Patent and Trademark Office or the United States Copyright Office, as the case may be, those registrable intellectual property rights now owned or hereafter developed or acquired by Borrower, to the extent that Borrower, in its reasonable business judgment, deems it appropriate to so protect such intellectual property rights.</w:t>
      </w:r>
    </w:p>
    <w:p>
      <w:pPr>
        <w:spacing w:after="0" w:line="175" w:lineRule="exact"/>
        <w:rPr>
          <w:rFonts w:ascii="Arial" w:cs="Arial" w:eastAsia="Arial" w:hAnsi="Arial"/>
          <w:sz w:val="17"/>
          <w:szCs w:val="17"/>
          <w:b w:val="1"/>
          <w:bCs w:val="1"/>
          <w:color w:val="auto"/>
        </w:rPr>
      </w:pPr>
    </w:p>
    <w:p>
      <w:pPr>
        <w:ind w:right="120" w:firstLine="1893"/>
        <w:spacing w:after="0" w:line="289" w:lineRule="auto"/>
        <w:tabs>
          <w:tab w:leader="none" w:pos="2534" w:val="left"/>
        </w:tabs>
        <w:numPr>
          <w:ilvl w:val="0"/>
          <w:numId w:val="634"/>
        </w:numPr>
        <w:rPr>
          <w:rFonts w:ascii="Arial" w:cs="Arial" w:eastAsia="Arial" w:hAnsi="Arial"/>
          <w:sz w:val="17"/>
          <w:szCs w:val="17"/>
          <w:b w:val="1"/>
          <w:bCs w:val="1"/>
          <w:color w:val="auto"/>
        </w:rPr>
      </w:pPr>
      <w:r>
        <w:rPr>
          <w:rFonts w:ascii="Arial" w:cs="Arial" w:eastAsia="Arial" w:hAnsi="Arial"/>
          <w:sz w:val="17"/>
          <w:szCs w:val="17"/>
          <w:color w:val="auto"/>
        </w:rPr>
        <w:t>Borrower shall promptly give Bank written notice of any applications or registrations of intellectual property rights filed with the United States Patent and Trademark Office, including the date of such filing and the registration or application numbers, if any.</w:t>
      </w:r>
    </w:p>
    <w:p>
      <w:pPr>
        <w:spacing w:after="0" w:line="158" w:lineRule="exact"/>
        <w:rPr>
          <w:rFonts w:ascii="Arial" w:cs="Arial" w:eastAsia="Arial" w:hAnsi="Arial"/>
          <w:sz w:val="17"/>
          <w:szCs w:val="17"/>
          <w:b w:val="1"/>
          <w:bCs w:val="1"/>
          <w:color w:val="auto"/>
        </w:rPr>
      </w:pPr>
    </w:p>
    <w:p>
      <w:pPr>
        <w:ind w:firstLine="1893"/>
        <w:spacing w:after="0" w:line="281" w:lineRule="auto"/>
        <w:tabs>
          <w:tab w:leader="none" w:pos="2527" w:val="left"/>
        </w:tabs>
        <w:numPr>
          <w:ilvl w:val="0"/>
          <w:numId w:val="634"/>
        </w:numPr>
        <w:rPr>
          <w:rFonts w:ascii="Arial" w:cs="Arial" w:eastAsia="Arial" w:hAnsi="Arial"/>
          <w:sz w:val="16"/>
          <w:szCs w:val="16"/>
          <w:b w:val="1"/>
          <w:bCs w:val="1"/>
          <w:color w:val="auto"/>
        </w:rPr>
      </w:pPr>
      <w:r>
        <w:rPr>
          <w:rFonts w:ascii="Arial" w:cs="Arial" w:eastAsia="Arial" w:hAnsi="Arial"/>
          <w:sz w:val="16"/>
          <w:szCs w:val="16"/>
          <w:color w:val="auto"/>
        </w:rPr>
        <w:t>Borrower shall (i) give Bank not less than 30 days prior written notice of the filing of any applications or registrations with the United States Copyright Office, including the title of such intellectual property rights to be registered, as such title will appear on such applications or registrations, and the date such applications or registrations will be filed; (ii) prior to the filing of any such applications or registrations, execute such documents as Bank may reasonably request for Bank to maintain its perfection in such intellectual property rights to be registered by Borrower; (iii) upon the request of Bank, either deliver to Bank or file such documents simultaneously with the filing of any such applications or registrations; (iv) upon filing any such applications or registrations, promptly provide Bank with a copy of such applications or registrations together with any exhibits, evidence of the filing of any documents requested by Bank to be filed for Bank to maintain the perfection and priority of its security interest in such intellectual property rights, and the date of such filing.</w:t>
      </w:r>
    </w:p>
    <w:p>
      <w:pPr>
        <w:spacing w:after="0" w:line="170" w:lineRule="exact"/>
        <w:rPr>
          <w:rFonts w:ascii="Arial" w:cs="Arial" w:eastAsia="Arial" w:hAnsi="Arial"/>
          <w:sz w:val="16"/>
          <w:szCs w:val="16"/>
          <w:b w:val="1"/>
          <w:bCs w:val="1"/>
          <w:color w:val="auto"/>
        </w:rPr>
      </w:pPr>
    </w:p>
    <w:p>
      <w:pPr>
        <w:ind w:right="320" w:firstLine="1893"/>
        <w:spacing w:after="0" w:line="289" w:lineRule="auto"/>
        <w:tabs>
          <w:tab w:leader="none" w:pos="2534" w:val="left"/>
        </w:tabs>
        <w:numPr>
          <w:ilvl w:val="0"/>
          <w:numId w:val="634"/>
        </w:numPr>
        <w:rPr>
          <w:rFonts w:ascii="Arial" w:cs="Arial" w:eastAsia="Arial" w:hAnsi="Arial"/>
          <w:sz w:val="17"/>
          <w:szCs w:val="17"/>
          <w:b w:val="1"/>
          <w:bCs w:val="1"/>
          <w:color w:val="auto"/>
        </w:rPr>
      </w:pPr>
      <w:r>
        <w:rPr>
          <w:rFonts w:ascii="Arial" w:cs="Arial" w:eastAsia="Arial" w:hAnsi="Arial"/>
          <w:sz w:val="17"/>
          <w:szCs w:val="17"/>
          <w:color w:val="auto"/>
        </w:rPr>
        <w:t>Borrower shall execute and deliver such additional instruments and documents from time to time as Bank shall reasonably request to perfect and maintain the perfection and priority of Bank’s security interest in the Intellectual Property Collateral.</w:t>
      </w:r>
    </w:p>
    <w:p>
      <w:pPr>
        <w:spacing w:after="0" w:line="158" w:lineRule="exact"/>
        <w:rPr>
          <w:rFonts w:ascii="Arial" w:cs="Arial" w:eastAsia="Arial" w:hAnsi="Arial"/>
          <w:sz w:val="17"/>
          <w:szCs w:val="17"/>
          <w:b w:val="1"/>
          <w:bCs w:val="1"/>
          <w:color w:val="auto"/>
        </w:rPr>
      </w:pPr>
    </w:p>
    <w:p>
      <w:pPr>
        <w:jc w:val="both"/>
        <w:ind w:right="240" w:firstLine="1893"/>
        <w:spacing w:after="0" w:line="268" w:lineRule="auto"/>
        <w:tabs>
          <w:tab w:leader="none" w:pos="2527" w:val="left"/>
        </w:tabs>
        <w:numPr>
          <w:ilvl w:val="0"/>
          <w:numId w:val="634"/>
        </w:numPr>
        <w:rPr>
          <w:rFonts w:ascii="Arial" w:cs="Arial" w:eastAsia="Arial" w:hAnsi="Arial"/>
          <w:sz w:val="17"/>
          <w:szCs w:val="17"/>
          <w:b w:val="1"/>
          <w:bCs w:val="1"/>
          <w:color w:val="auto"/>
        </w:rPr>
      </w:pPr>
      <w:r>
        <w:rPr>
          <w:rFonts w:ascii="Arial" w:cs="Arial" w:eastAsia="Arial" w:hAnsi="Arial"/>
          <w:sz w:val="17"/>
          <w:szCs w:val="17"/>
          <w:color w:val="auto"/>
        </w:rPr>
        <w:t>Borrower shall (i) protect, defend and maintain the validity and enforceability of the trade secrets, Trademarks, Patents and Copyrights, (ii) use commercially reasonable efforts to detect infringements of the Trademarks, Patents and Copyrights and promptly advise Bank in writing of material infringements detected and (iii) not allow any material Trademarks, Patents or Copyrights to be abandoned, forfeited or dedicated to the public without the written consent of Bank, which shall not be unreasonably withheld.</w:t>
      </w:r>
    </w:p>
    <w:p>
      <w:pPr>
        <w:spacing w:after="0" w:line="175" w:lineRule="exact"/>
        <w:rPr>
          <w:rFonts w:ascii="Arial" w:cs="Arial" w:eastAsia="Arial" w:hAnsi="Arial"/>
          <w:sz w:val="17"/>
          <w:szCs w:val="17"/>
          <w:b w:val="1"/>
          <w:bCs w:val="1"/>
          <w:color w:val="auto"/>
        </w:rPr>
      </w:pPr>
    </w:p>
    <w:p>
      <w:pPr>
        <w:ind w:right="100" w:firstLine="1893"/>
        <w:spacing w:after="0" w:line="265" w:lineRule="auto"/>
        <w:tabs>
          <w:tab w:leader="none" w:pos="2521" w:val="left"/>
        </w:tabs>
        <w:numPr>
          <w:ilvl w:val="0"/>
          <w:numId w:val="634"/>
        </w:numPr>
        <w:rPr>
          <w:rFonts w:ascii="Arial" w:cs="Arial" w:eastAsia="Arial" w:hAnsi="Arial"/>
          <w:sz w:val="17"/>
          <w:szCs w:val="17"/>
          <w:b w:val="1"/>
          <w:bCs w:val="1"/>
          <w:color w:val="auto"/>
        </w:rPr>
      </w:pPr>
      <w:r>
        <w:rPr>
          <w:rFonts w:ascii="Arial" w:cs="Arial" w:eastAsia="Arial" w:hAnsi="Arial"/>
          <w:sz w:val="17"/>
          <w:szCs w:val="17"/>
          <w:color w:val="auto"/>
        </w:rPr>
        <w:t>Bank may audit Borrower’s Intellectual Property Collateral to confirm compliance with this Section 6.11, provided such audit may not occur more often than once per year, unless an Event of Default has occurred and is continuing. Bank shall have the right, but not the obligation, to take, at Borrower’s sole expense, any actions that Borrower is required under this Section 6.11 to take but which Borrower fails to take, after 15 days’ notice to Borrower. Borrower shall reimburse and indemnify Bank for all reasonable costs and reasonable expenses incurred in the reasonable exercise of its rights under this Section 6.11.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20" w:firstLine="1259"/>
        <w:spacing w:after="0" w:line="330" w:lineRule="auto"/>
        <w:rPr>
          <w:sz w:val="20"/>
          <w:szCs w:val="20"/>
          <w:color w:val="auto"/>
        </w:rPr>
      </w:pPr>
      <w:r>
        <w:rPr>
          <w:rFonts w:ascii="Arial" w:cs="Arial" w:eastAsia="Arial" w:hAnsi="Arial"/>
          <w:sz w:val="16"/>
          <w:szCs w:val="16"/>
          <w:b w:val="1"/>
          <w:bCs w:val="1"/>
          <w:color w:val="auto"/>
        </w:rPr>
        <w:t>6.12 Global Technology Inc</w:t>
      </w:r>
      <w:r>
        <w:rPr>
          <w:rFonts w:ascii="Arial" w:cs="Arial" w:eastAsia="Arial" w:hAnsi="Arial"/>
          <w:sz w:val="16"/>
          <w:szCs w:val="16"/>
          <w:color w:val="auto"/>
        </w:rPr>
        <w:t>. Borrower shall cause Prime World International Holdings, Ltd. to execute and deliver such instruments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take such action as may reasonably be requested by Bank to effectuate the perfection of Bank’s security interest in the capital stock of Global Technology Inc.</w:t>
      </w:r>
    </w:p>
    <w:p>
      <w:pPr>
        <w:spacing w:after="0" w:line="123" w:lineRule="exact"/>
        <w:rPr>
          <w:sz w:val="20"/>
          <w:szCs w:val="20"/>
          <w:color w:val="auto"/>
        </w:rPr>
      </w:pPr>
    </w:p>
    <w:p>
      <w:pPr>
        <w:ind w:right="300" w:firstLine="1259"/>
        <w:spacing w:after="0" w:line="297" w:lineRule="auto"/>
        <w:rPr>
          <w:sz w:val="20"/>
          <w:szCs w:val="20"/>
          <w:color w:val="auto"/>
        </w:rPr>
      </w:pPr>
      <w:r>
        <w:rPr>
          <w:rFonts w:ascii="Arial" w:cs="Arial" w:eastAsia="Arial" w:hAnsi="Arial"/>
          <w:sz w:val="17"/>
          <w:szCs w:val="17"/>
          <w:b w:val="1"/>
          <w:bCs w:val="1"/>
          <w:color w:val="auto"/>
        </w:rPr>
        <w:t>6.13 Further Assurances</w:t>
      </w:r>
      <w:r>
        <w:rPr>
          <w:rFonts w:ascii="Arial" w:cs="Arial" w:eastAsia="Arial" w:hAnsi="Arial"/>
          <w:sz w:val="17"/>
          <w:szCs w:val="17"/>
          <w:color w:val="auto"/>
        </w:rPr>
        <w:t>. At any time and from time to time Borrower shall execute and deliver such further instruments and take such</w:t>
      </w:r>
      <w:r>
        <w:rPr>
          <w:rFonts w:ascii="Arial" w:cs="Arial" w:eastAsia="Arial" w:hAnsi="Arial"/>
          <w:sz w:val="17"/>
          <w:szCs w:val="17"/>
          <w:b w:val="1"/>
          <w:bCs w:val="1"/>
          <w:color w:val="auto"/>
        </w:rPr>
        <w:t xml:space="preserve"> </w:t>
      </w:r>
      <w:r>
        <w:rPr>
          <w:rFonts w:ascii="Arial" w:cs="Arial" w:eastAsia="Arial" w:hAnsi="Arial"/>
          <w:sz w:val="17"/>
          <w:szCs w:val="17"/>
          <w:color w:val="auto"/>
        </w:rPr>
        <w:t>further action as may reasonably be requested by Bank to effect the purposes of this Agreement.</w:t>
      </w:r>
    </w:p>
    <w:p>
      <w:pPr>
        <w:spacing w:after="0" w:line="145" w:lineRule="exact"/>
        <w:rPr>
          <w:sz w:val="20"/>
          <w:szCs w:val="20"/>
          <w:color w:val="auto"/>
        </w:rPr>
      </w:pPr>
    </w:p>
    <w:p>
      <w:pPr>
        <w:ind w:left="640" w:right="7800" w:hanging="6"/>
        <w:spacing w:after="0" w:line="547" w:lineRule="auto"/>
        <w:tabs>
          <w:tab w:leader="none" w:pos="1269" w:val="left"/>
        </w:tabs>
        <w:numPr>
          <w:ilvl w:val="0"/>
          <w:numId w:val="635"/>
        </w:numPr>
        <w:rPr>
          <w:rFonts w:ascii="Arial" w:cs="Arial" w:eastAsia="Arial" w:hAnsi="Arial"/>
          <w:sz w:val="16"/>
          <w:szCs w:val="16"/>
          <w:b w:val="1"/>
          <w:bCs w:val="1"/>
          <w:color w:val="auto"/>
        </w:rPr>
      </w:pPr>
      <w:r>
        <w:rPr>
          <w:rFonts w:ascii="Arial" w:cs="Arial" w:eastAsia="Arial" w:hAnsi="Arial"/>
          <w:sz w:val="16"/>
          <w:szCs w:val="16"/>
          <w:b w:val="1"/>
          <w:bCs w:val="1"/>
          <w:color w:val="auto"/>
        </w:rPr>
        <w:t>NEGATIVE COVENANTS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will not do any of the following:</w:t>
      </w:r>
    </w:p>
    <w:p>
      <w:pPr>
        <w:ind w:right="500" w:firstLine="1259"/>
        <w:spacing w:after="0" w:line="297" w:lineRule="auto"/>
        <w:rPr>
          <w:sz w:val="20"/>
          <w:szCs w:val="20"/>
          <w:color w:val="auto"/>
        </w:rPr>
      </w:pPr>
      <w:r>
        <w:rPr>
          <w:rFonts w:ascii="Arial" w:cs="Arial" w:eastAsia="Arial" w:hAnsi="Arial"/>
          <w:sz w:val="17"/>
          <w:szCs w:val="17"/>
          <w:b w:val="1"/>
          <w:bCs w:val="1"/>
          <w:color w:val="auto"/>
        </w:rPr>
        <w:t>7.1 Dispositions</w:t>
      </w:r>
      <w:r>
        <w:rPr>
          <w:rFonts w:ascii="Arial" w:cs="Arial" w:eastAsia="Arial" w:hAnsi="Arial"/>
          <w:sz w:val="17"/>
          <w:szCs w:val="17"/>
          <w:color w:val="auto"/>
        </w:rPr>
        <w:t>. Convey, sell, lease, transfer or otherwise dispose of (collectively, a “Transfer”), or permit any of its Subsidiaries to</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all or any part of its business, assets or property, other than Transfers in the ordinary course of business.</w:t>
      </w:r>
    </w:p>
    <w:p>
      <w:pPr>
        <w:spacing w:after="0" w:line="145" w:lineRule="exact"/>
        <w:rPr>
          <w:sz w:val="20"/>
          <w:szCs w:val="20"/>
          <w:color w:val="auto"/>
        </w:rPr>
      </w:pPr>
    </w:p>
    <w:p>
      <w:pPr>
        <w:ind w:right="20" w:firstLine="1259"/>
        <w:spacing w:after="0" w:line="270" w:lineRule="auto"/>
        <w:rPr>
          <w:sz w:val="20"/>
          <w:szCs w:val="20"/>
          <w:color w:val="auto"/>
        </w:rPr>
      </w:pPr>
      <w:r>
        <w:rPr>
          <w:rFonts w:ascii="Arial" w:cs="Arial" w:eastAsia="Arial" w:hAnsi="Arial"/>
          <w:sz w:val="17"/>
          <w:szCs w:val="17"/>
          <w:b w:val="1"/>
          <w:bCs w:val="1"/>
          <w:color w:val="auto"/>
        </w:rPr>
        <w:t>7.2 Change in Name or Executive Management; Change in Business; Change in Fiscal Year; Change in Control</w:t>
      </w:r>
      <w:r>
        <w:rPr>
          <w:rFonts w:ascii="Arial" w:cs="Arial" w:eastAsia="Arial" w:hAnsi="Arial"/>
          <w:sz w:val="17"/>
          <w:szCs w:val="17"/>
          <w:color w:val="auto"/>
        </w:rPr>
        <w:t>. Change its name</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30 days prior written notification to Bank; terminate or replace its chief executive officer or chief financial officer or other executive level officer without prior written approval of Bank; engage in any business, or permit any of its Subsidiaries to engage in any business, other than or reasonably related or incidental to the businesses currently engaged in by Borrower; change its fiscal year end; or have a Change in Control.</w:t>
      </w:r>
    </w:p>
    <w:p>
      <w:pPr>
        <w:spacing w:after="0" w:line="169" w:lineRule="exact"/>
        <w:rPr>
          <w:sz w:val="20"/>
          <w:szCs w:val="20"/>
          <w:color w:val="auto"/>
        </w:rPr>
      </w:pPr>
    </w:p>
    <w:p>
      <w:pPr>
        <w:ind w:right="160" w:firstLine="1259"/>
        <w:spacing w:after="0" w:line="265" w:lineRule="auto"/>
        <w:rPr>
          <w:sz w:val="20"/>
          <w:szCs w:val="20"/>
          <w:color w:val="auto"/>
        </w:rPr>
      </w:pPr>
      <w:r>
        <w:rPr>
          <w:rFonts w:ascii="Arial" w:cs="Arial" w:eastAsia="Arial" w:hAnsi="Arial"/>
          <w:sz w:val="17"/>
          <w:szCs w:val="17"/>
          <w:b w:val="1"/>
          <w:bCs w:val="1"/>
          <w:color w:val="auto"/>
        </w:rPr>
        <w:t>7.3 Mergers or Acquisitions</w:t>
      </w:r>
      <w:r>
        <w:rPr>
          <w:rFonts w:ascii="Arial" w:cs="Arial" w:eastAsia="Arial" w:hAnsi="Arial"/>
          <w:sz w:val="17"/>
          <w:szCs w:val="17"/>
          <w:color w:val="auto"/>
        </w:rPr>
        <w:t>. With prior written consent of Bank, which consent shall not be unreasonably withheld, merge or</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 or permit any of its Subsidiaries to merge or consolidate, with or into any other business organization (other than mergers or consolidations of a Subsidiary into another Subsidiary or into any Borrower), or acquire, or permit any of its Subsidiaries to acquire, all or substantially all of the capital stock or property of another Person except where (i) such transactions do not in the aggregate exceed the payment of any amount or the incurrence of any liability greater than $250,000 during any fiscal year, (ii) no Event of Default has occurred, is continuing or would exist after giving effect to such transactions, (iii) such transactions do not result in a Change in Control, and (iv) Borrower is the surviving entity.</w:t>
      </w:r>
    </w:p>
    <w:p>
      <w:pPr>
        <w:spacing w:after="0" w:line="173" w:lineRule="exact"/>
        <w:rPr>
          <w:sz w:val="20"/>
          <w:szCs w:val="20"/>
          <w:color w:val="auto"/>
        </w:rPr>
      </w:pPr>
    </w:p>
    <w:p>
      <w:pPr>
        <w:ind w:right="80" w:firstLine="1259"/>
        <w:spacing w:after="0" w:line="277" w:lineRule="auto"/>
        <w:rPr>
          <w:sz w:val="20"/>
          <w:szCs w:val="20"/>
          <w:color w:val="auto"/>
        </w:rPr>
      </w:pPr>
      <w:r>
        <w:rPr>
          <w:rFonts w:ascii="Arial" w:cs="Arial" w:eastAsia="Arial" w:hAnsi="Arial"/>
          <w:sz w:val="17"/>
          <w:szCs w:val="17"/>
          <w:b w:val="1"/>
          <w:bCs w:val="1"/>
          <w:color w:val="auto"/>
        </w:rPr>
        <w:t>7.4 Indebtedness</w:t>
      </w:r>
      <w:r>
        <w:rPr>
          <w:rFonts w:ascii="Arial" w:cs="Arial" w:eastAsia="Arial" w:hAnsi="Arial"/>
          <w:sz w:val="17"/>
          <w:szCs w:val="17"/>
          <w:color w:val="auto"/>
        </w:rPr>
        <w:t>. Create, incur, assume, guarantee or be or remain liable with respect to any Indebtedness, or permit any Subsidiary so to</w:t>
      </w:r>
      <w:r>
        <w:rPr>
          <w:rFonts w:ascii="Arial" w:cs="Arial" w:eastAsia="Arial" w:hAnsi="Arial"/>
          <w:sz w:val="17"/>
          <w:szCs w:val="17"/>
          <w:b w:val="1"/>
          <w:bCs w:val="1"/>
          <w:color w:val="auto"/>
        </w:rPr>
        <w:t xml:space="preserve"> </w:t>
      </w:r>
      <w:r>
        <w:rPr>
          <w:rFonts w:ascii="Arial" w:cs="Arial" w:eastAsia="Arial" w:hAnsi="Arial"/>
          <w:sz w:val="17"/>
          <w:szCs w:val="17"/>
          <w:color w:val="auto"/>
        </w:rPr>
        <w:t>do, other than Permitted Indebtedness, or prepay any Indebtedness or take any actions which impose on any Borrower an obligation to prepay any Indebtedness, except Indebtedness to Bank.</w:t>
      </w:r>
    </w:p>
    <w:p>
      <w:pPr>
        <w:spacing w:after="0" w:line="162" w:lineRule="exact"/>
        <w:rPr>
          <w:sz w:val="20"/>
          <w:szCs w:val="20"/>
          <w:color w:val="auto"/>
        </w:rPr>
      </w:pPr>
    </w:p>
    <w:p>
      <w:pPr>
        <w:ind w:right="60" w:firstLine="1259"/>
        <w:spacing w:after="0" w:line="270" w:lineRule="auto"/>
        <w:rPr>
          <w:sz w:val="20"/>
          <w:szCs w:val="20"/>
          <w:color w:val="auto"/>
        </w:rPr>
      </w:pPr>
      <w:r>
        <w:rPr>
          <w:rFonts w:ascii="Arial" w:cs="Arial" w:eastAsia="Arial" w:hAnsi="Arial"/>
          <w:sz w:val="17"/>
          <w:szCs w:val="17"/>
          <w:b w:val="1"/>
          <w:bCs w:val="1"/>
          <w:color w:val="auto"/>
        </w:rPr>
        <w:t>7.5 Encumbrances</w:t>
      </w:r>
      <w:r>
        <w:rPr>
          <w:rFonts w:ascii="Arial" w:cs="Arial" w:eastAsia="Arial" w:hAnsi="Arial"/>
          <w:sz w:val="17"/>
          <w:szCs w:val="17"/>
          <w:color w:val="auto"/>
        </w:rPr>
        <w:t>. Create, incur, assume or suffer to exist any Lien with respect to any of its property, or assign or otherwise convey any</w:t>
      </w:r>
      <w:r>
        <w:rPr>
          <w:rFonts w:ascii="Arial" w:cs="Arial" w:eastAsia="Arial" w:hAnsi="Arial"/>
          <w:sz w:val="17"/>
          <w:szCs w:val="17"/>
          <w:b w:val="1"/>
          <w:bCs w:val="1"/>
          <w:color w:val="auto"/>
        </w:rPr>
        <w:t xml:space="preserve"> </w:t>
      </w:r>
      <w:r>
        <w:rPr>
          <w:rFonts w:ascii="Arial" w:cs="Arial" w:eastAsia="Arial" w:hAnsi="Arial"/>
          <w:sz w:val="17"/>
          <w:szCs w:val="17"/>
          <w:color w:val="auto"/>
        </w:rPr>
        <w:t>right to receive income, including the sale of any Accounts, or permit any of its Subsidiaries so to do, except for Permitted Liens, or enter into any agreement with any Person other than Bank that prohibits or otherwise restricts Borrower from encumbering any of its property other than restrictions in equipment leases or equipment financing documents on Liens on the specific equipment being leased or financed.</w:t>
      </w:r>
    </w:p>
    <w:p>
      <w:pPr>
        <w:spacing w:after="0" w:line="169" w:lineRule="exact"/>
        <w:rPr>
          <w:sz w:val="20"/>
          <w:szCs w:val="20"/>
          <w:color w:val="auto"/>
        </w:rPr>
      </w:pPr>
    </w:p>
    <w:p>
      <w:pPr>
        <w:ind w:right="100" w:firstLine="1259"/>
        <w:spacing w:after="0" w:line="330" w:lineRule="auto"/>
        <w:rPr>
          <w:sz w:val="20"/>
          <w:szCs w:val="20"/>
          <w:color w:val="auto"/>
        </w:rPr>
      </w:pPr>
      <w:r>
        <w:rPr>
          <w:rFonts w:ascii="Arial" w:cs="Arial" w:eastAsia="Arial" w:hAnsi="Arial"/>
          <w:sz w:val="16"/>
          <w:szCs w:val="16"/>
          <w:b w:val="1"/>
          <w:bCs w:val="1"/>
          <w:color w:val="auto"/>
        </w:rPr>
        <w:t xml:space="preserve">7.6 Distributions. </w:t>
      </w:r>
      <w:r>
        <w:rPr>
          <w:rFonts w:ascii="Arial" w:cs="Arial" w:eastAsia="Arial" w:hAnsi="Arial"/>
          <w:sz w:val="16"/>
          <w:szCs w:val="16"/>
          <w:color w:val="auto"/>
        </w:rPr>
        <w:t>Pay any dividends or make any other distribution or payment on account of or in redemption, retirement or purchase of</w:t>
      </w:r>
      <w:r>
        <w:rPr>
          <w:rFonts w:ascii="Arial" w:cs="Arial" w:eastAsia="Arial" w:hAnsi="Arial"/>
          <w:sz w:val="16"/>
          <w:szCs w:val="16"/>
          <w:b w:val="1"/>
          <w:bCs w:val="1"/>
          <w:color w:val="auto"/>
        </w:rPr>
        <w:t xml:space="preserve"> </w:t>
      </w:r>
      <w:r>
        <w:rPr>
          <w:rFonts w:ascii="Arial" w:cs="Arial" w:eastAsia="Arial" w:hAnsi="Arial"/>
          <w:sz w:val="16"/>
          <w:szCs w:val="16"/>
          <w:color w:val="auto"/>
        </w:rPr>
        <w:t>any capital stock, except that Borrower may repurchase the stock of employees or former employees pursuant to stock repurchase agreements as long as an Event</w:t>
      </w:r>
    </w:p>
    <w:p>
      <w:pPr>
        <w:sectPr>
          <w:pgSz w:w="11900" w:h="16838" w:orient="portrait"/>
          <w:cols w:equalWidth="0" w:num="1">
            <w:col w:w="11420"/>
          </w:cols>
          <w:pgMar w:left="240" w:top="127" w:right="239" w:bottom="0" w:gutter="0" w:footer="0" w:header="0"/>
        </w:sectPr>
      </w:pPr>
    </w:p>
    <w:bookmarkStart w:id="394" w:name="page395"/>
    <w:bookmarkEnd w:id="394"/>
    <w:p>
      <w:pPr>
        <w:spacing w:after="0"/>
        <w:rPr>
          <w:sz w:val="20"/>
          <w:szCs w:val="20"/>
          <w:color w:val="auto"/>
        </w:rPr>
      </w:pPr>
      <w:r>
        <w:rPr>
          <w:rFonts w:ascii="Arial" w:cs="Arial" w:eastAsia="Arial" w:hAnsi="Arial"/>
          <w:sz w:val="17"/>
          <w:szCs w:val="17"/>
          <w:color w:val="auto"/>
        </w:rPr>
        <w:t>of Default does not exist prior to such repurchase or would not exist after giving effect to such repurchase without the consent of Bank.</w:t>
      </w:r>
    </w:p>
    <w:p>
      <w:pPr>
        <w:spacing w:after="0" w:line="218" w:lineRule="exact"/>
        <w:rPr>
          <w:sz w:val="20"/>
          <w:szCs w:val="20"/>
          <w:color w:val="auto"/>
        </w:rPr>
      </w:pPr>
    </w:p>
    <w:p>
      <w:pPr>
        <w:ind w:right="100" w:firstLine="1259"/>
        <w:spacing w:after="0" w:line="297" w:lineRule="auto"/>
        <w:rPr>
          <w:sz w:val="20"/>
          <w:szCs w:val="20"/>
          <w:color w:val="auto"/>
        </w:rPr>
      </w:pPr>
      <w:r>
        <w:rPr>
          <w:rFonts w:ascii="Arial" w:cs="Arial" w:eastAsia="Arial" w:hAnsi="Arial"/>
          <w:sz w:val="17"/>
          <w:szCs w:val="17"/>
          <w:b w:val="1"/>
          <w:bCs w:val="1"/>
          <w:color w:val="auto"/>
        </w:rPr>
        <w:t xml:space="preserve">7.7 Investments. </w:t>
      </w:r>
      <w:r>
        <w:rPr>
          <w:rFonts w:ascii="Arial" w:cs="Arial" w:eastAsia="Arial" w:hAnsi="Arial"/>
          <w:sz w:val="17"/>
          <w:szCs w:val="17"/>
          <w:color w:val="auto"/>
        </w:rPr>
        <w:t>Directly or indirectly acquire or own, or make any Investment in or to any Person, or permit any of its Subsidiaries so to</w:t>
      </w:r>
      <w:r>
        <w:rPr>
          <w:rFonts w:ascii="Arial" w:cs="Arial" w:eastAsia="Arial" w:hAnsi="Arial"/>
          <w:sz w:val="17"/>
          <w:szCs w:val="17"/>
          <w:b w:val="1"/>
          <w:bCs w:val="1"/>
          <w:color w:val="auto"/>
        </w:rPr>
        <w:t xml:space="preserve"> </w:t>
      </w:r>
      <w:r>
        <w:rPr>
          <w:rFonts w:ascii="Arial" w:cs="Arial" w:eastAsia="Arial" w:hAnsi="Arial"/>
          <w:sz w:val="17"/>
          <w:szCs w:val="17"/>
          <w:color w:val="auto"/>
        </w:rPr>
        <w:t>do, other than Permitted Investments.</w:t>
      </w:r>
    </w:p>
    <w:p>
      <w:pPr>
        <w:spacing w:after="0" w:line="145" w:lineRule="exact"/>
        <w:rPr>
          <w:sz w:val="20"/>
          <w:szCs w:val="20"/>
          <w:color w:val="auto"/>
        </w:rPr>
      </w:pPr>
    </w:p>
    <w:p>
      <w:pPr>
        <w:ind w:right="20" w:firstLine="1259"/>
        <w:spacing w:after="0" w:line="277" w:lineRule="auto"/>
        <w:rPr>
          <w:sz w:val="20"/>
          <w:szCs w:val="20"/>
          <w:color w:val="auto"/>
        </w:rPr>
      </w:pPr>
      <w:r>
        <w:rPr>
          <w:rFonts w:ascii="Arial" w:cs="Arial" w:eastAsia="Arial" w:hAnsi="Arial"/>
          <w:sz w:val="17"/>
          <w:szCs w:val="17"/>
          <w:b w:val="1"/>
          <w:bCs w:val="1"/>
          <w:color w:val="auto"/>
        </w:rPr>
        <w:t>7.8 Transactions with Affiliates</w:t>
      </w:r>
      <w:r>
        <w:rPr>
          <w:rFonts w:ascii="Arial" w:cs="Arial" w:eastAsia="Arial" w:hAnsi="Arial"/>
          <w:sz w:val="17"/>
          <w:szCs w:val="17"/>
          <w:color w:val="auto"/>
        </w:rPr>
        <w:t>. Except as set forth in the Schedule, directly or indirectly enter into or permit to exist any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with any Affiliate of Borrower except for transactions that are in the ordinary course of Borrower’s business, upon fair and reasonable terms that are no less favorable to Borrower than would be obtained in an arm’s length transaction with a non-affiliated Person.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80" w:firstLine="1259"/>
        <w:spacing w:after="0" w:line="277" w:lineRule="auto"/>
        <w:rPr>
          <w:sz w:val="20"/>
          <w:szCs w:val="20"/>
          <w:color w:val="auto"/>
        </w:rPr>
      </w:pPr>
      <w:r>
        <w:rPr>
          <w:rFonts w:ascii="Arial" w:cs="Arial" w:eastAsia="Arial" w:hAnsi="Arial"/>
          <w:sz w:val="17"/>
          <w:szCs w:val="17"/>
          <w:b w:val="1"/>
          <w:bCs w:val="1"/>
          <w:color w:val="auto"/>
        </w:rPr>
        <w:t>7.9 Subordinated Debt</w:t>
      </w:r>
      <w:r>
        <w:rPr>
          <w:rFonts w:ascii="Arial" w:cs="Arial" w:eastAsia="Arial" w:hAnsi="Arial"/>
          <w:sz w:val="17"/>
          <w:szCs w:val="17"/>
          <w:color w:val="auto"/>
        </w:rPr>
        <w:t>. Make any payment in respect of any Subordinated Debt, or permit any of its Subsidiaries to make any such</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except in compliance with the terms of such Subordinated Debt, or amend any provision contained in any documentation relating to the Subordinated Debt without Bank’s prior written consent.</w:t>
      </w:r>
    </w:p>
    <w:p>
      <w:pPr>
        <w:spacing w:after="0" w:line="162" w:lineRule="exact"/>
        <w:rPr>
          <w:sz w:val="20"/>
          <w:szCs w:val="20"/>
          <w:color w:val="auto"/>
        </w:rPr>
      </w:pPr>
    </w:p>
    <w:p>
      <w:pPr>
        <w:ind w:right="20" w:firstLine="1259"/>
        <w:spacing w:after="0" w:line="267" w:lineRule="auto"/>
        <w:rPr>
          <w:sz w:val="20"/>
          <w:szCs w:val="20"/>
          <w:color w:val="auto"/>
        </w:rPr>
      </w:pPr>
      <w:r>
        <w:rPr>
          <w:rFonts w:ascii="Arial" w:cs="Arial" w:eastAsia="Arial" w:hAnsi="Arial"/>
          <w:sz w:val="17"/>
          <w:szCs w:val="17"/>
          <w:b w:val="1"/>
          <w:bCs w:val="1"/>
          <w:color w:val="auto"/>
        </w:rPr>
        <w:t>7.10 Inventory and Equipment</w:t>
      </w:r>
      <w:r>
        <w:rPr>
          <w:rFonts w:ascii="Arial" w:cs="Arial" w:eastAsia="Arial" w:hAnsi="Arial"/>
          <w:sz w:val="17"/>
          <w:szCs w:val="17"/>
          <w:color w:val="auto"/>
        </w:rPr>
        <w:t>. Store the Eligible Inventory with a bailee, warehouseman, or similar party (for the avoidance of doubt,</w:t>
      </w:r>
      <w:r>
        <w:rPr>
          <w:rFonts w:ascii="Arial" w:cs="Arial" w:eastAsia="Arial" w:hAnsi="Arial"/>
          <w:sz w:val="17"/>
          <w:szCs w:val="17"/>
          <w:b w:val="1"/>
          <w:bCs w:val="1"/>
          <w:color w:val="auto"/>
        </w:rPr>
        <w:t xml:space="preserve"> </w:t>
      </w:r>
      <w:r>
        <w:rPr>
          <w:rFonts w:ascii="Arial" w:cs="Arial" w:eastAsia="Arial" w:hAnsi="Arial"/>
          <w:sz w:val="17"/>
          <w:szCs w:val="17"/>
          <w:color w:val="auto"/>
        </w:rPr>
        <w:t>such “similar party” shall not include a landlord) unless Bank has received a pledge of the warehouse receipt covering such Inventory. Except for Inventory sold in the ordinary course of business and except for such other locations as Borrower may determine is reasonably necessary for the conduct of its business, Borrower shall keep the Eligible Inventory only at the location set forth in Section 10 hereof, the locations set forth in the Schedule and such other locations of which Borrower give Bank prior notice.</w:t>
      </w:r>
    </w:p>
    <w:p>
      <w:pPr>
        <w:spacing w:after="0" w:line="171" w:lineRule="exact"/>
        <w:rPr>
          <w:sz w:val="20"/>
          <w:szCs w:val="20"/>
          <w:color w:val="auto"/>
        </w:rPr>
      </w:pPr>
    </w:p>
    <w:p>
      <w:pPr>
        <w:ind w:right="160" w:firstLine="1259"/>
        <w:spacing w:after="0" w:line="285" w:lineRule="auto"/>
        <w:rPr>
          <w:sz w:val="20"/>
          <w:szCs w:val="20"/>
          <w:color w:val="auto"/>
        </w:rPr>
      </w:pPr>
      <w:r>
        <w:rPr>
          <w:rFonts w:ascii="Arial" w:cs="Arial" w:eastAsia="Arial" w:hAnsi="Arial"/>
          <w:sz w:val="16"/>
          <w:szCs w:val="16"/>
          <w:b w:val="1"/>
          <w:bCs w:val="1"/>
          <w:color w:val="auto"/>
        </w:rPr>
        <w:t xml:space="preserve">7.11 Compliance. </w:t>
      </w:r>
      <w:r>
        <w:rPr>
          <w:rFonts w:ascii="Arial" w:cs="Arial" w:eastAsia="Arial" w:hAnsi="Arial"/>
          <w:sz w:val="16"/>
          <w:szCs w:val="16"/>
          <w:color w:val="auto"/>
        </w:rPr>
        <w:t>Become an “investment company” or be controlled by an “investment company,” within the meaning of the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Act of 1940, or become principally engaged in, or undertake as one of its important activities, the business of extending credit for the purpose of purchasing or carrying margin stock, or use the proceeds of any Credit Extension for such purpose, or fail to meet the minimum funding requirements of ERISA, permit a Reportable Event or Prohibited Transaction, as defined in ERISA, to occur, fail to comply in any material respect with the Federal Fair Labor Standards Act or violate any law or regulation, which violation is reasonably likely to have a Material Adverse Effect, or a material adverse effect on the Collateral or the priority of Bank’s Lien on the Collateral, or permit any of its Subsidiaries to do any of the foregoing.</w:t>
      </w:r>
    </w:p>
    <w:p>
      <w:pPr>
        <w:spacing w:after="0" w:line="157" w:lineRule="exact"/>
        <w:rPr>
          <w:sz w:val="20"/>
          <w:szCs w:val="20"/>
          <w:color w:val="auto"/>
        </w:rPr>
      </w:pPr>
    </w:p>
    <w:p>
      <w:pPr>
        <w:ind w:left="1260" w:hanging="626"/>
        <w:spacing w:after="0"/>
        <w:tabs>
          <w:tab w:leader="none" w:pos="1260" w:val="left"/>
        </w:tabs>
        <w:numPr>
          <w:ilvl w:val="0"/>
          <w:numId w:val="636"/>
        </w:numPr>
        <w:rPr>
          <w:rFonts w:ascii="Arial" w:cs="Arial" w:eastAsia="Arial" w:hAnsi="Arial"/>
          <w:sz w:val="17"/>
          <w:szCs w:val="17"/>
          <w:b w:val="1"/>
          <w:bCs w:val="1"/>
          <w:color w:val="auto"/>
        </w:rPr>
      </w:pPr>
      <w:r>
        <w:rPr>
          <w:rFonts w:ascii="Arial" w:cs="Arial" w:eastAsia="Arial" w:hAnsi="Arial"/>
          <w:sz w:val="17"/>
          <w:szCs w:val="17"/>
          <w:b w:val="1"/>
          <w:bCs w:val="1"/>
          <w:color w:val="auto"/>
        </w:rPr>
        <w:t>EVENTS OF DEFAULT</w:t>
      </w:r>
      <w:r>
        <w:rPr>
          <w:rFonts w:ascii="Arial" w:cs="Arial" w:eastAsia="Arial" w:hAnsi="Arial"/>
          <w:sz w:val="17"/>
          <w:szCs w:val="17"/>
          <w:color w:val="auto"/>
        </w:rPr>
        <w:t>.</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Any one or more of the following events shall constitute an Event of Default by Borrower under this Agreement:</w:t>
      </w:r>
    </w:p>
    <w:p>
      <w:pPr>
        <w:spacing w:after="0" w:line="218"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b w:val="1"/>
          <w:bCs w:val="1"/>
          <w:color w:val="auto"/>
        </w:rPr>
        <w:t>8.1</w:t>
      </w:r>
      <w:r>
        <w:rPr>
          <w:sz w:val="20"/>
          <w:szCs w:val="20"/>
          <w:color w:val="auto"/>
        </w:rPr>
        <w:tab/>
      </w:r>
      <w:r>
        <w:rPr>
          <w:rFonts w:ascii="Arial" w:cs="Arial" w:eastAsia="Arial" w:hAnsi="Arial"/>
          <w:sz w:val="16"/>
          <w:szCs w:val="16"/>
          <w:b w:val="1"/>
          <w:bCs w:val="1"/>
          <w:color w:val="auto"/>
        </w:rPr>
        <w:t>Payment Default</w:t>
      </w:r>
      <w:r>
        <w:rPr>
          <w:rFonts w:ascii="Arial" w:cs="Arial" w:eastAsia="Arial" w:hAnsi="Arial"/>
          <w:sz w:val="16"/>
          <w:szCs w:val="16"/>
          <w:color w:val="auto"/>
        </w:rPr>
        <w:t>. If Borrower fails to pay any of the Obligations when due;</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b w:val="1"/>
          <w:bCs w:val="1"/>
          <w:color w:val="auto"/>
        </w:rPr>
        <w:t>8.2</w:t>
      </w:r>
      <w:r>
        <w:rPr>
          <w:sz w:val="20"/>
          <w:szCs w:val="20"/>
          <w:color w:val="auto"/>
        </w:rPr>
        <w:tab/>
      </w:r>
      <w:r>
        <w:rPr>
          <w:rFonts w:ascii="Arial" w:cs="Arial" w:eastAsia="Arial" w:hAnsi="Arial"/>
          <w:sz w:val="15"/>
          <w:szCs w:val="15"/>
          <w:b w:val="1"/>
          <w:bCs w:val="1"/>
          <w:color w:val="auto"/>
        </w:rPr>
        <w:t>Covenant Default</w:t>
      </w:r>
      <w:r>
        <w:rPr>
          <w:rFonts w:ascii="Arial" w:cs="Arial" w:eastAsia="Arial" w:hAnsi="Arial"/>
          <w:sz w:val="15"/>
          <w:szCs w:val="15"/>
          <w:color w:val="auto"/>
        </w:rPr>
        <w:t>.</w:t>
      </w:r>
    </w:p>
    <w:p>
      <w:pPr>
        <w:spacing w:after="0" w:line="230" w:lineRule="exact"/>
        <w:rPr>
          <w:sz w:val="20"/>
          <w:szCs w:val="20"/>
          <w:color w:val="auto"/>
        </w:rPr>
      </w:pPr>
    </w:p>
    <w:p>
      <w:pPr>
        <w:ind w:left="2520" w:hanging="627"/>
        <w:spacing w:after="0"/>
        <w:tabs>
          <w:tab w:leader="none" w:pos="2520" w:val="left"/>
        </w:tabs>
        <w:numPr>
          <w:ilvl w:val="0"/>
          <w:numId w:val="637"/>
        </w:numPr>
        <w:rPr>
          <w:rFonts w:ascii="Arial" w:cs="Arial" w:eastAsia="Arial" w:hAnsi="Arial"/>
          <w:sz w:val="17"/>
          <w:szCs w:val="17"/>
          <w:b w:val="1"/>
          <w:bCs w:val="1"/>
          <w:color w:val="auto"/>
        </w:rPr>
      </w:pPr>
      <w:r>
        <w:rPr>
          <w:rFonts w:ascii="Arial" w:cs="Arial" w:eastAsia="Arial" w:hAnsi="Arial"/>
          <w:sz w:val="17"/>
          <w:szCs w:val="17"/>
          <w:color w:val="auto"/>
        </w:rPr>
        <w:t>If Borrower fails to perform any obligation under Article 6 or violates any of the covenants contained in Article 7 of this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Agreement; or</w:t>
      </w:r>
    </w:p>
    <w:p>
      <w:pPr>
        <w:spacing w:after="0" w:line="212" w:lineRule="exact"/>
        <w:rPr>
          <w:sz w:val="20"/>
          <w:szCs w:val="20"/>
          <w:color w:val="auto"/>
        </w:rPr>
      </w:pPr>
    </w:p>
    <w:p>
      <w:pPr>
        <w:ind w:right="40" w:firstLine="1893"/>
        <w:spacing w:after="0" w:line="262" w:lineRule="auto"/>
        <w:tabs>
          <w:tab w:leader="none" w:pos="2534" w:val="left"/>
        </w:tabs>
        <w:numPr>
          <w:ilvl w:val="0"/>
          <w:numId w:val="638"/>
        </w:numPr>
        <w:rPr>
          <w:rFonts w:ascii="Arial" w:cs="Arial" w:eastAsia="Arial" w:hAnsi="Arial"/>
          <w:sz w:val="17"/>
          <w:szCs w:val="17"/>
          <w:b w:val="1"/>
          <w:bCs w:val="1"/>
          <w:color w:val="auto"/>
        </w:rPr>
      </w:pPr>
      <w:r>
        <w:rPr>
          <w:rFonts w:ascii="Arial" w:cs="Arial" w:eastAsia="Arial" w:hAnsi="Arial"/>
          <w:sz w:val="17"/>
          <w:szCs w:val="17"/>
          <w:color w:val="auto"/>
        </w:rPr>
        <w:t>If Borrower fails or neglects to perform or observe any other material term, provision, condition, covenant contained in this Agreement, in any of the Loan Documents, or in any other present or future agreement between Borrower and Bank and as to any default under such other term, provision, condition or covenant that can be cured, has failed to cure such default within 10 days after Borrower receives notice thereof or any officer of Borrower becomes aware thereof; provided, however, that if the default cannot by its nature be cured within the 10 day period or cannot after diligent attempts by Borrower be cured within such 10 day period, and such default is likely to be cured within a reasonable time, then Borrower shall have an additional reasonable period (which shall not in any case exceed 30 days) to attempt to cure such default, and within such reasonable time period the failure to have cured such default shall not be deemed an Event of Default but no Credit Extensions will be made;</w:t>
      </w:r>
    </w:p>
    <w:p>
      <w:pPr>
        <w:spacing w:after="0" w:line="178"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b w:val="1"/>
          <w:bCs w:val="1"/>
          <w:color w:val="auto"/>
        </w:rPr>
        <w:t>8.3</w:t>
      </w:r>
      <w:r>
        <w:rPr>
          <w:sz w:val="20"/>
          <w:szCs w:val="20"/>
          <w:color w:val="auto"/>
        </w:rPr>
        <w:tab/>
      </w:r>
      <w:r>
        <w:rPr>
          <w:rFonts w:ascii="Arial" w:cs="Arial" w:eastAsia="Arial" w:hAnsi="Arial"/>
          <w:sz w:val="16"/>
          <w:szCs w:val="16"/>
          <w:b w:val="1"/>
          <w:bCs w:val="1"/>
          <w:color w:val="auto"/>
        </w:rPr>
        <w:t>Material Adverse Change</w:t>
      </w:r>
      <w:r>
        <w:rPr>
          <w:rFonts w:ascii="Arial" w:cs="Arial" w:eastAsia="Arial" w:hAnsi="Arial"/>
          <w:sz w:val="16"/>
          <w:szCs w:val="16"/>
          <w:color w:val="auto"/>
        </w:rPr>
        <w:t>. If there occurs any circumstance that could have a Material Adverse Effect.</w:t>
      </w:r>
    </w:p>
    <w:p>
      <w:pPr>
        <w:spacing w:after="0" w:line="224" w:lineRule="exact"/>
        <w:rPr>
          <w:sz w:val="20"/>
          <w:szCs w:val="20"/>
          <w:color w:val="auto"/>
        </w:rPr>
      </w:pPr>
    </w:p>
    <w:p>
      <w:pPr>
        <w:ind w:right="20" w:firstLine="1259"/>
        <w:spacing w:after="0" w:line="287" w:lineRule="auto"/>
        <w:rPr>
          <w:sz w:val="20"/>
          <w:szCs w:val="20"/>
          <w:color w:val="auto"/>
        </w:rPr>
      </w:pPr>
      <w:r>
        <w:rPr>
          <w:rFonts w:ascii="Arial" w:cs="Arial" w:eastAsia="Arial" w:hAnsi="Arial"/>
          <w:sz w:val="16"/>
          <w:szCs w:val="16"/>
          <w:b w:val="1"/>
          <w:bCs w:val="1"/>
          <w:color w:val="auto"/>
        </w:rPr>
        <w:t>8.4 Attachment</w:t>
      </w:r>
      <w:r>
        <w:rPr>
          <w:rFonts w:ascii="Arial" w:cs="Arial" w:eastAsia="Arial" w:hAnsi="Arial"/>
          <w:sz w:val="16"/>
          <w:szCs w:val="16"/>
          <w:color w:val="auto"/>
        </w:rPr>
        <w:t>. If any material portion of a Borrower’s assets is attached, seized, subjected to a writ or distress warrant, or is levied upon,</w:t>
      </w:r>
      <w:r>
        <w:rPr>
          <w:rFonts w:ascii="Arial" w:cs="Arial" w:eastAsia="Arial" w:hAnsi="Arial"/>
          <w:sz w:val="16"/>
          <w:szCs w:val="16"/>
          <w:b w:val="1"/>
          <w:bCs w:val="1"/>
          <w:color w:val="auto"/>
        </w:rPr>
        <w:t xml:space="preserve"> </w:t>
      </w:r>
      <w:r>
        <w:rPr>
          <w:rFonts w:ascii="Arial" w:cs="Arial" w:eastAsia="Arial" w:hAnsi="Arial"/>
          <w:sz w:val="16"/>
          <w:szCs w:val="16"/>
          <w:color w:val="auto"/>
        </w:rPr>
        <w:t>or comes into the possession of any trustee, receiver or person acting in a similar capacity and such attachment, seizure, writ or distress warrant or levy has not been removed, discharged or rescinded within thirty (30) days or in any event not less than five (5) Business Days prior to the date of any proposed sale thereunder, or if a Borrower is enjoined, restrained, or in any way prevented by court order from continuing to conduct all or any material part of its business affairs, or if a material judgment or other claim becomes a lien or encumbrance upon any material portion of a Borrower’s assets, or if a notice of lien, levy, 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assessment is filed of record with respect to any of a Borrower’s assets by the United States Government, or any department, agency, or instrumentality thereof, or by any state, county, municipal, or governmental agency, and the same is not paid within thirty (30) days after a Borrower receives notice thereof, provided that none of the foregoing shall constitute an Event of Default where such action or event is stayed or an adequate bond has been posted pending a good faith contest by such Borrower (provided that no Credit Extensions will be required to be made during such cure period);</w:t>
      </w:r>
    </w:p>
    <w:p>
      <w:pPr>
        <w:spacing w:after="0" w:line="153" w:lineRule="exact"/>
        <w:rPr>
          <w:sz w:val="20"/>
          <w:szCs w:val="20"/>
          <w:color w:val="auto"/>
        </w:rPr>
      </w:pPr>
    </w:p>
    <w:p>
      <w:pPr>
        <w:ind w:firstLine="1259"/>
        <w:spacing w:after="0" w:line="277" w:lineRule="auto"/>
        <w:rPr>
          <w:sz w:val="20"/>
          <w:szCs w:val="20"/>
          <w:color w:val="auto"/>
        </w:rPr>
      </w:pPr>
      <w:r>
        <w:rPr>
          <w:rFonts w:ascii="Arial" w:cs="Arial" w:eastAsia="Arial" w:hAnsi="Arial"/>
          <w:sz w:val="17"/>
          <w:szCs w:val="17"/>
          <w:b w:val="1"/>
          <w:bCs w:val="1"/>
          <w:color w:val="auto"/>
        </w:rPr>
        <w:t>8.5 Insolvency</w:t>
      </w:r>
      <w:r>
        <w:rPr>
          <w:rFonts w:ascii="Arial" w:cs="Arial" w:eastAsia="Arial" w:hAnsi="Arial"/>
          <w:sz w:val="17"/>
          <w:szCs w:val="17"/>
          <w:color w:val="auto"/>
        </w:rPr>
        <w:t>. If Borrower becomes insolvent, or if an Insolvency Proceeding is commenced by Borrower, or if an Insolvency Proceeding</w:t>
      </w:r>
      <w:r>
        <w:rPr>
          <w:rFonts w:ascii="Arial" w:cs="Arial" w:eastAsia="Arial" w:hAnsi="Arial"/>
          <w:sz w:val="17"/>
          <w:szCs w:val="17"/>
          <w:b w:val="1"/>
          <w:bCs w:val="1"/>
          <w:color w:val="auto"/>
        </w:rPr>
        <w:t xml:space="preserve"> </w:t>
      </w:r>
      <w:r>
        <w:rPr>
          <w:rFonts w:ascii="Arial" w:cs="Arial" w:eastAsia="Arial" w:hAnsi="Arial"/>
          <w:sz w:val="17"/>
          <w:szCs w:val="17"/>
          <w:color w:val="auto"/>
        </w:rPr>
        <w:t>is commenced against Borrower and is not dismissed or stayed within 30 days (provided that no Credit Extensions will be made prior to the dismissal of such Insolvency Proceeding);</w:t>
      </w:r>
    </w:p>
    <w:p>
      <w:pPr>
        <w:spacing w:after="0" w:line="162" w:lineRule="exact"/>
        <w:rPr>
          <w:sz w:val="20"/>
          <w:szCs w:val="20"/>
          <w:color w:val="auto"/>
        </w:rPr>
      </w:pPr>
    </w:p>
    <w:p>
      <w:pPr>
        <w:ind w:right="80" w:firstLine="1259"/>
        <w:spacing w:after="0" w:line="277" w:lineRule="auto"/>
        <w:rPr>
          <w:sz w:val="20"/>
          <w:szCs w:val="20"/>
          <w:color w:val="auto"/>
        </w:rPr>
      </w:pPr>
      <w:r>
        <w:rPr>
          <w:rFonts w:ascii="Arial" w:cs="Arial" w:eastAsia="Arial" w:hAnsi="Arial"/>
          <w:sz w:val="17"/>
          <w:szCs w:val="17"/>
          <w:b w:val="1"/>
          <w:bCs w:val="1"/>
          <w:color w:val="auto"/>
        </w:rPr>
        <w:t>8.6 Other Agreements</w:t>
      </w:r>
      <w:r>
        <w:rPr>
          <w:rFonts w:ascii="Arial" w:cs="Arial" w:eastAsia="Arial" w:hAnsi="Arial"/>
          <w:sz w:val="17"/>
          <w:szCs w:val="17"/>
          <w:color w:val="auto"/>
        </w:rPr>
        <w:t>. If there is a default or other failure to perform in any agreement to which Borrower is a party with a third party or</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resulting in a right by such third party or parties, whether or not exercised, to accelerate the maturity of any Indebtedness in an amount in excess of $100,000 or that would reasonably be expected to have a Material Adverse Effect;</w:t>
      </w:r>
    </w:p>
    <w:p>
      <w:pPr>
        <w:spacing w:after="0" w:line="162" w:lineRule="exact"/>
        <w:rPr>
          <w:sz w:val="20"/>
          <w:szCs w:val="20"/>
          <w:color w:val="auto"/>
        </w:rPr>
      </w:pPr>
    </w:p>
    <w:p>
      <w:pPr>
        <w:ind w:right="280" w:firstLine="1259"/>
        <w:spacing w:after="0" w:line="297" w:lineRule="auto"/>
        <w:rPr>
          <w:sz w:val="20"/>
          <w:szCs w:val="20"/>
          <w:color w:val="auto"/>
        </w:rPr>
      </w:pPr>
      <w:r>
        <w:rPr>
          <w:rFonts w:ascii="Arial" w:cs="Arial" w:eastAsia="Arial" w:hAnsi="Arial"/>
          <w:sz w:val="17"/>
          <w:szCs w:val="17"/>
          <w:b w:val="1"/>
          <w:bCs w:val="1"/>
          <w:color w:val="auto"/>
        </w:rPr>
        <w:t>8.7 Global Technology, Inc</w:t>
      </w:r>
      <w:r>
        <w:rPr>
          <w:rFonts w:ascii="Arial" w:cs="Arial" w:eastAsia="Arial" w:hAnsi="Arial"/>
          <w:sz w:val="17"/>
          <w:szCs w:val="17"/>
          <w:color w:val="auto"/>
        </w:rPr>
        <w:t>. If there is a default or other failure to perform by Global Technology, Inc. with respect to its credit facility</w:t>
      </w:r>
      <w:r>
        <w:rPr>
          <w:rFonts w:ascii="Arial" w:cs="Arial" w:eastAsia="Arial" w:hAnsi="Arial"/>
          <w:sz w:val="17"/>
          <w:szCs w:val="17"/>
          <w:b w:val="1"/>
          <w:bCs w:val="1"/>
          <w:color w:val="auto"/>
        </w:rPr>
        <w:t xml:space="preserve"> </w:t>
      </w:r>
      <w:r>
        <w:rPr>
          <w:rFonts w:ascii="Arial" w:cs="Arial" w:eastAsia="Arial" w:hAnsi="Arial"/>
          <w:sz w:val="17"/>
          <w:szCs w:val="17"/>
          <w:color w:val="auto"/>
        </w:rPr>
        <w:t>and/or loan agreement with Bank’s affiliated lender in China.</w:t>
      </w:r>
    </w:p>
    <w:p>
      <w:pPr>
        <w:sectPr>
          <w:pgSz w:w="11900" w:h="16838" w:orient="portrait"/>
          <w:cols w:equalWidth="0" w:num="1">
            <w:col w:w="11420"/>
          </w:cols>
          <w:pgMar w:left="240" w:top="127" w:right="239" w:bottom="16" w:gutter="0" w:footer="0" w:header="0"/>
        </w:sectPr>
      </w:pPr>
    </w:p>
    <w:bookmarkStart w:id="395" w:name="page396"/>
    <w:bookmarkEnd w:id="395"/>
    <w:p>
      <w:pPr>
        <w:ind w:right="240" w:firstLine="1259"/>
        <w:spacing w:after="0" w:line="297" w:lineRule="auto"/>
        <w:rPr>
          <w:sz w:val="20"/>
          <w:szCs w:val="20"/>
          <w:color w:val="auto"/>
        </w:rPr>
      </w:pPr>
      <w:r>
        <w:rPr>
          <w:rFonts w:ascii="Arial" w:cs="Arial" w:eastAsia="Arial" w:hAnsi="Arial"/>
          <w:sz w:val="17"/>
          <w:szCs w:val="17"/>
          <w:b w:val="1"/>
          <w:bCs w:val="1"/>
          <w:color w:val="auto"/>
        </w:rPr>
        <w:t>8.8 Subordinated Debt</w:t>
      </w:r>
      <w:r>
        <w:rPr>
          <w:rFonts w:ascii="Arial" w:cs="Arial" w:eastAsia="Arial" w:hAnsi="Arial"/>
          <w:sz w:val="17"/>
          <w:szCs w:val="17"/>
          <w:color w:val="auto"/>
        </w:rPr>
        <w:t>. If Borrower makes any payment on account of Subordinated Debt, except to the extent the payment is allowed</w:t>
      </w:r>
      <w:r>
        <w:rPr>
          <w:rFonts w:ascii="Arial" w:cs="Arial" w:eastAsia="Arial" w:hAnsi="Arial"/>
          <w:sz w:val="17"/>
          <w:szCs w:val="17"/>
          <w:b w:val="1"/>
          <w:bCs w:val="1"/>
          <w:color w:val="auto"/>
        </w:rPr>
        <w:t xml:space="preserve"> </w:t>
      </w:r>
      <w:r>
        <w:rPr>
          <w:rFonts w:ascii="Arial" w:cs="Arial" w:eastAsia="Arial" w:hAnsi="Arial"/>
          <w:sz w:val="17"/>
          <w:szCs w:val="17"/>
          <w:color w:val="auto"/>
        </w:rPr>
        <w:t>under any subordination agreement entered into with Bank;</w:t>
      </w:r>
    </w:p>
    <w:p>
      <w:pPr>
        <w:spacing w:after="0" w:line="145" w:lineRule="exact"/>
        <w:rPr>
          <w:sz w:val="20"/>
          <w:szCs w:val="20"/>
          <w:color w:val="auto"/>
        </w:rPr>
      </w:pPr>
    </w:p>
    <w:p>
      <w:pPr>
        <w:jc w:val="both"/>
        <w:ind w:right="60" w:firstLine="1259"/>
        <w:spacing w:after="0" w:line="277" w:lineRule="auto"/>
        <w:rPr>
          <w:sz w:val="20"/>
          <w:szCs w:val="20"/>
          <w:color w:val="auto"/>
        </w:rPr>
      </w:pPr>
      <w:r>
        <w:rPr>
          <w:rFonts w:ascii="Arial" w:cs="Arial" w:eastAsia="Arial" w:hAnsi="Arial"/>
          <w:sz w:val="17"/>
          <w:szCs w:val="17"/>
          <w:b w:val="1"/>
          <w:bCs w:val="1"/>
          <w:color w:val="auto"/>
        </w:rPr>
        <w:t>8.9 Judgments</w:t>
      </w:r>
      <w:r>
        <w:rPr>
          <w:rFonts w:ascii="Arial" w:cs="Arial" w:eastAsia="Arial" w:hAnsi="Arial"/>
          <w:sz w:val="17"/>
          <w:szCs w:val="17"/>
          <w:color w:val="auto"/>
        </w:rPr>
        <w:t>. If a judgment or judgments for the payment of money in an amount, individually or in the aggregate, of at least $100,000</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rendered against Borrower and shall remain unsatisfied and unstayed for a period of 30 days (provided that no Credit Extensions will be made prior to the satisfaction or stay of the judgment);</w:t>
      </w:r>
    </w:p>
    <w:p>
      <w:pPr>
        <w:spacing w:after="0" w:line="162" w:lineRule="exact"/>
        <w:rPr>
          <w:sz w:val="20"/>
          <w:szCs w:val="20"/>
          <w:color w:val="auto"/>
        </w:rPr>
      </w:pPr>
    </w:p>
    <w:p>
      <w:pPr>
        <w:ind w:right="240" w:firstLine="1259"/>
        <w:spacing w:after="0" w:line="277" w:lineRule="auto"/>
        <w:rPr>
          <w:sz w:val="20"/>
          <w:szCs w:val="20"/>
          <w:color w:val="auto"/>
        </w:rPr>
      </w:pPr>
      <w:r>
        <w:rPr>
          <w:rFonts w:ascii="Arial" w:cs="Arial" w:eastAsia="Arial" w:hAnsi="Arial"/>
          <w:sz w:val="17"/>
          <w:szCs w:val="17"/>
          <w:b w:val="1"/>
          <w:bCs w:val="1"/>
          <w:color w:val="auto"/>
        </w:rPr>
        <w:t>8.10 Misrepresentations</w:t>
      </w:r>
      <w:r>
        <w:rPr>
          <w:rFonts w:ascii="Arial" w:cs="Arial" w:eastAsia="Arial" w:hAnsi="Arial"/>
          <w:sz w:val="17"/>
          <w:szCs w:val="17"/>
          <w:color w:val="auto"/>
        </w:rPr>
        <w:t>. If any material misrepresentation or material misstatement exists now or hereafter in any warranty or</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representation set forth herein or in any certificate delivered to Bank by any Responsible Officer pursuant to this Agreement or to induce Bank to enter into this Agreement or any other Loan Document;</w:t>
      </w:r>
    </w:p>
    <w:p>
      <w:pPr>
        <w:spacing w:after="0" w:line="162" w:lineRule="exact"/>
        <w:rPr>
          <w:sz w:val="20"/>
          <w:szCs w:val="20"/>
          <w:color w:val="auto"/>
        </w:rPr>
      </w:pPr>
    </w:p>
    <w:p>
      <w:pPr>
        <w:ind w:left="1260" w:hanging="626"/>
        <w:spacing w:after="0"/>
        <w:tabs>
          <w:tab w:leader="none" w:pos="1260" w:val="left"/>
        </w:tabs>
        <w:numPr>
          <w:ilvl w:val="0"/>
          <w:numId w:val="639"/>
        </w:numPr>
        <w:rPr>
          <w:rFonts w:ascii="Arial" w:cs="Arial" w:eastAsia="Arial" w:hAnsi="Arial"/>
          <w:sz w:val="17"/>
          <w:szCs w:val="17"/>
          <w:b w:val="1"/>
          <w:bCs w:val="1"/>
          <w:color w:val="auto"/>
        </w:rPr>
      </w:pPr>
      <w:r>
        <w:rPr>
          <w:rFonts w:ascii="Arial" w:cs="Arial" w:eastAsia="Arial" w:hAnsi="Arial"/>
          <w:sz w:val="17"/>
          <w:szCs w:val="17"/>
          <w:b w:val="1"/>
          <w:bCs w:val="1"/>
          <w:color w:val="auto"/>
        </w:rPr>
        <w:t>BANK’S RIGHTS AND REMEDIES</w:t>
      </w:r>
      <w:r>
        <w:rPr>
          <w:rFonts w:ascii="Arial" w:cs="Arial" w:eastAsia="Arial" w:hAnsi="Arial"/>
          <w:sz w:val="17"/>
          <w:szCs w:val="17"/>
          <w:color w:val="auto"/>
        </w:rPr>
        <w:t>.</w:t>
      </w:r>
    </w:p>
    <w:p>
      <w:pPr>
        <w:spacing w:after="0" w:line="224" w:lineRule="exact"/>
        <w:rPr>
          <w:sz w:val="20"/>
          <w:szCs w:val="20"/>
          <w:color w:val="auto"/>
        </w:rPr>
      </w:pPr>
    </w:p>
    <w:p>
      <w:pPr>
        <w:ind w:right="380" w:firstLine="1259"/>
        <w:spacing w:after="0" w:line="297" w:lineRule="auto"/>
        <w:rPr>
          <w:sz w:val="20"/>
          <w:szCs w:val="20"/>
          <w:color w:val="auto"/>
        </w:rPr>
      </w:pPr>
      <w:r>
        <w:rPr>
          <w:rFonts w:ascii="Arial" w:cs="Arial" w:eastAsia="Arial" w:hAnsi="Arial"/>
          <w:sz w:val="17"/>
          <w:szCs w:val="17"/>
          <w:b w:val="1"/>
          <w:bCs w:val="1"/>
          <w:color w:val="auto"/>
        </w:rPr>
        <w:t>9.1 Rights and Remedies</w:t>
      </w:r>
      <w:r>
        <w:rPr>
          <w:rFonts w:ascii="Arial" w:cs="Arial" w:eastAsia="Arial" w:hAnsi="Arial"/>
          <w:sz w:val="17"/>
          <w:szCs w:val="17"/>
          <w:color w:val="auto"/>
        </w:rPr>
        <w:t>. Upon the occurrence and during the continuance of an Event of Default, Bank may, at its election,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its election and without demand, do any one or more of the following, all of which are authorized by Borrower:</w:t>
      </w:r>
    </w:p>
    <w:p>
      <w:pPr>
        <w:spacing w:after="0" w:line="151" w:lineRule="exact"/>
        <w:rPr>
          <w:sz w:val="20"/>
          <w:szCs w:val="20"/>
          <w:color w:val="auto"/>
        </w:rPr>
      </w:pPr>
    </w:p>
    <w:p>
      <w:pPr>
        <w:ind w:right="520" w:firstLine="1893"/>
        <w:spacing w:after="0" w:line="273" w:lineRule="auto"/>
        <w:tabs>
          <w:tab w:leader="none" w:pos="2524" w:val="left"/>
        </w:tabs>
        <w:numPr>
          <w:ilvl w:val="0"/>
          <w:numId w:val="640"/>
        </w:numPr>
        <w:rPr>
          <w:rFonts w:ascii="Arial" w:cs="Arial" w:eastAsia="Arial" w:hAnsi="Arial"/>
          <w:sz w:val="17"/>
          <w:szCs w:val="17"/>
          <w:b w:val="1"/>
          <w:bCs w:val="1"/>
          <w:color w:val="auto"/>
        </w:rPr>
      </w:pPr>
      <w:r>
        <w:rPr>
          <w:rFonts w:ascii="Arial" w:cs="Arial" w:eastAsia="Arial" w:hAnsi="Arial"/>
          <w:sz w:val="17"/>
          <w:szCs w:val="17"/>
          <w:color w:val="auto"/>
        </w:rPr>
        <w:t>Declare all Obligations, whether evidenced by this Agreement, by any of the other Loan Documents, or otherwise, immediately due and payable (provided that upon the occurrence of an Event of Default described in Section 8.5 (insolvency), all Obligations shall become immediately due and payable without any action by Bank);</w:t>
      </w:r>
    </w:p>
    <w:p>
      <w:pPr>
        <w:spacing w:after="0" w:line="171" w:lineRule="exact"/>
        <w:rPr>
          <w:rFonts w:ascii="Arial" w:cs="Arial" w:eastAsia="Arial" w:hAnsi="Arial"/>
          <w:sz w:val="17"/>
          <w:szCs w:val="17"/>
          <w:b w:val="1"/>
          <w:bCs w:val="1"/>
          <w:color w:val="auto"/>
        </w:rPr>
      </w:pPr>
    </w:p>
    <w:p>
      <w:pPr>
        <w:ind w:right="600" w:firstLine="1893"/>
        <w:spacing w:after="0" w:line="289" w:lineRule="auto"/>
        <w:tabs>
          <w:tab w:leader="none" w:pos="2534" w:val="left"/>
        </w:tabs>
        <w:numPr>
          <w:ilvl w:val="0"/>
          <w:numId w:val="640"/>
        </w:numPr>
        <w:rPr>
          <w:rFonts w:ascii="Arial" w:cs="Arial" w:eastAsia="Arial" w:hAnsi="Arial"/>
          <w:sz w:val="17"/>
          <w:szCs w:val="17"/>
          <w:b w:val="1"/>
          <w:bCs w:val="1"/>
          <w:color w:val="auto"/>
        </w:rPr>
      </w:pPr>
      <w:r>
        <w:rPr>
          <w:rFonts w:ascii="Arial" w:cs="Arial" w:eastAsia="Arial" w:hAnsi="Arial"/>
          <w:sz w:val="17"/>
          <w:szCs w:val="17"/>
          <w:color w:val="auto"/>
        </w:rPr>
        <w:t>Cease advancing money or extending credit to or for the benefit of Borrower under this Agreement or under any other agreement between a Borrower and Bank;</w:t>
      </w:r>
    </w:p>
    <w:p>
      <w:pPr>
        <w:spacing w:after="0" w:line="158" w:lineRule="exact"/>
        <w:rPr>
          <w:rFonts w:ascii="Arial" w:cs="Arial" w:eastAsia="Arial" w:hAnsi="Arial"/>
          <w:sz w:val="17"/>
          <w:szCs w:val="17"/>
          <w:b w:val="1"/>
          <w:bCs w:val="1"/>
          <w:color w:val="auto"/>
        </w:rPr>
      </w:pPr>
    </w:p>
    <w:p>
      <w:pPr>
        <w:jc w:val="both"/>
        <w:ind w:firstLine="1893"/>
        <w:spacing w:after="0" w:line="273" w:lineRule="auto"/>
        <w:tabs>
          <w:tab w:leader="none" w:pos="2527" w:val="left"/>
        </w:tabs>
        <w:numPr>
          <w:ilvl w:val="0"/>
          <w:numId w:val="640"/>
        </w:numPr>
        <w:rPr>
          <w:rFonts w:ascii="Arial" w:cs="Arial" w:eastAsia="Arial" w:hAnsi="Arial"/>
          <w:sz w:val="17"/>
          <w:szCs w:val="17"/>
          <w:b w:val="1"/>
          <w:bCs w:val="1"/>
          <w:color w:val="auto"/>
        </w:rPr>
      </w:pPr>
      <w:r>
        <w:rPr>
          <w:rFonts w:ascii="Arial" w:cs="Arial" w:eastAsia="Arial" w:hAnsi="Arial"/>
          <w:sz w:val="17"/>
          <w:szCs w:val="17"/>
          <w:color w:val="auto"/>
        </w:rPr>
        <w:t>Require that Borrower (i) deposit cash with Bank in an amount equal to the amount of any letters of credit remaining undrawn, as collateral security for the repayment of any future drawings under such letter of credit, and Borrower shall forthwith deposit and pay such amounts, and (ii) pay in advance all letters of credit fees scheduled to be paid or payable over the remaining term of the letters of credit;</w:t>
      </w:r>
    </w:p>
    <w:p>
      <w:pPr>
        <w:spacing w:after="0" w:line="171" w:lineRule="exact"/>
        <w:rPr>
          <w:rFonts w:ascii="Arial" w:cs="Arial" w:eastAsia="Arial" w:hAnsi="Arial"/>
          <w:sz w:val="17"/>
          <w:szCs w:val="17"/>
          <w:b w:val="1"/>
          <w:bCs w:val="1"/>
          <w:color w:val="auto"/>
        </w:rPr>
      </w:pPr>
    </w:p>
    <w:p>
      <w:pPr>
        <w:ind w:right="180" w:firstLine="1893"/>
        <w:spacing w:after="0" w:line="289" w:lineRule="auto"/>
        <w:tabs>
          <w:tab w:leader="none" w:pos="2534" w:val="left"/>
        </w:tabs>
        <w:numPr>
          <w:ilvl w:val="0"/>
          <w:numId w:val="640"/>
        </w:numPr>
        <w:rPr>
          <w:rFonts w:ascii="Arial" w:cs="Arial" w:eastAsia="Arial" w:hAnsi="Arial"/>
          <w:sz w:val="17"/>
          <w:szCs w:val="17"/>
          <w:b w:val="1"/>
          <w:bCs w:val="1"/>
          <w:color w:val="auto"/>
        </w:rPr>
      </w:pPr>
      <w:r>
        <w:rPr>
          <w:rFonts w:ascii="Arial" w:cs="Arial" w:eastAsia="Arial" w:hAnsi="Arial"/>
          <w:sz w:val="17"/>
          <w:szCs w:val="17"/>
          <w:color w:val="auto"/>
        </w:rPr>
        <w:t>Settle or adjust disputes and claims directly with account debtors for amounts, subject to a notice sent to the Borrower, upon terms and in whatever order that Bank reasonably considers advisable;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1893"/>
        <w:spacing w:after="0" w:line="283" w:lineRule="auto"/>
        <w:tabs>
          <w:tab w:leader="none" w:pos="2527" w:val="left"/>
        </w:tabs>
        <w:numPr>
          <w:ilvl w:val="0"/>
          <w:numId w:val="641"/>
        </w:numPr>
        <w:rPr>
          <w:rFonts w:ascii="Arial" w:cs="Arial" w:eastAsia="Arial" w:hAnsi="Arial"/>
          <w:sz w:val="16"/>
          <w:szCs w:val="16"/>
          <w:b w:val="1"/>
          <w:bCs w:val="1"/>
          <w:color w:val="auto"/>
        </w:rPr>
      </w:pPr>
      <w:r>
        <w:rPr>
          <w:rFonts w:ascii="Arial" w:cs="Arial" w:eastAsia="Arial" w:hAnsi="Arial"/>
          <w:sz w:val="16"/>
          <w:szCs w:val="16"/>
          <w:color w:val="auto"/>
        </w:rPr>
        <w:t>Make such payments and do such acts as Bank considers necessary or reasonable to protect its security interest in the Collateral. Borrower agrees to assemble the Collateral if Bank so requires, and to make the Collateral available to Bank as Bank may designate. Borrower authorizes Bank to enter the premises where the Collateral is located, to take and maintain possession of the Collateral, or any part of it, and to pay, purchase, contest, or compromise any encumbrance, charge, or lien which in Bank’s determination appears to be prior or superior to its security interest and to pay all expenses incurred in connection therewith. With respect to any of Borrower’s owned premises, Borrower hereby grants Bank a license to enter into possession of such premises and to occupy the same, without charge, in order to exercise any of Bank’s rights or remedies provided herein, at law, in equity, or otherwise;</w:t>
      </w:r>
    </w:p>
    <w:p>
      <w:pPr>
        <w:spacing w:after="0" w:line="166" w:lineRule="exact"/>
        <w:rPr>
          <w:rFonts w:ascii="Arial" w:cs="Arial" w:eastAsia="Arial" w:hAnsi="Arial"/>
          <w:sz w:val="16"/>
          <w:szCs w:val="16"/>
          <w:b w:val="1"/>
          <w:bCs w:val="1"/>
          <w:color w:val="auto"/>
        </w:rPr>
      </w:pPr>
    </w:p>
    <w:p>
      <w:pPr>
        <w:ind w:right="220" w:firstLine="1893"/>
        <w:spacing w:after="0" w:line="289" w:lineRule="auto"/>
        <w:tabs>
          <w:tab w:leader="none" w:pos="2521" w:val="left"/>
        </w:tabs>
        <w:numPr>
          <w:ilvl w:val="0"/>
          <w:numId w:val="641"/>
        </w:numPr>
        <w:rPr>
          <w:rFonts w:ascii="Arial" w:cs="Arial" w:eastAsia="Arial" w:hAnsi="Arial"/>
          <w:sz w:val="17"/>
          <w:szCs w:val="17"/>
          <w:b w:val="1"/>
          <w:bCs w:val="1"/>
          <w:color w:val="auto"/>
        </w:rPr>
      </w:pPr>
      <w:r>
        <w:rPr>
          <w:rFonts w:ascii="Arial" w:cs="Arial" w:eastAsia="Arial" w:hAnsi="Arial"/>
          <w:sz w:val="17"/>
          <w:szCs w:val="17"/>
          <w:color w:val="auto"/>
        </w:rPr>
        <w:t>Set off and apply to the Obligations any and all (i) balances and deposits of Borrower held by Bank, and (ii) indebtedness at any time owing to or for the credit or the account of Borrower held by Bank;</w:t>
      </w:r>
    </w:p>
    <w:p>
      <w:pPr>
        <w:spacing w:after="0" w:line="158" w:lineRule="exact"/>
        <w:rPr>
          <w:rFonts w:ascii="Arial" w:cs="Arial" w:eastAsia="Arial" w:hAnsi="Arial"/>
          <w:sz w:val="17"/>
          <w:szCs w:val="17"/>
          <w:b w:val="1"/>
          <w:bCs w:val="1"/>
          <w:color w:val="auto"/>
        </w:rPr>
      </w:pPr>
    </w:p>
    <w:p>
      <w:pPr>
        <w:ind w:right="180" w:firstLine="1893"/>
        <w:spacing w:after="0" w:line="285" w:lineRule="auto"/>
        <w:tabs>
          <w:tab w:leader="none" w:pos="2524" w:val="left"/>
        </w:tabs>
        <w:numPr>
          <w:ilvl w:val="0"/>
          <w:numId w:val="641"/>
        </w:numPr>
        <w:rPr>
          <w:rFonts w:ascii="Arial" w:cs="Arial" w:eastAsia="Arial" w:hAnsi="Arial"/>
          <w:sz w:val="16"/>
          <w:szCs w:val="16"/>
          <w:b w:val="1"/>
          <w:bCs w:val="1"/>
          <w:color w:val="auto"/>
        </w:rPr>
      </w:pPr>
      <w:r>
        <w:rPr>
          <w:rFonts w:ascii="Arial" w:cs="Arial" w:eastAsia="Arial" w:hAnsi="Arial"/>
          <w:sz w:val="16"/>
          <w:szCs w:val="16"/>
          <w:color w:val="auto"/>
        </w:rPr>
        <w:t>Ship, reclaim, recover, store, finish, maintain, repair, prepare for sale, advertise for sale, and sell (in the manner provided for herein) the Collateral. Bank is hereby granted a license or other right, solely pursuant to the provisions of this Section 9.1, to use, without charge, Borrower’s labels, patents, copyrights, rights of use of any name, trade secrets, trade names, trademarks, service marks, and advertising matter, or any property of a similar nature, as it pertains to the Collateral, in completing production of, advertising for sale, and selling any Collateral and, in connection with Bank’s exercise of its rights under this Section 9.1, Borrower’s rights under all licenses and all franchise agreements shall inure to Bank’s benefit;</w:t>
      </w:r>
    </w:p>
    <w:p>
      <w:pPr>
        <w:spacing w:after="0" w:line="166" w:lineRule="exact"/>
        <w:rPr>
          <w:rFonts w:ascii="Arial" w:cs="Arial" w:eastAsia="Arial" w:hAnsi="Arial"/>
          <w:sz w:val="16"/>
          <w:szCs w:val="16"/>
          <w:b w:val="1"/>
          <w:bCs w:val="1"/>
          <w:color w:val="auto"/>
        </w:rPr>
      </w:pPr>
    </w:p>
    <w:p>
      <w:pPr>
        <w:ind w:right="40" w:firstLine="1893"/>
        <w:spacing w:after="0" w:line="298" w:lineRule="auto"/>
        <w:tabs>
          <w:tab w:leader="none" w:pos="2534" w:val="left"/>
        </w:tabs>
        <w:numPr>
          <w:ilvl w:val="0"/>
          <w:numId w:val="641"/>
        </w:numPr>
        <w:rPr>
          <w:rFonts w:ascii="Arial" w:cs="Arial" w:eastAsia="Arial" w:hAnsi="Arial"/>
          <w:sz w:val="16"/>
          <w:szCs w:val="16"/>
          <w:b w:val="1"/>
          <w:bCs w:val="1"/>
          <w:color w:val="auto"/>
        </w:rPr>
      </w:pPr>
      <w:r>
        <w:rPr>
          <w:rFonts w:ascii="Arial" w:cs="Arial" w:eastAsia="Arial" w:hAnsi="Arial"/>
          <w:sz w:val="16"/>
          <w:szCs w:val="16"/>
          <w:color w:val="auto"/>
        </w:rPr>
        <w:t>Dispose of the Collateral at either a public or private sale, or both, by way of one or more contracts or transactions, for cash or on terms, in such manner and at such places (including Borrower’s premises) as Bank determines is commercially reasonable, and apply any proceeds to the Obligations in whatever manner or order Bank deems appropriate. Bank may sell the Collateral without giving any warranties as to the Collateral;</w:t>
      </w:r>
    </w:p>
    <w:p>
      <w:pPr>
        <w:spacing w:after="0" w:line="153" w:lineRule="exact"/>
        <w:rPr>
          <w:rFonts w:ascii="Arial" w:cs="Arial" w:eastAsia="Arial" w:hAnsi="Arial"/>
          <w:sz w:val="16"/>
          <w:szCs w:val="16"/>
          <w:b w:val="1"/>
          <w:bCs w:val="1"/>
          <w:color w:val="auto"/>
        </w:rPr>
      </w:pPr>
    </w:p>
    <w:p>
      <w:pPr>
        <w:ind w:left="2520" w:hanging="627"/>
        <w:spacing w:after="0"/>
        <w:tabs>
          <w:tab w:leader="none" w:pos="2520" w:val="left"/>
        </w:tabs>
        <w:numPr>
          <w:ilvl w:val="0"/>
          <w:numId w:val="641"/>
        </w:numPr>
        <w:rPr>
          <w:rFonts w:ascii="Arial" w:cs="Arial" w:eastAsia="Arial" w:hAnsi="Arial"/>
          <w:sz w:val="17"/>
          <w:szCs w:val="17"/>
          <w:b w:val="1"/>
          <w:bCs w:val="1"/>
          <w:color w:val="auto"/>
        </w:rPr>
      </w:pPr>
      <w:r>
        <w:rPr>
          <w:rFonts w:ascii="Arial" w:cs="Arial" w:eastAsia="Arial" w:hAnsi="Arial"/>
          <w:sz w:val="17"/>
          <w:szCs w:val="17"/>
          <w:color w:val="auto"/>
        </w:rPr>
        <w:t>Bank may credit bid and purchase at any public sale;</w:t>
      </w:r>
    </w:p>
    <w:p>
      <w:pPr>
        <w:spacing w:after="0" w:line="224" w:lineRule="exact"/>
        <w:rPr>
          <w:rFonts w:ascii="Arial" w:cs="Arial" w:eastAsia="Arial" w:hAnsi="Arial"/>
          <w:sz w:val="17"/>
          <w:szCs w:val="17"/>
          <w:b w:val="1"/>
          <w:bCs w:val="1"/>
          <w:color w:val="auto"/>
        </w:rPr>
      </w:pPr>
    </w:p>
    <w:p>
      <w:pPr>
        <w:ind w:right="100" w:firstLine="1893"/>
        <w:spacing w:after="0" w:line="273" w:lineRule="auto"/>
        <w:tabs>
          <w:tab w:leader="none" w:pos="2534" w:val="left"/>
        </w:tabs>
        <w:numPr>
          <w:ilvl w:val="0"/>
          <w:numId w:val="641"/>
        </w:numPr>
        <w:rPr>
          <w:rFonts w:ascii="Arial" w:cs="Arial" w:eastAsia="Arial" w:hAnsi="Arial"/>
          <w:sz w:val="17"/>
          <w:szCs w:val="17"/>
          <w:b w:val="1"/>
          <w:bCs w:val="1"/>
          <w:color w:val="auto"/>
        </w:rPr>
      </w:pPr>
      <w:r>
        <w:rPr>
          <w:rFonts w:ascii="Arial" w:cs="Arial" w:eastAsia="Arial" w:hAnsi="Arial"/>
          <w:sz w:val="17"/>
          <w:szCs w:val="17"/>
          <w:color w:val="auto"/>
        </w:rPr>
        <w:t>Apply for the appointment of a receiver, trustee, liquidator or conservator of the Collateral, without notice and without regard to the adequacy of the security for the Obligations and without regard to the solvency of Borrower, any guarantor or any other Person liable for any of the Obligations; and</w:t>
      </w:r>
    </w:p>
    <w:p>
      <w:pPr>
        <w:spacing w:after="0" w:line="171" w:lineRule="exact"/>
        <w:rPr>
          <w:rFonts w:ascii="Arial" w:cs="Arial" w:eastAsia="Arial" w:hAnsi="Arial"/>
          <w:sz w:val="17"/>
          <w:szCs w:val="17"/>
          <w:b w:val="1"/>
          <w:bCs w:val="1"/>
          <w:color w:val="auto"/>
        </w:rPr>
      </w:pPr>
    </w:p>
    <w:p>
      <w:pPr>
        <w:ind w:left="2540" w:hanging="647"/>
        <w:spacing w:after="0"/>
        <w:tabs>
          <w:tab w:leader="none" w:pos="2540" w:val="left"/>
        </w:tabs>
        <w:numPr>
          <w:ilvl w:val="0"/>
          <w:numId w:val="641"/>
        </w:numPr>
        <w:rPr>
          <w:rFonts w:ascii="Arial" w:cs="Arial" w:eastAsia="Arial" w:hAnsi="Arial"/>
          <w:sz w:val="17"/>
          <w:szCs w:val="17"/>
          <w:b w:val="1"/>
          <w:bCs w:val="1"/>
          <w:color w:val="auto"/>
        </w:rPr>
      </w:pPr>
      <w:r>
        <w:rPr>
          <w:rFonts w:ascii="Arial" w:cs="Arial" w:eastAsia="Arial" w:hAnsi="Arial"/>
          <w:sz w:val="17"/>
          <w:szCs w:val="17"/>
          <w:color w:val="auto"/>
        </w:rPr>
        <w:t>Any deficiency that exists after disposition of the Collateral as provided above will be paid immediately by Borrower.</w:t>
      </w:r>
    </w:p>
    <w:p>
      <w:pPr>
        <w:spacing w:after="0" w:line="224"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Bank may comply with any applicable state or federal law requirements in connection with a disposition of the Collateral and compliance will not be considered adversely to affect the commercial reasonableness of any sale of the Collateral.</w:t>
      </w:r>
    </w:p>
    <w:p>
      <w:pPr>
        <w:spacing w:after="0" w:line="152" w:lineRule="exact"/>
        <w:rPr>
          <w:sz w:val="20"/>
          <w:szCs w:val="20"/>
          <w:color w:val="auto"/>
        </w:rPr>
      </w:pPr>
    </w:p>
    <w:p>
      <w:pPr>
        <w:ind w:right="20" w:firstLine="1259"/>
        <w:spacing w:after="0" w:line="279" w:lineRule="auto"/>
        <w:rPr>
          <w:sz w:val="20"/>
          <w:szCs w:val="20"/>
          <w:color w:val="auto"/>
        </w:rPr>
      </w:pPr>
      <w:r>
        <w:rPr>
          <w:rFonts w:ascii="Arial" w:cs="Arial" w:eastAsia="Arial" w:hAnsi="Arial"/>
          <w:sz w:val="16"/>
          <w:szCs w:val="16"/>
          <w:b w:val="1"/>
          <w:bCs w:val="1"/>
          <w:color w:val="auto"/>
        </w:rPr>
        <w:t>9.2 Power of Attorney</w:t>
      </w:r>
      <w:r>
        <w:rPr>
          <w:rFonts w:ascii="Arial" w:cs="Arial" w:eastAsia="Arial" w:hAnsi="Arial"/>
          <w:sz w:val="16"/>
          <w:szCs w:val="16"/>
          <w:color w:val="auto"/>
        </w:rPr>
        <w:t>. Effective only upon the occurrence and during the continuance of an Event of Default, Borrower hereby</w:t>
      </w:r>
      <w:r>
        <w:rPr>
          <w:rFonts w:ascii="Arial" w:cs="Arial" w:eastAsia="Arial" w:hAnsi="Arial"/>
          <w:sz w:val="16"/>
          <w:szCs w:val="16"/>
          <w:b w:val="1"/>
          <w:bCs w:val="1"/>
          <w:color w:val="auto"/>
        </w:rPr>
        <w:t xml:space="preserve"> </w:t>
      </w:r>
      <w:r>
        <w:rPr>
          <w:rFonts w:ascii="Arial" w:cs="Arial" w:eastAsia="Arial" w:hAnsi="Arial"/>
          <w:sz w:val="16"/>
          <w:szCs w:val="16"/>
          <w:color w:val="auto"/>
        </w:rPr>
        <w:t>irrevocably appoints Bank (and any of Bank’s designated officers, or employees) as Borrower’s true and lawful attorney to: (a) send requests for verification of Accounts or notify account debtors of Bank’s security interest in the Accounts; (b) endorse Borrower’s name on any checks or other forms of payment or security that may come into Bank’s possession; (c) sign Borrower’s name on any invoice or bill of lading relating to any Account, drafts against account debtors, schedules and assignments of Accounts, verifications of Accounts, and notices to account debtors; (d) dispose of any Collateral; (e) make, settle, and adjust all claims under and decisions with respect to Borrower’s policies of insurance; (f) settle and adjust disputes and claims respecting the accounts directly with account debtors, for amounts and upon terms which Bank determines to be reasonable; (g) enter into a short-form intellectual property security agreement consistent with the terms of this Agreement for recording purposes only or modify, in its sole discretion, any intellectual property security agreement entered into between Borrower and Bank without first obtaining Borrower’s approval of or signature to such modification by amending Exhibits A, B, and C thereof, as appropriate, to include reference to any right, title or interest in any Copyrights, Patents or Trademarks acquired by Borrower after the execution hereof or to delete any reference to any right, title or interest in any Copyrights, Patents or Trademarks in which Borrower no longer has or</w:t>
      </w:r>
    </w:p>
    <w:p>
      <w:pPr>
        <w:sectPr>
          <w:pgSz w:w="11900" w:h="16838" w:orient="portrait"/>
          <w:cols w:equalWidth="0" w:num="1">
            <w:col w:w="11400"/>
          </w:cols>
          <w:pgMar w:left="240" w:top="122" w:right="25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03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22" w:right="259" w:bottom="0" w:gutter="0" w:footer="0" w:header="0"/>
          <w:type w:val="continuous"/>
        </w:sectPr>
      </w:pPr>
    </w:p>
    <w:bookmarkStart w:id="396" w:name="page397"/>
    <w:bookmarkEnd w:id="396"/>
    <w:p>
      <w:pPr>
        <w:ind w:right="40"/>
        <w:spacing w:after="0" w:line="265" w:lineRule="auto"/>
        <w:rPr>
          <w:sz w:val="20"/>
          <w:szCs w:val="20"/>
          <w:color w:val="auto"/>
        </w:rPr>
      </w:pPr>
      <w:r>
        <w:rPr>
          <w:rFonts w:ascii="Arial" w:cs="Arial" w:eastAsia="Arial" w:hAnsi="Arial"/>
          <w:sz w:val="17"/>
          <w:szCs w:val="17"/>
          <w:color w:val="auto"/>
        </w:rPr>
        <w:t>claims to have any right, title or interest; and (h) file, in its sole discretion, one or more financing or continuation statements and amendments thereto, relative to any of the Collateral without the signature of Borrower where permitted by law; provided Bank may exercise such power of attorney to sign the name of Borrower on any of the documents described in clauses (g) and (h) above, regardless of whether an Event of Default has occurred. The appointment of Bank as Borrower’s attorney in fact, and each and every one of Bank’s rights and powers, being coupled with an interest, is irrevocable until all of the Obligations have been fully repaid and performed and Bank’s obligation to provide advances hereunder is terminated.</w:t>
      </w:r>
    </w:p>
    <w:p>
      <w:pPr>
        <w:spacing w:after="0" w:line="173" w:lineRule="exact"/>
        <w:rPr>
          <w:sz w:val="20"/>
          <w:szCs w:val="20"/>
          <w:color w:val="auto"/>
        </w:rPr>
      </w:pPr>
    </w:p>
    <w:p>
      <w:pPr>
        <w:ind w:right="100" w:firstLine="1259"/>
        <w:spacing w:after="0" w:line="270" w:lineRule="auto"/>
        <w:rPr>
          <w:sz w:val="20"/>
          <w:szCs w:val="20"/>
          <w:color w:val="auto"/>
        </w:rPr>
      </w:pPr>
      <w:r>
        <w:rPr>
          <w:rFonts w:ascii="Arial" w:cs="Arial" w:eastAsia="Arial" w:hAnsi="Arial"/>
          <w:sz w:val="17"/>
          <w:szCs w:val="17"/>
          <w:b w:val="1"/>
          <w:bCs w:val="1"/>
          <w:color w:val="auto"/>
        </w:rPr>
        <w:t xml:space="preserve">9.3 Accounts Collection. </w:t>
      </w:r>
      <w:r>
        <w:rPr>
          <w:rFonts w:ascii="Arial" w:cs="Arial" w:eastAsia="Arial" w:hAnsi="Arial"/>
          <w:sz w:val="17"/>
          <w:szCs w:val="17"/>
          <w:color w:val="auto"/>
        </w:rPr>
        <w:t>After the occurrence of an Event of Default that continues, Bank may notify any Person owing funds to</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of Bank’s security interest in such funds and verify the amount of such Account. Borrower shall collect all amounts owing to Borrower, receive in trust all payments as Bank’s trustee, and immediately deliver such payments to Bank in their original form as received from the account debtor, with proper endorsements for deposit.</w:t>
      </w:r>
    </w:p>
    <w:p>
      <w:pPr>
        <w:spacing w:after="0" w:line="169" w:lineRule="exact"/>
        <w:rPr>
          <w:sz w:val="20"/>
          <w:szCs w:val="20"/>
          <w:color w:val="auto"/>
        </w:rPr>
      </w:pPr>
    </w:p>
    <w:p>
      <w:pPr>
        <w:ind w:right="20" w:firstLine="1259"/>
        <w:spacing w:after="0" w:line="263" w:lineRule="auto"/>
        <w:rPr>
          <w:sz w:val="20"/>
          <w:szCs w:val="20"/>
          <w:color w:val="auto"/>
        </w:rPr>
      </w:pPr>
      <w:r>
        <w:rPr>
          <w:rFonts w:ascii="Arial" w:cs="Arial" w:eastAsia="Arial" w:hAnsi="Arial"/>
          <w:sz w:val="17"/>
          <w:szCs w:val="17"/>
          <w:b w:val="1"/>
          <w:bCs w:val="1"/>
          <w:color w:val="auto"/>
        </w:rPr>
        <w:t xml:space="preserve">9.4 Right of Set-off. </w:t>
      </w:r>
      <w:r>
        <w:rPr>
          <w:rFonts w:ascii="Arial" w:cs="Arial" w:eastAsia="Arial" w:hAnsi="Arial"/>
          <w:sz w:val="17"/>
          <w:szCs w:val="17"/>
          <w:color w:val="auto"/>
        </w:rPr>
        <w:t>Subject to Section 2, in addition to any rights now or hereafter granted under applicable law or otherwise, and not by</w:t>
      </w:r>
      <w:r>
        <w:rPr>
          <w:rFonts w:ascii="Arial" w:cs="Arial" w:eastAsia="Arial" w:hAnsi="Arial"/>
          <w:sz w:val="17"/>
          <w:szCs w:val="17"/>
          <w:b w:val="1"/>
          <w:bCs w:val="1"/>
          <w:color w:val="auto"/>
        </w:rPr>
        <w:t xml:space="preserve"> </w:t>
      </w:r>
      <w:r>
        <w:rPr>
          <w:rFonts w:ascii="Arial" w:cs="Arial" w:eastAsia="Arial" w:hAnsi="Arial"/>
          <w:sz w:val="17"/>
          <w:szCs w:val="17"/>
          <w:color w:val="auto"/>
        </w:rPr>
        <w:t>way of limitation of any such rights, upon the occurrence and during the continuation of an Event of Default, Bank is authorized at any time or from time to time, without presentment, demand, protest or other notice of any kind to Borrower or to any other Person, any such notice being hereby expressly waived, to set off and to appropriate and apply any and all deposits (general or special) and any other Indebtedness at any time held or owing by Bank (including, without limitation, by branches and agencies of Bank wherever located) to or for the credit or the account of Borrower against and on account of the Obligations and liabilities of Borrower to Bank under this Agreement or under any of the other Loan Documents, and all other claims of any nature or description arising out of or connected with this Agreement or any other Loan Document, irrespective of whether or not Bank shall have made any demand hereunder and although said Obligations, liabilities or claims, or any of them, shall be contingent or unmatured.</w:t>
      </w:r>
    </w:p>
    <w:p>
      <w:pPr>
        <w:spacing w:after="0" w:line="174" w:lineRule="exact"/>
        <w:rPr>
          <w:sz w:val="20"/>
          <w:szCs w:val="20"/>
          <w:color w:val="auto"/>
        </w:rPr>
      </w:pPr>
    </w:p>
    <w:p>
      <w:pPr>
        <w:ind w:right="120" w:firstLine="1259"/>
        <w:spacing w:after="0" w:line="262" w:lineRule="auto"/>
        <w:rPr>
          <w:sz w:val="20"/>
          <w:szCs w:val="20"/>
          <w:color w:val="auto"/>
        </w:rPr>
      </w:pPr>
      <w:r>
        <w:rPr>
          <w:rFonts w:ascii="Arial" w:cs="Arial" w:eastAsia="Arial" w:hAnsi="Arial"/>
          <w:sz w:val="17"/>
          <w:szCs w:val="17"/>
          <w:b w:val="1"/>
          <w:bCs w:val="1"/>
          <w:color w:val="auto"/>
        </w:rPr>
        <w:t>9.5 Bank Expenses</w:t>
      </w:r>
      <w:r>
        <w:rPr>
          <w:rFonts w:ascii="Arial" w:cs="Arial" w:eastAsia="Arial" w:hAnsi="Arial"/>
          <w:sz w:val="17"/>
          <w:szCs w:val="17"/>
          <w:color w:val="auto"/>
        </w:rPr>
        <w:t>. If Borrower fails to pay any amounts or furnish any required proof of payment due to third persons or entities, as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under the terms of this Agreement, then Bank may do any or all of the following after reasonable notice to Borrower: (a) make payment of the same or any part thereof; (b) set up such reserves under the Revolving Line or EXIM Line as Bank deems necessary to protect Bank from the exposure created by such failure; or (c) obtain and maintain insurance policies of the type discussed in Section 6.8 of this Agreement, and take any action with respect to such policies as Bank deems prudent. Any amounts so paid or deposited by Bank shall constitute Bank Expenses, shall be immediately due and payable, and shall bear interest at the then applicable rate hereinabove provided, and shall be secured by the Collateral. Any payments made by Bank shall not constitute an agreement by Bank to make similar payments in the future or a waiver by Bank of any Event of Default under this Agreement. After the occurrence of an Event of Default which continues, Borrower shall reimburse Bank, upon demand, for all costs and expenses, including reasonable attorney’s fees, incurred in connection with any of the Loan Documents.</w:t>
      </w:r>
    </w:p>
    <w:p>
      <w:pPr>
        <w:spacing w:after="0" w:line="177"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b w:val="1"/>
          <w:bCs w:val="1"/>
          <w:color w:val="auto"/>
        </w:rPr>
        <w:t>9.6</w:t>
      </w:r>
      <w:r>
        <w:rPr>
          <w:sz w:val="20"/>
          <w:szCs w:val="20"/>
          <w:color w:val="auto"/>
        </w:rPr>
        <w:tab/>
      </w:r>
      <w:r>
        <w:rPr>
          <w:rFonts w:ascii="Arial" w:cs="Arial" w:eastAsia="Arial" w:hAnsi="Arial"/>
          <w:sz w:val="16"/>
          <w:szCs w:val="16"/>
          <w:b w:val="1"/>
          <w:bCs w:val="1"/>
          <w:color w:val="auto"/>
        </w:rPr>
        <w:t xml:space="preserve">Bank’s Liability for Collateral. </w:t>
      </w:r>
      <w:r>
        <w:rPr>
          <w:rFonts w:ascii="Arial" w:cs="Arial" w:eastAsia="Arial" w:hAnsi="Arial"/>
          <w:sz w:val="16"/>
          <w:szCs w:val="16"/>
          <w:color w:val="auto"/>
        </w:rPr>
        <w:t>So long as Bank (i) complies with reasonable banking practices, (ii) is not grossly negligent, or</w:t>
      </w:r>
    </w:p>
    <w:p>
      <w:pPr>
        <w:spacing w:after="0" w:line="32" w:lineRule="exact"/>
        <w:rPr>
          <w:sz w:val="20"/>
          <w:szCs w:val="20"/>
          <w:color w:val="auto"/>
        </w:rPr>
      </w:pPr>
    </w:p>
    <w:p>
      <w:pPr>
        <w:ind w:right="120" w:firstLine="5"/>
        <w:spacing w:after="0" w:line="261" w:lineRule="auto"/>
        <w:tabs>
          <w:tab w:leader="none" w:pos="306" w:val="left"/>
        </w:tabs>
        <w:numPr>
          <w:ilvl w:val="0"/>
          <w:numId w:val="642"/>
        </w:numPr>
        <w:rPr>
          <w:rFonts w:ascii="Arial" w:cs="Arial" w:eastAsia="Arial" w:hAnsi="Arial"/>
          <w:sz w:val="17"/>
          <w:szCs w:val="17"/>
          <w:color w:val="auto"/>
        </w:rPr>
      </w:pPr>
      <w:r>
        <w:rPr>
          <w:rFonts w:ascii="Arial" w:cs="Arial" w:eastAsia="Arial" w:hAnsi="Arial"/>
          <w:sz w:val="17"/>
          <w:szCs w:val="17"/>
          <w:color w:val="auto"/>
        </w:rPr>
        <w:t>does not engage in willful misconduct with respect to the Collateral, Bank shall not in any way or manner be liable or responsible for: (a) the safekeeping of the Collateral; (b) any loss or damage thereto occurring or arising in any manner or fashion from any cause; (c) any diminution in the value thereof; or (d) any act or default of any carrier, warehouseman, bailee, forwarding agency, or other person whomsoever. All risk of loss, damage or destruction of the Collateral not consented to by Bank shall be borne by Borrower. Any surplus remaining after payment in full of the Obligations from the proceeds of the liquidation of any of the Collateral, shall be paid to Borrower as provided by law.</w:t>
      </w:r>
    </w:p>
    <w:p>
      <w:pPr>
        <w:spacing w:after="0" w:line="178" w:lineRule="exact"/>
        <w:rPr>
          <w:sz w:val="20"/>
          <w:szCs w:val="20"/>
          <w:color w:val="auto"/>
        </w:rPr>
      </w:pPr>
    </w:p>
    <w:p>
      <w:pPr>
        <w:ind w:right="100" w:firstLine="1259"/>
        <w:spacing w:after="0" w:line="285" w:lineRule="auto"/>
        <w:rPr>
          <w:sz w:val="20"/>
          <w:szCs w:val="20"/>
          <w:color w:val="auto"/>
        </w:rPr>
      </w:pPr>
      <w:r>
        <w:rPr>
          <w:rFonts w:ascii="Arial" w:cs="Arial" w:eastAsia="Arial" w:hAnsi="Arial"/>
          <w:sz w:val="16"/>
          <w:szCs w:val="16"/>
          <w:b w:val="1"/>
          <w:bCs w:val="1"/>
          <w:color w:val="auto"/>
        </w:rPr>
        <w:t xml:space="preserve">9.7 Shares. </w:t>
      </w:r>
      <w:r>
        <w:rPr>
          <w:rFonts w:ascii="Arial" w:cs="Arial" w:eastAsia="Arial" w:hAnsi="Arial"/>
          <w:sz w:val="16"/>
          <w:szCs w:val="16"/>
          <w:color w:val="auto"/>
        </w:rPr>
        <w:t>Borrower recognizes that Bank may be unable to effect a public sale of any or all the Shares, by reason of certain prohibitions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contained in federal securities laws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Borrower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Bank shall be under no obligation to delay a sale of any of the Shares for the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period of time necessary to permit the issuer thereof to register such securities for public sale under federal securities laws or under applicable state securities laws, even if such issuer would agree to do so. Upon the occurrence of an Event of Default which continues, Bank shall have the right to exercise all such rights as a secured party under the California Uniform Commercial Code as it, in its sole judgment, shall deem necessary or appropriate, including without limitation the right to liquidate the Shares and apply the proceeds thereof to reduce the Obligations. Effective only upon the occurrence and during the continuance of an Event of Default, Borrower hereby irrevocably appoints Bank (and any of Bank’s designated officers, or employees) as Borrower’s true and lawful attorney to enforce Borrower’s rights against any Subsidiary, including the right to compel any Subsidiary to make payments or distributions owing to Borrower.</w:t>
      </w:r>
    </w:p>
    <w:p>
      <w:pPr>
        <w:spacing w:after="0" w:line="161" w:lineRule="exact"/>
        <w:rPr>
          <w:sz w:val="20"/>
          <w:szCs w:val="20"/>
          <w:color w:val="auto"/>
        </w:rPr>
      </w:pPr>
    </w:p>
    <w:p>
      <w:pPr>
        <w:ind w:firstLine="1259"/>
        <w:spacing w:after="0" w:line="265" w:lineRule="auto"/>
        <w:rPr>
          <w:sz w:val="20"/>
          <w:szCs w:val="20"/>
          <w:color w:val="auto"/>
        </w:rPr>
      </w:pPr>
      <w:r>
        <w:rPr>
          <w:rFonts w:ascii="Arial" w:cs="Arial" w:eastAsia="Arial" w:hAnsi="Arial"/>
          <w:sz w:val="17"/>
          <w:szCs w:val="17"/>
          <w:b w:val="1"/>
          <w:bCs w:val="1"/>
          <w:color w:val="auto"/>
        </w:rPr>
        <w:t>9.8 Remedies Cumulative</w:t>
      </w:r>
      <w:r>
        <w:rPr>
          <w:rFonts w:ascii="Arial" w:cs="Arial" w:eastAsia="Arial" w:hAnsi="Arial"/>
          <w:sz w:val="17"/>
          <w:szCs w:val="17"/>
          <w:color w:val="auto"/>
        </w:rPr>
        <w:t>. Bank’s rights and remedies under this Agreement, the Loan Documents, and all other agreements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cumulative. Bank shall have all other rights and remedies not inconsistent herewith as provided under the Code, by law, or in equity. No exercise by Bank of one right or remedy shall be deemed an election, and no waiver by Bank of any Event of Default on Borrower’s part shall be deemed a continuing waiver. No delay by Bank shall constitute a waiver, election, or acquiescence by it. No waiver by Bank shall be effective unless made in a written document signed on behalf of Bank and then shall be effective only in the specific instance and for the specific purpose for which it was given. Borrower expressly agrees that this Section 9.7 may not be waived or modified by Bank by course of performance, conduct, estoppel or otherwise.</w:t>
      </w:r>
    </w:p>
    <w:p>
      <w:pPr>
        <w:spacing w:after="0" w:line="173" w:lineRule="exact"/>
        <w:rPr>
          <w:sz w:val="20"/>
          <w:szCs w:val="20"/>
          <w:color w:val="auto"/>
        </w:rPr>
      </w:pPr>
    </w:p>
    <w:p>
      <w:pPr>
        <w:ind w:right="220" w:firstLine="1259"/>
        <w:spacing w:after="0" w:line="277" w:lineRule="auto"/>
        <w:rPr>
          <w:sz w:val="20"/>
          <w:szCs w:val="20"/>
          <w:color w:val="auto"/>
        </w:rPr>
      </w:pPr>
      <w:r>
        <w:rPr>
          <w:rFonts w:ascii="Arial" w:cs="Arial" w:eastAsia="Arial" w:hAnsi="Arial"/>
          <w:sz w:val="17"/>
          <w:szCs w:val="17"/>
          <w:b w:val="1"/>
          <w:bCs w:val="1"/>
          <w:color w:val="auto"/>
        </w:rPr>
        <w:t xml:space="preserve">9.9 Demand; Protest. </w:t>
      </w:r>
      <w:r>
        <w:rPr>
          <w:rFonts w:ascii="Arial" w:cs="Arial" w:eastAsia="Arial" w:hAnsi="Arial"/>
          <w:sz w:val="17"/>
          <w:szCs w:val="17"/>
          <w:color w:val="auto"/>
        </w:rPr>
        <w:t>Borrower waives demand, protest, notice of protest, notice of default or dishonor, notice of payment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nonpayment, notice of any default, nonpayment at maturity, release, compromise, settlement, extension, or renewal of accounts, documents, instruments, chattel paper, and guarantees at any time held by Bank on which Borrower may in any way be liable.</w:t>
      </w:r>
    </w:p>
    <w:p>
      <w:pPr>
        <w:spacing w:after="0" w:line="162" w:lineRule="exact"/>
        <w:rPr>
          <w:sz w:val="20"/>
          <w:szCs w:val="20"/>
          <w:color w:val="auto"/>
        </w:rPr>
      </w:pPr>
    </w:p>
    <w:p>
      <w:pPr>
        <w:ind w:left="1260" w:hanging="626"/>
        <w:spacing w:after="0"/>
        <w:tabs>
          <w:tab w:leader="none" w:pos="1260" w:val="left"/>
        </w:tabs>
        <w:numPr>
          <w:ilvl w:val="0"/>
          <w:numId w:val="643"/>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w:t>
      </w:r>
    </w:p>
    <w:p>
      <w:pPr>
        <w:spacing w:after="0" w:line="230" w:lineRule="exact"/>
        <w:rPr>
          <w:sz w:val="20"/>
          <w:szCs w:val="20"/>
          <w:color w:val="auto"/>
        </w:rPr>
      </w:pPr>
    </w:p>
    <w:p>
      <w:pPr>
        <w:ind w:right="380" w:firstLine="629"/>
        <w:spacing w:after="0" w:line="268" w:lineRule="auto"/>
        <w:rPr>
          <w:sz w:val="20"/>
          <w:szCs w:val="20"/>
          <w:color w:val="auto"/>
        </w:rPr>
      </w:pPr>
      <w:r>
        <w:rPr>
          <w:rFonts w:ascii="Arial" w:cs="Arial" w:eastAsia="Arial" w:hAnsi="Arial"/>
          <w:sz w:val="17"/>
          <w:szCs w:val="17"/>
          <w:color w:val="auto"/>
        </w:rPr>
        <w:t>Unless otherwise provided in this Agreement, all notices or demands by any party relating to this Agreement or any other agreement entered into in connection herewith shall be in writing and (except for financial statements and other informational documents which may be sent by first-class mail, postage prepaid) shall be personally delivered or sent by a recognized overnight delivery service, certified mail, postage prepaid, return receipt requested, or by telefacsimile to Borrower or to Bank, as the case may be, at its addresses set forth below:</w:t>
      </w:r>
    </w:p>
    <w:p>
      <w:pPr>
        <w:sectPr>
          <w:pgSz w:w="11900" w:h="16838" w:orient="portrait"/>
          <w:cols w:equalWidth="0" w:num="1">
            <w:col w:w="11420"/>
          </w:cols>
          <w:pgMar w:left="240" w:top="573" w:right="239" w:bottom="0" w:gutter="0" w:footer="0" w:header="0"/>
        </w:sectPr>
      </w:pP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If to Borrower: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APPLIED OPTOELECTRONICS, INC.</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13115 Jess Pirtle Blvd.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Sugar Land, TX 77478</w:t>
      </w:r>
    </w:p>
    <w:p>
      <w:pPr>
        <w:sectPr>
          <w:pgSz w:w="11900" w:h="16838" w:orient="portrait"/>
          <w:cols w:equalWidth="0" w:num="2">
            <w:col w:w="3860" w:space="720"/>
            <w:col w:w="6840"/>
          </w:cols>
          <w:pgMar w:left="240" w:top="573" w:right="239" w:bottom="0" w:gutter="0" w:footer="0" w:header="0"/>
          <w:type w:val="continuous"/>
        </w:sectPr>
      </w:pPr>
    </w:p>
    <w:bookmarkStart w:id="397" w:name="page398"/>
    <w:bookmarkEnd w:id="397"/>
    <w:p>
      <w:pPr>
        <w:ind w:left="4580"/>
        <w:spacing w:after="0"/>
        <w:rPr>
          <w:sz w:val="20"/>
          <w:szCs w:val="20"/>
          <w:color w:val="auto"/>
        </w:rPr>
      </w:pPr>
      <w:r>
        <w:rPr>
          <w:rFonts w:ascii="Arial" w:cs="Arial" w:eastAsia="Arial" w:hAnsi="Arial"/>
          <w:sz w:val="17"/>
          <w:szCs w:val="17"/>
          <w:color w:val="auto"/>
        </w:rPr>
        <w:t>Attn: Thompson Lin</w:t>
      </w:r>
    </w:p>
    <w:p>
      <w:pPr>
        <w:spacing w:after="0" w:line="26"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Attn: N. Stephan Kinsella</w:t>
      </w:r>
    </w:p>
    <w:p>
      <w:pPr>
        <w:spacing w:after="0" w:line="26"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FAX: (281) 295-1889</w:t>
      </w:r>
    </w:p>
    <w:p>
      <w:pPr>
        <w:sectPr>
          <w:pgSz w:w="11900" w:h="16838" w:orient="portrait"/>
          <w:cols w:equalWidth="0" w:num="1">
            <w:col w:w="11420"/>
          </w:cols>
          <w:pgMar w:left="240" w:top="127" w:right="239" w:bottom="0" w:gutter="0" w:footer="0" w:header="0"/>
        </w:sectPr>
      </w:pP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If to Bank:</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UNITED COMMERCIAL BANK</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United Commercial Bank</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555 Montgomery Street, 4th Floor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 94111</w:t>
      </w:r>
    </w:p>
    <w:p>
      <w:pPr>
        <w:spacing w:after="0" w:line="200" w:lineRule="exact"/>
        <w:rPr>
          <w:sz w:val="20"/>
          <w:szCs w:val="20"/>
          <w:color w:val="auto"/>
        </w:rPr>
      </w:pPr>
    </w:p>
    <w:p>
      <w:pPr>
        <w:sectPr>
          <w:pgSz w:w="11900" w:h="16838" w:orient="portrait"/>
          <w:cols w:equalWidth="0" w:num="2">
            <w:col w:w="3860" w:space="720"/>
            <w:col w:w="6840"/>
          </w:cols>
          <w:pgMar w:left="240" w:top="127" w:right="239" w:bottom="0" w:gutter="0" w:footer="0" w:header="0"/>
          <w:type w:val="continuous"/>
        </w:sectPr>
      </w:pPr>
    </w:p>
    <w:p>
      <w:pPr>
        <w:spacing w:after="0" w:line="12"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Attn: Technology Banking Group #288</w:t>
      </w:r>
    </w:p>
    <w:p>
      <w:pPr>
        <w:spacing w:after="0" w:line="38"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Phone : (408) 496-5406</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Fax: (408) 748-1268</w:t>
      </w:r>
    </w:p>
    <w:p>
      <w:pPr>
        <w:spacing w:after="0" w:line="212"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Additional Contact Person: Yu-Fu Lin</w:t>
      </w:r>
    </w:p>
    <w:p>
      <w:pPr>
        <w:spacing w:after="0" w:line="38"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FAX: (408) 748-1268</w:t>
      </w:r>
    </w:p>
    <w:p>
      <w:pPr>
        <w:sectPr>
          <w:pgSz w:w="11900" w:h="16838" w:orient="portrait"/>
          <w:cols w:equalWidth="0" w:num="1">
            <w:col w:w="11420"/>
          </w:cols>
          <w:pgMar w:left="240" w:top="127" w:right="239" w:bottom="0" w:gutter="0" w:footer="0" w:header="0"/>
          <w:type w:val="continuous"/>
        </w:sectPr>
      </w:pPr>
    </w:p>
    <w:p>
      <w:pPr>
        <w:spacing w:after="0" w:line="21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parties hereto may change the address at which they are to receive notices hereunder, by notice in writing in the foregoing manner given to the other.</w:t>
      </w:r>
    </w:p>
    <w:p>
      <w:pPr>
        <w:spacing w:after="0" w:line="241" w:lineRule="exact"/>
        <w:rPr>
          <w:sz w:val="20"/>
          <w:szCs w:val="20"/>
          <w:color w:val="auto"/>
        </w:rPr>
      </w:pPr>
    </w:p>
    <w:p>
      <w:pPr>
        <w:ind w:left="1240" w:hanging="606"/>
        <w:spacing w:after="0"/>
        <w:tabs>
          <w:tab w:leader="none" w:pos="1240" w:val="left"/>
        </w:tabs>
        <w:numPr>
          <w:ilvl w:val="0"/>
          <w:numId w:val="644"/>
        </w:numPr>
        <w:rPr>
          <w:rFonts w:ascii="Arial" w:cs="Arial" w:eastAsia="Arial" w:hAnsi="Arial"/>
          <w:sz w:val="17"/>
          <w:szCs w:val="17"/>
          <w:b w:val="1"/>
          <w:bCs w:val="1"/>
          <w:color w:val="auto"/>
        </w:rPr>
      </w:pPr>
      <w:r>
        <w:rPr>
          <w:rFonts w:ascii="Arial" w:cs="Arial" w:eastAsia="Arial" w:hAnsi="Arial"/>
          <w:sz w:val="17"/>
          <w:szCs w:val="17"/>
          <w:b w:val="1"/>
          <w:bCs w:val="1"/>
          <w:color w:val="auto"/>
        </w:rPr>
        <w:t>JURY TRIAL WAIVER, JUDICIAL REFERENCE</w:t>
      </w:r>
      <w:r>
        <w:rPr>
          <w:rFonts w:ascii="Arial" w:cs="Arial" w:eastAsia="Arial" w:hAnsi="Arial"/>
          <w:sz w:val="17"/>
          <w:szCs w:val="17"/>
          <w:color w:val="auto"/>
        </w:rPr>
        <w: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29"/>
        <w:spacing w:after="0" w:line="276" w:lineRule="auto"/>
        <w:rPr>
          <w:sz w:val="20"/>
          <w:szCs w:val="20"/>
          <w:color w:val="auto"/>
        </w:rPr>
      </w:pPr>
      <w:r>
        <w:rPr>
          <w:rFonts w:ascii="Arial" w:cs="Arial" w:eastAsia="Arial" w:hAnsi="Arial"/>
          <w:sz w:val="16"/>
          <w:szCs w:val="16"/>
          <w:color w:val="auto"/>
        </w:rPr>
        <w:t>This Agreement shall be governed by, and construed in accordance with, the internal laws of the State of California, without regard to principles of conflicts of law. Each of Borrower and Bank hereby submits to the exclusive jurisdiction of the state and Federal courts located in the County of Santa Clara, State of California. BORROWER AND BY ITS ACCEPTANCE OF THE BENEFITS HEREOF, BANK AGREES TO WAIVE THEIR RESPECTIVE RIGHTS TO A JURY TRIAL OF ANY CLAIM OR CAUSE OF ACTION BASED UPON OR ARISING OUT OF ANY OF THE LOAN DOCUMENTS OR ANY OF THE TRANSACTIONS CONTEMPLATED THEREIN. The scope of this waiver is intended to be all-encompassing of any and all disputes that may be filed in any court and that relate to the subject matter of this transaction, including without limitation contract claims, tort claims, breach of duty claims and all other common law and statutory claims. Borrower and, by its acceptance of the benefits hereof, Bank each (i) acknowledges that this waiver is a material inducement for Borrower and Bank to enter into a business relationship, that Borrower and Bank have already relied on this waiver in entering into this Agreement or accepting the benefits thereof, as the case may be, and that each will continue to rely on this waiver in their related future dealings, and (ii) further warrants and represents that each has reviewed this waiver with its legal counsel, and that each knowingly and voluntarily waives its jury trial rights following consultation with legal counsel. THIS WAIVER IS IRREVOCABLE, MEANING THAT IT MAY NOT BE MODIFIED EITHER ORALLY OR IN WRITING, AND THIS WAIVER SHALL APPLY TO ANY SUBSEQUENT AMENDMENTS, RENEWALS, SUPPLEMENTS OR MODIFICATIONS TO THIS AGREEMENT. In the event of litigation, this Agreement may be filed as a written consent to a trial by the court. IF THIS JURY TRIAL WAIVER IS NOT ENFORCEABLE THE PARTIES HERETO WILL RESOLVE ALL CLAIMS, DISPUTES AND OTHER MATTERS BY JUDICIAL REFERENCE UNDER CODE OF CIVIL PROCEDURE SECTION 638 ET SEQ. BEFORE A MUTUALLY ACCEPTABLE REFEREE OR, IF NONE, BY A REFEREE APPOINTED BY THE PRESIDING JUDGE OF THE CALIFORNIA SUPERIOR COURT FOR SANTA CLARA COUNTY.</w:t>
      </w:r>
    </w:p>
    <w:p>
      <w:pPr>
        <w:spacing w:after="0" w:line="174" w:lineRule="exact"/>
        <w:rPr>
          <w:sz w:val="20"/>
          <w:szCs w:val="20"/>
          <w:color w:val="auto"/>
        </w:rPr>
      </w:pPr>
    </w:p>
    <w:p>
      <w:pPr>
        <w:ind w:left="1260" w:hanging="626"/>
        <w:spacing w:after="0"/>
        <w:tabs>
          <w:tab w:leader="none" w:pos="1260" w:val="left"/>
        </w:tabs>
        <w:numPr>
          <w:ilvl w:val="0"/>
          <w:numId w:val="645"/>
        </w:numPr>
        <w:rPr>
          <w:rFonts w:ascii="Arial" w:cs="Arial" w:eastAsia="Arial" w:hAnsi="Arial"/>
          <w:sz w:val="17"/>
          <w:szCs w:val="17"/>
          <w:b w:val="1"/>
          <w:bCs w:val="1"/>
          <w:color w:val="auto"/>
        </w:rPr>
      </w:pPr>
      <w:r>
        <w:rPr>
          <w:rFonts w:ascii="Arial" w:cs="Arial" w:eastAsia="Arial" w:hAnsi="Arial"/>
          <w:sz w:val="17"/>
          <w:szCs w:val="17"/>
          <w:b w:val="1"/>
          <w:bCs w:val="1"/>
          <w:color w:val="auto"/>
        </w:rPr>
        <w:t>GENERAL PROVISIONS</w:t>
      </w:r>
      <w:r>
        <w:rPr>
          <w:rFonts w:ascii="Arial" w:cs="Arial" w:eastAsia="Arial" w:hAnsi="Arial"/>
          <w:sz w:val="17"/>
          <w:szCs w:val="17"/>
          <w:color w:val="auto"/>
        </w:rPr>
        <w:t>.</w:t>
      </w:r>
    </w:p>
    <w:p>
      <w:pPr>
        <w:spacing w:after="0" w:line="224" w:lineRule="exact"/>
        <w:rPr>
          <w:sz w:val="20"/>
          <w:szCs w:val="20"/>
          <w:color w:val="auto"/>
        </w:rPr>
      </w:pPr>
    </w:p>
    <w:p>
      <w:pPr>
        <w:jc w:val="both"/>
        <w:ind w:right="20" w:firstLine="1259"/>
        <w:spacing w:after="0" w:line="267" w:lineRule="auto"/>
        <w:rPr>
          <w:sz w:val="20"/>
          <w:szCs w:val="20"/>
          <w:color w:val="auto"/>
        </w:rPr>
      </w:pPr>
      <w:r>
        <w:rPr>
          <w:rFonts w:ascii="Arial" w:cs="Arial" w:eastAsia="Arial" w:hAnsi="Arial"/>
          <w:sz w:val="17"/>
          <w:szCs w:val="17"/>
          <w:b w:val="1"/>
          <w:bCs w:val="1"/>
          <w:color w:val="auto"/>
        </w:rPr>
        <w:t>12.1 Successors and Assigns</w:t>
      </w:r>
      <w:r>
        <w:rPr>
          <w:rFonts w:ascii="Arial" w:cs="Arial" w:eastAsia="Arial" w:hAnsi="Arial"/>
          <w:sz w:val="17"/>
          <w:szCs w:val="17"/>
          <w:color w:val="auto"/>
        </w:rPr>
        <w:t>. This Agreement shall bind and inure to the benefit of the respective successors and permitted assigns of each</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parties and shall bind all persons who become bound as a debtor to this Agreement; provided, however, that neither this Agreement nor any rights hereunder may be assigned by Borrower without Bank’s prior written consent, which consent may be granted or withheld in Bank’s sole discretion. Bank shall have the right without the consent of or notice to Borrower to sell, transfer, negotiate, or grant participation in all or any part of, or any interest in, Bank’s obligations, rights and benefits hereunder.</w:t>
      </w:r>
    </w:p>
    <w:p>
      <w:pPr>
        <w:spacing w:after="0" w:line="171" w:lineRule="exact"/>
        <w:rPr>
          <w:sz w:val="20"/>
          <w:szCs w:val="20"/>
          <w:color w:val="auto"/>
        </w:rPr>
      </w:pPr>
    </w:p>
    <w:p>
      <w:pPr>
        <w:ind w:right="40" w:firstLine="1259"/>
        <w:spacing w:after="0" w:line="267" w:lineRule="auto"/>
        <w:rPr>
          <w:sz w:val="20"/>
          <w:szCs w:val="20"/>
          <w:color w:val="auto"/>
        </w:rPr>
      </w:pPr>
      <w:r>
        <w:rPr>
          <w:rFonts w:ascii="Arial" w:cs="Arial" w:eastAsia="Arial" w:hAnsi="Arial"/>
          <w:sz w:val="17"/>
          <w:szCs w:val="17"/>
          <w:b w:val="1"/>
          <w:bCs w:val="1"/>
          <w:color w:val="auto"/>
        </w:rPr>
        <w:t>12.2 Indemnification</w:t>
      </w:r>
      <w:r>
        <w:rPr>
          <w:rFonts w:ascii="Arial" w:cs="Arial" w:eastAsia="Arial" w:hAnsi="Arial"/>
          <w:sz w:val="17"/>
          <w:szCs w:val="17"/>
          <w:color w:val="auto"/>
        </w:rPr>
        <w:t>. Borrower shall defend, indemnify and hold harmless Bank and its officers, employees, and agents against: (a) all</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demands, claims, and liabilities claimed or asserted by any other party in connection with the transactions contemplated by this Agreement; and (b) all losses or Bank Expenses in any way suffered, incurred, or paid by Bank, its officers, employees and agents as a result of or in any way arising out of, following, or consequential to transactions between Bank and Borrower whether under this Agreement, or otherwise (including without limitation reasonable attorneys fees and expenses), except for losses caused by Bank’s gross negligence or willful misconduct.</w:t>
      </w:r>
    </w:p>
    <w:p>
      <w:pPr>
        <w:spacing w:after="0" w:line="171"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b w:val="1"/>
          <w:bCs w:val="1"/>
          <w:color w:val="auto"/>
        </w:rPr>
        <w:t>12.3</w:t>
      </w:r>
      <w:r>
        <w:rPr>
          <w:sz w:val="20"/>
          <w:szCs w:val="20"/>
          <w:color w:val="auto"/>
        </w:rPr>
        <w:tab/>
      </w:r>
      <w:r>
        <w:rPr>
          <w:rFonts w:ascii="Arial" w:cs="Arial" w:eastAsia="Arial" w:hAnsi="Arial"/>
          <w:sz w:val="15"/>
          <w:szCs w:val="15"/>
          <w:b w:val="1"/>
          <w:bCs w:val="1"/>
          <w:color w:val="auto"/>
        </w:rPr>
        <w:t>Time of Essence</w:t>
      </w:r>
      <w:r>
        <w:rPr>
          <w:rFonts w:ascii="Arial" w:cs="Arial" w:eastAsia="Arial" w:hAnsi="Arial"/>
          <w:sz w:val="15"/>
          <w:szCs w:val="15"/>
          <w:color w:val="auto"/>
        </w:rPr>
        <w:t>. Time is of the essence for the performance of all obligations set forth in this Agreement.</w:t>
      </w:r>
    </w:p>
    <w:p>
      <w:pPr>
        <w:spacing w:after="0" w:line="224" w:lineRule="exact"/>
        <w:rPr>
          <w:sz w:val="20"/>
          <w:szCs w:val="20"/>
          <w:color w:val="auto"/>
        </w:rPr>
      </w:pPr>
    </w:p>
    <w:p>
      <w:pPr>
        <w:ind w:right="140" w:firstLine="1259"/>
        <w:spacing w:after="0" w:line="297" w:lineRule="auto"/>
        <w:rPr>
          <w:sz w:val="20"/>
          <w:szCs w:val="20"/>
          <w:color w:val="auto"/>
        </w:rPr>
      </w:pPr>
      <w:r>
        <w:rPr>
          <w:rFonts w:ascii="Arial" w:cs="Arial" w:eastAsia="Arial" w:hAnsi="Arial"/>
          <w:sz w:val="17"/>
          <w:szCs w:val="17"/>
          <w:b w:val="1"/>
          <w:bCs w:val="1"/>
          <w:color w:val="auto"/>
        </w:rPr>
        <w:t>12.4 Severability of Provisions</w:t>
      </w:r>
      <w:r>
        <w:rPr>
          <w:rFonts w:ascii="Arial" w:cs="Arial" w:eastAsia="Arial" w:hAnsi="Arial"/>
          <w:sz w:val="17"/>
          <w:szCs w:val="17"/>
          <w:color w:val="auto"/>
        </w:rPr>
        <w:t>. Each provision of this Agreement shall be severable from every other provision of this Agreement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purpose of determining the legal enforceability of any specific provision.</w:t>
      </w:r>
    </w:p>
    <w:p>
      <w:pPr>
        <w:spacing w:after="0" w:line="145" w:lineRule="exact"/>
        <w:rPr>
          <w:sz w:val="20"/>
          <w:szCs w:val="20"/>
          <w:color w:val="auto"/>
        </w:rPr>
      </w:pPr>
    </w:p>
    <w:p>
      <w:pPr>
        <w:ind w:right="140" w:firstLine="1259"/>
        <w:spacing w:after="0" w:line="267" w:lineRule="auto"/>
        <w:rPr>
          <w:sz w:val="20"/>
          <w:szCs w:val="20"/>
          <w:color w:val="auto"/>
        </w:rPr>
      </w:pPr>
      <w:r>
        <w:rPr>
          <w:rFonts w:ascii="Arial" w:cs="Arial" w:eastAsia="Arial" w:hAnsi="Arial"/>
          <w:sz w:val="17"/>
          <w:szCs w:val="17"/>
          <w:b w:val="1"/>
          <w:bCs w:val="1"/>
          <w:color w:val="auto"/>
        </w:rPr>
        <w:t xml:space="preserve">12.5 Restatement; Amendments in Writing, Integration. </w:t>
      </w:r>
      <w:r>
        <w:rPr>
          <w:rFonts w:ascii="Arial" w:cs="Arial" w:eastAsia="Arial" w:hAnsi="Arial"/>
          <w:sz w:val="17"/>
          <w:szCs w:val="17"/>
          <w:color w:val="auto"/>
        </w:rPr>
        <w:t>This Agreement amends and restates, without novation, the terms under which</w:t>
      </w:r>
      <w:r>
        <w:rPr>
          <w:rFonts w:ascii="Arial" w:cs="Arial" w:eastAsia="Arial" w:hAnsi="Arial"/>
          <w:sz w:val="17"/>
          <w:szCs w:val="17"/>
          <w:b w:val="1"/>
          <w:bCs w:val="1"/>
          <w:color w:val="auto"/>
        </w:rPr>
        <w:t xml:space="preserve"> </w:t>
      </w:r>
      <w:r>
        <w:rPr>
          <w:rFonts w:ascii="Arial" w:cs="Arial" w:eastAsia="Arial" w:hAnsi="Arial"/>
          <w:sz w:val="17"/>
          <w:szCs w:val="17"/>
          <w:color w:val="auto"/>
        </w:rPr>
        <w:t>Bank will advance credit to Borrower and Borrower will repay Bank. All security agreements and financing statements previously executed or filed continue to perfect the security interest of Bank in Borrower’s property. All amendments to or terminations of this Agreement or the other Loan Documents must be in writing. All prior agreements, understandings, representations, warranties, and negotiations between the parties hereto with respect to the subject matter of this Agreement and the other Loan Documents, if any, are merged into this Agreement and the Loan Documents.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40" w:firstLine="1259"/>
        <w:spacing w:after="0" w:line="330" w:lineRule="auto"/>
        <w:rPr>
          <w:sz w:val="20"/>
          <w:szCs w:val="20"/>
          <w:color w:val="auto"/>
        </w:rPr>
      </w:pPr>
      <w:r>
        <w:rPr>
          <w:rFonts w:ascii="Arial" w:cs="Arial" w:eastAsia="Arial" w:hAnsi="Arial"/>
          <w:sz w:val="16"/>
          <w:szCs w:val="16"/>
          <w:b w:val="1"/>
          <w:bCs w:val="1"/>
          <w:color w:val="auto"/>
        </w:rPr>
        <w:t>12.6 Counterparts</w:t>
      </w:r>
      <w:r>
        <w:rPr>
          <w:rFonts w:ascii="Arial" w:cs="Arial" w:eastAsia="Arial" w:hAnsi="Arial"/>
          <w:sz w:val="16"/>
          <w:szCs w:val="16"/>
          <w:color w:val="auto"/>
        </w:rPr>
        <w:t>. This Agreement may be executed in any number of counterparts and by different parties on separate counterparts,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which, when executed and delivered, shall be deemed to be an original, and all of which, when taken together, shall constitute but one and the same Agreement.</w:t>
      </w:r>
    </w:p>
    <w:p>
      <w:pPr>
        <w:spacing w:after="0" w:line="123" w:lineRule="exact"/>
        <w:rPr>
          <w:sz w:val="20"/>
          <w:szCs w:val="20"/>
          <w:color w:val="auto"/>
        </w:rPr>
      </w:pPr>
    </w:p>
    <w:p>
      <w:pPr>
        <w:ind w:right="160" w:firstLine="1259"/>
        <w:spacing w:after="0" w:line="270" w:lineRule="auto"/>
        <w:rPr>
          <w:sz w:val="20"/>
          <w:szCs w:val="20"/>
          <w:color w:val="auto"/>
        </w:rPr>
      </w:pPr>
      <w:r>
        <w:rPr>
          <w:rFonts w:ascii="Arial" w:cs="Arial" w:eastAsia="Arial" w:hAnsi="Arial"/>
          <w:sz w:val="17"/>
          <w:szCs w:val="17"/>
          <w:b w:val="1"/>
          <w:bCs w:val="1"/>
          <w:color w:val="auto"/>
        </w:rPr>
        <w:t>12.7 Survival</w:t>
      </w:r>
      <w:r>
        <w:rPr>
          <w:rFonts w:ascii="Arial" w:cs="Arial" w:eastAsia="Arial" w:hAnsi="Arial"/>
          <w:sz w:val="17"/>
          <w:szCs w:val="17"/>
          <w:color w:val="auto"/>
        </w:rPr>
        <w:t>. All covenants, representations and warranties made in this Agreement shall continue in full force and effect so long as any</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remain outstanding or Bank has any obligation to make any Credit Extension to Borrower. The obligations of Borrower to indemnify Bank with respect to the expenses, damages, losses, costs and liabilities described in Section 12.2 shall survive until all applicable statute of limitations periods with respect to actions that may be brought against Bank have run.</w:t>
      </w:r>
    </w:p>
    <w:p>
      <w:pPr>
        <w:sectPr>
          <w:pgSz w:w="11900" w:h="16838" w:orient="portrait"/>
          <w:cols w:equalWidth="0" w:num="1">
            <w:col w:w="11420"/>
          </w:cols>
          <w:pgMar w:left="240" w:top="127" w:right="239" w:bottom="0" w:gutter="0" w:footer="0" w:header="0"/>
          <w:type w:val="continuous"/>
        </w:sectPr>
      </w:pPr>
    </w:p>
    <w:bookmarkStart w:id="398" w:name="page399"/>
    <w:bookmarkEnd w:id="398"/>
    <w:p>
      <w:pPr>
        <w:ind w:right="60" w:firstLine="1259"/>
        <w:spacing w:after="0" w:line="261" w:lineRule="auto"/>
        <w:rPr>
          <w:sz w:val="20"/>
          <w:szCs w:val="20"/>
          <w:color w:val="auto"/>
        </w:rPr>
      </w:pPr>
      <w:r>
        <w:rPr>
          <w:rFonts w:ascii="Arial" w:cs="Arial" w:eastAsia="Arial" w:hAnsi="Arial"/>
          <w:sz w:val="17"/>
          <w:szCs w:val="17"/>
          <w:b w:val="1"/>
          <w:bCs w:val="1"/>
          <w:color w:val="auto"/>
        </w:rPr>
        <w:t>12.8 Confidentiality</w:t>
      </w:r>
      <w:r>
        <w:rPr>
          <w:rFonts w:ascii="Arial" w:cs="Arial" w:eastAsia="Arial" w:hAnsi="Arial"/>
          <w:sz w:val="17"/>
          <w:szCs w:val="17"/>
          <w:color w:val="auto"/>
        </w:rPr>
        <w:t>. In handling any confidential information, Bank and all employees and agents of Bank shall exercise the same degree</w:t>
      </w:r>
      <w:r>
        <w:rPr>
          <w:rFonts w:ascii="Arial" w:cs="Arial" w:eastAsia="Arial" w:hAnsi="Arial"/>
          <w:sz w:val="17"/>
          <w:szCs w:val="17"/>
          <w:b w:val="1"/>
          <w:bCs w:val="1"/>
          <w:color w:val="auto"/>
        </w:rPr>
        <w:t xml:space="preserve"> </w:t>
      </w:r>
      <w:r>
        <w:rPr>
          <w:rFonts w:ascii="Arial" w:cs="Arial" w:eastAsia="Arial" w:hAnsi="Arial"/>
          <w:sz w:val="17"/>
          <w:szCs w:val="17"/>
          <w:color w:val="auto"/>
        </w:rPr>
        <w:t>of care that Bank exercises with respect to its own proprietary information of the same types to maintain the confidentiality of any non-public information thereby received or received pursuant to this Agreement except that disclosure of such information may be made (i) to the subsidiaries or Affiliates of Bank in connection with their present or prospective business relations with Borrower, (ii) to prospective transferees or purchasers of any interest in the Loans, provided that they have entered into a comparable confidentiality agreement in favor of Borrower and have delivered a copy to Borrower, (iii) as required by law, regulations, rule or order, subpoena, judicial order or similar order, (iv) as may be required in connection with the examination, audit or similar investigation of Bank and (v) as Bank may determine in connection with the enforcement of any remedies hereunder. Confidential information hereunder shall not include information that either: (a) is in the public domain or in the knowledge or possession of Bank when disclosed to Bank, or becomes part of the public domain after disclosure to Bank through no fault of Bank; or (b) is disclosed to Bank by a third party, provided Bank does not have actual knowledge that such third party is prohibited from disclosing such information.</w:t>
      </w:r>
    </w:p>
    <w:p>
      <w:pPr>
        <w:spacing w:after="0" w:line="181" w:lineRule="exact"/>
        <w:rPr>
          <w:sz w:val="20"/>
          <w:szCs w:val="20"/>
          <w:color w:val="auto"/>
        </w:rPr>
      </w:pPr>
    </w:p>
    <w:p>
      <w:pPr>
        <w:ind w:right="540" w:firstLine="1259"/>
        <w:spacing w:after="0" w:line="297" w:lineRule="auto"/>
        <w:rPr>
          <w:sz w:val="20"/>
          <w:szCs w:val="20"/>
          <w:color w:val="auto"/>
        </w:rPr>
      </w:pPr>
      <w:r>
        <w:rPr>
          <w:rFonts w:ascii="Arial" w:cs="Arial" w:eastAsia="Arial" w:hAnsi="Arial"/>
          <w:sz w:val="17"/>
          <w:szCs w:val="17"/>
          <w:b w:val="1"/>
          <w:bCs w:val="1"/>
          <w:color w:val="auto"/>
        </w:rPr>
        <w:t>12.9 Borrower Agreement</w:t>
      </w:r>
      <w:r>
        <w:rPr>
          <w:rFonts w:ascii="Arial" w:cs="Arial" w:eastAsia="Arial" w:hAnsi="Arial"/>
          <w:sz w:val="17"/>
          <w:szCs w:val="17"/>
          <w:color w:val="auto"/>
        </w:rPr>
        <w:t>. The terms of the Borrower Agreement shall control in the event of any conflict between the terms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the Borrower Agreement.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caused this Agreement to be executed as of the date first above written.</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APPLIED OPTOELECTRONICS, INC.</w:t>
      </w:r>
    </w:p>
    <w:p>
      <w:pPr>
        <w:spacing w:after="0" w:line="200" w:lineRule="exact"/>
        <w:rPr>
          <w:sz w:val="20"/>
          <w:szCs w:val="20"/>
          <w:color w:val="auto"/>
        </w:rPr>
      </w:pPr>
    </w:p>
    <w:p>
      <w:pPr>
        <w:spacing w:after="0" w:line="234" w:lineRule="exact"/>
        <w:rPr>
          <w:sz w:val="20"/>
          <w:szCs w:val="20"/>
          <w:color w:val="auto"/>
        </w:rPr>
      </w:pPr>
    </w:p>
    <w:p>
      <w:pPr>
        <w:ind w:left="5720"/>
        <w:spacing w:after="0"/>
        <w:tabs>
          <w:tab w:leader="none" w:pos="63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Lin, Chih-Hsiang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4032250</wp:posOffset>
            </wp:positionH>
            <wp:positionV relativeFrom="paragraph">
              <wp:posOffset>17145</wp:posOffset>
            </wp:positionV>
            <wp:extent cx="32213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204" w:lineRule="exact"/>
        <w:rPr>
          <w:sz w:val="20"/>
          <w:szCs w:val="20"/>
          <w:color w:val="auto"/>
        </w:rPr>
      </w:pPr>
    </w:p>
    <w:p>
      <w:pPr>
        <w:ind w:left="5720"/>
        <w:spacing w:after="0"/>
        <w:tabs>
          <w:tab w:leader="none" w:pos="6320" w:val="left"/>
        </w:tabs>
        <w:rPr>
          <w:sz w:val="20"/>
          <w:szCs w:val="20"/>
          <w:color w:val="auto"/>
        </w:rPr>
      </w:pPr>
      <w:r>
        <w:rPr>
          <w:rFonts w:ascii="Arial" w:cs="Arial" w:eastAsia="Arial" w:hAnsi="Arial"/>
          <w:sz w:val="17"/>
          <w:szCs w:val="17"/>
          <w:color w:val="auto"/>
        </w:rPr>
        <w:t>Title:</w:t>
        <w:tab/>
        <w:t>President/CEO</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UNITED COMMERCIAL BANK</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60" w:type="dxa"/>
            <w:vAlign w:val="bottom"/>
          </w:tcPr>
          <w:p>
            <w:pPr>
              <w:spacing w:after="0"/>
              <w:rPr>
                <w:sz w:val="19"/>
                <w:szCs w:val="19"/>
                <w:color w:val="auto"/>
              </w:rPr>
            </w:pPr>
          </w:p>
        </w:tc>
        <w:tc>
          <w:tcPr>
            <w:tcW w:w="3980" w:type="dxa"/>
            <w:vAlign w:val="bottom"/>
          </w:tcPr>
          <w:p>
            <w:pPr>
              <w:ind w:left="3360"/>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Yu-Fu Lin</w:t>
            </w:r>
          </w:p>
        </w:tc>
        <w:tc>
          <w:tcPr>
            <w:tcW w:w="40" w:type="dxa"/>
            <w:vAlign w:val="bottom"/>
          </w:tcPr>
          <w:p>
            <w:pPr>
              <w:spacing w:after="0"/>
              <w:rPr>
                <w:sz w:val="19"/>
                <w:szCs w:val="19"/>
                <w:color w:val="auto"/>
              </w:rPr>
            </w:pPr>
          </w:p>
        </w:tc>
      </w:tr>
      <w:tr>
        <w:trPr>
          <w:trHeight w:val="399"/>
        </w:trPr>
        <w:tc>
          <w:tcPr>
            <w:tcW w:w="2360" w:type="dxa"/>
            <w:vAlign w:val="bottom"/>
          </w:tcPr>
          <w:p>
            <w:pPr>
              <w:spacing w:after="0"/>
              <w:rPr>
                <w:sz w:val="24"/>
                <w:szCs w:val="24"/>
                <w:color w:val="auto"/>
              </w:rPr>
            </w:pPr>
          </w:p>
        </w:tc>
        <w:tc>
          <w:tcPr>
            <w:tcW w:w="3980" w:type="dxa"/>
            <w:vAlign w:val="bottom"/>
          </w:tcPr>
          <w:p>
            <w:pPr>
              <w:ind w:left="3360"/>
              <w:spacing w:after="0"/>
              <w:rPr>
                <w:sz w:val="20"/>
                <w:szCs w:val="20"/>
                <w:color w:val="auto"/>
              </w:rPr>
            </w:pPr>
            <w:r>
              <w:rPr>
                <w:rFonts w:ascii="Arial" w:cs="Arial" w:eastAsia="Arial" w:hAnsi="Arial"/>
                <w:sz w:val="17"/>
                <w:szCs w:val="17"/>
                <w:color w:val="auto"/>
              </w:rPr>
              <w:t>Title:</w:t>
            </w:r>
          </w:p>
        </w:tc>
        <w:tc>
          <w:tcPr>
            <w:tcW w:w="5080" w:type="dxa"/>
            <w:vAlign w:val="bottom"/>
          </w:tcPr>
          <w:p>
            <w:pPr>
              <w:spacing w:after="0"/>
              <w:rPr>
                <w:sz w:val="20"/>
                <w:szCs w:val="20"/>
                <w:color w:val="auto"/>
              </w:rPr>
            </w:pPr>
            <w:r>
              <w:rPr>
                <w:rFonts w:ascii="Arial" w:cs="Arial" w:eastAsia="Arial" w:hAnsi="Arial"/>
                <w:sz w:val="17"/>
                <w:szCs w:val="17"/>
                <w:color w:val="auto"/>
              </w:rPr>
              <w:t>FVP and Manager</w:t>
            </w:r>
          </w:p>
        </w:tc>
        <w:tc>
          <w:tcPr>
            <w:tcW w:w="40" w:type="dxa"/>
            <w:vAlign w:val="bottom"/>
          </w:tcPr>
          <w:p>
            <w:pPr>
              <w:spacing w:after="0"/>
              <w:rPr>
                <w:sz w:val="24"/>
                <w:szCs w:val="24"/>
                <w:color w:val="auto"/>
              </w:rPr>
            </w:pPr>
          </w:p>
        </w:tc>
      </w:tr>
      <w:tr>
        <w:trPr>
          <w:trHeight w:val="419"/>
        </w:trPr>
        <w:tc>
          <w:tcPr>
            <w:tcW w:w="2360" w:type="dxa"/>
            <w:vAlign w:val="bottom"/>
          </w:tcPr>
          <w:p>
            <w:pPr>
              <w:spacing w:after="0"/>
              <w:rPr>
                <w:sz w:val="24"/>
                <w:szCs w:val="24"/>
                <w:color w:val="auto"/>
              </w:rPr>
            </w:pPr>
          </w:p>
        </w:tc>
        <w:tc>
          <w:tcPr>
            <w:tcW w:w="3980" w:type="dxa"/>
            <w:vAlign w:val="bottom"/>
          </w:tcPr>
          <w:p>
            <w:pPr>
              <w:ind w:left="3260"/>
              <w:spacing w:after="0"/>
              <w:rPr>
                <w:sz w:val="20"/>
                <w:szCs w:val="20"/>
                <w:color w:val="auto"/>
              </w:rPr>
            </w:pPr>
            <w:r>
              <w:rPr>
                <w:rFonts w:ascii="Arial" w:cs="Arial" w:eastAsia="Arial" w:hAnsi="Arial"/>
                <w:sz w:val="17"/>
                <w:szCs w:val="17"/>
                <w:color w:val="auto"/>
              </w:rPr>
              <w:t>26</w:t>
            </w:r>
          </w:p>
        </w:tc>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2360" w:type="dxa"/>
            <w:vAlign w:val="bottom"/>
            <w:tcBorders>
              <w:bottom w:val="single" w:sz="8" w:color="010101"/>
            </w:tcBorders>
          </w:tcPr>
          <w:p>
            <w:pPr>
              <w:spacing w:after="0"/>
              <w:rPr>
                <w:sz w:val="11"/>
                <w:szCs w:val="11"/>
                <w:color w:val="auto"/>
              </w:rPr>
            </w:pPr>
          </w:p>
        </w:tc>
        <w:tc>
          <w:tcPr>
            <w:tcW w:w="3980" w:type="dxa"/>
            <w:vAlign w:val="bottom"/>
            <w:tcBorders>
              <w:bottom w:val="single" w:sz="8" w:color="010101"/>
            </w:tcBorders>
          </w:tcPr>
          <w:p>
            <w:pPr>
              <w:spacing w:after="0"/>
              <w:rPr>
                <w:sz w:val="11"/>
                <w:szCs w:val="11"/>
                <w:color w:val="auto"/>
              </w:rPr>
            </w:pPr>
          </w:p>
        </w:tc>
        <w:tc>
          <w:tcPr>
            <w:tcW w:w="50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30"/>
        </w:trPr>
        <w:tc>
          <w:tcPr>
            <w:tcW w:w="2360" w:type="dxa"/>
            <w:vAlign w:val="bottom"/>
          </w:tcPr>
          <w:p>
            <w:pPr>
              <w:spacing w:after="0"/>
              <w:rPr>
                <w:sz w:val="20"/>
                <w:szCs w:val="20"/>
                <w:color w:val="auto"/>
              </w:rPr>
            </w:pPr>
            <w:r>
              <w:rPr>
                <w:rFonts w:ascii="Arial" w:cs="Arial" w:eastAsia="Arial" w:hAnsi="Arial"/>
                <w:sz w:val="17"/>
                <w:szCs w:val="17"/>
                <w:b w:val="1"/>
                <w:bCs w:val="1"/>
                <w:color w:val="auto"/>
              </w:rPr>
              <w:t>DEBTOR:</w:t>
            </w:r>
          </w:p>
        </w:tc>
        <w:tc>
          <w:tcPr>
            <w:tcW w:w="3980" w:type="dxa"/>
            <w:vAlign w:val="bottom"/>
          </w:tcPr>
          <w:p>
            <w:pPr>
              <w:ind w:left="860"/>
              <w:spacing w:after="0"/>
              <w:rPr>
                <w:sz w:val="20"/>
                <w:szCs w:val="20"/>
                <w:color w:val="auto"/>
              </w:rPr>
            </w:pPr>
            <w:r>
              <w:rPr>
                <w:rFonts w:ascii="Arial" w:cs="Arial" w:eastAsia="Arial" w:hAnsi="Arial"/>
                <w:sz w:val="17"/>
                <w:szCs w:val="17"/>
                <w:b w:val="1"/>
                <w:bCs w:val="1"/>
                <w:color w:val="auto"/>
              </w:rPr>
              <w:t>APPLIED OPTOELECTRONICS, INC.</w:t>
            </w:r>
          </w:p>
        </w:tc>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2360" w:type="dxa"/>
            <w:vAlign w:val="bottom"/>
          </w:tcPr>
          <w:p>
            <w:pPr>
              <w:spacing w:after="0"/>
              <w:rPr>
                <w:sz w:val="20"/>
                <w:szCs w:val="20"/>
                <w:color w:val="auto"/>
              </w:rPr>
            </w:pPr>
            <w:r>
              <w:rPr>
                <w:rFonts w:ascii="Arial" w:cs="Arial" w:eastAsia="Arial" w:hAnsi="Arial"/>
                <w:sz w:val="17"/>
                <w:szCs w:val="17"/>
                <w:b w:val="1"/>
                <w:bCs w:val="1"/>
                <w:color w:val="auto"/>
              </w:rPr>
              <w:t>SECURED PARTY:</w:t>
            </w:r>
          </w:p>
        </w:tc>
        <w:tc>
          <w:tcPr>
            <w:tcW w:w="3980" w:type="dxa"/>
            <w:vAlign w:val="bottom"/>
          </w:tcPr>
          <w:p>
            <w:pPr>
              <w:ind w:left="860"/>
              <w:spacing w:after="0"/>
              <w:rPr>
                <w:sz w:val="20"/>
                <w:szCs w:val="20"/>
                <w:color w:val="auto"/>
              </w:rPr>
            </w:pPr>
            <w:r>
              <w:rPr>
                <w:rFonts w:ascii="Arial" w:cs="Arial" w:eastAsia="Arial" w:hAnsi="Arial"/>
                <w:sz w:val="17"/>
                <w:szCs w:val="17"/>
                <w:b w:val="1"/>
                <w:bCs w:val="1"/>
                <w:color w:val="auto"/>
              </w:rPr>
              <w:t>UNITED COMMERCIAL BANK</w:t>
            </w:r>
          </w:p>
        </w:tc>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2360" w:type="dxa"/>
            <w:vAlign w:val="bottom"/>
          </w:tcPr>
          <w:p>
            <w:pPr>
              <w:spacing w:after="0"/>
              <w:rPr>
                <w:sz w:val="24"/>
                <w:szCs w:val="24"/>
                <w:color w:val="auto"/>
              </w:rPr>
            </w:pPr>
          </w:p>
        </w:tc>
        <w:tc>
          <w:tcPr>
            <w:tcW w:w="3980" w:type="dxa"/>
            <w:vAlign w:val="bottom"/>
          </w:tcPr>
          <w:p>
            <w:pPr>
              <w:ind w:left="2900"/>
              <w:spacing w:after="0"/>
              <w:rPr>
                <w:sz w:val="20"/>
                <w:szCs w:val="20"/>
                <w:color w:val="auto"/>
              </w:rPr>
            </w:pPr>
            <w:r>
              <w:rPr>
                <w:rFonts w:ascii="Arial" w:cs="Arial" w:eastAsia="Arial" w:hAnsi="Arial"/>
                <w:sz w:val="17"/>
                <w:szCs w:val="17"/>
                <w:b w:val="1"/>
                <w:bCs w:val="1"/>
                <w:color w:val="auto"/>
              </w:rPr>
              <w:t>EXHIBIT A</w:t>
            </w:r>
          </w:p>
        </w:tc>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-1024890</wp:posOffset>
            </wp:positionV>
            <wp:extent cx="12700" cy="2921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-1024890</wp:posOffset>
            </wp:positionV>
            <wp:extent cx="12700" cy="2921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COLLATERAL DESCRIPTION ATTACHMENT TO LOAN AND SECURITY AGREEMENT</w:t>
      </w:r>
    </w:p>
    <w:p>
      <w:pPr>
        <w:spacing w:after="0" w:line="230" w:lineRule="exact"/>
        <w:rPr>
          <w:sz w:val="20"/>
          <w:szCs w:val="20"/>
          <w:color w:val="auto"/>
        </w:rPr>
      </w:pPr>
    </w:p>
    <w:p>
      <w:pPr>
        <w:ind w:right="680"/>
        <w:spacing w:after="0" w:line="289" w:lineRule="auto"/>
        <w:rPr>
          <w:sz w:val="20"/>
          <w:szCs w:val="20"/>
          <w:color w:val="auto"/>
        </w:rPr>
      </w:pPr>
      <w:r>
        <w:rPr>
          <w:rFonts w:ascii="Arial" w:cs="Arial" w:eastAsia="Arial" w:hAnsi="Arial"/>
          <w:sz w:val="17"/>
          <w:szCs w:val="17"/>
          <w:color w:val="auto"/>
        </w:rPr>
        <w:t>The Collateral shall consist of all right, title and interest of Borrower in and to the property of Borrower, whether presently existing or hereafter created or acquired, and wherever located, including, but not limited to:</w:t>
      </w:r>
    </w:p>
    <w:p>
      <w:pPr>
        <w:spacing w:after="0" w:line="158" w:lineRule="exact"/>
        <w:rPr>
          <w:sz w:val="20"/>
          <w:szCs w:val="20"/>
          <w:color w:val="auto"/>
        </w:rPr>
      </w:pPr>
    </w:p>
    <w:p>
      <w:pPr>
        <w:ind w:right="440" w:firstLine="1263"/>
        <w:spacing w:after="0" w:line="263" w:lineRule="auto"/>
        <w:tabs>
          <w:tab w:leader="none" w:pos="1895" w:val="left"/>
        </w:tabs>
        <w:numPr>
          <w:ilvl w:val="1"/>
          <w:numId w:val="646"/>
        </w:numPr>
        <w:rPr>
          <w:rFonts w:ascii="Arial" w:cs="Arial" w:eastAsia="Arial" w:hAnsi="Arial"/>
          <w:sz w:val="17"/>
          <w:szCs w:val="17"/>
          <w:b w:val="1"/>
          <w:bCs w:val="1"/>
          <w:color w:val="auto"/>
        </w:rPr>
      </w:pPr>
      <w:r>
        <w:rPr>
          <w:rFonts w:ascii="Arial" w:cs="Arial" w:eastAsia="Arial" w:hAnsi="Arial"/>
          <w:sz w:val="17"/>
          <w:szCs w:val="17"/>
          <w:color w:val="auto"/>
        </w:rPr>
        <w:t>all accounts (including health-care-insurance receivables), chattel paper (including tangible and electronic chattel paper), deposit accounts, documents (including negotiable documents), equipment (including all accessions and additions thereto), general intangibles (including payment intangibles and software), goods (including fixtures), instruments (including promissory notes), inventory (including all goods held for sale or lease or to be furnished under a contract of service, and including returns and repossessions), investment property (including securities and securities entitlements), letter of credit rights, money, and all of Debtor’s books and records with respect to any of the foregoing, and the computers and equipment containing said books and records;</w:t>
      </w:r>
    </w:p>
    <w:p>
      <w:pPr>
        <w:spacing w:after="0" w:line="183" w:lineRule="exact"/>
        <w:rPr>
          <w:rFonts w:ascii="Arial" w:cs="Arial" w:eastAsia="Arial" w:hAnsi="Arial"/>
          <w:sz w:val="17"/>
          <w:szCs w:val="17"/>
          <w:b w:val="1"/>
          <w:bCs w:val="1"/>
          <w:color w:val="auto"/>
        </w:rPr>
      </w:pPr>
    </w:p>
    <w:p>
      <w:pPr>
        <w:ind w:right="180" w:firstLine="1263"/>
        <w:spacing w:after="0" w:line="290" w:lineRule="auto"/>
        <w:tabs>
          <w:tab w:leader="none" w:pos="1905" w:val="left"/>
        </w:tabs>
        <w:numPr>
          <w:ilvl w:val="1"/>
          <w:numId w:val="646"/>
        </w:numPr>
        <w:rPr>
          <w:rFonts w:ascii="Arial" w:cs="Arial" w:eastAsia="Arial" w:hAnsi="Arial"/>
          <w:sz w:val="16"/>
          <w:szCs w:val="16"/>
          <w:b w:val="1"/>
          <w:bCs w:val="1"/>
          <w:color w:val="auto"/>
        </w:rPr>
      </w:pPr>
      <w:r>
        <w:rPr>
          <w:rFonts w:ascii="Arial" w:cs="Arial" w:eastAsia="Arial" w:hAnsi="Arial"/>
          <w:sz w:val="16"/>
          <w:szCs w:val="16"/>
          <w:color w:val="auto"/>
        </w:rPr>
        <w:t>all common law and statutory copyrights and copyright registrations, applications for registration, now existing or hereafter arising, in the United States of America or in any foreign jurisdiction, obtained or to be obtained on or in connection with any of the forgoing, or any parts thereof or any underlying or component elements of any of the forgoing, together with the right to copyright and all rights to renew or extend such copyrights and the right (but not the obligation) of Secured Party to sue in its own name and/or in the name of the Debtor for past, present and future infringements of copyright;</w:t>
      </w:r>
    </w:p>
    <w:p>
      <w:pPr>
        <w:spacing w:after="0" w:line="159" w:lineRule="exact"/>
        <w:rPr>
          <w:rFonts w:ascii="Arial" w:cs="Arial" w:eastAsia="Arial" w:hAnsi="Arial"/>
          <w:sz w:val="16"/>
          <w:szCs w:val="16"/>
          <w:b w:val="1"/>
          <w:bCs w:val="1"/>
          <w:color w:val="auto"/>
        </w:rPr>
      </w:pPr>
    </w:p>
    <w:p>
      <w:pPr>
        <w:ind w:right="60" w:firstLine="1263"/>
        <w:spacing w:after="0" w:line="273" w:lineRule="auto"/>
        <w:tabs>
          <w:tab w:leader="none" w:pos="1898" w:val="left"/>
        </w:tabs>
        <w:numPr>
          <w:ilvl w:val="1"/>
          <w:numId w:val="646"/>
        </w:numPr>
        <w:rPr>
          <w:rFonts w:ascii="Arial" w:cs="Arial" w:eastAsia="Arial" w:hAnsi="Arial"/>
          <w:sz w:val="17"/>
          <w:szCs w:val="17"/>
          <w:b w:val="1"/>
          <w:bCs w:val="1"/>
          <w:color w:val="auto"/>
        </w:rPr>
      </w:pPr>
      <w:r>
        <w:rPr>
          <w:rFonts w:ascii="Arial" w:cs="Arial" w:eastAsia="Arial" w:hAnsi="Arial"/>
          <w:sz w:val="17"/>
          <w:szCs w:val="17"/>
          <w:color w:val="auto"/>
        </w:rPr>
        <w:t>all trademarks, service marks, trade names and service names and the goodwill associated therewith, together with the right to trademark and all rights to renew or extend such trademarks and the right (but not the obligation) of Secured Party to sue in its own name and/or in the name of the Debtor for past, present and future infringements of trademark;</w:t>
      </w:r>
    </w:p>
    <w:p>
      <w:pPr>
        <w:spacing w:after="0" w:line="171" w:lineRule="exact"/>
        <w:rPr>
          <w:rFonts w:ascii="Arial" w:cs="Arial" w:eastAsia="Arial" w:hAnsi="Arial"/>
          <w:sz w:val="17"/>
          <w:szCs w:val="17"/>
          <w:b w:val="1"/>
          <w:bCs w:val="1"/>
          <w:color w:val="auto"/>
        </w:rPr>
      </w:pPr>
    </w:p>
    <w:p>
      <w:pPr>
        <w:ind w:right="640" w:firstLine="1263"/>
        <w:spacing w:after="0" w:line="300" w:lineRule="auto"/>
        <w:tabs>
          <w:tab w:leader="none" w:pos="1905" w:val="left"/>
        </w:tabs>
        <w:numPr>
          <w:ilvl w:val="1"/>
          <w:numId w:val="646"/>
        </w:numPr>
        <w:rPr>
          <w:rFonts w:ascii="Arial" w:cs="Arial" w:eastAsia="Arial" w:hAnsi="Arial"/>
          <w:sz w:val="15"/>
          <w:szCs w:val="15"/>
          <w:b w:val="1"/>
          <w:bCs w:val="1"/>
          <w:color w:val="auto"/>
        </w:rPr>
      </w:pPr>
      <w:r>
        <w:rPr>
          <w:rFonts w:ascii="Arial" w:cs="Arial" w:eastAsia="Arial" w:hAnsi="Arial"/>
          <w:sz w:val="15"/>
          <w:szCs w:val="15"/>
          <w:color w:val="auto"/>
        </w:rPr>
        <w:t>all (i) patents and patent applications filed in the United States Patent and Trademark Office or any similar office of any foreign jurisdiction, and interests under patent license agreements, including, without limitation, the inventions and improvements described and claimed therein,</w:t>
      </w:r>
    </w:p>
    <w:p>
      <w:pPr>
        <w:ind w:right="100" w:firstLine="5"/>
        <w:spacing w:after="0" w:line="291" w:lineRule="auto"/>
        <w:tabs>
          <w:tab w:leader="none" w:pos="257" w:val="left"/>
        </w:tabs>
        <w:numPr>
          <w:ilvl w:val="0"/>
          <w:numId w:val="647"/>
        </w:numPr>
        <w:rPr>
          <w:rFonts w:ascii="Arial" w:cs="Arial" w:eastAsia="Arial" w:hAnsi="Arial"/>
          <w:sz w:val="15"/>
          <w:szCs w:val="15"/>
          <w:color w:val="auto"/>
        </w:rPr>
      </w:pPr>
      <w:r>
        <w:rPr>
          <w:rFonts w:ascii="Arial" w:cs="Arial" w:eastAsia="Arial" w:hAnsi="Arial"/>
          <w:sz w:val="15"/>
          <w:szCs w:val="15"/>
          <w:color w:val="auto"/>
        </w:rPr>
        <w:t>licenses pertaining to any patent whether Debtor is licensor or licensee, (iii) income, royalties, damages, payments, accounts and accounts receivable now or hereafter due and/or payable under and with respect thereto, including, without limitation, damages and payments for past, present or future infringements thereof,</w:t>
      </w:r>
    </w:p>
    <w:p>
      <w:pPr>
        <w:spacing w:after="0" w:line="1" w:lineRule="exact"/>
        <w:rPr>
          <w:rFonts w:ascii="Arial" w:cs="Arial" w:eastAsia="Arial" w:hAnsi="Arial"/>
          <w:sz w:val="15"/>
          <w:szCs w:val="15"/>
          <w:color w:val="auto"/>
        </w:rPr>
      </w:pPr>
    </w:p>
    <w:p>
      <w:pPr>
        <w:ind w:right="320" w:firstLine="5"/>
        <w:spacing w:after="0" w:line="266" w:lineRule="auto"/>
        <w:tabs>
          <w:tab w:leader="none" w:pos="296" w:val="left"/>
        </w:tabs>
        <w:numPr>
          <w:ilvl w:val="0"/>
          <w:numId w:val="648"/>
        </w:numPr>
        <w:rPr>
          <w:rFonts w:ascii="Arial" w:cs="Arial" w:eastAsia="Arial" w:hAnsi="Arial"/>
          <w:sz w:val="17"/>
          <w:szCs w:val="17"/>
          <w:color w:val="auto"/>
        </w:rPr>
      </w:pPr>
      <w:r>
        <w:rPr>
          <w:rFonts w:ascii="Arial" w:cs="Arial" w:eastAsia="Arial" w:hAnsi="Arial"/>
          <w:sz w:val="17"/>
          <w:szCs w:val="17"/>
          <w:color w:val="auto"/>
        </w:rPr>
        <w:t>right (but not the obligation) to sue in the name of Debtor and/or in the name of Secured Party for past, present and future infringements thereof, (v) rights corresponding thereto throughout the world in all jurisdictions in which such patents have been issued or applied for, and (vi) reissues, divisions, continuations, renewals, extensions and continuations-in-part with respect to any of the foregoing; and</w:t>
      </w:r>
    </w:p>
    <w:p>
      <w:pPr>
        <w:spacing w:after="0" w:line="177" w:lineRule="exact"/>
        <w:rPr>
          <w:rFonts w:ascii="Arial" w:cs="Arial" w:eastAsia="Arial" w:hAnsi="Arial"/>
          <w:sz w:val="17"/>
          <w:szCs w:val="17"/>
          <w:color w:val="auto"/>
        </w:rPr>
      </w:pPr>
    </w:p>
    <w:p>
      <w:pPr>
        <w:ind w:right="280" w:firstLine="1263"/>
        <w:spacing w:after="0" w:line="273" w:lineRule="auto"/>
        <w:tabs>
          <w:tab w:leader="none" w:pos="1898" w:val="left"/>
        </w:tabs>
        <w:numPr>
          <w:ilvl w:val="1"/>
          <w:numId w:val="648"/>
        </w:numPr>
        <w:rPr>
          <w:rFonts w:ascii="Arial" w:cs="Arial" w:eastAsia="Arial" w:hAnsi="Arial"/>
          <w:sz w:val="17"/>
          <w:szCs w:val="17"/>
          <w:color w:val="auto"/>
        </w:rPr>
      </w:pPr>
      <w:r>
        <w:rPr>
          <w:rFonts w:ascii="Arial" w:cs="Arial" w:eastAsia="Arial" w:hAnsi="Arial"/>
          <w:sz w:val="17"/>
          <w:szCs w:val="17"/>
          <w:color w:val="auto"/>
        </w:rPr>
        <w:t>any and all cash proceeds and/or noncash proceeds of any of the foregoing, including, without limitation, insurance proceeds, and all supporting obligations and the security therefor or for any right to payment. All terms above have the meanings given to them in the California Uniform Commercial Code, as amended or supplemented from time to time.</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21" w:right="199" w:bottom="390" w:gutter="0" w:footer="0" w:header="0"/>
        </w:sectPr>
      </w:pPr>
    </w:p>
    <w:bookmarkStart w:id="399" w:name="page400"/>
    <w:bookmarkEnd w:id="399"/>
    <w:tbl>
      <w:tblPr>
        <w:tblLayout w:type="fixed"/>
        <w:tblInd w:w="0" w:type="dxa"/>
        <w:tblCellMar>
          <w:top w:w="0" w:type="dxa"/>
          <w:left w:w="0" w:type="dxa"/>
          <w:bottom w:w="0" w:type="dxa"/>
          <w:right w:w="0" w:type="dxa"/>
        </w:tblCellMar>
      </w:tblPr>
      <w:tr>
        <w:trPr>
          <w:trHeight w:val="228"/>
        </w:trPr>
        <w:tc>
          <w:tcPr>
            <w:tcW w:w="2460" w:type="dxa"/>
            <w:vAlign w:val="bottom"/>
          </w:tcPr>
          <w:p>
            <w:pPr>
              <w:spacing w:after="0"/>
              <w:rPr>
                <w:sz w:val="19"/>
                <w:szCs w:val="19"/>
                <w:color w:val="auto"/>
              </w:rPr>
            </w:pPr>
          </w:p>
        </w:tc>
        <w:tc>
          <w:tcPr>
            <w:tcW w:w="8960" w:type="dxa"/>
            <w:vAlign w:val="bottom"/>
          </w:tcPr>
          <w:p>
            <w:pPr>
              <w:jc w:val="right"/>
              <w:ind w:right="5093"/>
              <w:spacing w:after="0"/>
              <w:rPr>
                <w:sz w:val="20"/>
                <w:szCs w:val="20"/>
                <w:color w:val="auto"/>
              </w:rPr>
            </w:pPr>
            <w:r>
              <w:rPr>
                <w:rFonts w:ascii="Arial" w:cs="Arial" w:eastAsia="Arial" w:hAnsi="Arial"/>
                <w:sz w:val="17"/>
                <w:szCs w:val="17"/>
                <w:b w:val="1"/>
                <w:bCs w:val="1"/>
                <w:color w:val="auto"/>
              </w:rPr>
              <w:t>EXHIBIT B-1</w:t>
            </w:r>
          </w:p>
        </w:tc>
      </w:tr>
      <w:tr>
        <w:trPr>
          <w:trHeight w:val="419"/>
        </w:trPr>
        <w:tc>
          <w:tcPr>
            <w:tcW w:w="2460" w:type="dxa"/>
            <w:vAlign w:val="bottom"/>
          </w:tcPr>
          <w:p>
            <w:pPr>
              <w:spacing w:after="0"/>
              <w:rPr>
                <w:sz w:val="24"/>
                <w:szCs w:val="24"/>
                <w:color w:val="auto"/>
              </w:rPr>
            </w:pPr>
          </w:p>
        </w:tc>
        <w:tc>
          <w:tcPr>
            <w:tcW w:w="8960" w:type="dxa"/>
            <w:vAlign w:val="bottom"/>
          </w:tcPr>
          <w:p>
            <w:pPr>
              <w:jc w:val="right"/>
              <w:ind w:right="4053"/>
              <w:spacing w:after="0"/>
              <w:rPr>
                <w:sz w:val="20"/>
                <w:szCs w:val="20"/>
                <w:color w:val="auto"/>
              </w:rPr>
            </w:pPr>
            <w:r>
              <w:rPr>
                <w:rFonts w:ascii="Arial" w:cs="Arial" w:eastAsia="Arial" w:hAnsi="Arial"/>
                <w:sz w:val="17"/>
                <w:szCs w:val="17"/>
                <w:b w:val="1"/>
                <w:bCs w:val="1"/>
                <w:color w:val="auto"/>
              </w:rPr>
              <w:t>WORKING CAPITAL FACILITY NOTE</w:t>
            </w:r>
          </w:p>
        </w:tc>
      </w:tr>
      <w:tr>
        <w:trPr>
          <w:trHeight w:val="408"/>
        </w:trPr>
        <w:tc>
          <w:tcPr>
            <w:tcW w:w="2460" w:type="dxa"/>
            <w:vAlign w:val="bottom"/>
          </w:tcPr>
          <w:p>
            <w:pPr>
              <w:jc w:val="right"/>
              <w:ind w:right="1573"/>
              <w:spacing w:after="0"/>
              <w:rPr>
                <w:sz w:val="20"/>
                <w:szCs w:val="20"/>
                <w:color w:val="auto"/>
              </w:rPr>
            </w:pPr>
            <w:r>
              <w:rPr>
                <w:rFonts w:ascii="Arial" w:cs="Arial" w:eastAsia="Arial" w:hAnsi="Arial"/>
                <w:sz w:val="17"/>
                <w:szCs w:val="17"/>
                <w:color w:val="auto"/>
                <w:w w:val="91"/>
              </w:rPr>
              <w:t>$8,000,000</w:t>
            </w:r>
          </w:p>
        </w:tc>
        <w:tc>
          <w:tcPr>
            <w:tcW w:w="8960" w:type="dxa"/>
            <w:vAlign w:val="bottom"/>
          </w:tcPr>
          <w:p>
            <w:pPr>
              <w:jc w:val="right"/>
              <w:spacing w:after="0"/>
              <w:rPr>
                <w:sz w:val="20"/>
                <w:szCs w:val="20"/>
                <w:color w:val="auto"/>
              </w:rPr>
            </w:pPr>
            <w:r>
              <w:rPr>
                <w:rFonts w:ascii="Arial" w:cs="Arial" w:eastAsia="Arial" w:hAnsi="Arial"/>
                <w:sz w:val="17"/>
                <w:szCs w:val="17"/>
                <w:color w:val="auto"/>
              </w:rPr>
              <w:t>September  , 2007</w:t>
            </w:r>
          </w:p>
        </w:tc>
      </w:tr>
      <w:tr>
        <w:trPr>
          <w:trHeight w:val="222"/>
        </w:trPr>
        <w:tc>
          <w:tcPr>
            <w:tcW w:w="2460" w:type="dxa"/>
            <w:vAlign w:val="bottom"/>
          </w:tcPr>
          <w:p>
            <w:pPr>
              <w:spacing w:after="0"/>
              <w:rPr>
                <w:sz w:val="19"/>
                <w:szCs w:val="19"/>
                <w:color w:val="auto"/>
              </w:rPr>
            </w:pPr>
          </w:p>
        </w:tc>
        <w:tc>
          <w:tcPr>
            <w:tcW w:w="8960" w:type="dxa"/>
            <w:vAlign w:val="bottom"/>
          </w:tcPr>
          <w:p>
            <w:pPr>
              <w:jc w:val="right"/>
              <w:spacing w:after="0"/>
              <w:rPr>
                <w:sz w:val="20"/>
                <w:szCs w:val="20"/>
                <w:color w:val="auto"/>
              </w:rPr>
            </w:pPr>
            <w:r>
              <w:rPr>
                <w:rFonts w:ascii="Arial" w:cs="Arial" w:eastAsia="Arial" w:hAnsi="Arial"/>
                <w:sz w:val="17"/>
                <w:szCs w:val="17"/>
                <w:color w:val="auto"/>
              </w:rPr>
              <w:t>Santa Clara, California</w:t>
            </w:r>
          </w:p>
        </w:tc>
      </w:tr>
    </w:tbl>
    <w:p>
      <w:pPr>
        <w:spacing w:after="0" w:line="192" w:lineRule="exact"/>
        <w:rPr>
          <w:sz w:val="20"/>
          <w:szCs w:val="20"/>
          <w:color w:val="auto"/>
        </w:rPr>
      </w:pPr>
    </w:p>
    <w:p>
      <w:pPr>
        <w:ind w:right="100" w:firstLine="629"/>
        <w:spacing w:after="0" w:line="304" w:lineRule="auto"/>
        <w:rPr>
          <w:sz w:val="20"/>
          <w:szCs w:val="20"/>
          <w:color w:val="auto"/>
        </w:rPr>
      </w:pPr>
      <w:r>
        <w:rPr>
          <w:rFonts w:ascii="Arial" w:cs="Arial" w:eastAsia="Arial" w:hAnsi="Arial"/>
          <w:sz w:val="15"/>
          <w:szCs w:val="15"/>
          <w:b w:val="1"/>
          <w:bCs w:val="1"/>
          <w:color w:val="auto"/>
        </w:rPr>
        <w:t>FOR VALUE RECEIVED</w:t>
      </w:r>
      <w:r>
        <w:rPr>
          <w:rFonts w:ascii="Arial" w:cs="Arial" w:eastAsia="Arial" w:hAnsi="Arial"/>
          <w:sz w:val="15"/>
          <w:szCs w:val="15"/>
          <w:color w:val="auto"/>
        </w:rPr>
        <w:t>, the undersigned, Applied Optoelectronics, Inc. (the “</w:t>
      </w:r>
      <w:r>
        <w:rPr>
          <w:rFonts w:ascii="Arial" w:cs="Arial" w:eastAsia="Arial" w:hAnsi="Arial"/>
          <w:sz w:val="15"/>
          <w:szCs w:val="15"/>
          <w:b w:val="1"/>
          <w:bCs w:val="1"/>
          <w:i w:val="1"/>
          <w:iCs w:val="1"/>
          <w:color w:val="auto"/>
        </w:rPr>
        <w:t>Borrower”</w:t>
      </w:r>
      <w:r>
        <w:rPr>
          <w:rFonts w:ascii="Arial" w:cs="Arial" w:eastAsia="Arial" w:hAnsi="Arial"/>
          <w:sz w:val="15"/>
          <w:szCs w:val="15"/>
          <w:color w:val="auto"/>
        </w:rPr>
        <w:t>),</w:t>
      </w:r>
      <w:r>
        <w:rPr>
          <w:rFonts w:ascii="Arial" w:cs="Arial" w:eastAsia="Arial" w:hAnsi="Arial"/>
          <w:sz w:val="15"/>
          <w:szCs w:val="15"/>
          <w:b w:val="1"/>
          <w:bCs w:val="1"/>
          <w:color w:val="auto"/>
        </w:rPr>
        <w:t xml:space="preserve"> HEREBY PROMISES TO PAY </w:t>
      </w:r>
      <w:r>
        <w:rPr>
          <w:rFonts w:ascii="Arial" w:cs="Arial" w:eastAsia="Arial" w:hAnsi="Arial"/>
          <w:sz w:val="15"/>
          <w:szCs w:val="15"/>
          <w:color w:val="auto"/>
        </w:rPr>
        <w:t>to the order of United</w:t>
      </w:r>
      <w:r>
        <w:rPr>
          <w:rFonts w:ascii="Arial" w:cs="Arial" w:eastAsia="Arial" w:hAnsi="Arial"/>
          <w:sz w:val="15"/>
          <w:szCs w:val="15"/>
          <w:b w:val="1"/>
          <w:bCs w:val="1"/>
          <w:color w:val="auto"/>
        </w:rPr>
        <w:t xml:space="preserve"> </w:t>
      </w:r>
      <w:r>
        <w:rPr>
          <w:rFonts w:ascii="Arial" w:cs="Arial" w:eastAsia="Arial" w:hAnsi="Arial"/>
          <w:sz w:val="15"/>
          <w:szCs w:val="15"/>
          <w:color w:val="auto"/>
        </w:rPr>
        <w:t>Commercial Bank (the “</w:t>
      </w:r>
      <w:r>
        <w:rPr>
          <w:rFonts w:ascii="Arial" w:cs="Arial" w:eastAsia="Arial" w:hAnsi="Arial"/>
          <w:sz w:val="15"/>
          <w:szCs w:val="15"/>
          <w:b w:val="1"/>
          <w:bCs w:val="1"/>
          <w:i w:val="1"/>
          <w:iCs w:val="1"/>
          <w:color w:val="auto"/>
        </w:rPr>
        <w:t>Bank”</w:t>
      </w:r>
      <w:r>
        <w:rPr>
          <w:rFonts w:ascii="Arial" w:cs="Arial" w:eastAsia="Arial" w:hAnsi="Arial"/>
          <w:sz w:val="15"/>
          <w:szCs w:val="15"/>
          <w:color w:val="auto"/>
        </w:rPr>
        <w:t xml:space="preserve">) at its Principal Office located at 5201 Great American Parkway, Suite 300, Santa Clara, CA 95054, or at such other place as Bank may from time to time designate in writing, in lawful money of the United States and in immediately available funds, the principal amount of </w:t>
      </w:r>
      <w:r>
        <w:rPr>
          <w:rFonts w:ascii="Arial" w:cs="Arial" w:eastAsia="Arial" w:hAnsi="Arial"/>
          <w:sz w:val="15"/>
          <w:szCs w:val="15"/>
          <w:b w:val="1"/>
          <w:bCs w:val="1"/>
          <w:color w:val="auto"/>
        </w:rPr>
        <w:t>EIGHT MILLION</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DOLLARS </w:t>
      </w:r>
      <w:r>
        <w:rPr>
          <w:rFonts w:ascii="Arial" w:cs="Arial" w:eastAsia="Arial" w:hAnsi="Arial"/>
          <w:sz w:val="15"/>
          <w:szCs w:val="15"/>
          <w:color w:val="auto"/>
        </w:rPr>
        <w:t>($8,000,000) or so much of the Advances (as defined in the Loan Agreement (defined below)) as may be advanced from time to time, together with</w:t>
      </w:r>
      <w:r>
        <w:rPr>
          <w:rFonts w:ascii="Arial" w:cs="Arial" w:eastAsia="Arial" w:hAnsi="Arial"/>
          <w:sz w:val="15"/>
          <w:szCs w:val="15"/>
          <w:b w:val="1"/>
          <w:bCs w:val="1"/>
          <w:color w:val="auto"/>
        </w:rPr>
        <w:t xml:space="preserve"> </w:t>
      </w:r>
      <w:r>
        <w:rPr>
          <w:rFonts w:ascii="Arial" w:cs="Arial" w:eastAsia="Arial" w:hAnsi="Arial"/>
          <w:sz w:val="15"/>
          <w:szCs w:val="15"/>
          <w:color w:val="auto"/>
        </w:rPr>
        <w:t>interest from the date of disbursement computed on the principal balances hereof from time to time outstanding as set forth in the Loan and Security Agreement dated as of the date hereof by and between Bank and Borrower (the “</w:t>
      </w:r>
      <w:r>
        <w:rPr>
          <w:rFonts w:ascii="Arial" w:cs="Arial" w:eastAsia="Arial" w:hAnsi="Arial"/>
          <w:sz w:val="15"/>
          <w:szCs w:val="15"/>
          <w:b w:val="1"/>
          <w:bCs w:val="1"/>
          <w:i w:val="1"/>
          <w:iCs w:val="1"/>
          <w:color w:val="auto"/>
        </w:rPr>
        <w:t>Loan Agreement”</w:t>
      </w:r>
      <w:r>
        <w:rPr>
          <w:rFonts w:ascii="Arial" w:cs="Arial" w:eastAsia="Arial" w:hAnsi="Arial"/>
          <w:sz w:val="15"/>
          <w:szCs w:val="15"/>
          <w:color w:val="auto"/>
        </w:rPr>
        <w:t>). The Loan Agreement is incorporated herein by this reference in its entirety. Capitalized terms used but not otherwise defined herein are used in this Working Capital Facility Note as defined in the Loan Agreement.</w:t>
      </w:r>
    </w:p>
    <w:p>
      <w:pPr>
        <w:spacing w:after="0" w:line="155"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color w:val="auto"/>
        </w:rPr>
        <w:t>This Working Capital Facility Note is entitled to the benefits of, the Loan Agreement. The Loan Agreement, among other things, contains provisions for acceleration of the maturity of this Working Capital Facility Note upon the happening of certain stated events and also for prepayments on account of principal hereof prior to the maturity of this Working Capital Facility Note upon the terms and conditions specified in the Loan Agreement. This Working Capital Facility Note is also secured by the Collateral described in the Loan Agreement, and reference to the Loan Agreement is hereby made for a description of the rights of Borrower and Bank in respect to such Collateral.</w:t>
      </w:r>
    </w:p>
    <w:p>
      <w:pPr>
        <w:spacing w:after="0" w:line="179" w:lineRule="exact"/>
        <w:rPr>
          <w:sz w:val="20"/>
          <w:szCs w:val="20"/>
          <w:color w:val="auto"/>
        </w:rPr>
      </w:pPr>
    </w:p>
    <w:p>
      <w:pPr>
        <w:jc w:val="both"/>
        <w:ind w:right="60" w:firstLine="629"/>
        <w:spacing w:after="0" w:line="273" w:lineRule="auto"/>
        <w:rPr>
          <w:sz w:val="20"/>
          <w:szCs w:val="20"/>
          <w:color w:val="auto"/>
        </w:rPr>
      </w:pPr>
      <w:r>
        <w:rPr>
          <w:rFonts w:ascii="Arial" w:cs="Arial" w:eastAsia="Arial" w:hAnsi="Arial"/>
          <w:sz w:val="17"/>
          <w:szCs w:val="17"/>
          <w:color w:val="auto"/>
        </w:rPr>
        <w:t>Borrower further promises to pay interest on the unpaid principal amount hereof outstanding from time to time from the date hereof until payment in full hereof at the rate (or rates) from time to time applicable to the Advances as determined in accordance with the Loan Agreement. Interest shall be calculated on the basis of a three hundred sixty (360) day year for the actual days elapsed.</w:t>
      </w:r>
    </w:p>
    <w:p>
      <w:pPr>
        <w:spacing w:after="0" w:line="172" w:lineRule="exact"/>
        <w:rPr>
          <w:sz w:val="20"/>
          <w:szCs w:val="20"/>
          <w:color w:val="auto"/>
        </w:rPr>
      </w:pPr>
    </w:p>
    <w:p>
      <w:pPr>
        <w:jc w:val="both"/>
        <w:ind w:right="260" w:firstLine="629"/>
        <w:spacing w:after="0" w:line="298" w:lineRule="auto"/>
        <w:rPr>
          <w:sz w:val="20"/>
          <w:szCs w:val="20"/>
          <w:color w:val="auto"/>
        </w:rPr>
      </w:pPr>
      <w:r>
        <w:rPr>
          <w:rFonts w:ascii="Arial" w:cs="Arial" w:eastAsia="Arial" w:hAnsi="Arial"/>
          <w:sz w:val="16"/>
          <w:szCs w:val="16"/>
          <w:color w:val="auto"/>
        </w:rPr>
        <w:t>Borrower waives demand, presentment and protest, and notice of demand, presentment, protest and nonpayment. Except as otherwise provided in the Loan Agreement or other Loan Documents, Borrower waives all rights to notice and hearing of any kind upon the occurrence of an Event of Default prior to the exercise by Bank of its rights to repossess the Collateral without judicial process or to replevy, attach or levy upon the Collateral without notice or hearing.</w:t>
      </w:r>
    </w:p>
    <w:p>
      <w:pPr>
        <w:spacing w:after="0" w:line="154" w:lineRule="exact"/>
        <w:rPr>
          <w:sz w:val="20"/>
          <w:szCs w:val="20"/>
          <w:color w:val="auto"/>
        </w:rPr>
      </w:pPr>
    </w:p>
    <w:p>
      <w:pPr>
        <w:ind w:right="260" w:firstLine="629"/>
        <w:spacing w:after="0" w:line="273" w:lineRule="auto"/>
        <w:rPr>
          <w:sz w:val="20"/>
          <w:szCs w:val="20"/>
          <w:color w:val="auto"/>
        </w:rPr>
      </w:pPr>
      <w:r>
        <w:rPr>
          <w:rFonts w:ascii="Arial" w:cs="Arial" w:eastAsia="Arial" w:hAnsi="Arial"/>
          <w:sz w:val="17"/>
          <w:szCs w:val="17"/>
          <w:color w:val="auto"/>
        </w:rPr>
        <w:t>If this Working Capital Facility Note is not paid when due, whether at its specified or accelerated maturity date, Borrower promises to pay all costs of collection and enforcement of this Working Capital Facility Note, including, but not limited to, reasonable attorneys’ fees and costs, incurred by Bank hereof on account of such collection or enforcement, whether or not suit is filed hereon.</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Working Capital Facility Note shall be governed and construed in accordance with the laws of the State of California.</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has executed and delivered this Working Capital Facility Note as of the date and year first above written.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20" w:type="dxa"/>
            <w:vAlign w:val="bottom"/>
          </w:tcPr>
          <w:p>
            <w:pPr>
              <w:spacing w:after="0"/>
              <w:rPr>
                <w:sz w:val="19"/>
                <w:szCs w:val="19"/>
                <w:color w:val="auto"/>
              </w:rPr>
            </w:pPr>
          </w:p>
        </w:tc>
        <w:tc>
          <w:tcPr>
            <w:tcW w:w="8840" w:type="dxa"/>
            <w:vAlign w:val="bottom"/>
            <w:gridSpan w:val="3"/>
          </w:tcPr>
          <w:p>
            <w:pPr>
              <w:ind w:left="3100"/>
              <w:spacing w:after="0"/>
              <w:rPr>
                <w:sz w:val="20"/>
                <w:szCs w:val="20"/>
                <w:color w:val="auto"/>
              </w:rPr>
            </w:pPr>
            <w:r>
              <w:rPr>
                <w:rFonts w:ascii="Arial" w:cs="Arial" w:eastAsia="Arial" w:hAnsi="Arial"/>
                <w:sz w:val="17"/>
                <w:szCs w:val="17"/>
                <w:color w:val="auto"/>
              </w:rPr>
              <w:t>APPLIED OPTOELECTRONICS, INC.</w:t>
            </w:r>
          </w:p>
        </w:tc>
      </w:tr>
      <w:tr>
        <w:trPr>
          <w:trHeight w:val="420"/>
        </w:trPr>
        <w:tc>
          <w:tcPr>
            <w:tcW w:w="2620" w:type="dxa"/>
            <w:vAlign w:val="bottom"/>
          </w:tcPr>
          <w:p>
            <w:pPr>
              <w:spacing w:after="0"/>
              <w:rPr>
                <w:sz w:val="24"/>
                <w:szCs w:val="24"/>
                <w:color w:val="auto"/>
              </w:rPr>
            </w:pPr>
          </w:p>
        </w:tc>
        <w:tc>
          <w:tcPr>
            <w:tcW w:w="3680" w:type="dxa"/>
            <w:vAlign w:val="bottom"/>
          </w:tcPr>
          <w:p>
            <w:pPr>
              <w:ind w:left="3100"/>
              <w:spacing w:after="0"/>
              <w:rPr>
                <w:sz w:val="20"/>
                <w:szCs w:val="20"/>
                <w:color w:val="auto"/>
              </w:rPr>
            </w:pPr>
            <w:r>
              <w:rPr>
                <w:rFonts w:ascii="Arial" w:cs="Arial" w:eastAsia="Arial" w:hAnsi="Arial"/>
                <w:sz w:val="17"/>
                <w:szCs w:val="17"/>
                <w:color w:val="auto"/>
              </w:rPr>
              <w:t>By:</w:t>
            </w:r>
          </w:p>
        </w:tc>
        <w:tc>
          <w:tcPr>
            <w:tcW w:w="5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620" w:type="dxa"/>
            <w:vAlign w:val="bottom"/>
          </w:tcPr>
          <w:p>
            <w:pPr>
              <w:spacing w:after="0"/>
              <w:rPr>
                <w:sz w:val="24"/>
                <w:szCs w:val="24"/>
                <w:color w:val="auto"/>
              </w:rPr>
            </w:pPr>
          </w:p>
        </w:tc>
        <w:tc>
          <w:tcPr>
            <w:tcW w:w="8840" w:type="dxa"/>
            <w:vAlign w:val="bottom"/>
            <w:gridSpan w:val="3"/>
          </w:tcPr>
          <w:p>
            <w:pPr>
              <w:ind w:left="3100"/>
              <w:spacing w:after="0"/>
              <w:rPr>
                <w:sz w:val="20"/>
                <w:szCs w:val="20"/>
                <w:color w:val="auto"/>
              </w:rPr>
            </w:pPr>
            <w:r>
              <w:rPr>
                <w:rFonts w:ascii="Arial" w:cs="Arial" w:eastAsia="Arial" w:hAnsi="Arial"/>
                <w:sz w:val="17"/>
                <w:szCs w:val="17"/>
                <w:color w:val="auto"/>
              </w:rPr>
              <w:t>Title:</w:t>
            </w:r>
          </w:p>
        </w:tc>
      </w:tr>
      <w:tr>
        <w:trPr>
          <w:trHeight w:val="413"/>
        </w:trPr>
        <w:tc>
          <w:tcPr>
            <w:tcW w:w="2620" w:type="dxa"/>
            <w:vAlign w:val="bottom"/>
          </w:tcPr>
          <w:p>
            <w:pPr>
              <w:spacing w:after="0"/>
              <w:rPr>
                <w:sz w:val="24"/>
                <w:szCs w:val="24"/>
                <w:color w:val="auto"/>
              </w:rPr>
            </w:pPr>
          </w:p>
        </w:tc>
        <w:tc>
          <w:tcPr>
            <w:tcW w:w="3680" w:type="dxa"/>
            <w:vAlign w:val="bottom"/>
          </w:tcPr>
          <w:p>
            <w:pPr>
              <w:jc w:val="center"/>
              <w:ind w:left="2433"/>
              <w:spacing w:after="0"/>
              <w:rPr>
                <w:sz w:val="20"/>
                <w:szCs w:val="20"/>
                <w:color w:val="auto"/>
              </w:rPr>
            </w:pPr>
            <w:r>
              <w:rPr>
                <w:rFonts w:ascii="Arial" w:cs="Arial" w:eastAsia="Arial" w:hAnsi="Arial"/>
                <w:sz w:val="17"/>
                <w:szCs w:val="17"/>
                <w:color w:val="auto"/>
                <w:w w:val="84"/>
              </w:rPr>
              <w:t>2</w:t>
            </w:r>
          </w:p>
        </w:tc>
        <w:tc>
          <w:tcPr>
            <w:tcW w:w="5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2620" w:type="dxa"/>
            <w:vAlign w:val="bottom"/>
            <w:tcBorders>
              <w:bottom w:val="single" w:sz="8" w:color="010101"/>
            </w:tcBorders>
          </w:tcPr>
          <w:p>
            <w:pPr>
              <w:spacing w:after="0"/>
              <w:rPr>
                <w:sz w:val="11"/>
                <w:szCs w:val="11"/>
                <w:color w:val="auto"/>
              </w:rPr>
            </w:pPr>
          </w:p>
        </w:tc>
        <w:tc>
          <w:tcPr>
            <w:tcW w:w="8840" w:type="dxa"/>
            <w:vAlign w:val="bottom"/>
            <w:tcBorders>
              <w:bottom w:val="single" w:sz="8" w:color="010101"/>
            </w:tcBorders>
            <w:gridSpan w:val="3"/>
          </w:tcPr>
          <w:p>
            <w:pPr>
              <w:spacing w:after="0"/>
              <w:rPr>
                <w:sz w:val="11"/>
                <w:szCs w:val="11"/>
                <w:color w:val="auto"/>
              </w:rPr>
            </w:pPr>
          </w:p>
        </w:tc>
      </w:tr>
      <w:tr>
        <w:trPr>
          <w:trHeight w:val="756"/>
        </w:trPr>
        <w:tc>
          <w:tcPr>
            <w:tcW w:w="2620" w:type="dxa"/>
            <w:vAlign w:val="bottom"/>
          </w:tcPr>
          <w:p>
            <w:pPr>
              <w:spacing w:after="0"/>
              <w:rPr>
                <w:sz w:val="24"/>
                <w:szCs w:val="24"/>
                <w:color w:val="auto"/>
              </w:rPr>
            </w:pPr>
          </w:p>
        </w:tc>
        <w:tc>
          <w:tcPr>
            <w:tcW w:w="8840" w:type="dxa"/>
            <w:vAlign w:val="bottom"/>
            <w:gridSpan w:val="3"/>
          </w:tcPr>
          <w:p>
            <w:pPr>
              <w:jc w:val="center"/>
              <w:ind w:right="2660"/>
              <w:spacing w:after="0"/>
              <w:rPr>
                <w:sz w:val="20"/>
                <w:szCs w:val="20"/>
                <w:color w:val="auto"/>
              </w:rPr>
            </w:pPr>
            <w:r>
              <w:rPr>
                <w:rFonts w:ascii="Arial" w:cs="Arial" w:eastAsia="Arial" w:hAnsi="Arial"/>
                <w:sz w:val="17"/>
                <w:szCs w:val="17"/>
                <w:b w:val="1"/>
                <w:bCs w:val="1"/>
                <w:color w:val="auto"/>
              </w:rPr>
              <w:t>EXHIBIT B-2</w:t>
            </w:r>
          </w:p>
        </w:tc>
      </w:tr>
      <w:tr>
        <w:trPr>
          <w:trHeight w:val="419"/>
        </w:trPr>
        <w:tc>
          <w:tcPr>
            <w:tcW w:w="2620" w:type="dxa"/>
            <w:vAlign w:val="bottom"/>
          </w:tcPr>
          <w:p>
            <w:pPr>
              <w:spacing w:after="0"/>
              <w:rPr>
                <w:sz w:val="24"/>
                <w:szCs w:val="24"/>
                <w:color w:val="auto"/>
              </w:rPr>
            </w:pPr>
          </w:p>
        </w:tc>
        <w:tc>
          <w:tcPr>
            <w:tcW w:w="8840" w:type="dxa"/>
            <w:vAlign w:val="bottom"/>
            <w:gridSpan w:val="3"/>
          </w:tcPr>
          <w:p>
            <w:pPr>
              <w:jc w:val="center"/>
              <w:ind w:right="2660"/>
              <w:spacing w:after="0"/>
              <w:rPr>
                <w:sz w:val="20"/>
                <w:szCs w:val="20"/>
                <w:color w:val="auto"/>
              </w:rPr>
            </w:pPr>
            <w:r>
              <w:rPr>
                <w:rFonts w:ascii="Arial" w:cs="Arial" w:eastAsia="Arial" w:hAnsi="Arial"/>
                <w:sz w:val="17"/>
                <w:szCs w:val="17"/>
                <w:b w:val="1"/>
                <w:bCs w:val="1"/>
                <w:color w:val="auto"/>
              </w:rPr>
              <w:t>EQUIPMENT ADVANCE NOTE</w:t>
            </w:r>
          </w:p>
        </w:tc>
      </w:tr>
      <w:tr>
        <w:trPr>
          <w:trHeight w:val="408"/>
        </w:trPr>
        <w:tc>
          <w:tcPr>
            <w:tcW w:w="2620" w:type="dxa"/>
            <w:vAlign w:val="bottom"/>
          </w:tcPr>
          <w:p>
            <w:pPr>
              <w:jc w:val="right"/>
              <w:ind w:right="1733"/>
              <w:spacing w:after="0"/>
              <w:rPr>
                <w:sz w:val="20"/>
                <w:szCs w:val="20"/>
                <w:color w:val="auto"/>
              </w:rPr>
            </w:pPr>
            <w:r>
              <w:rPr>
                <w:rFonts w:ascii="Arial" w:cs="Arial" w:eastAsia="Arial" w:hAnsi="Arial"/>
                <w:sz w:val="17"/>
                <w:szCs w:val="17"/>
                <w:color w:val="auto"/>
                <w:w w:val="91"/>
              </w:rPr>
              <w:t>$4,500,000</w:t>
            </w:r>
          </w:p>
        </w:tc>
        <w:tc>
          <w:tcPr>
            <w:tcW w:w="3680" w:type="dxa"/>
            <w:vAlign w:val="bottom"/>
          </w:tcPr>
          <w:p>
            <w:pPr>
              <w:spacing w:after="0"/>
              <w:rPr>
                <w:sz w:val="24"/>
                <w:szCs w:val="24"/>
                <w:color w:val="auto"/>
              </w:rPr>
            </w:pPr>
          </w:p>
        </w:tc>
        <w:tc>
          <w:tcPr>
            <w:tcW w:w="5160" w:type="dxa"/>
            <w:vAlign w:val="bottom"/>
            <w:gridSpan w:val="2"/>
          </w:tcPr>
          <w:p>
            <w:pPr>
              <w:jc w:val="right"/>
              <w:ind w:right="40"/>
              <w:spacing w:after="0"/>
              <w:rPr>
                <w:sz w:val="20"/>
                <w:szCs w:val="20"/>
                <w:color w:val="auto"/>
              </w:rPr>
            </w:pPr>
            <w:r>
              <w:rPr>
                <w:rFonts w:ascii="Arial" w:cs="Arial" w:eastAsia="Arial" w:hAnsi="Arial"/>
                <w:sz w:val="17"/>
                <w:szCs w:val="17"/>
                <w:color w:val="auto"/>
              </w:rPr>
              <w:t>September  , 2007</w:t>
            </w:r>
          </w:p>
        </w:tc>
      </w:tr>
      <w:tr>
        <w:trPr>
          <w:trHeight w:val="222"/>
        </w:trPr>
        <w:tc>
          <w:tcPr>
            <w:tcW w:w="26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160" w:type="dxa"/>
            <w:vAlign w:val="bottom"/>
            <w:gridSpan w:val="2"/>
          </w:tcPr>
          <w:p>
            <w:pPr>
              <w:jc w:val="right"/>
              <w:ind w:right="40"/>
              <w:spacing w:after="0"/>
              <w:rPr>
                <w:sz w:val="20"/>
                <w:szCs w:val="20"/>
                <w:color w:val="auto"/>
              </w:rPr>
            </w:pPr>
            <w:r>
              <w:rPr>
                <w:rFonts w:ascii="Arial" w:cs="Arial" w:eastAsia="Arial" w:hAnsi="Arial"/>
                <w:sz w:val="17"/>
                <w:szCs w:val="17"/>
                <w:color w:val="auto"/>
              </w:rPr>
              <w:t>Santa Clara, California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-1174750</wp:posOffset>
            </wp:positionV>
            <wp:extent cx="12700" cy="2921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-1174750</wp:posOffset>
            </wp:positionV>
            <wp:extent cx="12700" cy="2921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2"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b w:val="1"/>
          <w:bCs w:val="1"/>
          <w:color w:val="auto"/>
        </w:rPr>
        <w:t>FOR VALUE RECEIVED</w:t>
      </w:r>
      <w:r>
        <w:rPr>
          <w:rFonts w:ascii="Arial" w:cs="Arial" w:eastAsia="Arial" w:hAnsi="Arial"/>
          <w:sz w:val="17"/>
          <w:szCs w:val="17"/>
          <w:color w:val="auto"/>
        </w:rPr>
        <w:t>, the undersigned, Applied Optoelectronics, Inc. (the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w:t>
      </w:r>
      <w:r>
        <w:rPr>
          <w:rFonts w:ascii="Arial" w:cs="Arial" w:eastAsia="Arial" w:hAnsi="Arial"/>
          <w:sz w:val="17"/>
          <w:szCs w:val="17"/>
          <w:b w:val="1"/>
          <w:bCs w:val="1"/>
          <w:color w:val="auto"/>
        </w:rPr>
        <w:t xml:space="preserve"> HEREBY PROMISES TO PAY </w:t>
      </w:r>
      <w:r>
        <w:rPr>
          <w:rFonts w:ascii="Arial" w:cs="Arial" w:eastAsia="Arial" w:hAnsi="Arial"/>
          <w:sz w:val="17"/>
          <w:szCs w:val="17"/>
          <w:color w:val="auto"/>
        </w:rPr>
        <w:t>to the order of United</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Bank (the “</w:t>
      </w:r>
      <w:r>
        <w:rPr>
          <w:rFonts w:ascii="Arial" w:cs="Arial" w:eastAsia="Arial" w:hAnsi="Arial"/>
          <w:sz w:val="17"/>
          <w:szCs w:val="17"/>
          <w:b w:val="1"/>
          <w:bCs w:val="1"/>
          <w:i w:val="1"/>
          <w:iCs w:val="1"/>
          <w:color w:val="auto"/>
        </w:rPr>
        <w:t>Bank”</w:t>
      </w:r>
      <w:r>
        <w:rPr>
          <w:rFonts w:ascii="Arial" w:cs="Arial" w:eastAsia="Arial" w:hAnsi="Arial"/>
          <w:sz w:val="17"/>
          <w:szCs w:val="17"/>
          <w:color w:val="auto"/>
        </w:rPr>
        <w:t xml:space="preserve">) at its Principal Office located at 5201 Great American Parkway, Suite 300, Santa Clara, CA 95054, or at such other place as Bank may from time to time designate in writing, in lawful money of the United States and in immediately available funds, the principal amount of </w:t>
      </w:r>
      <w:r>
        <w:rPr>
          <w:rFonts w:ascii="Arial" w:cs="Arial" w:eastAsia="Arial" w:hAnsi="Arial"/>
          <w:sz w:val="17"/>
          <w:szCs w:val="17"/>
          <w:b w:val="1"/>
          <w:bCs w:val="1"/>
          <w:color w:val="auto"/>
        </w:rPr>
        <w:t>FOUR MILLION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FIVE HUNDRED THOUSAND DOLLARS </w:t>
      </w:r>
      <w:r>
        <w:rPr>
          <w:rFonts w:ascii="Arial" w:cs="Arial" w:eastAsia="Arial" w:hAnsi="Arial"/>
          <w:sz w:val="17"/>
          <w:szCs w:val="17"/>
          <w:color w:val="auto"/>
        </w:rPr>
        <w:t>($4,500,000) or so much of the Equipment Advances (as defined in the Loan Agreement (defined below)) as may</w:t>
      </w:r>
      <w:r>
        <w:rPr>
          <w:rFonts w:ascii="Arial" w:cs="Arial" w:eastAsia="Arial" w:hAnsi="Arial"/>
          <w:sz w:val="17"/>
          <w:szCs w:val="17"/>
          <w:b w:val="1"/>
          <w:bCs w:val="1"/>
          <w:color w:val="auto"/>
        </w:rPr>
        <w:t xml:space="preserve"> </w:t>
      </w:r>
      <w:r>
        <w:rPr>
          <w:rFonts w:ascii="Arial" w:cs="Arial" w:eastAsia="Arial" w:hAnsi="Arial"/>
          <w:sz w:val="17"/>
          <w:szCs w:val="17"/>
          <w:color w:val="auto"/>
        </w:rPr>
        <w:t>be advanced from time to time, together with interest from the date of disbursement computed on the principal balances hereof from time to time outstanding as set forth in the Loan and Security Agreement dated as of the date hereof by and between Bank and Borrower (the “</w:t>
      </w:r>
      <w:r>
        <w:rPr>
          <w:rFonts w:ascii="Arial" w:cs="Arial" w:eastAsia="Arial" w:hAnsi="Arial"/>
          <w:sz w:val="17"/>
          <w:szCs w:val="17"/>
          <w:b w:val="1"/>
          <w:bCs w:val="1"/>
          <w:i w:val="1"/>
          <w:iCs w:val="1"/>
          <w:color w:val="auto"/>
        </w:rPr>
        <w:t>Loan Agreement”</w:t>
      </w:r>
      <w:r>
        <w:rPr>
          <w:rFonts w:ascii="Arial" w:cs="Arial" w:eastAsia="Arial" w:hAnsi="Arial"/>
          <w:sz w:val="17"/>
          <w:szCs w:val="17"/>
          <w:color w:val="auto"/>
        </w:rPr>
        <w:t>). The Loan Agreement is incorporated herein by this reference in its entirety. Capitalized terms used but not otherwise defined herein are used in this Equipment Advance Note as defined in the Loan Agreement.</w:t>
      </w:r>
    </w:p>
    <w:p>
      <w:pPr>
        <w:spacing w:after="0" w:line="180"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color w:val="auto"/>
        </w:rPr>
        <w:t>This Equipment Advance Note (the “</w:t>
      </w:r>
      <w:r>
        <w:rPr>
          <w:rFonts w:ascii="Arial" w:cs="Arial" w:eastAsia="Arial" w:hAnsi="Arial"/>
          <w:sz w:val="17"/>
          <w:szCs w:val="17"/>
          <w:b w:val="1"/>
          <w:bCs w:val="1"/>
          <w:i w:val="1"/>
          <w:iCs w:val="1"/>
          <w:color w:val="auto"/>
        </w:rPr>
        <w:t>Equipment Advance Note”</w:t>
      </w:r>
      <w:r>
        <w:rPr>
          <w:rFonts w:ascii="Arial" w:cs="Arial" w:eastAsia="Arial" w:hAnsi="Arial"/>
          <w:sz w:val="17"/>
          <w:szCs w:val="17"/>
          <w:color w:val="auto"/>
        </w:rPr>
        <w:t>) is entitled to the benefits of, the Loan Agreement. The Loan Agreement, among other things, contains provisions for acceleration of the maturity of this Equipment Advance Note upon the happening of certain stated events and also for prepayments on account of principal hereof prior to the maturity of this Equipment Advance Note upon the terms and conditions specified in the Loan Agreement. This Equipment Advance Note is also secured by the Collateral described in the Loan Agreement, and reference to the Loan Agreement is hereby made for a description of the rights of Borrower and Bank in respect to such Collateral.</w:t>
      </w:r>
    </w:p>
    <w:p>
      <w:pPr>
        <w:spacing w:after="0" w:line="179"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Borrower further promises to pay interest on the unpaid principal amount hereof outstanding from time to time from the date hereof until payment in full hereof at the rate (or rates) from time to time applicable to the Equipment Advances as determined in accordance with the Loan Agreement. Interest shall be calculated on the basis of a three hundred sixty (360)-day year for the actual days elapsed.</w:t>
      </w:r>
    </w:p>
    <w:p>
      <w:pPr>
        <w:spacing w:after="0" w:line="172" w:lineRule="exact"/>
        <w:rPr>
          <w:sz w:val="20"/>
          <w:szCs w:val="20"/>
          <w:color w:val="auto"/>
        </w:rPr>
      </w:pPr>
    </w:p>
    <w:p>
      <w:pPr>
        <w:jc w:val="both"/>
        <w:ind w:right="260" w:firstLine="629"/>
        <w:spacing w:after="0" w:line="298" w:lineRule="auto"/>
        <w:rPr>
          <w:sz w:val="20"/>
          <w:szCs w:val="20"/>
          <w:color w:val="auto"/>
        </w:rPr>
      </w:pPr>
      <w:r>
        <w:rPr>
          <w:rFonts w:ascii="Arial" w:cs="Arial" w:eastAsia="Arial" w:hAnsi="Arial"/>
          <w:sz w:val="16"/>
          <w:szCs w:val="16"/>
          <w:color w:val="auto"/>
        </w:rPr>
        <w:t>Borrower waives demand, presentment and protest, and notice of demand, presentment, protest and nonpayment. Except as otherwise provided in the Loan Agreement or other Loan Documents, Borrower waives all rights to notice and hearing of any kind upon the occurrence of an Event of Default prior to the exercise by Bank of its rights to repossess the Collateral without judicial process or to replevy, attach or levy upon the Collateral without notice or hearing.</w:t>
      </w:r>
    </w:p>
    <w:p>
      <w:pPr>
        <w:sectPr>
          <w:pgSz w:w="11900" w:h="16838" w:orient="portrait"/>
          <w:cols w:equalWidth="0" w:num="1">
            <w:col w:w="11460"/>
          </w:cols>
          <w:pgMar w:left="240" w:top="121" w:right="199" w:bottom="57" w:gutter="0" w:footer="0" w:header="0"/>
        </w:sectPr>
      </w:pPr>
    </w:p>
    <w:bookmarkStart w:id="400" w:name="page401"/>
    <w:bookmarkEnd w:id="400"/>
    <w:p>
      <w:pPr>
        <w:spacing w:after="0" w:line="79" w:lineRule="exact"/>
        <w:rPr>
          <w:sz w:val="20"/>
          <w:szCs w:val="20"/>
          <w:color w:val="auto"/>
        </w:rPr>
      </w:pPr>
    </w:p>
    <w:p>
      <w:pPr>
        <w:ind w:right="520" w:firstLine="629"/>
        <w:spacing w:after="0" w:line="273" w:lineRule="auto"/>
        <w:rPr>
          <w:sz w:val="20"/>
          <w:szCs w:val="20"/>
          <w:color w:val="auto"/>
        </w:rPr>
      </w:pPr>
      <w:r>
        <w:rPr>
          <w:rFonts w:ascii="Arial" w:cs="Arial" w:eastAsia="Arial" w:hAnsi="Arial"/>
          <w:sz w:val="17"/>
          <w:szCs w:val="17"/>
          <w:color w:val="auto"/>
        </w:rPr>
        <w:t>If this Equipment Advance Note is not paid when due, whether at its specified or accelerated maturity date, Borrower promises to pay all costs of collection and enforcement of this Equipment Advance Note, including, but not limited to, reasonable attorneys’ fees and costs, incurred by Bank hereof on account of such collection or enforcement, whether or not suit is filed hereon.</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Equipment Advance Note shall be governed and construed in accordance with the laws of the State of California.</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has executed and delivered this Equipment Advance Note as of the date and year first above written.</w:t>
      </w:r>
    </w:p>
    <w:p>
      <w:pPr>
        <w:spacing w:after="0" w:line="23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APPLIED OPTOELECTRONICS, INC.</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17145</wp:posOffset>
            </wp:positionV>
            <wp:extent cx="327152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17145</wp:posOffset>
            </wp:positionV>
            <wp:extent cx="327152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00" w:type="dxa"/>
            <w:vAlign w:val="bottom"/>
          </w:tcPr>
          <w:p>
            <w:pPr>
              <w:spacing w:after="0"/>
              <w:rPr>
                <w:sz w:val="19"/>
                <w:szCs w:val="19"/>
                <w:color w:val="auto"/>
              </w:rPr>
            </w:pPr>
          </w:p>
        </w:tc>
        <w:tc>
          <w:tcPr>
            <w:tcW w:w="8820" w:type="dxa"/>
            <w:vAlign w:val="bottom"/>
          </w:tcPr>
          <w:p>
            <w:pPr>
              <w:jc w:val="right"/>
              <w:ind w:right="5093"/>
              <w:spacing w:after="0"/>
              <w:rPr>
                <w:sz w:val="20"/>
                <w:szCs w:val="20"/>
                <w:color w:val="auto"/>
              </w:rPr>
            </w:pPr>
            <w:r>
              <w:rPr>
                <w:rFonts w:ascii="Arial" w:cs="Arial" w:eastAsia="Arial" w:hAnsi="Arial"/>
                <w:sz w:val="17"/>
                <w:szCs w:val="17"/>
                <w:b w:val="1"/>
                <w:bCs w:val="1"/>
                <w:color w:val="auto"/>
              </w:rPr>
              <w:t>EXHIBIT B-3</w:t>
            </w:r>
          </w:p>
        </w:tc>
      </w:tr>
      <w:tr>
        <w:trPr>
          <w:trHeight w:val="419"/>
        </w:trPr>
        <w:tc>
          <w:tcPr>
            <w:tcW w:w="2600" w:type="dxa"/>
            <w:vAlign w:val="bottom"/>
          </w:tcPr>
          <w:p>
            <w:pPr>
              <w:spacing w:after="0"/>
              <w:rPr>
                <w:sz w:val="24"/>
                <w:szCs w:val="24"/>
                <w:color w:val="auto"/>
              </w:rPr>
            </w:pPr>
          </w:p>
        </w:tc>
        <w:tc>
          <w:tcPr>
            <w:tcW w:w="8820" w:type="dxa"/>
            <w:vAlign w:val="bottom"/>
          </w:tcPr>
          <w:p>
            <w:pPr>
              <w:jc w:val="right"/>
              <w:ind w:right="4313"/>
              <w:spacing w:after="0"/>
              <w:rPr>
                <w:sz w:val="20"/>
                <w:szCs w:val="20"/>
                <w:color w:val="auto"/>
              </w:rPr>
            </w:pPr>
            <w:r>
              <w:rPr>
                <w:rFonts w:ascii="Arial" w:cs="Arial" w:eastAsia="Arial" w:hAnsi="Arial"/>
                <w:sz w:val="17"/>
                <w:szCs w:val="17"/>
                <w:b w:val="1"/>
                <w:bCs w:val="1"/>
                <w:color w:val="auto"/>
              </w:rPr>
              <w:t>REAL ESTATE ADVANCE NOTE</w:t>
            </w:r>
          </w:p>
        </w:tc>
      </w:tr>
      <w:tr>
        <w:trPr>
          <w:trHeight w:val="408"/>
        </w:trPr>
        <w:tc>
          <w:tcPr>
            <w:tcW w:w="2600" w:type="dxa"/>
            <w:vAlign w:val="bottom"/>
          </w:tcPr>
          <w:p>
            <w:pPr>
              <w:jc w:val="right"/>
              <w:ind w:right="1713"/>
              <w:spacing w:after="0"/>
              <w:rPr>
                <w:sz w:val="20"/>
                <w:szCs w:val="20"/>
                <w:color w:val="auto"/>
              </w:rPr>
            </w:pPr>
            <w:r>
              <w:rPr>
                <w:rFonts w:ascii="Arial" w:cs="Arial" w:eastAsia="Arial" w:hAnsi="Arial"/>
                <w:sz w:val="17"/>
                <w:szCs w:val="17"/>
                <w:color w:val="auto"/>
                <w:w w:val="91"/>
              </w:rPr>
              <w:t>$3,756,031</w:t>
            </w:r>
          </w:p>
        </w:tc>
        <w:tc>
          <w:tcPr>
            <w:tcW w:w="8820" w:type="dxa"/>
            <w:vAlign w:val="bottom"/>
          </w:tcPr>
          <w:p>
            <w:pPr>
              <w:jc w:val="right"/>
              <w:spacing w:after="0"/>
              <w:rPr>
                <w:sz w:val="20"/>
                <w:szCs w:val="20"/>
                <w:color w:val="auto"/>
              </w:rPr>
            </w:pPr>
            <w:r>
              <w:rPr>
                <w:rFonts w:ascii="Arial" w:cs="Arial" w:eastAsia="Arial" w:hAnsi="Arial"/>
                <w:sz w:val="17"/>
                <w:szCs w:val="17"/>
                <w:color w:val="auto"/>
              </w:rPr>
              <w:t>September   , 2007</w:t>
            </w:r>
          </w:p>
        </w:tc>
      </w:tr>
      <w:tr>
        <w:trPr>
          <w:trHeight w:val="222"/>
        </w:trPr>
        <w:tc>
          <w:tcPr>
            <w:tcW w:w="2600" w:type="dxa"/>
            <w:vAlign w:val="bottom"/>
          </w:tcPr>
          <w:p>
            <w:pPr>
              <w:spacing w:after="0"/>
              <w:rPr>
                <w:sz w:val="19"/>
                <w:szCs w:val="19"/>
                <w:color w:val="auto"/>
              </w:rPr>
            </w:pPr>
          </w:p>
        </w:tc>
        <w:tc>
          <w:tcPr>
            <w:tcW w:w="8820" w:type="dxa"/>
            <w:vAlign w:val="bottom"/>
          </w:tcPr>
          <w:p>
            <w:pPr>
              <w:jc w:val="right"/>
              <w:spacing w:after="0"/>
              <w:rPr>
                <w:sz w:val="20"/>
                <w:szCs w:val="20"/>
                <w:color w:val="auto"/>
              </w:rPr>
            </w:pPr>
            <w:r>
              <w:rPr>
                <w:rFonts w:ascii="Arial" w:cs="Arial" w:eastAsia="Arial" w:hAnsi="Arial"/>
                <w:sz w:val="17"/>
                <w:szCs w:val="17"/>
                <w:color w:val="auto"/>
              </w:rPr>
              <w:t>Santa Clara, California</w:t>
            </w:r>
          </w:p>
        </w:tc>
      </w:tr>
    </w:tbl>
    <w:p>
      <w:pPr>
        <w:spacing w:after="0" w:line="192"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b w:val="1"/>
          <w:bCs w:val="1"/>
          <w:color w:val="auto"/>
        </w:rPr>
        <w:t>FOR VALUE RECEIVED</w:t>
      </w:r>
      <w:r>
        <w:rPr>
          <w:rFonts w:ascii="Arial" w:cs="Arial" w:eastAsia="Arial" w:hAnsi="Arial"/>
          <w:sz w:val="17"/>
          <w:szCs w:val="17"/>
          <w:color w:val="auto"/>
        </w:rPr>
        <w:t>, the undersigned, Applied Optoelectronics, Inc. (the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w:t>
      </w:r>
      <w:r>
        <w:rPr>
          <w:rFonts w:ascii="Arial" w:cs="Arial" w:eastAsia="Arial" w:hAnsi="Arial"/>
          <w:sz w:val="17"/>
          <w:szCs w:val="17"/>
          <w:b w:val="1"/>
          <w:bCs w:val="1"/>
          <w:color w:val="auto"/>
        </w:rPr>
        <w:t xml:space="preserve"> HEREBY PROMISES TO PAY </w:t>
      </w:r>
      <w:r>
        <w:rPr>
          <w:rFonts w:ascii="Arial" w:cs="Arial" w:eastAsia="Arial" w:hAnsi="Arial"/>
          <w:sz w:val="17"/>
          <w:szCs w:val="17"/>
          <w:color w:val="auto"/>
        </w:rPr>
        <w:t>to the order of United</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Bank (the “</w:t>
      </w:r>
      <w:r>
        <w:rPr>
          <w:rFonts w:ascii="Arial" w:cs="Arial" w:eastAsia="Arial" w:hAnsi="Arial"/>
          <w:sz w:val="17"/>
          <w:szCs w:val="17"/>
          <w:b w:val="1"/>
          <w:bCs w:val="1"/>
          <w:i w:val="1"/>
          <w:iCs w:val="1"/>
          <w:color w:val="auto"/>
        </w:rPr>
        <w:t>Bank”</w:t>
      </w:r>
      <w:r>
        <w:rPr>
          <w:rFonts w:ascii="Arial" w:cs="Arial" w:eastAsia="Arial" w:hAnsi="Arial"/>
          <w:sz w:val="17"/>
          <w:szCs w:val="17"/>
          <w:color w:val="auto"/>
        </w:rPr>
        <w:t xml:space="preserve">) at its Principal Office located at 5201 Great American Parkway, Suite 300, Santa Clara, CA 95054, or at such other place as Bank may from time to time designate in writing, in lawful money of the United States and in immediately available funds, the principal amount of </w:t>
      </w:r>
      <w:r>
        <w:rPr>
          <w:rFonts w:ascii="Arial" w:cs="Arial" w:eastAsia="Arial" w:hAnsi="Arial"/>
          <w:sz w:val="17"/>
          <w:szCs w:val="17"/>
          <w:b w:val="1"/>
          <w:bCs w:val="1"/>
          <w:color w:val="auto"/>
        </w:rPr>
        <w:t>THREE MILLION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SEVEN HUNDRED FIFTY SIX THOUSAND THIRTY ONE DOLLARS </w:t>
      </w:r>
      <w:r>
        <w:rPr>
          <w:rFonts w:ascii="Arial" w:cs="Arial" w:eastAsia="Arial" w:hAnsi="Arial"/>
          <w:sz w:val="17"/>
          <w:szCs w:val="17"/>
          <w:color w:val="auto"/>
        </w:rPr>
        <w:t>($3,756,031) or so much of the Real Estate Advance (as defined in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(defined below)) as may be advanced from time to time, together with interest from the date of disbursement computed on the principal balances hereof from time to time outstanding as set forth in the Loan and Security Agreement dated as of the date hereof by and between Bank and Borrower (the “</w:t>
      </w:r>
      <w:r>
        <w:rPr>
          <w:rFonts w:ascii="Arial" w:cs="Arial" w:eastAsia="Arial" w:hAnsi="Arial"/>
          <w:sz w:val="17"/>
          <w:szCs w:val="17"/>
          <w:b w:val="1"/>
          <w:bCs w:val="1"/>
          <w:i w:val="1"/>
          <w:iCs w:val="1"/>
          <w:color w:val="auto"/>
        </w:rPr>
        <w:t>Loan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The Loan Agreement is incorporated herein by this reference in its entirety. Capitalized terms used but not otherwise defined herein are used in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Advance Note as defined in the Loan Agreement.</w:t>
      </w:r>
    </w:p>
    <w:p>
      <w:pPr>
        <w:spacing w:after="0" w:line="180"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This Real Estate Advance Note (the “</w:t>
      </w:r>
      <w:r>
        <w:rPr>
          <w:rFonts w:ascii="Arial" w:cs="Arial" w:eastAsia="Arial" w:hAnsi="Arial"/>
          <w:sz w:val="17"/>
          <w:szCs w:val="17"/>
          <w:b w:val="1"/>
          <w:bCs w:val="1"/>
          <w:i w:val="1"/>
          <w:iCs w:val="1"/>
          <w:color w:val="auto"/>
        </w:rPr>
        <w:t>Real Estate Advance Note”</w:t>
      </w:r>
      <w:r>
        <w:rPr>
          <w:rFonts w:ascii="Arial" w:cs="Arial" w:eastAsia="Arial" w:hAnsi="Arial"/>
          <w:sz w:val="17"/>
          <w:szCs w:val="17"/>
          <w:color w:val="auto"/>
        </w:rPr>
        <w:t>) is entitled to the benefits of, the Loan Agreement. The Loan Agreement, among other things, contains provisions for acceleration of the maturity of this Real Estate Advance Note upon the happening of certain stated events and also for prepayments on account of principal hereof prior to the maturity of this Real Estate Advance Note upon the terms and conditions specified in the Loan Agreement. This Real Estate Advance Note is also secured by the Collateral described in the Loan Agreement, and reference to the Loan Agreement is hereby made for a description of the rights of Borrower and Bank in respect to such Collateral.</w:t>
      </w:r>
    </w:p>
    <w:p>
      <w:pPr>
        <w:spacing w:after="0" w:line="179"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Borrower further promises to pay interest on the unpaid principal amount hereof outstanding from time to time from the date hereof until payment in full hereof at the rate (or rates) from time to time applicable to the Real Estate Advances as determined in accordance with the Loan Agreement. Interest shall be calculated on the basis of a three hundred sixty (360)-day year for the actual days elapsed.</w:t>
      </w:r>
    </w:p>
    <w:p>
      <w:pPr>
        <w:spacing w:after="0" w:line="172" w:lineRule="exact"/>
        <w:rPr>
          <w:sz w:val="20"/>
          <w:szCs w:val="20"/>
          <w:color w:val="auto"/>
        </w:rPr>
      </w:pPr>
    </w:p>
    <w:p>
      <w:pPr>
        <w:jc w:val="both"/>
        <w:ind w:right="220" w:firstLine="629"/>
        <w:spacing w:after="0" w:line="298" w:lineRule="auto"/>
        <w:rPr>
          <w:sz w:val="20"/>
          <w:szCs w:val="20"/>
          <w:color w:val="auto"/>
        </w:rPr>
      </w:pPr>
      <w:r>
        <w:rPr>
          <w:rFonts w:ascii="Arial" w:cs="Arial" w:eastAsia="Arial" w:hAnsi="Arial"/>
          <w:sz w:val="16"/>
          <w:szCs w:val="16"/>
          <w:color w:val="auto"/>
        </w:rPr>
        <w:t>Borrower waives demand, presentment and protest, and notice of demand, presentment, protest and nonpayment. Except as otherwise provided in the Loan Agreement or other Loan Documents, Borrower waives all rights to notice and hearing of any kind upon the occurrence of an Event of Default prior to the exercise by Bank of its rights to repossess the Collateral without judicial process or to replevy, attach or levy upon the Collateral without notice or hearing.</w:t>
      </w:r>
    </w:p>
    <w:p>
      <w:pPr>
        <w:spacing w:after="0" w:line="154" w:lineRule="exact"/>
        <w:rPr>
          <w:sz w:val="20"/>
          <w:szCs w:val="20"/>
          <w:color w:val="auto"/>
        </w:rPr>
      </w:pPr>
    </w:p>
    <w:p>
      <w:pPr>
        <w:ind w:right="500" w:firstLine="629"/>
        <w:spacing w:after="0" w:line="273" w:lineRule="auto"/>
        <w:rPr>
          <w:sz w:val="20"/>
          <w:szCs w:val="20"/>
          <w:color w:val="auto"/>
        </w:rPr>
      </w:pPr>
      <w:r>
        <w:rPr>
          <w:rFonts w:ascii="Arial" w:cs="Arial" w:eastAsia="Arial" w:hAnsi="Arial"/>
          <w:sz w:val="17"/>
          <w:szCs w:val="17"/>
          <w:color w:val="auto"/>
        </w:rPr>
        <w:t>If this Real Estate Advance Note is not paid when due, whether at its specified or accelerated maturity date, Borrower promises to pay all costs of collection and enforcement of this Real Estate Advance Note, including, but not limited to, reasonable attorneys’ fees and costs, incurred by Bank hereof on account of such collection or enforcement, whether or not suit is filed hereon.</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Real Estate Advance Note shall be governed and construed in accordance with the laws of the State of California.</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has executed and delivered this Real Estate Advance Note as of the date and year first above written.</w:t>
      </w:r>
    </w:p>
    <w:p>
      <w:pPr>
        <w:spacing w:after="0" w:line="23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APPLIED OPTOELECTRONICS, INC.</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4006850</wp:posOffset>
            </wp:positionH>
            <wp:positionV relativeFrom="paragraph">
              <wp:posOffset>17145</wp:posOffset>
            </wp:positionV>
            <wp:extent cx="324675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4006850</wp:posOffset>
            </wp:positionH>
            <wp:positionV relativeFrom="paragraph">
              <wp:posOffset>17145</wp:posOffset>
            </wp:positionV>
            <wp:extent cx="324675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80" w:type="dxa"/>
            <w:vAlign w:val="bottom"/>
          </w:tcPr>
          <w:p>
            <w:pPr>
              <w:spacing w:after="0"/>
              <w:rPr>
                <w:sz w:val="19"/>
                <w:szCs w:val="19"/>
                <w:color w:val="auto"/>
              </w:rPr>
            </w:pPr>
          </w:p>
        </w:tc>
        <w:tc>
          <w:tcPr>
            <w:tcW w:w="8840" w:type="dxa"/>
            <w:vAlign w:val="bottom"/>
          </w:tcPr>
          <w:p>
            <w:pPr>
              <w:jc w:val="right"/>
              <w:ind w:right="5093"/>
              <w:spacing w:after="0"/>
              <w:rPr>
                <w:sz w:val="20"/>
                <w:szCs w:val="20"/>
                <w:color w:val="auto"/>
              </w:rPr>
            </w:pPr>
            <w:r>
              <w:rPr>
                <w:rFonts w:ascii="Arial" w:cs="Arial" w:eastAsia="Arial" w:hAnsi="Arial"/>
                <w:sz w:val="17"/>
                <w:szCs w:val="17"/>
                <w:b w:val="1"/>
                <w:bCs w:val="1"/>
                <w:color w:val="auto"/>
              </w:rPr>
              <w:t>EXHIBIT B-4</w:t>
            </w:r>
          </w:p>
        </w:tc>
      </w:tr>
      <w:tr>
        <w:trPr>
          <w:trHeight w:val="419"/>
        </w:trPr>
        <w:tc>
          <w:tcPr>
            <w:tcW w:w="2580" w:type="dxa"/>
            <w:vAlign w:val="bottom"/>
          </w:tcPr>
          <w:p>
            <w:pPr>
              <w:spacing w:after="0"/>
              <w:rPr>
                <w:sz w:val="24"/>
                <w:szCs w:val="24"/>
                <w:color w:val="auto"/>
              </w:rPr>
            </w:pPr>
          </w:p>
        </w:tc>
        <w:tc>
          <w:tcPr>
            <w:tcW w:w="8840" w:type="dxa"/>
            <w:vAlign w:val="bottom"/>
          </w:tcPr>
          <w:p>
            <w:pPr>
              <w:jc w:val="right"/>
              <w:ind w:right="4273"/>
              <w:spacing w:after="0"/>
              <w:rPr>
                <w:sz w:val="20"/>
                <w:szCs w:val="20"/>
                <w:color w:val="auto"/>
              </w:rPr>
            </w:pPr>
            <w:r>
              <w:rPr>
                <w:rFonts w:ascii="Arial" w:cs="Arial" w:eastAsia="Arial" w:hAnsi="Arial"/>
                <w:sz w:val="17"/>
                <w:szCs w:val="17"/>
                <w:b w:val="1"/>
                <w:bCs w:val="1"/>
                <w:color w:val="auto"/>
              </w:rPr>
              <w:t>EXIM LINE PROMISSORY NOTE</w:t>
            </w:r>
          </w:p>
        </w:tc>
      </w:tr>
      <w:tr>
        <w:trPr>
          <w:trHeight w:val="408"/>
        </w:trPr>
        <w:tc>
          <w:tcPr>
            <w:tcW w:w="2580" w:type="dxa"/>
            <w:vAlign w:val="bottom"/>
          </w:tcPr>
          <w:p>
            <w:pPr>
              <w:jc w:val="right"/>
              <w:ind w:right="1693"/>
              <w:spacing w:after="0"/>
              <w:rPr>
                <w:sz w:val="20"/>
                <w:szCs w:val="20"/>
                <w:color w:val="auto"/>
              </w:rPr>
            </w:pPr>
            <w:r>
              <w:rPr>
                <w:rFonts w:ascii="Arial" w:cs="Arial" w:eastAsia="Arial" w:hAnsi="Arial"/>
                <w:sz w:val="17"/>
                <w:szCs w:val="17"/>
                <w:color w:val="auto"/>
                <w:w w:val="91"/>
              </w:rPr>
              <w:t>$5,000,000</w:t>
            </w:r>
          </w:p>
        </w:tc>
        <w:tc>
          <w:tcPr>
            <w:tcW w:w="8840" w:type="dxa"/>
            <w:vAlign w:val="bottom"/>
          </w:tcPr>
          <w:p>
            <w:pPr>
              <w:jc w:val="right"/>
              <w:spacing w:after="0"/>
              <w:rPr>
                <w:sz w:val="20"/>
                <w:szCs w:val="20"/>
                <w:color w:val="auto"/>
              </w:rPr>
            </w:pPr>
            <w:r>
              <w:rPr>
                <w:rFonts w:ascii="Arial" w:cs="Arial" w:eastAsia="Arial" w:hAnsi="Arial"/>
                <w:sz w:val="17"/>
                <w:szCs w:val="17"/>
                <w:color w:val="auto"/>
              </w:rPr>
              <w:t>February   , 2008</w:t>
            </w:r>
          </w:p>
        </w:tc>
      </w:tr>
      <w:tr>
        <w:trPr>
          <w:trHeight w:val="222"/>
        </w:trPr>
        <w:tc>
          <w:tcPr>
            <w:tcW w:w="2580" w:type="dxa"/>
            <w:vAlign w:val="bottom"/>
          </w:tcPr>
          <w:p>
            <w:pPr>
              <w:spacing w:after="0"/>
              <w:rPr>
                <w:sz w:val="19"/>
                <w:szCs w:val="19"/>
                <w:color w:val="auto"/>
              </w:rPr>
            </w:pPr>
          </w:p>
        </w:tc>
        <w:tc>
          <w:tcPr>
            <w:tcW w:w="8840" w:type="dxa"/>
            <w:vAlign w:val="bottom"/>
          </w:tcPr>
          <w:p>
            <w:pPr>
              <w:jc w:val="right"/>
              <w:spacing w:after="0"/>
              <w:rPr>
                <w:sz w:val="20"/>
                <w:szCs w:val="20"/>
                <w:color w:val="auto"/>
              </w:rPr>
            </w:pPr>
            <w:r>
              <w:rPr>
                <w:rFonts w:ascii="Arial" w:cs="Arial" w:eastAsia="Arial" w:hAnsi="Arial"/>
                <w:sz w:val="17"/>
                <w:szCs w:val="17"/>
                <w:color w:val="auto"/>
              </w:rPr>
              <w:t>Santa Clara, California</w:t>
            </w:r>
          </w:p>
        </w:tc>
      </w:tr>
    </w:tbl>
    <w:p>
      <w:pPr>
        <w:spacing w:after="0" w:line="192" w:lineRule="exact"/>
        <w:rPr>
          <w:sz w:val="20"/>
          <w:szCs w:val="20"/>
          <w:color w:val="auto"/>
        </w:rPr>
      </w:pPr>
    </w:p>
    <w:p>
      <w:pPr>
        <w:ind w:right="80" w:firstLine="629"/>
        <w:spacing w:after="0" w:line="287" w:lineRule="auto"/>
        <w:rPr>
          <w:sz w:val="20"/>
          <w:szCs w:val="20"/>
          <w:color w:val="auto"/>
        </w:rPr>
      </w:pPr>
      <w:r>
        <w:rPr>
          <w:rFonts w:ascii="Arial" w:cs="Arial" w:eastAsia="Arial" w:hAnsi="Arial"/>
          <w:sz w:val="16"/>
          <w:szCs w:val="16"/>
          <w:b w:val="1"/>
          <w:bCs w:val="1"/>
          <w:color w:val="auto"/>
        </w:rPr>
        <w:t>FOR VALUE RECEIVED</w:t>
      </w:r>
      <w:r>
        <w:rPr>
          <w:rFonts w:ascii="Arial" w:cs="Arial" w:eastAsia="Arial" w:hAnsi="Arial"/>
          <w:sz w:val="16"/>
          <w:szCs w:val="16"/>
          <w:color w:val="auto"/>
        </w:rPr>
        <w:t>, the undersigned,</w:t>
      </w:r>
      <w:r>
        <w:rPr>
          <w:rFonts w:ascii="Arial" w:cs="Arial" w:eastAsia="Arial" w:hAnsi="Arial"/>
          <w:sz w:val="16"/>
          <w:szCs w:val="16"/>
          <w:b w:val="1"/>
          <w:bCs w:val="1"/>
          <w:color w:val="auto"/>
        </w:rPr>
        <w:t xml:space="preserve"> APPLIED OPTOELECTRONICS, INC. </w:t>
      </w:r>
      <w:r>
        <w:rPr>
          <w:rFonts w:ascii="Arial" w:cs="Arial" w:eastAsia="Arial" w:hAnsi="Arial"/>
          <w:sz w:val="16"/>
          <w:szCs w:val="16"/>
          <w:color w:val="auto"/>
        </w:rPr>
        <w:t>(the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w:t>
      </w:r>
      <w:r>
        <w:rPr>
          <w:rFonts w:ascii="Arial" w:cs="Arial" w:eastAsia="Arial" w:hAnsi="Arial"/>
          <w:sz w:val="16"/>
          <w:szCs w:val="16"/>
          <w:b w:val="1"/>
          <w:bCs w:val="1"/>
          <w:color w:val="auto"/>
        </w:rPr>
        <w:t xml:space="preserve"> HEREBY PROMISES TO PAY </w:t>
      </w:r>
      <w:r>
        <w:rPr>
          <w:rFonts w:ascii="Arial" w:cs="Arial" w:eastAsia="Arial" w:hAnsi="Arial"/>
          <w:sz w:val="16"/>
          <w:szCs w:val="16"/>
          <w:color w:val="auto"/>
        </w:rPr>
        <w:t>to the</w:t>
      </w:r>
      <w:r>
        <w:rPr>
          <w:rFonts w:ascii="Arial" w:cs="Arial" w:eastAsia="Arial" w:hAnsi="Arial"/>
          <w:sz w:val="16"/>
          <w:szCs w:val="16"/>
          <w:b w:val="1"/>
          <w:bCs w:val="1"/>
          <w:color w:val="auto"/>
        </w:rPr>
        <w:t xml:space="preserve"> </w:t>
      </w:r>
      <w:r>
        <w:rPr>
          <w:rFonts w:ascii="Arial" w:cs="Arial" w:eastAsia="Arial" w:hAnsi="Arial"/>
          <w:sz w:val="16"/>
          <w:szCs w:val="16"/>
          <w:color w:val="auto"/>
        </w:rPr>
        <w:t>order of United Commercial Bank (the “</w:t>
      </w:r>
      <w:r>
        <w:rPr>
          <w:rFonts w:ascii="Arial" w:cs="Arial" w:eastAsia="Arial" w:hAnsi="Arial"/>
          <w:sz w:val="16"/>
          <w:szCs w:val="16"/>
          <w:b w:val="1"/>
          <w:bCs w:val="1"/>
          <w:i w:val="1"/>
          <w:iCs w:val="1"/>
          <w:color w:val="auto"/>
        </w:rPr>
        <w:t>Bank”</w:t>
      </w:r>
      <w:r>
        <w:rPr>
          <w:rFonts w:ascii="Arial" w:cs="Arial" w:eastAsia="Arial" w:hAnsi="Arial"/>
          <w:sz w:val="16"/>
          <w:szCs w:val="16"/>
          <w:color w:val="auto"/>
        </w:rPr>
        <w:t>) at its Principal Office located at 5201 Great American Parkway, Suite 300, Santa Clara, CA 95054, or at such other place as Bank may from time to time designate in writing, in lawful money of the United States and in immediately available funds, the principal amount of five million dollars ($5,000,000) or so much of the EXIM Advances (as defined in the Loan Agreement (defined below)) as may be advanced from time to time, together with interest from the date of disbursement computed on the principal balances hereof from time to time outstanding as set forth in the Loan and Security</w:t>
      </w:r>
    </w:p>
    <w:p>
      <w:pPr>
        <w:sectPr>
          <w:pgSz w:w="11900" w:h="16917" w:orient="portrait"/>
          <w:cols w:equalWidth="0" w:num="1">
            <w:col w:w="11420"/>
          </w:cols>
          <w:pgMar w:left="240" w:top="127" w:right="239" w:bottom="0" w:gutter="0" w:footer="0" w:header="0"/>
        </w:sectPr>
      </w:pPr>
    </w:p>
    <w:bookmarkStart w:id="401" w:name="page402"/>
    <w:bookmarkEnd w:id="401"/>
    <w:p>
      <w:pPr>
        <w:ind w:right="240"/>
        <w:spacing w:after="0" w:line="322" w:lineRule="auto"/>
        <w:rPr>
          <w:sz w:val="20"/>
          <w:szCs w:val="20"/>
          <w:color w:val="auto"/>
        </w:rPr>
      </w:pPr>
      <w:r>
        <w:rPr>
          <w:rFonts w:ascii="Arial" w:cs="Arial" w:eastAsia="Arial" w:hAnsi="Arial"/>
          <w:sz w:val="16"/>
          <w:szCs w:val="16"/>
          <w:color w:val="auto"/>
        </w:rPr>
        <w:t>Agreement dated the date hereof by and between Bank and Borrower (the “</w:t>
      </w:r>
      <w:r>
        <w:rPr>
          <w:rFonts w:ascii="Arial" w:cs="Arial" w:eastAsia="Arial" w:hAnsi="Arial"/>
          <w:sz w:val="16"/>
          <w:szCs w:val="16"/>
          <w:b w:val="1"/>
          <w:bCs w:val="1"/>
          <w:i w:val="1"/>
          <w:iCs w:val="1"/>
          <w:color w:val="auto"/>
        </w:rPr>
        <w:t>Loan Agreement”</w:t>
      </w:r>
      <w:r>
        <w:rPr>
          <w:rFonts w:ascii="Arial" w:cs="Arial" w:eastAsia="Arial" w:hAnsi="Arial"/>
          <w:sz w:val="16"/>
          <w:szCs w:val="16"/>
          <w:color w:val="auto"/>
        </w:rPr>
        <w:t>). The Loan Agreement is incorporated herein by this reference in its entirety. Capitalized terms used but not otherwise defined herein are used in this EXIM Line Promissory Note as defined in the Loan Agreement.</w:t>
      </w:r>
    </w:p>
    <w:p>
      <w:pPr>
        <w:spacing w:after="0" w:line="136" w:lineRule="exact"/>
        <w:rPr>
          <w:sz w:val="20"/>
          <w:szCs w:val="20"/>
          <w:color w:val="auto"/>
        </w:rPr>
      </w:pPr>
    </w:p>
    <w:p>
      <w:pPr>
        <w:ind w:right="220" w:firstLine="629"/>
        <w:spacing w:after="0" w:line="265" w:lineRule="auto"/>
        <w:rPr>
          <w:sz w:val="20"/>
          <w:szCs w:val="20"/>
          <w:color w:val="auto"/>
        </w:rPr>
      </w:pPr>
      <w:r>
        <w:rPr>
          <w:rFonts w:ascii="Arial" w:cs="Arial" w:eastAsia="Arial" w:hAnsi="Arial"/>
          <w:sz w:val="17"/>
          <w:szCs w:val="17"/>
          <w:color w:val="auto"/>
        </w:rPr>
        <w:t>This EXIM Line Promissory Note is entitled to the benefits of, the Loan Agreement. The Loan Agreement, among other things, contains provisions for acceleration of the maturity of this EXIM Line Promissory Note upon the happening of certain stated events and also for prepayments on account of principal hereof prior to the maturity of this EXIM Line Promissory Note upon the terms and conditions specified in the Loan Agreement. This EXIM Line Promissory Note is also secured by the Collateral described in the Loan Agreement, and reference to the Loan Agreement is hereby made for a description of the rights of Borrower and Bank in respect to such Collateral.</w:t>
      </w:r>
    </w:p>
    <w:p>
      <w:pPr>
        <w:spacing w:after="0" w:line="179" w:lineRule="exact"/>
        <w:rPr>
          <w:sz w:val="20"/>
          <w:szCs w:val="20"/>
          <w:color w:val="auto"/>
        </w:rPr>
      </w:pPr>
    </w:p>
    <w:p>
      <w:pPr>
        <w:jc w:val="both"/>
        <w:ind w:right="60" w:firstLine="629"/>
        <w:spacing w:after="0" w:line="273" w:lineRule="auto"/>
        <w:rPr>
          <w:sz w:val="20"/>
          <w:szCs w:val="20"/>
          <w:color w:val="auto"/>
        </w:rPr>
      </w:pPr>
      <w:r>
        <w:rPr>
          <w:rFonts w:ascii="Arial" w:cs="Arial" w:eastAsia="Arial" w:hAnsi="Arial"/>
          <w:sz w:val="17"/>
          <w:szCs w:val="17"/>
          <w:color w:val="auto"/>
        </w:rPr>
        <w:t>Borrower further promises to pay interest on the unpaid principal amount hereof outstanding from time to time from the date hereof until payment in full hereof at the rate (or rates) from time to time applicable to the EXIM Advances as determined in accordance with the Loan Agreement. Interest shall be calculated on the basis of a three hundred sixty (360)-day year for the actual days elapsed.</w:t>
      </w:r>
    </w:p>
    <w:p>
      <w:pPr>
        <w:spacing w:after="0" w:line="172" w:lineRule="exact"/>
        <w:rPr>
          <w:sz w:val="20"/>
          <w:szCs w:val="20"/>
          <w:color w:val="auto"/>
        </w:rPr>
      </w:pPr>
    </w:p>
    <w:p>
      <w:pPr>
        <w:jc w:val="both"/>
        <w:ind w:right="260" w:firstLine="629"/>
        <w:spacing w:after="0" w:line="298" w:lineRule="auto"/>
        <w:rPr>
          <w:sz w:val="20"/>
          <w:szCs w:val="20"/>
          <w:color w:val="auto"/>
        </w:rPr>
      </w:pPr>
      <w:r>
        <w:rPr>
          <w:rFonts w:ascii="Arial" w:cs="Arial" w:eastAsia="Arial" w:hAnsi="Arial"/>
          <w:sz w:val="16"/>
          <w:szCs w:val="16"/>
          <w:color w:val="auto"/>
        </w:rPr>
        <w:t>Borrower waives demand, presentment and protest, and notice of demand, presentment, protest and nonpayment. Except as otherwise provided in the Loan Agreement or other Loan Documents, Borrower waives all rights to notice and hearing of any kind upon the occurrence of an Event of Default prior to the exercise by Bank of its rights to repossess the Collateral without judicial process or to replevy, attach or levy upon the Collateral without notice or hearing.</w:t>
      </w:r>
    </w:p>
    <w:p>
      <w:pPr>
        <w:spacing w:after="0" w:line="154" w:lineRule="exact"/>
        <w:rPr>
          <w:sz w:val="20"/>
          <w:szCs w:val="20"/>
          <w:color w:val="auto"/>
        </w:rPr>
      </w:pPr>
    </w:p>
    <w:p>
      <w:pPr>
        <w:ind w:right="340" w:firstLine="629"/>
        <w:spacing w:after="0" w:line="273" w:lineRule="auto"/>
        <w:rPr>
          <w:sz w:val="20"/>
          <w:szCs w:val="20"/>
          <w:color w:val="auto"/>
        </w:rPr>
      </w:pPr>
      <w:r>
        <w:rPr>
          <w:rFonts w:ascii="Arial" w:cs="Arial" w:eastAsia="Arial" w:hAnsi="Arial"/>
          <w:sz w:val="17"/>
          <w:szCs w:val="17"/>
          <w:color w:val="auto"/>
        </w:rPr>
        <w:t>If this EXIM Line Promissory Note is not paid when due, whether at its specified or accelerated maturity date, Borrower promises to pay all costs of collection and enforcement of this EXIM Line Promissory Note, including, but not limited to, reasonable attorneys’ fees and costs, incurred by Bank hereof on account of such collection or enforcement, whether or not suit is filed hereon.</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EXIM Line Promissory Note shall be governed and construed in accordance with the laws of the State of California.</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has executed and delivered this EXIM Line Promissory Note as of the date and year first above written.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APPLIED OPTOELECTRONICS, INC.</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7"/>
                <w:szCs w:val="17"/>
                <w:color w:val="auto"/>
              </w:rPr>
              <w:t>By:</w:t>
            </w:r>
          </w:p>
        </w:tc>
        <w:tc>
          <w:tcPr>
            <w:tcW w:w="2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Title:</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gridSpan w:val="2"/>
          </w:tcPr>
          <w:p>
            <w:pPr>
              <w:jc w:val="center"/>
              <w:ind w:left="173"/>
              <w:spacing w:after="0"/>
              <w:rPr>
                <w:sz w:val="20"/>
                <w:szCs w:val="20"/>
                <w:color w:val="auto"/>
              </w:rPr>
            </w:pPr>
            <w:r>
              <w:rPr>
                <w:rFonts w:ascii="Arial" w:cs="Arial" w:eastAsia="Arial" w:hAnsi="Arial"/>
                <w:sz w:val="17"/>
                <w:szCs w:val="17"/>
                <w:color w:val="auto"/>
                <w:w w:val="84"/>
              </w:rPr>
              <w:t>5</w:t>
            </w:r>
          </w:p>
        </w:tc>
        <w:tc>
          <w:tcPr>
            <w:tcW w:w="2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6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3000" w:type="dxa"/>
            <w:vAlign w:val="bottom"/>
            <w:tcBorders>
              <w:bottom w:val="single" w:sz="8" w:color="010101"/>
            </w:tcBorders>
            <w:gridSpan w:val="2"/>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0"/>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40" w:type="dxa"/>
            <w:vAlign w:val="bottom"/>
            <w:gridSpan w:val="3"/>
          </w:tcPr>
          <w:p>
            <w:pPr>
              <w:jc w:val="center"/>
              <w:ind w:right="2073"/>
              <w:spacing w:after="0"/>
              <w:rPr>
                <w:sz w:val="20"/>
                <w:szCs w:val="20"/>
                <w:color w:val="auto"/>
              </w:rPr>
            </w:pPr>
            <w:r>
              <w:rPr>
                <w:rFonts w:ascii="Arial" w:cs="Arial" w:eastAsia="Arial" w:hAnsi="Arial"/>
                <w:sz w:val="17"/>
                <w:szCs w:val="17"/>
                <w:b w:val="1"/>
                <w:bCs w:val="1"/>
                <w:color w:val="auto"/>
              </w:rPr>
              <w:t>EXHIBIT C</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040" w:type="dxa"/>
            <w:vAlign w:val="bottom"/>
            <w:gridSpan w:val="4"/>
          </w:tcPr>
          <w:p>
            <w:pPr>
              <w:jc w:val="center"/>
              <w:ind w:right="873"/>
              <w:spacing w:after="0"/>
              <w:rPr>
                <w:sz w:val="20"/>
                <w:szCs w:val="20"/>
                <w:color w:val="auto"/>
              </w:rPr>
            </w:pPr>
            <w:r>
              <w:rPr>
                <w:rFonts w:ascii="Arial" w:cs="Arial" w:eastAsia="Arial" w:hAnsi="Arial"/>
                <w:sz w:val="17"/>
                <w:szCs w:val="17"/>
                <w:b w:val="1"/>
                <w:bCs w:val="1"/>
                <w:color w:val="auto"/>
              </w:rPr>
              <w:t>LOAN ADVANCE/PAYDOWN REQUEST FORM</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680" w:type="dxa"/>
            <w:vAlign w:val="bottom"/>
            <w:gridSpan w:val="3"/>
          </w:tcPr>
          <w:p>
            <w:pPr>
              <w:spacing w:after="0"/>
              <w:rPr>
                <w:sz w:val="20"/>
                <w:szCs w:val="20"/>
                <w:color w:val="auto"/>
              </w:rPr>
            </w:pPr>
            <w:r>
              <w:rPr>
                <w:rFonts w:ascii="Arial" w:cs="Arial" w:eastAsia="Arial" w:hAnsi="Arial"/>
                <w:sz w:val="17"/>
                <w:szCs w:val="17"/>
                <w:color w:val="auto"/>
              </w:rPr>
              <w:t>TO: United Commercial Bank</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ind w:left="240"/>
              <w:spacing w:after="0"/>
              <w:rPr>
                <w:sz w:val="20"/>
                <w:szCs w:val="20"/>
                <w:color w:val="auto"/>
              </w:rPr>
            </w:pPr>
            <w:r>
              <w:rPr>
                <w:rFonts w:ascii="Arial" w:cs="Arial" w:eastAsia="Arial" w:hAnsi="Arial"/>
                <w:sz w:val="17"/>
                <w:szCs w:val="17"/>
                <w:color w:val="auto"/>
              </w:rPr>
              <w:t>DATE:</w:t>
            </w:r>
          </w:p>
        </w:tc>
        <w:tc>
          <w:tcPr>
            <w:tcW w:w="900" w:type="dxa"/>
            <w:vAlign w:val="bottom"/>
          </w:tcPr>
          <w:p>
            <w:pPr>
              <w:ind w:left="40"/>
              <w:spacing w:after="0"/>
              <w:rPr>
                <w:sz w:val="20"/>
                <w:szCs w:val="20"/>
                <w:color w:val="auto"/>
              </w:rPr>
            </w:pPr>
            <w:r>
              <w:rPr>
                <w:rFonts w:ascii="Arial" w:cs="Arial" w:eastAsia="Arial" w:hAnsi="Arial"/>
                <w:sz w:val="17"/>
                <w:szCs w:val="17"/>
                <w:color w:val="auto"/>
              </w:rPr>
              <w:t>TIME:</w:t>
            </w: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660" w:type="dxa"/>
            <w:vAlign w:val="bottom"/>
          </w:tcPr>
          <w:p>
            <w:pPr>
              <w:spacing w:after="0"/>
              <w:rPr>
                <w:sz w:val="20"/>
                <w:szCs w:val="20"/>
                <w:color w:val="auto"/>
              </w:rPr>
            </w:pPr>
            <w:r>
              <w:rPr>
                <w:rFonts w:ascii="Arial" w:cs="Arial" w:eastAsia="Arial" w:hAnsi="Arial"/>
                <w:sz w:val="17"/>
                <w:szCs w:val="17"/>
                <w:color w:val="auto"/>
                <w:w w:val="94"/>
              </w:rPr>
              <w:t>FAX #: (408) 748-1268</w:t>
            </w:r>
          </w:p>
        </w:tc>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660" w:type="dxa"/>
            <w:vAlign w:val="bottom"/>
          </w:tcPr>
          <w:p>
            <w:pPr>
              <w:spacing w:after="0"/>
              <w:rPr>
                <w:sz w:val="20"/>
                <w:szCs w:val="20"/>
                <w:color w:val="auto"/>
              </w:rPr>
            </w:pPr>
            <w:r>
              <w:rPr>
                <w:rFonts w:ascii="Arial" w:cs="Arial" w:eastAsia="Arial" w:hAnsi="Arial"/>
                <w:sz w:val="17"/>
                <w:szCs w:val="17"/>
                <w:color w:val="auto"/>
              </w:rPr>
              <w:t>FROM:</w:t>
            </w:r>
          </w:p>
        </w:tc>
        <w:tc>
          <w:tcPr>
            <w:tcW w:w="3220" w:type="dxa"/>
            <w:vAlign w:val="bottom"/>
            <w:gridSpan w:val="3"/>
          </w:tcPr>
          <w:p>
            <w:pPr>
              <w:spacing w:after="0"/>
              <w:rPr>
                <w:sz w:val="20"/>
                <w:szCs w:val="20"/>
                <w:color w:val="auto"/>
              </w:rPr>
            </w:pPr>
            <w:r>
              <w:rPr>
                <w:rFonts w:ascii="Arial" w:cs="Arial" w:eastAsia="Arial" w:hAnsi="Arial"/>
                <w:sz w:val="17"/>
                <w:szCs w:val="17"/>
                <w:color w:val="auto"/>
              </w:rPr>
              <w:t>APPLIED OPTOELECTRONICS, INC.</w:t>
            </w:r>
          </w:p>
        </w:tc>
        <w:tc>
          <w:tcPr>
            <w:tcW w:w="840" w:type="dxa"/>
            <w:vAlign w:val="bottom"/>
          </w:tcPr>
          <w:p>
            <w:pPr>
              <w:spacing w:after="0"/>
              <w:rPr>
                <w:sz w:val="24"/>
                <w:szCs w:val="24"/>
                <w:color w:val="auto"/>
              </w:rPr>
            </w:pPr>
          </w:p>
        </w:tc>
        <w:tc>
          <w:tcPr>
            <w:tcW w:w="3900" w:type="dxa"/>
            <w:vAlign w:val="bottom"/>
            <w:gridSpan w:val="3"/>
          </w:tcPr>
          <w:p>
            <w:pPr>
              <w:spacing w:after="0"/>
              <w:rPr>
                <w:sz w:val="20"/>
                <w:szCs w:val="20"/>
                <w:color w:val="auto"/>
              </w:rPr>
            </w:pPr>
            <w:r>
              <w:rPr>
                <w:rFonts w:ascii="Arial" w:cs="Arial" w:eastAsia="Arial" w:hAnsi="Arial"/>
                <w:sz w:val="17"/>
                <w:szCs w:val="17"/>
                <w:color w:val="auto"/>
              </w:rPr>
              <w:t>TELEPHONE REQUEST (For Bank Use Only):</w:t>
            </w: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660" w:type="dxa"/>
            <w:vAlign w:val="bottom"/>
          </w:tcPr>
          <w:p>
            <w:pPr>
              <w:spacing w:after="0"/>
              <w:rPr>
                <w:sz w:val="24"/>
                <w:szCs w:val="24"/>
                <w:color w:val="auto"/>
              </w:rPr>
            </w:pPr>
          </w:p>
        </w:tc>
        <w:tc>
          <w:tcPr>
            <w:tcW w:w="2020" w:type="dxa"/>
            <w:vAlign w:val="bottom"/>
            <w:tcBorders>
              <w:bottom w:val="single" w:sz="8" w:color="auto"/>
            </w:tcBorders>
            <w:gridSpan w:val="2"/>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700" w:type="dxa"/>
            <w:vAlign w:val="bottom"/>
            <w:gridSpan w:val="5"/>
            <w:vMerge w:val="restart"/>
          </w:tcPr>
          <w:p>
            <w:pPr>
              <w:spacing w:after="0"/>
              <w:rPr>
                <w:sz w:val="20"/>
                <w:szCs w:val="20"/>
                <w:color w:val="auto"/>
              </w:rPr>
            </w:pPr>
            <w:r>
              <w:rPr>
                <w:rFonts w:ascii="Arial" w:cs="Arial" w:eastAsia="Arial" w:hAnsi="Arial"/>
                <w:sz w:val="17"/>
                <w:szCs w:val="17"/>
                <w:color w:val="auto"/>
                <w:w w:val="99"/>
              </w:rPr>
              <w:t>The following person is authorized to request the loan payment transfer/loan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660" w:type="dxa"/>
            <w:vAlign w:val="bottom"/>
          </w:tcPr>
          <w:p>
            <w:pPr>
              <w:spacing w:after="0"/>
              <w:rPr>
                <w:sz w:val="15"/>
                <w:szCs w:val="15"/>
                <w:color w:val="auto"/>
              </w:rPr>
            </w:pPr>
          </w:p>
        </w:tc>
        <w:tc>
          <w:tcPr>
            <w:tcW w:w="2020" w:type="dxa"/>
            <w:vAlign w:val="bottom"/>
            <w:gridSpan w:val="2"/>
          </w:tcPr>
          <w:p>
            <w:pPr>
              <w:spacing w:after="0" w:line="177" w:lineRule="exact"/>
              <w:rPr>
                <w:sz w:val="20"/>
                <w:szCs w:val="20"/>
                <w:color w:val="auto"/>
              </w:rPr>
            </w:pPr>
            <w:r>
              <w:rPr>
                <w:rFonts w:ascii="Arial" w:cs="Arial" w:eastAsia="Arial" w:hAnsi="Arial"/>
                <w:sz w:val="17"/>
                <w:szCs w:val="17"/>
                <w:color w:val="auto"/>
              </w:rPr>
              <w:t>Authorized Signer’s Name</w:t>
            </w: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7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900" w:type="dxa"/>
            <w:vAlign w:val="bottom"/>
            <w:gridSpan w:val="3"/>
          </w:tcPr>
          <w:p>
            <w:pPr>
              <w:spacing w:after="0"/>
              <w:rPr>
                <w:sz w:val="20"/>
                <w:szCs w:val="20"/>
                <w:color w:val="auto"/>
              </w:rPr>
            </w:pPr>
            <w:r>
              <w:rPr>
                <w:rFonts w:ascii="Arial" w:cs="Arial" w:eastAsia="Arial" w:hAnsi="Arial"/>
                <w:sz w:val="17"/>
                <w:szCs w:val="17"/>
                <w:color w:val="auto"/>
                <w:w w:val="91"/>
              </w:rPr>
              <w:t>advance on the designated account and is known to me.</w:t>
            </w: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3220" w:type="dxa"/>
            <w:vAlign w:val="bottom"/>
            <w:gridSpan w:val="3"/>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Authorized Signature (Borrower)</w:t>
            </w:r>
          </w:p>
        </w:tc>
        <w:tc>
          <w:tcPr>
            <w:tcW w:w="8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420" w:type="dxa"/>
            <w:vAlign w:val="bottom"/>
            <w:vMerge w:val="restart"/>
          </w:tcPr>
          <w:p>
            <w:pPr>
              <w:ind w:left="40"/>
              <w:spacing w:after="0"/>
              <w:rPr>
                <w:sz w:val="20"/>
                <w:szCs w:val="20"/>
                <w:color w:val="auto"/>
              </w:rPr>
            </w:pPr>
            <w:r>
              <w:rPr>
                <w:rFonts w:ascii="Arial" w:cs="Arial" w:eastAsia="Arial" w:hAnsi="Arial"/>
                <w:sz w:val="17"/>
                <w:szCs w:val="17"/>
                <w:color w:val="auto"/>
              </w:rPr>
              <w:t>Authorized Request &amp; Phone #</w:t>
            </w: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660" w:type="dxa"/>
            <w:vAlign w:val="bottom"/>
            <w:vMerge w:val="restart"/>
          </w:tcPr>
          <w:p>
            <w:pPr>
              <w:spacing w:after="0"/>
              <w:rPr>
                <w:sz w:val="20"/>
                <w:szCs w:val="20"/>
                <w:color w:val="auto"/>
              </w:rPr>
            </w:pPr>
            <w:r>
              <w:rPr>
                <w:rFonts w:ascii="Arial" w:cs="Arial" w:eastAsia="Arial" w:hAnsi="Arial"/>
                <w:sz w:val="17"/>
                <w:szCs w:val="17"/>
                <w:color w:val="auto"/>
              </w:rPr>
              <w:t>PHONE #:</w:t>
            </w:r>
          </w:p>
        </w:tc>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420" w:type="dxa"/>
            <w:vAlign w:val="bottom"/>
            <w:vMerge w:val="restart"/>
          </w:tcPr>
          <w:p>
            <w:pPr>
              <w:ind w:left="40"/>
              <w:spacing w:after="0"/>
              <w:rPr>
                <w:sz w:val="20"/>
                <w:szCs w:val="20"/>
                <w:color w:val="auto"/>
              </w:rPr>
            </w:pPr>
            <w:r>
              <w:rPr>
                <w:rFonts w:ascii="Arial" w:cs="Arial" w:eastAsia="Arial" w:hAnsi="Arial"/>
                <w:sz w:val="17"/>
                <w:szCs w:val="17"/>
                <w:color w:val="auto"/>
              </w:rPr>
              <w:t>Received by (Bank) &amp; Phone #</w:t>
            </w: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660" w:type="dxa"/>
            <w:vAlign w:val="bottom"/>
            <w:vMerge w:val="restart"/>
          </w:tcPr>
          <w:p>
            <w:pPr>
              <w:spacing w:after="0"/>
              <w:rPr>
                <w:sz w:val="20"/>
                <w:szCs w:val="20"/>
                <w:color w:val="auto"/>
              </w:rPr>
            </w:pPr>
            <w:r>
              <w:rPr>
                <w:rFonts w:ascii="Arial" w:cs="Arial" w:eastAsia="Arial" w:hAnsi="Arial"/>
                <w:sz w:val="17"/>
                <w:szCs w:val="17"/>
                <w:color w:val="auto"/>
              </w:rPr>
              <w:t>FROM ACCOUNT#:</w:t>
            </w:r>
          </w:p>
        </w:tc>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2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6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80" w:type="dxa"/>
            <w:vAlign w:val="bottom"/>
            <w:gridSpan w:val="3"/>
          </w:tcPr>
          <w:p>
            <w:pPr>
              <w:spacing w:after="0"/>
              <w:rPr>
                <w:sz w:val="20"/>
                <w:szCs w:val="20"/>
                <w:color w:val="auto"/>
              </w:rPr>
            </w:pPr>
            <w:r>
              <w:rPr>
                <w:rFonts w:ascii="Arial" w:cs="Arial" w:eastAsia="Arial" w:hAnsi="Arial"/>
                <w:sz w:val="17"/>
                <w:szCs w:val="17"/>
                <w:color w:val="auto"/>
              </w:rPr>
              <w:t>(please include Note number, if applicable)</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20"/>
                <w:szCs w:val="20"/>
                <w:color w:val="auto"/>
              </w:rPr>
            </w:pPr>
            <w:r>
              <w:rPr>
                <w:rFonts w:ascii="Arial" w:cs="Arial" w:eastAsia="Arial" w:hAnsi="Arial"/>
                <w:sz w:val="17"/>
                <w:szCs w:val="17"/>
                <w:color w:val="auto"/>
              </w:rPr>
              <w:t>TO ACCOUNT #:</w:t>
            </w:r>
          </w:p>
        </w:tc>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20" w:type="dxa"/>
            <w:vAlign w:val="bottom"/>
          </w:tcPr>
          <w:p>
            <w:pPr>
              <w:ind w:left="40"/>
              <w:spacing w:after="0"/>
              <w:rPr>
                <w:sz w:val="20"/>
                <w:szCs w:val="20"/>
                <w:color w:val="auto"/>
              </w:rPr>
            </w:pPr>
            <w:r>
              <w:rPr>
                <w:rFonts w:ascii="Arial" w:cs="Arial" w:eastAsia="Arial" w:hAnsi="Arial"/>
                <w:sz w:val="17"/>
                <w:szCs w:val="17"/>
                <w:color w:val="auto"/>
              </w:rPr>
              <w:t>Authorized Signature (Bank)</w:t>
            </w: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80" w:type="dxa"/>
            <w:vAlign w:val="bottom"/>
            <w:gridSpan w:val="3"/>
          </w:tcPr>
          <w:p>
            <w:pPr>
              <w:spacing w:after="0"/>
              <w:rPr>
                <w:sz w:val="20"/>
                <w:szCs w:val="20"/>
                <w:color w:val="auto"/>
              </w:rPr>
            </w:pPr>
            <w:r>
              <w:rPr>
                <w:rFonts w:ascii="Arial" w:cs="Arial" w:eastAsia="Arial" w:hAnsi="Arial"/>
                <w:sz w:val="17"/>
                <w:szCs w:val="17"/>
                <w:color w:val="auto"/>
              </w:rPr>
              <w:t>(please include Note number, if applicable)</w:t>
            </w: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3680" w:type="dxa"/>
            <w:vAlign w:val="bottom"/>
            <w:gridSpan w:val="3"/>
          </w:tcPr>
          <w:p>
            <w:pPr>
              <w:spacing w:after="0"/>
              <w:rPr>
                <w:sz w:val="20"/>
                <w:szCs w:val="20"/>
                <w:color w:val="auto"/>
              </w:rPr>
            </w:pPr>
            <w:r>
              <w:rPr>
                <w:rFonts w:ascii="Arial" w:cs="Arial" w:eastAsia="Arial" w:hAnsi="Arial"/>
                <w:sz w:val="17"/>
                <w:szCs w:val="17"/>
                <w:color w:val="auto"/>
              </w:rPr>
              <w:t>REQUESTED TRANSACTION TYPE</w:t>
            </w:r>
          </w:p>
        </w:tc>
        <w:tc>
          <w:tcPr>
            <w:tcW w:w="5040" w:type="dxa"/>
            <w:vAlign w:val="bottom"/>
            <w:gridSpan w:val="4"/>
          </w:tcPr>
          <w:p>
            <w:pPr>
              <w:ind w:left="460"/>
              <w:spacing w:after="0"/>
              <w:rPr>
                <w:sz w:val="20"/>
                <w:szCs w:val="20"/>
                <w:color w:val="auto"/>
              </w:rPr>
            </w:pPr>
            <w:r>
              <w:rPr>
                <w:rFonts w:ascii="Arial" w:cs="Arial" w:eastAsia="Arial" w:hAnsi="Arial"/>
                <w:sz w:val="17"/>
                <w:szCs w:val="17"/>
                <w:color w:val="auto"/>
              </w:rPr>
              <w:t>REQUESTED DOLLAR AMOUNT</w:t>
            </w:r>
          </w:p>
        </w:tc>
        <w:tc>
          <w:tcPr>
            <w:tcW w:w="1640" w:type="dxa"/>
            <w:vAlign w:val="bottom"/>
            <w:gridSpan w:val="2"/>
          </w:tcPr>
          <w:p>
            <w:pPr>
              <w:ind w:left="240"/>
              <w:spacing w:after="0"/>
              <w:rPr>
                <w:sz w:val="20"/>
                <w:szCs w:val="20"/>
                <w:color w:val="auto"/>
              </w:rPr>
            </w:pPr>
            <w:r>
              <w:rPr>
                <w:rFonts w:ascii="Arial" w:cs="Arial" w:eastAsia="Arial" w:hAnsi="Arial"/>
                <w:sz w:val="17"/>
                <w:szCs w:val="17"/>
                <w:color w:val="auto"/>
                <w:w w:val="96"/>
              </w:rPr>
              <w:t>For Bank Use Only</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680" w:type="dxa"/>
            <w:vAlign w:val="bottom"/>
            <w:gridSpan w:val="3"/>
          </w:tcPr>
          <w:p>
            <w:pPr>
              <w:spacing w:after="0"/>
              <w:rPr>
                <w:sz w:val="20"/>
                <w:szCs w:val="20"/>
                <w:color w:val="auto"/>
              </w:rPr>
            </w:pPr>
            <w:r>
              <w:rPr>
                <w:rFonts w:ascii="Arial" w:cs="Arial" w:eastAsia="Arial" w:hAnsi="Arial"/>
                <w:sz w:val="17"/>
                <w:szCs w:val="17"/>
                <w:color w:val="auto"/>
              </w:rPr>
              <w:t>PRINCIPAL INCREASE* (ADVANCE)</w:t>
            </w:r>
          </w:p>
        </w:tc>
        <w:tc>
          <w:tcPr>
            <w:tcW w:w="1200" w:type="dxa"/>
            <w:vAlign w:val="bottom"/>
          </w:tcPr>
          <w:p>
            <w:pPr>
              <w:ind w:left="4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20" w:type="dxa"/>
            <w:vAlign w:val="bottom"/>
          </w:tcPr>
          <w:p>
            <w:pPr>
              <w:ind w:left="1540"/>
              <w:spacing w:after="0"/>
              <w:rPr>
                <w:sz w:val="20"/>
                <w:szCs w:val="20"/>
                <w:color w:val="auto"/>
              </w:rPr>
            </w:pPr>
            <w:r>
              <w:rPr>
                <w:rFonts w:ascii="Arial" w:cs="Arial" w:eastAsia="Arial" w:hAnsi="Arial"/>
                <w:sz w:val="17"/>
                <w:szCs w:val="17"/>
                <w:color w:val="auto"/>
                <w:w w:val="96"/>
              </w:rPr>
              <w:t>Date Rec’d:</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80" w:type="dxa"/>
            <w:vAlign w:val="bottom"/>
            <w:gridSpan w:val="3"/>
          </w:tcPr>
          <w:p>
            <w:pPr>
              <w:spacing w:after="0"/>
              <w:rPr>
                <w:sz w:val="20"/>
                <w:szCs w:val="20"/>
                <w:color w:val="auto"/>
              </w:rPr>
            </w:pPr>
            <w:r>
              <w:rPr>
                <w:rFonts w:ascii="Arial" w:cs="Arial" w:eastAsia="Arial" w:hAnsi="Arial"/>
                <w:sz w:val="17"/>
                <w:szCs w:val="17"/>
                <w:color w:val="auto"/>
              </w:rPr>
              <w:t>PRINCIPAL PAYMENT (ONLY)</w:t>
            </w:r>
          </w:p>
        </w:tc>
        <w:tc>
          <w:tcPr>
            <w:tcW w:w="1200" w:type="dxa"/>
            <w:vAlign w:val="bottom"/>
          </w:tcPr>
          <w:p>
            <w:pPr>
              <w:ind w:left="4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20" w:type="dxa"/>
            <w:vAlign w:val="bottom"/>
          </w:tcPr>
          <w:p>
            <w:pPr>
              <w:ind w:left="1540"/>
              <w:spacing w:after="0"/>
              <w:rPr>
                <w:sz w:val="20"/>
                <w:szCs w:val="20"/>
                <w:color w:val="auto"/>
              </w:rPr>
            </w:pPr>
            <w:r>
              <w:rPr>
                <w:rFonts w:ascii="Arial" w:cs="Arial" w:eastAsia="Arial" w:hAnsi="Arial"/>
                <w:sz w:val="17"/>
                <w:szCs w:val="17"/>
                <w:color w:val="auto"/>
              </w:rPr>
              <w:t>Time:</w:t>
            </w: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20" w:type="dxa"/>
            <w:vAlign w:val="bottom"/>
            <w:gridSpan w:val="2"/>
          </w:tcPr>
          <w:p>
            <w:pPr>
              <w:ind w:left="1540"/>
              <w:spacing w:after="0"/>
              <w:rPr>
                <w:sz w:val="20"/>
                <w:szCs w:val="20"/>
                <w:color w:val="auto"/>
              </w:rPr>
            </w:pPr>
            <w:r>
              <w:rPr>
                <w:rFonts w:ascii="Arial" w:cs="Arial" w:eastAsia="Arial" w:hAnsi="Arial"/>
                <w:sz w:val="17"/>
                <w:szCs w:val="17"/>
                <w:color w:val="auto"/>
              </w:rPr>
              <w:t>Comp. Status:</w:t>
            </w:r>
          </w:p>
        </w:tc>
        <w:tc>
          <w:tcPr>
            <w:tcW w:w="740" w:type="dxa"/>
            <w:vAlign w:val="bottom"/>
          </w:tcPr>
          <w:p>
            <w:pPr>
              <w:ind w:left="40"/>
              <w:spacing w:after="0"/>
              <w:rPr>
                <w:sz w:val="20"/>
                <w:szCs w:val="20"/>
                <w:color w:val="auto"/>
              </w:rPr>
            </w:pPr>
            <w:r>
              <w:rPr>
                <w:rFonts w:ascii="Arial" w:cs="Arial" w:eastAsia="Arial" w:hAnsi="Arial"/>
                <w:sz w:val="17"/>
                <w:szCs w:val="17"/>
                <w:color w:val="auto"/>
              </w:rPr>
              <w:t>YES</w:t>
            </w:r>
          </w:p>
        </w:tc>
        <w:tc>
          <w:tcPr>
            <w:tcW w:w="1060" w:type="dxa"/>
            <w:vAlign w:val="bottom"/>
          </w:tcPr>
          <w:p>
            <w:pPr>
              <w:ind w:left="60"/>
              <w:spacing w:after="0"/>
              <w:rPr>
                <w:sz w:val="20"/>
                <w:szCs w:val="20"/>
                <w:color w:val="auto"/>
              </w:rPr>
            </w:pPr>
            <w:r>
              <w:rPr>
                <w:rFonts w:ascii="Arial" w:cs="Arial" w:eastAsia="Arial" w:hAnsi="Arial"/>
                <w:sz w:val="17"/>
                <w:szCs w:val="17"/>
                <w:color w:val="auto"/>
              </w:rPr>
              <w:t>NO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gridSpan w:val="3"/>
          </w:tcPr>
          <w:p>
            <w:pPr>
              <w:spacing w:after="0"/>
              <w:rPr>
                <w:sz w:val="20"/>
                <w:szCs w:val="20"/>
                <w:color w:val="auto"/>
              </w:rPr>
            </w:pPr>
            <w:r>
              <w:rPr>
                <w:rFonts w:ascii="Arial" w:cs="Arial" w:eastAsia="Arial" w:hAnsi="Arial"/>
                <w:sz w:val="17"/>
                <w:szCs w:val="17"/>
                <w:color w:val="auto"/>
              </w:rPr>
              <w:t>OTHER INSTRUCTIONS:</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20" w:type="dxa"/>
            <w:vAlign w:val="bottom"/>
          </w:tcPr>
          <w:p>
            <w:pPr>
              <w:ind w:left="1540"/>
              <w:spacing w:after="0"/>
              <w:rPr>
                <w:sz w:val="20"/>
                <w:szCs w:val="20"/>
                <w:color w:val="auto"/>
              </w:rPr>
            </w:pPr>
            <w:r>
              <w:rPr>
                <w:rFonts w:ascii="Arial" w:cs="Arial" w:eastAsia="Arial" w:hAnsi="Arial"/>
                <w:sz w:val="17"/>
                <w:szCs w:val="17"/>
                <w:color w:val="auto"/>
                <w:w w:val="91"/>
              </w:rPr>
              <w:t>Status Date:</w:t>
            </w: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20" w:type="dxa"/>
            <w:vAlign w:val="bottom"/>
          </w:tcPr>
          <w:p>
            <w:pPr>
              <w:ind w:left="1540"/>
              <w:spacing w:after="0"/>
              <w:rPr>
                <w:sz w:val="20"/>
                <w:szCs w:val="20"/>
                <w:color w:val="auto"/>
              </w:rPr>
            </w:pPr>
            <w:r>
              <w:rPr>
                <w:rFonts w:ascii="Arial" w:cs="Arial" w:eastAsia="Arial" w:hAnsi="Arial"/>
                <w:sz w:val="17"/>
                <w:szCs w:val="17"/>
                <w:color w:val="auto"/>
              </w:rPr>
              <w:t>Time:</w:t>
            </w: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20" w:type="dxa"/>
            <w:vAlign w:val="bottom"/>
          </w:tcPr>
          <w:p>
            <w:pPr>
              <w:ind w:left="1540"/>
              <w:spacing w:after="0"/>
              <w:rPr>
                <w:sz w:val="20"/>
                <w:szCs w:val="20"/>
                <w:color w:val="auto"/>
              </w:rPr>
            </w:pPr>
            <w:r>
              <w:rPr>
                <w:rFonts w:ascii="Arial" w:cs="Arial" w:eastAsia="Arial" w:hAnsi="Arial"/>
                <w:sz w:val="17"/>
                <w:szCs w:val="17"/>
                <w:color w:val="auto"/>
              </w:rPr>
              <w:t>Approval:</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-4230370</wp:posOffset>
            </wp:positionV>
            <wp:extent cx="12700" cy="2921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-4230370</wp:posOffset>
            </wp:positionV>
            <wp:extent cx="12700" cy="2921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All representations and warranties of Borrower stated in the Loan Agreement are true, correct and complete in all material respects as of the date of the telephone request for an advance confirmed by this Borrowing Certificate, including without limitation the representation that Borrower has paid for and owns the equipment financed by the Bank; provided, however, that those representations and warranties expressly referring to another date shall be true, correct and complete in all material respects as of such date.</w:t>
      </w:r>
    </w:p>
    <w:p>
      <w:pPr>
        <w:spacing w:after="0" w:line="170" w:lineRule="exact"/>
        <w:rPr>
          <w:sz w:val="20"/>
          <w:szCs w:val="20"/>
          <w:color w:val="auto"/>
        </w:rPr>
      </w:pPr>
    </w:p>
    <w:p>
      <w:pPr>
        <w:spacing w:after="0"/>
        <w:tabs>
          <w:tab w:leader="none" w:pos="9440" w:val="left"/>
          <w:tab w:leader="none" w:pos="10620" w:val="left"/>
        </w:tabs>
        <w:rPr>
          <w:sz w:val="20"/>
          <w:szCs w:val="20"/>
          <w:color w:val="auto"/>
        </w:rPr>
      </w:pPr>
      <w:r>
        <w:rPr>
          <w:rFonts w:ascii="Arial" w:cs="Arial" w:eastAsia="Arial" w:hAnsi="Arial"/>
          <w:sz w:val="17"/>
          <w:szCs w:val="17"/>
          <w:b w:val="1"/>
          <w:bCs w:val="1"/>
          <w:color w:val="auto"/>
        </w:rPr>
        <w:t>*IS THERE A WIRE REQUEST TIED TO THIS LOAN ADVANCE? (PLEASE CIRCLE ONE)</w:t>
      </w:r>
      <w:r>
        <w:rPr>
          <w:sz w:val="20"/>
          <w:szCs w:val="20"/>
          <w:color w:val="auto"/>
        </w:rPr>
        <w:tab/>
      </w:r>
      <w:r>
        <w:rPr>
          <w:rFonts w:ascii="Arial" w:cs="Arial" w:eastAsia="Arial" w:hAnsi="Arial"/>
          <w:sz w:val="17"/>
          <w:szCs w:val="17"/>
          <w:b w:val="1"/>
          <w:bCs w:val="1"/>
          <w:color w:val="auto"/>
        </w:rPr>
        <w:t>YES</w:t>
      </w:r>
      <w:r>
        <w:rPr>
          <w:sz w:val="20"/>
          <w:szCs w:val="20"/>
          <w:color w:val="auto"/>
        </w:rPr>
        <w:tab/>
      </w:r>
      <w:r>
        <w:rPr>
          <w:rFonts w:ascii="Arial" w:cs="Arial" w:eastAsia="Arial" w:hAnsi="Arial"/>
          <w:sz w:val="17"/>
          <w:szCs w:val="17"/>
          <w:b w:val="1"/>
          <w:bCs w:val="1"/>
          <w:color w:val="auto"/>
        </w:rPr>
        <w:t>NO</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If YES, the Outgoing Wire Transfer Instructions must be completed below.</w:t>
      </w:r>
    </w:p>
    <w:p>
      <w:pPr>
        <w:spacing w:after="0" w:line="218" w:lineRule="exact"/>
        <w:rPr>
          <w:sz w:val="20"/>
          <w:szCs w:val="20"/>
          <w:color w:val="auto"/>
        </w:rPr>
      </w:pPr>
    </w:p>
    <w:p>
      <w:pPr>
        <w:spacing w:after="0"/>
        <w:tabs>
          <w:tab w:leader="none" w:pos="5340" w:val="left"/>
          <w:tab w:leader="none" w:pos="8500" w:val="left"/>
        </w:tabs>
        <w:rPr>
          <w:sz w:val="20"/>
          <w:szCs w:val="20"/>
          <w:color w:val="auto"/>
        </w:rPr>
      </w:pPr>
      <w:r>
        <w:rPr>
          <w:rFonts w:ascii="Arial" w:cs="Arial" w:eastAsia="Arial" w:hAnsi="Arial"/>
          <w:sz w:val="17"/>
          <w:szCs w:val="17"/>
          <w:b w:val="1"/>
          <w:bCs w:val="1"/>
          <w:color w:val="auto"/>
        </w:rPr>
        <w:t>OUTGOING WIRE TRANSFER INSTRUCTIONS</w:t>
      </w:r>
      <w:r>
        <w:rPr>
          <w:sz w:val="20"/>
          <w:szCs w:val="20"/>
          <w:color w:val="auto"/>
        </w:rPr>
        <w:tab/>
      </w:r>
      <w:r>
        <w:rPr>
          <w:rFonts w:ascii="Arial" w:cs="Arial" w:eastAsia="Arial" w:hAnsi="Arial"/>
          <w:sz w:val="17"/>
          <w:szCs w:val="17"/>
          <w:color w:val="auto"/>
        </w:rPr>
        <w:t>Fed Reference Number</w:t>
      </w:r>
      <w:r>
        <w:rPr>
          <w:sz w:val="20"/>
          <w:szCs w:val="20"/>
          <w:color w:val="auto"/>
        </w:rPr>
        <w:tab/>
      </w:r>
      <w:r>
        <w:rPr>
          <w:rFonts w:ascii="Arial" w:cs="Arial" w:eastAsia="Arial" w:hAnsi="Arial"/>
          <w:sz w:val="15"/>
          <w:szCs w:val="15"/>
          <w:color w:val="auto"/>
        </w:rPr>
        <w:t>Bank Transfer Number</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The items marked with an asterisk (*) are required to be completed.</w:t>
      </w:r>
    </w:p>
    <w:p>
      <w:pPr>
        <w:sectPr>
          <w:pgSz w:w="11900" w:h="16838" w:orient="portrait"/>
          <w:cols w:equalWidth="0" w:num="1">
            <w:col w:w="11460"/>
          </w:cols>
          <w:pgMar w:left="240" w:top="127" w:right="199" w:bottom="0" w:gutter="0" w:footer="0" w:header="0"/>
        </w:sectPr>
      </w:pPr>
    </w:p>
    <w:bookmarkStart w:id="402" w:name="page403"/>
    <w:bookmarkEnd w:id="402"/>
    <w:tbl>
      <w:tblPr>
        <w:tblLayout w:type="fixed"/>
        <w:tblInd w:w="0" w:type="dxa"/>
        <w:tblCellMar>
          <w:top w:w="0" w:type="dxa"/>
          <w:left w:w="0" w:type="dxa"/>
          <w:bottom w:w="0" w:type="dxa"/>
          <w:right w:w="0" w:type="dxa"/>
        </w:tblCellMar>
      </w:tblPr>
      <w:tr>
        <w:trPr>
          <w:trHeight w:val="210"/>
        </w:trPr>
        <w:tc>
          <w:tcPr>
            <w:tcW w:w="2920" w:type="dxa"/>
            <w:vAlign w:val="bottom"/>
          </w:tcPr>
          <w:p>
            <w:pPr>
              <w:spacing w:after="0"/>
              <w:rPr>
                <w:sz w:val="20"/>
                <w:szCs w:val="20"/>
                <w:color w:val="auto"/>
              </w:rPr>
            </w:pPr>
            <w:r>
              <w:rPr>
                <w:rFonts w:ascii="Arial" w:cs="Arial" w:eastAsia="Arial" w:hAnsi="Arial"/>
                <w:sz w:val="17"/>
                <w:szCs w:val="17"/>
                <w:color w:val="auto"/>
              </w:rPr>
              <w:t>*Beneficiary Name</w:t>
            </w:r>
          </w:p>
        </w:tc>
        <w:tc>
          <w:tcPr>
            <w:tcW w:w="11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0"/>
        </w:trPr>
        <w:tc>
          <w:tcPr>
            <w:tcW w:w="2920" w:type="dxa"/>
            <w:vAlign w:val="bottom"/>
          </w:tcPr>
          <w:p>
            <w:pPr>
              <w:spacing w:after="0"/>
              <w:rPr>
                <w:sz w:val="20"/>
                <w:szCs w:val="20"/>
                <w:color w:val="auto"/>
              </w:rPr>
            </w:pPr>
            <w:r>
              <w:rPr>
                <w:rFonts w:ascii="Arial" w:cs="Arial" w:eastAsia="Arial" w:hAnsi="Arial"/>
                <w:sz w:val="17"/>
                <w:szCs w:val="17"/>
                <w:color w:val="auto"/>
              </w:rPr>
              <w:t>*Beneficiary Account Number</w:t>
            </w:r>
          </w:p>
        </w:tc>
        <w:tc>
          <w:tcPr>
            <w:tcW w:w="11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0"/>
        </w:trPr>
        <w:tc>
          <w:tcPr>
            <w:tcW w:w="2920" w:type="dxa"/>
            <w:vAlign w:val="bottom"/>
          </w:tcPr>
          <w:p>
            <w:pPr>
              <w:spacing w:after="0"/>
              <w:rPr>
                <w:sz w:val="20"/>
                <w:szCs w:val="20"/>
                <w:color w:val="auto"/>
              </w:rPr>
            </w:pPr>
            <w:r>
              <w:rPr>
                <w:rFonts w:ascii="Arial" w:cs="Arial" w:eastAsia="Arial" w:hAnsi="Arial"/>
                <w:sz w:val="17"/>
                <w:szCs w:val="17"/>
                <w:color w:val="auto"/>
              </w:rPr>
              <w:t>*Beneficiary Address</w:t>
            </w:r>
          </w:p>
        </w:tc>
        <w:tc>
          <w:tcPr>
            <w:tcW w:w="11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0"/>
        </w:trPr>
        <w:tc>
          <w:tcPr>
            <w:tcW w:w="2920" w:type="dxa"/>
            <w:vAlign w:val="bottom"/>
          </w:tcPr>
          <w:p>
            <w:pPr>
              <w:spacing w:after="0"/>
              <w:rPr>
                <w:sz w:val="20"/>
                <w:szCs w:val="20"/>
                <w:color w:val="auto"/>
              </w:rPr>
            </w:pPr>
            <w:r>
              <w:rPr>
                <w:rFonts w:ascii="Arial" w:cs="Arial" w:eastAsia="Arial" w:hAnsi="Arial"/>
                <w:sz w:val="17"/>
                <w:szCs w:val="17"/>
                <w:color w:val="auto"/>
              </w:rPr>
              <w:t>Currency Type</w:t>
            </w:r>
          </w:p>
        </w:tc>
        <w:tc>
          <w:tcPr>
            <w:tcW w:w="1180" w:type="dxa"/>
            <w:vAlign w:val="bottom"/>
          </w:tcPr>
          <w:p>
            <w:pPr>
              <w:spacing w:after="0"/>
              <w:rPr>
                <w:sz w:val="18"/>
                <w:szCs w:val="18"/>
                <w:color w:val="auto"/>
              </w:rPr>
            </w:pPr>
          </w:p>
        </w:tc>
        <w:tc>
          <w:tcPr>
            <w:tcW w:w="7360" w:type="dxa"/>
            <w:vAlign w:val="bottom"/>
            <w:gridSpan w:val="2"/>
          </w:tcPr>
          <w:p>
            <w:pPr>
              <w:ind w:left="2540"/>
              <w:spacing w:after="0"/>
              <w:rPr>
                <w:sz w:val="20"/>
                <w:szCs w:val="20"/>
                <w:color w:val="auto"/>
              </w:rPr>
            </w:pPr>
            <w:r>
              <w:rPr>
                <w:rFonts w:ascii="Arial" w:cs="Arial" w:eastAsia="Arial" w:hAnsi="Arial"/>
                <w:sz w:val="17"/>
                <w:szCs w:val="17"/>
                <w:color w:val="auto"/>
              </w:rPr>
              <w:t>US DOLLARS ONLY</w:t>
            </w:r>
          </w:p>
        </w:tc>
      </w:tr>
      <w:tr>
        <w:trPr>
          <w:trHeight w:val="210"/>
        </w:trPr>
        <w:tc>
          <w:tcPr>
            <w:tcW w:w="2920" w:type="dxa"/>
            <w:vAlign w:val="bottom"/>
          </w:tcPr>
          <w:p>
            <w:pPr>
              <w:spacing w:after="0"/>
              <w:rPr>
                <w:sz w:val="20"/>
                <w:szCs w:val="20"/>
                <w:color w:val="auto"/>
              </w:rPr>
            </w:pPr>
            <w:r>
              <w:rPr>
                <w:rFonts w:ascii="Arial" w:cs="Arial" w:eastAsia="Arial" w:hAnsi="Arial"/>
                <w:sz w:val="17"/>
                <w:szCs w:val="17"/>
                <w:color w:val="auto"/>
              </w:rPr>
              <w:t>*ABA Routing Number (9 Digits)</w:t>
            </w:r>
          </w:p>
        </w:tc>
        <w:tc>
          <w:tcPr>
            <w:tcW w:w="11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0"/>
        </w:trPr>
        <w:tc>
          <w:tcPr>
            <w:tcW w:w="2920" w:type="dxa"/>
            <w:vAlign w:val="bottom"/>
          </w:tcPr>
          <w:p>
            <w:pPr>
              <w:spacing w:after="0"/>
              <w:rPr>
                <w:sz w:val="20"/>
                <w:szCs w:val="20"/>
                <w:color w:val="auto"/>
              </w:rPr>
            </w:pPr>
            <w:r>
              <w:rPr>
                <w:rFonts w:ascii="Arial" w:cs="Arial" w:eastAsia="Arial" w:hAnsi="Arial"/>
                <w:sz w:val="17"/>
                <w:szCs w:val="17"/>
                <w:color w:val="auto"/>
              </w:rPr>
              <w:t>*Receiving Institution Name</w:t>
            </w:r>
          </w:p>
        </w:tc>
        <w:tc>
          <w:tcPr>
            <w:tcW w:w="11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0"/>
        </w:trPr>
        <w:tc>
          <w:tcPr>
            <w:tcW w:w="2920" w:type="dxa"/>
            <w:vAlign w:val="bottom"/>
          </w:tcPr>
          <w:p>
            <w:pPr>
              <w:spacing w:after="0"/>
              <w:rPr>
                <w:sz w:val="20"/>
                <w:szCs w:val="20"/>
                <w:color w:val="auto"/>
              </w:rPr>
            </w:pPr>
            <w:r>
              <w:rPr>
                <w:rFonts w:ascii="Arial" w:cs="Arial" w:eastAsia="Arial" w:hAnsi="Arial"/>
                <w:sz w:val="17"/>
                <w:szCs w:val="17"/>
                <w:color w:val="auto"/>
              </w:rPr>
              <w:t>*Receiving Institution Address</w:t>
            </w:r>
          </w:p>
        </w:tc>
        <w:tc>
          <w:tcPr>
            <w:tcW w:w="11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7"/>
                <w:szCs w:val="17"/>
                <w:color w:val="auto"/>
              </w:rPr>
              <w:t>*Wire Account</w:t>
            </w:r>
          </w:p>
        </w:tc>
        <w:tc>
          <w:tcPr>
            <w:tcW w:w="1180" w:type="dxa"/>
            <w:vAlign w:val="bottom"/>
          </w:tcPr>
          <w:p>
            <w:pPr>
              <w:jc w:val="right"/>
              <w:ind w:right="493"/>
              <w:spacing w:after="0"/>
              <w:rPr>
                <w:sz w:val="20"/>
                <w:szCs w:val="20"/>
                <w:color w:val="auto"/>
              </w:rPr>
            </w:pPr>
            <w:r>
              <w:rPr>
                <w:rFonts w:ascii="Arial" w:cs="Arial" w:eastAsia="Arial" w:hAnsi="Arial"/>
                <w:sz w:val="17"/>
                <w:szCs w:val="17"/>
                <w:color w:val="auto"/>
              </w:rPr>
              <w:t>$</w:t>
            </w:r>
          </w:p>
        </w:tc>
        <w:tc>
          <w:tcPr>
            <w:tcW w:w="322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338"/>
        </w:trPr>
        <w:tc>
          <w:tcPr>
            <w:tcW w:w="292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3220" w:type="dxa"/>
            <w:vAlign w:val="bottom"/>
            <w:tcBorders>
              <w:bottom w:val="single" w:sz="8" w:color="010101"/>
            </w:tcBorders>
          </w:tcPr>
          <w:p>
            <w:pPr>
              <w:spacing w:after="0"/>
              <w:rPr>
                <w:sz w:val="24"/>
                <w:szCs w:val="24"/>
                <w:color w:val="auto"/>
              </w:rPr>
            </w:pPr>
          </w:p>
        </w:tc>
        <w:tc>
          <w:tcPr>
            <w:tcW w:w="4140" w:type="dxa"/>
            <w:vAlign w:val="bottom"/>
            <w:tcBorders>
              <w:bottom w:val="single" w:sz="8" w:color="010101"/>
            </w:tcBorders>
          </w:tcPr>
          <w:p>
            <w:pPr>
              <w:spacing w:after="0"/>
              <w:rPr>
                <w:sz w:val="24"/>
                <w:szCs w:val="24"/>
                <w:color w:val="auto"/>
              </w:rPr>
            </w:pPr>
          </w:p>
        </w:tc>
      </w:tr>
      <w:tr>
        <w:trPr>
          <w:trHeight w:val="520"/>
        </w:trPr>
        <w:tc>
          <w:tcPr>
            <w:tcW w:w="2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360" w:type="dxa"/>
            <w:vAlign w:val="bottom"/>
            <w:gridSpan w:val="2"/>
          </w:tcPr>
          <w:p>
            <w:pPr>
              <w:jc w:val="center"/>
              <w:ind w:right="4140"/>
              <w:spacing w:after="0"/>
              <w:rPr>
                <w:sz w:val="20"/>
                <w:szCs w:val="20"/>
                <w:color w:val="auto"/>
              </w:rPr>
            </w:pPr>
            <w:r>
              <w:rPr>
                <w:rFonts w:ascii="Arial" w:cs="Arial" w:eastAsia="Arial" w:hAnsi="Arial"/>
                <w:sz w:val="17"/>
                <w:szCs w:val="17"/>
                <w:b w:val="1"/>
                <w:bCs w:val="1"/>
                <w:color w:val="auto"/>
              </w:rPr>
              <w:t>EXHIBIT D-1</w:t>
            </w:r>
          </w:p>
        </w:tc>
      </w:tr>
      <w:tr>
        <w:trPr>
          <w:trHeight w:val="419"/>
        </w:trPr>
        <w:tc>
          <w:tcPr>
            <w:tcW w:w="2920" w:type="dxa"/>
            <w:vAlign w:val="bottom"/>
          </w:tcPr>
          <w:p>
            <w:pPr>
              <w:spacing w:after="0"/>
              <w:rPr>
                <w:sz w:val="24"/>
                <w:szCs w:val="24"/>
                <w:color w:val="auto"/>
              </w:rPr>
            </w:pPr>
          </w:p>
        </w:tc>
        <w:tc>
          <w:tcPr>
            <w:tcW w:w="8540" w:type="dxa"/>
            <w:vAlign w:val="bottom"/>
            <w:gridSpan w:val="3"/>
          </w:tcPr>
          <w:p>
            <w:pPr>
              <w:jc w:val="center"/>
              <w:ind w:right="2940"/>
              <w:spacing w:after="0"/>
              <w:rPr>
                <w:sz w:val="20"/>
                <w:szCs w:val="20"/>
                <w:color w:val="auto"/>
              </w:rPr>
            </w:pPr>
            <w:r>
              <w:rPr>
                <w:rFonts w:ascii="Arial" w:cs="Arial" w:eastAsia="Arial" w:hAnsi="Arial"/>
                <w:sz w:val="17"/>
                <w:szCs w:val="17"/>
                <w:b w:val="1"/>
                <w:bCs w:val="1"/>
                <w:color w:val="auto"/>
              </w:rPr>
              <w:t>DOMESTIC BORROWING BASE CERTIFICATE</w:t>
            </w:r>
          </w:p>
        </w:tc>
      </w:tr>
      <w:tr>
        <w:trPr>
          <w:trHeight w:val="402"/>
        </w:trPr>
        <w:tc>
          <w:tcPr>
            <w:tcW w:w="2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360" w:type="dxa"/>
            <w:vAlign w:val="bottom"/>
            <w:gridSpan w:val="2"/>
          </w:tcPr>
          <w:p>
            <w:pPr>
              <w:jc w:val="center"/>
              <w:ind w:right="4120"/>
              <w:spacing w:after="0"/>
              <w:rPr>
                <w:sz w:val="20"/>
                <w:szCs w:val="20"/>
                <w:color w:val="auto"/>
              </w:rPr>
            </w:pPr>
            <w:r>
              <w:rPr>
                <w:rFonts w:ascii="Arial" w:cs="Arial" w:eastAsia="Arial" w:hAnsi="Arial"/>
                <w:sz w:val="17"/>
                <w:szCs w:val="17"/>
                <w:b w:val="1"/>
                <w:bCs w:val="1"/>
                <w:color w:val="auto"/>
                <w:w w:val="91"/>
              </w:rPr>
              <w:t>East West Bank - Asset Based Lending</w:t>
            </w:r>
          </w:p>
        </w:tc>
      </w:tr>
      <w:tr>
        <w:trPr>
          <w:trHeight w:val="189"/>
        </w:trPr>
        <w:tc>
          <w:tcPr>
            <w:tcW w:w="2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360" w:type="dxa"/>
            <w:vAlign w:val="bottom"/>
            <w:gridSpan w:val="2"/>
          </w:tcPr>
          <w:p>
            <w:pPr>
              <w:jc w:val="center"/>
              <w:ind w:right="4140"/>
              <w:spacing w:after="0" w:line="189" w:lineRule="exact"/>
              <w:rPr>
                <w:sz w:val="20"/>
                <w:szCs w:val="20"/>
                <w:color w:val="auto"/>
              </w:rPr>
            </w:pPr>
            <w:r>
              <w:rPr>
                <w:rFonts w:ascii="Arial" w:cs="Arial" w:eastAsia="Arial" w:hAnsi="Arial"/>
                <w:sz w:val="17"/>
                <w:szCs w:val="17"/>
                <w:b w:val="1"/>
                <w:bCs w:val="1"/>
                <w:color w:val="auto"/>
                <w:w w:val="93"/>
              </w:rPr>
              <w:t>Borrowing Base Certificate -Domestic ABL</w:t>
            </w:r>
          </w:p>
        </w:tc>
      </w:tr>
      <w:tr>
        <w:trPr>
          <w:trHeight w:val="20"/>
        </w:trPr>
        <w:tc>
          <w:tcPr>
            <w:tcW w:w="2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-1009015</wp:posOffset>
            </wp:positionV>
            <wp:extent cx="12700" cy="2921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-1009015</wp:posOffset>
            </wp:positionV>
            <wp:extent cx="12700" cy="2921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certifies to East West Bank that: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accounts are true and correct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4215130</wp:posOffset>
            </wp:positionH>
            <wp:positionV relativeFrom="paragraph">
              <wp:posOffset>9525</wp:posOffset>
            </wp:positionV>
            <wp:extent cx="88265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gridSpan w:val="2"/>
          </w:tcPr>
          <w:p>
            <w:pPr>
              <w:spacing w:after="0"/>
              <w:rPr>
                <w:sz w:val="20"/>
                <w:szCs w:val="20"/>
                <w:color w:val="auto"/>
              </w:rPr>
            </w:pPr>
            <w:r>
              <w:rPr>
                <w:rFonts w:ascii="Arial" w:cs="Arial" w:eastAsia="Arial" w:hAnsi="Arial"/>
                <w:sz w:val="17"/>
                <w:szCs w:val="17"/>
                <w:b w:val="1"/>
                <w:bCs w:val="1"/>
                <w:color w:val="auto"/>
              </w:rPr>
              <w:t>A. Accounts Receivable</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20"/>
                <w:szCs w:val="20"/>
                <w:color w:val="auto"/>
              </w:rPr>
            </w:pPr>
            <w:r>
              <w:rPr>
                <w:rFonts w:ascii="Arial" w:cs="Arial" w:eastAsia="Arial" w:hAnsi="Arial"/>
                <w:sz w:val="17"/>
                <w:szCs w:val="17"/>
                <w:color w:val="auto"/>
                <w:w w:val="98"/>
              </w:rPr>
              <w:t>1.</w:t>
            </w:r>
          </w:p>
        </w:tc>
        <w:tc>
          <w:tcPr>
            <w:tcW w:w="6480" w:type="dxa"/>
            <w:vAlign w:val="bottom"/>
          </w:tcPr>
          <w:p>
            <w:pPr>
              <w:ind w:left="20"/>
              <w:spacing w:after="0"/>
              <w:rPr>
                <w:sz w:val="20"/>
                <w:szCs w:val="20"/>
                <w:color w:val="auto"/>
              </w:rPr>
            </w:pPr>
            <w:r>
              <w:rPr>
                <w:rFonts w:ascii="Arial" w:cs="Arial" w:eastAsia="Arial" w:hAnsi="Arial"/>
                <w:sz w:val="17"/>
                <w:szCs w:val="17"/>
                <w:color w:val="auto"/>
              </w:rPr>
              <w:t>Previous Accounts Receivable Ending Balance</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Arial" w:cs="Arial" w:eastAsia="Arial" w:hAnsi="Arial"/>
                <w:sz w:val="17"/>
                <w:szCs w:val="17"/>
                <w:color w:val="auto"/>
                <w:w w:val="98"/>
              </w:rPr>
              <w:t>2.</w:t>
            </w:r>
          </w:p>
        </w:tc>
        <w:tc>
          <w:tcPr>
            <w:tcW w:w="6480" w:type="dxa"/>
            <w:vAlign w:val="bottom"/>
            <w:vMerge w:val="restart"/>
          </w:tcPr>
          <w:p>
            <w:pPr>
              <w:ind w:left="20"/>
              <w:spacing w:after="0"/>
              <w:rPr>
                <w:sz w:val="20"/>
                <w:szCs w:val="20"/>
                <w:color w:val="auto"/>
              </w:rPr>
            </w:pPr>
            <w:r>
              <w:rPr>
                <w:rFonts w:ascii="Arial" w:cs="Arial" w:eastAsia="Arial" w:hAnsi="Arial"/>
                <w:sz w:val="17"/>
                <w:szCs w:val="17"/>
                <w:color w:val="auto"/>
              </w:rPr>
              <w:t>Plus: New sales as posted through:</w:t>
            </w:r>
          </w:p>
        </w:tc>
        <w:tc>
          <w:tcPr>
            <w:tcW w:w="2320" w:type="dxa"/>
            <w:vAlign w:val="bottom"/>
            <w:gridSpan w:val="3"/>
            <w:vMerge w:val="restart"/>
          </w:tcPr>
          <w:p>
            <w:pPr>
              <w:jc w:val="right"/>
              <w:ind w:right="484"/>
              <w:spacing w:after="0"/>
              <w:rPr>
                <w:sz w:val="20"/>
                <w:szCs w:val="20"/>
                <w:color w:val="auto"/>
              </w:rPr>
            </w:pPr>
            <w:r>
              <w:rPr>
                <w:rFonts w:ascii="Arial" w:cs="Arial" w:eastAsia="Arial" w:hAnsi="Arial"/>
                <w:sz w:val="17"/>
                <w:szCs w:val="17"/>
                <w:color w:val="auto"/>
              </w:rPr>
              <w:t>$</w:t>
            </w:r>
          </w:p>
        </w:tc>
        <w:tc>
          <w:tcPr>
            <w:tcW w:w="1020" w:type="dxa"/>
            <w:vAlign w:val="bottom"/>
            <w:gridSpan w:val="4"/>
            <w:vMerge w:val="restart"/>
          </w:tcPr>
          <w:p>
            <w:pPr>
              <w:ind w:left="54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60" w:type="dxa"/>
            <w:vAlign w:val="bottom"/>
            <w:vMerge w:val="continue"/>
          </w:tcPr>
          <w:p>
            <w:pPr>
              <w:spacing w:after="0"/>
              <w:rPr>
                <w:sz w:val="14"/>
                <w:szCs w:val="14"/>
                <w:color w:val="auto"/>
              </w:rPr>
            </w:pPr>
          </w:p>
        </w:tc>
        <w:tc>
          <w:tcPr>
            <w:tcW w:w="6480" w:type="dxa"/>
            <w:vAlign w:val="bottom"/>
            <w:vMerge w:val="continue"/>
          </w:tcPr>
          <w:p>
            <w:pPr>
              <w:spacing w:after="0"/>
              <w:rPr>
                <w:sz w:val="14"/>
                <w:szCs w:val="14"/>
                <w:color w:val="auto"/>
              </w:rPr>
            </w:pPr>
          </w:p>
        </w:tc>
        <w:tc>
          <w:tcPr>
            <w:tcW w:w="2320" w:type="dxa"/>
            <w:vAlign w:val="bottom"/>
            <w:gridSpan w:val="3"/>
            <w:vMerge w:val="continue"/>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20"/>
                <w:szCs w:val="20"/>
                <w:color w:val="auto"/>
              </w:rPr>
            </w:pPr>
            <w:r>
              <w:rPr>
                <w:rFonts w:ascii="Arial" w:cs="Arial" w:eastAsia="Arial" w:hAnsi="Arial"/>
                <w:sz w:val="17"/>
                <w:szCs w:val="17"/>
                <w:color w:val="auto"/>
                <w:w w:val="98"/>
              </w:rPr>
              <w:t>3.</w:t>
            </w:r>
          </w:p>
        </w:tc>
        <w:tc>
          <w:tcPr>
            <w:tcW w:w="6480" w:type="dxa"/>
            <w:vAlign w:val="bottom"/>
          </w:tcPr>
          <w:p>
            <w:pPr>
              <w:ind w:left="20"/>
              <w:spacing w:after="0"/>
              <w:rPr>
                <w:sz w:val="20"/>
                <w:szCs w:val="20"/>
                <w:color w:val="auto"/>
              </w:rPr>
            </w:pPr>
            <w:r>
              <w:rPr>
                <w:rFonts w:ascii="Arial" w:cs="Arial" w:eastAsia="Arial" w:hAnsi="Arial"/>
                <w:sz w:val="17"/>
                <w:szCs w:val="17"/>
                <w:color w:val="auto"/>
              </w:rPr>
              <w:t>Plus: Other additions (debit adjustments, etc)</w:t>
            </w:r>
          </w:p>
        </w:tc>
        <w:tc>
          <w:tcPr>
            <w:tcW w:w="13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Borders>
              <w:top w:val="single" w:sz="8" w:color="auto"/>
            </w:tcBorders>
          </w:tcPr>
          <w:p>
            <w:pPr>
              <w:jc w:val="right"/>
              <w:ind w:right="48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tcPr>
          <w:p>
            <w:pPr>
              <w:ind w:left="540"/>
              <w:spacing w:after="0"/>
              <w:rPr>
                <w:sz w:val="20"/>
                <w:szCs w:val="20"/>
                <w:color w:val="auto"/>
              </w:rPr>
            </w:pPr>
            <w:r>
              <w:rPr>
                <w:rFonts w:ascii="Arial" w:cs="Arial" w:eastAsia="Arial" w:hAnsi="Arial"/>
                <w:sz w:val="17"/>
                <w:szCs w:val="17"/>
                <w:color w:val="auto"/>
              </w:rPr>
              <w:t>—</w:t>
            </w:r>
          </w:p>
        </w:tc>
        <w:tc>
          <w:tcPr>
            <w:tcW w:w="90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line="189" w:lineRule="exact"/>
              <w:rPr>
                <w:sz w:val="20"/>
                <w:szCs w:val="20"/>
                <w:color w:val="auto"/>
              </w:rPr>
            </w:pPr>
            <w:r>
              <w:rPr>
                <w:rFonts w:ascii="Arial" w:cs="Arial" w:eastAsia="Arial" w:hAnsi="Arial"/>
                <w:sz w:val="17"/>
                <w:szCs w:val="17"/>
                <w:color w:val="auto"/>
                <w:w w:val="98"/>
              </w:rPr>
              <w:t>4.</w:t>
            </w:r>
          </w:p>
        </w:tc>
        <w:tc>
          <w:tcPr>
            <w:tcW w:w="6480" w:type="dxa"/>
            <w:vAlign w:val="bottom"/>
          </w:tcPr>
          <w:p>
            <w:pPr>
              <w:ind w:left="20"/>
              <w:spacing w:after="0" w:line="189" w:lineRule="exact"/>
              <w:rPr>
                <w:sz w:val="20"/>
                <w:szCs w:val="20"/>
                <w:color w:val="auto"/>
              </w:rPr>
            </w:pPr>
            <w:r>
              <w:rPr>
                <w:rFonts w:ascii="Arial" w:cs="Arial" w:eastAsia="Arial" w:hAnsi="Arial"/>
                <w:sz w:val="17"/>
                <w:szCs w:val="17"/>
                <w:color w:val="auto"/>
              </w:rPr>
              <w:t>Total Additions: (line 2 + line 3):</w:t>
            </w: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920" w:type="dxa"/>
            <w:vAlign w:val="bottom"/>
            <w:gridSpan w:val="4"/>
          </w:tcPr>
          <w:p>
            <w:pPr>
              <w:jc w:val="right"/>
              <w:ind w:right="511"/>
              <w:spacing w:after="0" w:line="189" w:lineRule="exact"/>
              <w:rPr>
                <w:sz w:val="20"/>
                <w:szCs w:val="20"/>
                <w:color w:val="auto"/>
              </w:rPr>
            </w:pPr>
            <w:r>
              <w:rPr>
                <w:rFonts w:ascii="Arial" w:cs="Arial" w:eastAsia="Arial" w:hAnsi="Arial"/>
                <w:sz w:val="17"/>
                <w:szCs w:val="17"/>
                <w:color w:val="auto"/>
              </w:rPr>
              <w:t>$</w:t>
            </w:r>
          </w:p>
        </w:tc>
        <w:tc>
          <w:tcPr>
            <w:tcW w:w="720" w:type="dxa"/>
            <w:vAlign w:val="bottom"/>
          </w:tcPr>
          <w:p>
            <w:pPr>
              <w:ind w:left="540"/>
              <w:spacing w:after="0" w:line="189" w:lineRule="exact"/>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Arial" w:cs="Arial" w:eastAsia="Arial" w:hAnsi="Arial"/>
                <w:sz w:val="17"/>
                <w:szCs w:val="17"/>
                <w:color w:val="auto"/>
                <w:w w:val="98"/>
              </w:rPr>
              <w:t>5.</w:t>
            </w:r>
          </w:p>
        </w:tc>
        <w:tc>
          <w:tcPr>
            <w:tcW w:w="6480" w:type="dxa"/>
            <w:vAlign w:val="bottom"/>
            <w:vMerge w:val="restart"/>
          </w:tcPr>
          <w:p>
            <w:pPr>
              <w:ind w:left="20"/>
              <w:spacing w:after="0"/>
              <w:rPr>
                <w:sz w:val="20"/>
                <w:szCs w:val="20"/>
                <w:color w:val="auto"/>
              </w:rPr>
            </w:pPr>
            <w:r>
              <w:rPr>
                <w:rFonts w:ascii="Arial" w:cs="Arial" w:eastAsia="Arial" w:hAnsi="Arial"/>
                <w:sz w:val="17"/>
                <w:szCs w:val="17"/>
                <w:color w:val="auto"/>
              </w:rPr>
              <w:t>Less: Collections as posted through</w:t>
            </w:r>
          </w:p>
        </w:tc>
        <w:tc>
          <w:tcPr>
            <w:tcW w:w="2320" w:type="dxa"/>
            <w:vAlign w:val="bottom"/>
            <w:gridSpan w:val="3"/>
            <w:vMerge w:val="restart"/>
          </w:tcPr>
          <w:p>
            <w:pPr>
              <w:jc w:val="right"/>
              <w:ind w:right="484"/>
              <w:spacing w:after="0"/>
              <w:rPr>
                <w:sz w:val="20"/>
                <w:szCs w:val="20"/>
                <w:color w:val="auto"/>
              </w:rPr>
            </w:pPr>
            <w:r>
              <w:rPr>
                <w:rFonts w:ascii="Arial" w:cs="Arial" w:eastAsia="Arial" w:hAnsi="Arial"/>
                <w:sz w:val="17"/>
                <w:szCs w:val="17"/>
                <w:color w:val="auto"/>
              </w:rPr>
              <w:t>$</w:t>
            </w:r>
          </w:p>
        </w:tc>
        <w:tc>
          <w:tcPr>
            <w:tcW w:w="1020" w:type="dxa"/>
            <w:vAlign w:val="bottom"/>
            <w:gridSpan w:val="4"/>
            <w:vMerge w:val="restart"/>
          </w:tcPr>
          <w:p>
            <w:pPr>
              <w:ind w:left="540"/>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60" w:type="dxa"/>
            <w:vAlign w:val="bottom"/>
            <w:vMerge w:val="continue"/>
          </w:tcPr>
          <w:p>
            <w:pPr>
              <w:spacing w:after="0"/>
              <w:rPr>
                <w:sz w:val="14"/>
                <w:szCs w:val="14"/>
                <w:color w:val="auto"/>
              </w:rPr>
            </w:pPr>
          </w:p>
        </w:tc>
        <w:tc>
          <w:tcPr>
            <w:tcW w:w="6480" w:type="dxa"/>
            <w:vAlign w:val="bottom"/>
            <w:vMerge w:val="continue"/>
          </w:tcPr>
          <w:p>
            <w:pPr>
              <w:spacing w:after="0"/>
              <w:rPr>
                <w:sz w:val="14"/>
                <w:szCs w:val="14"/>
                <w:color w:val="auto"/>
              </w:rPr>
            </w:pPr>
          </w:p>
        </w:tc>
        <w:tc>
          <w:tcPr>
            <w:tcW w:w="2320" w:type="dxa"/>
            <w:vAlign w:val="bottom"/>
            <w:gridSpan w:val="3"/>
            <w:vMerge w:val="continue"/>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20"/>
                <w:szCs w:val="20"/>
                <w:color w:val="auto"/>
              </w:rPr>
            </w:pPr>
            <w:r>
              <w:rPr>
                <w:rFonts w:ascii="Arial" w:cs="Arial" w:eastAsia="Arial" w:hAnsi="Arial"/>
                <w:sz w:val="17"/>
                <w:szCs w:val="17"/>
                <w:color w:val="auto"/>
                <w:w w:val="98"/>
              </w:rPr>
              <w:t>6.</w:t>
            </w:r>
          </w:p>
        </w:tc>
        <w:tc>
          <w:tcPr>
            <w:tcW w:w="6480" w:type="dxa"/>
            <w:vAlign w:val="bottom"/>
          </w:tcPr>
          <w:p>
            <w:pPr>
              <w:ind w:left="20"/>
              <w:spacing w:after="0"/>
              <w:rPr>
                <w:sz w:val="20"/>
                <w:szCs w:val="20"/>
                <w:color w:val="auto"/>
              </w:rPr>
            </w:pPr>
            <w:r>
              <w:rPr>
                <w:rFonts w:ascii="Arial" w:cs="Arial" w:eastAsia="Arial" w:hAnsi="Arial"/>
                <w:sz w:val="17"/>
                <w:szCs w:val="17"/>
                <w:color w:val="auto"/>
              </w:rPr>
              <w:t>Less: Credit memo, discounts, credit adjustments, etc</w:t>
            </w:r>
          </w:p>
        </w:tc>
        <w:tc>
          <w:tcPr>
            <w:tcW w:w="13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Borders>
              <w:top w:val="single" w:sz="8" w:color="auto"/>
            </w:tcBorders>
          </w:tcPr>
          <w:p>
            <w:pPr>
              <w:jc w:val="right"/>
              <w:ind w:right="48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tcPr>
          <w:p>
            <w:pPr>
              <w:ind w:left="540"/>
              <w:spacing w:after="0"/>
              <w:rPr>
                <w:sz w:val="20"/>
                <w:szCs w:val="20"/>
                <w:color w:val="auto"/>
              </w:rPr>
            </w:pPr>
            <w:r>
              <w:rPr>
                <w:rFonts w:ascii="Arial" w:cs="Arial" w:eastAsia="Arial" w:hAnsi="Arial"/>
                <w:sz w:val="17"/>
                <w:szCs w:val="17"/>
                <w:color w:val="auto"/>
              </w:rPr>
              <w:t>—</w:t>
            </w:r>
          </w:p>
        </w:tc>
        <w:tc>
          <w:tcPr>
            <w:tcW w:w="90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line="189" w:lineRule="exact"/>
              <w:rPr>
                <w:sz w:val="20"/>
                <w:szCs w:val="20"/>
                <w:color w:val="auto"/>
              </w:rPr>
            </w:pPr>
            <w:r>
              <w:rPr>
                <w:rFonts w:ascii="Arial" w:cs="Arial" w:eastAsia="Arial" w:hAnsi="Arial"/>
                <w:sz w:val="17"/>
                <w:szCs w:val="17"/>
                <w:color w:val="auto"/>
                <w:w w:val="98"/>
              </w:rPr>
              <w:t>7.</w:t>
            </w:r>
          </w:p>
        </w:tc>
        <w:tc>
          <w:tcPr>
            <w:tcW w:w="6480" w:type="dxa"/>
            <w:vAlign w:val="bottom"/>
          </w:tcPr>
          <w:p>
            <w:pPr>
              <w:ind w:left="20"/>
              <w:spacing w:after="0" w:line="189" w:lineRule="exact"/>
              <w:rPr>
                <w:sz w:val="20"/>
                <w:szCs w:val="20"/>
                <w:color w:val="auto"/>
              </w:rPr>
            </w:pPr>
            <w:r>
              <w:rPr>
                <w:rFonts w:ascii="Arial" w:cs="Arial" w:eastAsia="Arial" w:hAnsi="Arial"/>
                <w:sz w:val="17"/>
                <w:szCs w:val="17"/>
                <w:color w:val="auto"/>
              </w:rPr>
              <w:t>Total Deductions: (Line 5 + Line 6)</w:t>
            </w: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920" w:type="dxa"/>
            <w:vAlign w:val="bottom"/>
            <w:gridSpan w:val="4"/>
          </w:tcPr>
          <w:p>
            <w:pPr>
              <w:jc w:val="right"/>
              <w:ind w:right="511"/>
              <w:spacing w:after="0" w:line="189" w:lineRule="exact"/>
              <w:rPr>
                <w:sz w:val="20"/>
                <w:szCs w:val="20"/>
                <w:color w:val="auto"/>
              </w:rPr>
            </w:pPr>
            <w:r>
              <w:rPr>
                <w:rFonts w:ascii="Arial" w:cs="Arial" w:eastAsia="Arial" w:hAnsi="Arial"/>
                <w:sz w:val="17"/>
                <w:szCs w:val="17"/>
                <w:color w:val="auto"/>
              </w:rPr>
              <w:t>$</w:t>
            </w:r>
          </w:p>
        </w:tc>
        <w:tc>
          <w:tcPr>
            <w:tcW w:w="720" w:type="dxa"/>
            <w:vAlign w:val="bottom"/>
          </w:tcPr>
          <w:p>
            <w:pPr>
              <w:ind w:left="540"/>
              <w:spacing w:after="0" w:line="189" w:lineRule="exact"/>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Arial" w:cs="Arial" w:eastAsia="Arial" w:hAnsi="Arial"/>
                <w:sz w:val="17"/>
                <w:szCs w:val="17"/>
                <w:color w:val="auto"/>
                <w:w w:val="98"/>
              </w:rPr>
              <w:t>8.</w:t>
            </w:r>
          </w:p>
        </w:tc>
        <w:tc>
          <w:tcPr>
            <w:tcW w:w="6480" w:type="dxa"/>
            <w:vAlign w:val="bottom"/>
            <w:vMerge w:val="restart"/>
          </w:tcPr>
          <w:p>
            <w:pPr>
              <w:ind w:left="20"/>
              <w:spacing w:after="0"/>
              <w:rPr>
                <w:sz w:val="20"/>
                <w:szCs w:val="20"/>
                <w:color w:val="auto"/>
              </w:rPr>
            </w:pPr>
            <w:r>
              <w:rPr>
                <w:rFonts w:ascii="Arial" w:cs="Arial" w:eastAsia="Arial" w:hAnsi="Arial"/>
                <w:sz w:val="17"/>
                <w:szCs w:val="17"/>
                <w:color w:val="auto"/>
              </w:rPr>
              <w:t>Accounts Receivable as of:</w:t>
            </w: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tcBorders>
            <w:gridSpan w:val="2"/>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60" w:type="dxa"/>
            <w:vAlign w:val="bottom"/>
            <w:vMerge w:val="continue"/>
          </w:tcPr>
          <w:p>
            <w:pPr>
              <w:spacing w:after="0"/>
              <w:rPr>
                <w:sz w:val="19"/>
                <w:szCs w:val="19"/>
                <w:color w:val="auto"/>
              </w:rPr>
            </w:pPr>
          </w:p>
        </w:tc>
        <w:tc>
          <w:tcPr>
            <w:tcW w:w="6480" w:type="dxa"/>
            <w:vAlign w:val="bottom"/>
            <w:vMerge w:val="continue"/>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6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ind w:left="540"/>
              <w:spacing w:after="0" w:line="189" w:lineRule="exact"/>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162"/>
        </w:trPr>
        <w:tc>
          <w:tcPr>
            <w:tcW w:w="160" w:type="dxa"/>
            <w:vAlign w:val="bottom"/>
          </w:tcPr>
          <w:p>
            <w:pPr>
              <w:spacing w:after="0" w:line="163" w:lineRule="exact"/>
              <w:rPr>
                <w:sz w:val="20"/>
                <w:szCs w:val="20"/>
                <w:color w:val="auto"/>
              </w:rPr>
            </w:pPr>
            <w:r>
              <w:rPr>
                <w:rFonts w:ascii="Arial" w:cs="Arial" w:eastAsia="Arial" w:hAnsi="Arial"/>
                <w:sz w:val="17"/>
                <w:szCs w:val="17"/>
                <w:color w:val="auto"/>
                <w:w w:val="98"/>
              </w:rPr>
              <w:t>9.</w:t>
            </w:r>
          </w:p>
        </w:tc>
        <w:tc>
          <w:tcPr>
            <w:tcW w:w="6480" w:type="dxa"/>
            <w:vAlign w:val="bottom"/>
          </w:tcPr>
          <w:p>
            <w:pPr>
              <w:ind w:left="20"/>
              <w:spacing w:after="0" w:line="163" w:lineRule="exact"/>
              <w:rPr>
                <w:sz w:val="20"/>
                <w:szCs w:val="20"/>
                <w:color w:val="auto"/>
              </w:rPr>
            </w:pPr>
            <w:r>
              <w:rPr>
                <w:rFonts w:ascii="Arial" w:cs="Arial" w:eastAsia="Arial" w:hAnsi="Arial"/>
                <w:sz w:val="17"/>
                <w:szCs w:val="17"/>
                <w:color w:val="auto"/>
              </w:rPr>
              <w:t>Less: Ineligible Accounts Receivable</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ind w:left="520"/>
              <w:spacing w:after="0"/>
              <w:rPr>
                <w:sz w:val="20"/>
                <w:szCs w:val="20"/>
                <w:color w:val="auto"/>
              </w:rPr>
            </w:pPr>
            <w:r>
              <w:rPr>
                <w:rFonts w:ascii="Arial" w:cs="Arial" w:eastAsia="Arial" w:hAnsi="Arial"/>
                <w:sz w:val="17"/>
                <w:szCs w:val="17"/>
                <w:color w:val="auto"/>
              </w:rPr>
              <w:t>Over 90 Days from invoice date</w:t>
            </w: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520"/>
              <w:spacing w:after="0"/>
              <w:rPr>
                <w:sz w:val="20"/>
                <w:szCs w:val="20"/>
                <w:color w:val="auto"/>
              </w:rPr>
            </w:pPr>
            <w:r>
              <w:rPr>
                <w:rFonts w:ascii="Arial" w:cs="Arial" w:eastAsia="Arial" w:hAnsi="Arial"/>
                <w:sz w:val="17"/>
                <w:szCs w:val="17"/>
                <w:color w:val="auto"/>
              </w:rPr>
              <w:t>Cross-Aging &gt; 50%</w:t>
            </w: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520"/>
              <w:spacing w:after="0"/>
              <w:rPr>
                <w:sz w:val="20"/>
                <w:szCs w:val="20"/>
                <w:color w:val="auto"/>
              </w:rPr>
            </w:pPr>
            <w:r>
              <w:rPr>
                <w:rFonts w:ascii="Arial" w:cs="Arial" w:eastAsia="Arial" w:hAnsi="Arial"/>
                <w:sz w:val="17"/>
                <w:szCs w:val="17"/>
                <w:color w:val="auto"/>
              </w:rPr>
              <w:t>Credit Memos &gt; 90 Days from invoice date</w:t>
            </w:r>
          </w:p>
        </w:tc>
        <w:tc>
          <w:tcPr>
            <w:tcW w:w="380" w:type="dxa"/>
            <w:vAlign w:val="bottom"/>
            <w:tcBorders>
              <w:bottom w:val="single" w:sz="8" w:color="auto"/>
            </w:tcBorders>
            <w:gridSpan w:val="2"/>
          </w:tcPr>
          <w:p>
            <w:pPr>
              <w:jc w:val="right"/>
              <w:ind w:right="251"/>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520"/>
              <w:spacing w:after="0"/>
              <w:rPr>
                <w:sz w:val="20"/>
                <w:szCs w:val="20"/>
                <w:color w:val="auto"/>
              </w:rPr>
            </w:pPr>
            <w:r>
              <w:rPr>
                <w:rFonts w:ascii="Arial" w:cs="Arial" w:eastAsia="Arial" w:hAnsi="Arial"/>
                <w:sz w:val="17"/>
                <w:szCs w:val="17"/>
                <w:color w:val="auto"/>
              </w:rPr>
              <w:t>Affiliate/Inter-Company/Employee</w:t>
            </w:r>
          </w:p>
        </w:tc>
        <w:tc>
          <w:tcPr>
            <w:tcW w:w="380" w:type="dxa"/>
            <w:vAlign w:val="bottom"/>
            <w:tcBorders>
              <w:bottom w:val="single" w:sz="8" w:color="auto"/>
            </w:tcBorders>
            <w:gridSpan w:val="2"/>
          </w:tcPr>
          <w:p>
            <w:pPr>
              <w:jc w:val="right"/>
              <w:ind w:right="251"/>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520"/>
              <w:spacing w:after="0"/>
              <w:rPr>
                <w:sz w:val="20"/>
                <w:szCs w:val="20"/>
                <w:color w:val="auto"/>
              </w:rPr>
            </w:pPr>
            <w:r>
              <w:rPr>
                <w:rFonts w:ascii="Arial" w:cs="Arial" w:eastAsia="Arial" w:hAnsi="Arial"/>
                <w:sz w:val="17"/>
                <w:szCs w:val="17"/>
                <w:color w:val="auto"/>
              </w:rPr>
              <w:t>Foreign Receivables</w:t>
            </w:r>
          </w:p>
        </w:tc>
        <w:tc>
          <w:tcPr>
            <w:tcW w:w="380" w:type="dxa"/>
            <w:vAlign w:val="bottom"/>
            <w:tcBorders>
              <w:bottom w:val="single" w:sz="8" w:color="auto"/>
            </w:tcBorders>
            <w:gridSpan w:val="2"/>
          </w:tcPr>
          <w:p>
            <w:pPr>
              <w:jc w:val="right"/>
              <w:ind w:right="251"/>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520"/>
              <w:spacing w:after="0"/>
              <w:rPr>
                <w:sz w:val="20"/>
                <w:szCs w:val="20"/>
                <w:color w:val="auto"/>
              </w:rPr>
            </w:pPr>
            <w:r>
              <w:rPr>
                <w:rFonts w:ascii="Arial" w:cs="Arial" w:eastAsia="Arial" w:hAnsi="Arial"/>
                <w:sz w:val="17"/>
                <w:szCs w:val="17"/>
                <w:color w:val="auto"/>
              </w:rPr>
              <w:t>Concentration &gt; 25%</w:t>
            </w:r>
          </w:p>
        </w:tc>
        <w:tc>
          <w:tcPr>
            <w:tcW w:w="380" w:type="dxa"/>
            <w:vAlign w:val="bottom"/>
            <w:gridSpan w:val="2"/>
          </w:tcPr>
          <w:p>
            <w:pPr>
              <w:jc w:val="right"/>
              <w:ind w:right="251"/>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40" w:type="dxa"/>
            <w:vAlign w:val="bottom"/>
          </w:tcPr>
          <w:p>
            <w:pPr>
              <w:ind w:left="520"/>
              <w:spacing w:after="0" w:line="189" w:lineRule="exact"/>
              <w:rPr>
                <w:sz w:val="20"/>
                <w:szCs w:val="20"/>
                <w:color w:val="auto"/>
              </w:rPr>
            </w:pPr>
            <w:r>
              <w:rPr>
                <w:rFonts w:ascii="Arial" w:cs="Arial" w:eastAsia="Arial" w:hAnsi="Arial"/>
                <w:sz w:val="17"/>
                <w:szCs w:val="17"/>
                <w:color w:val="auto"/>
              </w:rPr>
              <w:t>Concentration &gt; 40% -Cisco</w:t>
            </w:r>
          </w:p>
        </w:tc>
        <w:tc>
          <w:tcPr>
            <w:tcW w:w="2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520"/>
              <w:spacing w:after="0"/>
              <w:rPr>
                <w:sz w:val="20"/>
                <w:szCs w:val="20"/>
                <w:color w:val="auto"/>
              </w:rPr>
            </w:pPr>
            <w:r>
              <w:rPr>
                <w:rFonts w:ascii="Arial" w:cs="Arial" w:eastAsia="Arial" w:hAnsi="Arial"/>
                <w:sz w:val="17"/>
                <w:szCs w:val="17"/>
                <w:color w:val="auto"/>
              </w:rPr>
              <w:t>C. O. D., etc.</w:t>
            </w: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520"/>
              <w:spacing w:after="0"/>
              <w:rPr>
                <w:sz w:val="20"/>
                <w:szCs w:val="20"/>
                <w:color w:val="auto"/>
              </w:rPr>
            </w:pPr>
            <w:r>
              <w:rPr>
                <w:rFonts w:ascii="Arial" w:cs="Arial" w:eastAsia="Arial" w:hAnsi="Arial"/>
                <w:sz w:val="17"/>
                <w:szCs w:val="17"/>
                <w:color w:val="auto"/>
              </w:rPr>
              <w:t>Contra Accounts</w:t>
            </w:r>
          </w:p>
        </w:tc>
        <w:tc>
          <w:tcPr>
            <w:tcW w:w="380" w:type="dxa"/>
            <w:vAlign w:val="bottom"/>
            <w:tcBorders>
              <w:bottom w:val="single" w:sz="8" w:color="auto"/>
            </w:tcBorders>
            <w:gridSpan w:val="2"/>
          </w:tcPr>
          <w:p>
            <w:pPr>
              <w:jc w:val="right"/>
              <w:ind w:right="251"/>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520"/>
              <w:spacing w:after="0"/>
              <w:rPr>
                <w:sz w:val="20"/>
                <w:szCs w:val="20"/>
                <w:color w:val="auto"/>
              </w:rPr>
            </w:pPr>
            <w:r>
              <w:rPr>
                <w:rFonts w:ascii="Arial" w:cs="Arial" w:eastAsia="Arial" w:hAnsi="Arial"/>
                <w:sz w:val="17"/>
                <w:szCs w:val="17"/>
                <w:color w:val="auto"/>
              </w:rPr>
              <w:t>Government</w:t>
            </w:r>
          </w:p>
        </w:tc>
        <w:tc>
          <w:tcPr>
            <w:tcW w:w="380" w:type="dxa"/>
            <w:vAlign w:val="bottom"/>
            <w:gridSpan w:val="2"/>
          </w:tcPr>
          <w:p>
            <w:pPr>
              <w:jc w:val="right"/>
              <w:ind w:right="251"/>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3"/>
            <w:vMerge w:val="restart"/>
          </w:tcPr>
          <w:p>
            <w:pPr>
              <w:jc w:val="right"/>
              <w:ind w:right="511"/>
              <w:spacing w:after="0"/>
              <w:rPr>
                <w:sz w:val="20"/>
                <w:szCs w:val="20"/>
                <w:color w:val="auto"/>
              </w:rPr>
            </w:pPr>
            <w:r>
              <w:rPr>
                <w:rFonts w:ascii="Arial" w:cs="Arial" w:eastAsia="Arial" w:hAnsi="Arial"/>
                <w:sz w:val="17"/>
                <w:szCs w:val="17"/>
                <w:color w:val="auto"/>
              </w:rPr>
              <w:t>$</w:t>
            </w:r>
          </w:p>
        </w:tc>
        <w:tc>
          <w:tcPr>
            <w:tcW w:w="1640" w:type="dxa"/>
            <w:vAlign w:val="bottom"/>
            <w:gridSpan w:val="4"/>
            <w:vMerge w:val="restart"/>
          </w:tcPr>
          <w:p>
            <w:pPr>
              <w:ind w:left="54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40" w:type="dxa"/>
            <w:vAlign w:val="bottom"/>
          </w:tcPr>
          <w:p>
            <w:pPr>
              <w:ind w:left="360"/>
              <w:spacing w:after="0" w:line="189" w:lineRule="exact"/>
              <w:rPr>
                <w:sz w:val="20"/>
                <w:szCs w:val="20"/>
                <w:color w:val="auto"/>
              </w:rPr>
            </w:pPr>
            <w:r>
              <w:rPr>
                <w:rFonts w:ascii="Arial" w:cs="Arial" w:eastAsia="Arial" w:hAnsi="Arial"/>
                <w:sz w:val="17"/>
                <w:szCs w:val="17"/>
                <w:color w:val="auto"/>
              </w:rPr>
              <w:t>Total Ineligible Accounts Receivable</w:t>
            </w:r>
          </w:p>
        </w:tc>
        <w:tc>
          <w:tcPr>
            <w:tcW w:w="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640" w:type="dxa"/>
            <w:vAlign w:val="bottom"/>
            <w:gridSpan w:val="4"/>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7"/>
                <w:szCs w:val="17"/>
                <w:color w:val="auto"/>
              </w:rPr>
              <w:t>10. Eligible Receivables</w:t>
            </w: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0" w:type="dxa"/>
            <w:vAlign w:val="bottom"/>
            <w:tcBorders>
              <w:top w:val="single" w:sz="8" w:color="auto"/>
            </w:tcBorders>
            <w:gridSpan w:val="2"/>
          </w:tcPr>
          <w:p>
            <w:pPr>
              <w:spacing w:after="0" w:line="20" w:lineRule="exact"/>
              <w:rPr>
                <w:sz w:val="1"/>
                <w:szCs w:val="1"/>
                <w:color w:val="auto"/>
              </w:rPr>
            </w:pPr>
          </w:p>
        </w:tc>
        <w:tc>
          <w:tcPr>
            <w:tcW w:w="740" w:type="dxa"/>
            <w:vAlign w:val="bottom"/>
            <w:tcBorders>
              <w:top w:val="single" w:sz="8" w:color="auto"/>
            </w:tcBorders>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ind w:left="540"/>
              <w:spacing w:after="0" w:line="189" w:lineRule="exact"/>
              <w:rPr>
                <w:sz w:val="20"/>
                <w:szCs w:val="20"/>
                <w:color w:val="auto"/>
              </w:rPr>
            </w:pPr>
            <w:r>
              <w:rPr>
                <w:rFonts w:ascii="Arial" w:cs="Arial" w:eastAsia="Arial" w:hAnsi="Arial"/>
                <w:sz w:val="17"/>
                <w:szCs w:val="17"/>
                <w:color w:val="auto"/>
                <w:w w:val="93"/>
              </w:rPr>
              <w:t>—</w:t>
            </w:r>
          </w:p>
        </w:tc>
        <w:tc>
          <w:tcPr>
            <w:tcW w:w="20" w:type="dxa"/>
            <w:vAlign w:val="bottom"/>
            <w:tcBorders>
              <w:bottom w:val="single" w:sz="8" w:color="auto"/>
            </w:tcBorders>
          </w:tcPr>
          <w:p>
            <w:pPr>
              <w:spacing w:after="0"/>
              <w:rPr>
                <w:sz w:val="16"/>
                <w:szCs w:val="16"/>
                <w:color w:val="auto"/>
              </w:rPr>
            </w:pPr>
          </w:p>
        </w:tc>
        <w:tc>
          <w:tcPr>
            <w:tcW w:w="9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40" w:type="dxa"/>
            <w:vAlign w:val="bottom"/>
          </w:tcPr>
          <w:p>
            <w:pPr>
              <w:spacing w:after="0" w:line="189" w:lineRule="exact"/>
              <w:rPr>
                <w:sz w:val="20"/>
                <w:szCs w:val="20"/>
                <w:color w:val="auto"/>
              </w:rPr>
            </w:pPr>
            <w:r>
              <w:rPr>
                <w:rFonts w:ascii="Arial" w:cs="Arial" w:eastAsia="Arial" w:hAnsi="Arial"/>
                <w:sz w:val="17"/>
                <w:szCs w:val="17"/>
                <w:color w:val="auto"/>
              </w:rPr>
              <w:t>11. Times Rate of Advance (% of Line 10)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3"/>
          </w:tcPr>
          <w:p>
            <w:pPr>
              <w:jc w:val="right"/>
              <w:ind w:right="140"/>
              <w:spacing w:after="0" w:line="189" w:lineRule="exact"/>
              <w:rPr>
                <w:sz w:val="20"/>
                <w:szCs w:val="20"/>
                <w:color w:val="auto"/>
              </w:rPr>
            </w:pPr>
            <w:r>
              <w:rPr>
                <w:rFonts w:ascii="Arial" w:cs="Arial" w:eastAsia="Arial" w:hAnsi="Arial"/>
                <w:sz w:val="17"/>
                <w:szCs w:val="17"/>
                <w:b w:val="1"/>
                <w:bCs w:val="1"/>
                <w:color w:val="auto"/>
              </w:rPr>
              <w:t>80%</w:t>
            </w:r>
          </w:p>
        </w:tc>
        <w:tc>
          <w:tcPr>
            <w:tcW w:w="6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ind w:left="540"/>
              <w:spacing w:after="0" w:line="189" w:lineRule="exact"/>
              <w:rPr>
                <w:sz w:val="20"/>
                <w:szCs w:val="20"/>
                <w:color w:val="auto"/>
              </w:rPr>
            </w:pPr>
            <w:r>
              <w:rPr>
                <w:rFonts w:ascii="Arial" w:cs="Arial" w:eastAsia="Arial" w:hAnsi="Arial"/>
                <w:sz w:val="17"/>
                <w:szCs w:val="17"/>
                <w:color w:val="auto"/>
                <w:w w:val="93"/>
              </w:rPr>
              <w:t>—</w:t>
            </w:r>
          </w:p>
        </w:tc>
        <w:tc>
          <w:tcPr>
            <w:tcW w:w="920" w:type="dxa"/>
            <w:vAlign w:val="bottom"/>
            <w:gridSpan w:val="3"/>
          </w:tcPr>
          <w:p>
            <w:pPr>
              <w:spacing w:after="0"/>
              <w:rPr>
                <w:sz w:val="19"/>
                <w:szCs w:val="19"/>
                <w:color w:val="auto"/>
              </w:rPr>
            </w:pPr>
          </w:p>
        </w:tc>
        <w:tc>
          <w:tcPr>
            <w:tcW w:w="720" w:type="dxa"/>
            <w:vAlign w:val="bottom"/>
            <w:vMerge w:val="restart"/>
          </w:tcPr>
          <w:p>
            <w:pPr>
              <w:ind w:left="54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183"/>
        </w:trPr>
        <w:tc>
          <w:tcPr>
            <w:tcW w:w="6640" w:type="dxa"/>
            <w:vAlign w:val="bottom"/>
          </w:tcPr>
          <w:p>
            <w:pPr>
              <w:spacing w:after="0" w:line="163" w:lineRule="exact"/>
              <w:rPr>
                <w:sz w:val="20"/>
                <w:szCs w:val="20"/>
                <w:color w:val="auto"/>
              </w:rPr>
            </w:pPr>
            <w:r>
              <w:rPr>
                <w:rFonts w:ascii="Arial" w:cs="Arial" w:eastAsia="Arial" w:hAnsi="Arial"/>
                <w:sz w:val="17"/>
                <w:szCs w:val="17"/>
                <w:color w:val="auto"/>
              </w:rPr>
              <w:t>12. Accounts Receivable Borrowing Base (</w:t>
            </w:r>
            <w:r>
              <w:rPr>
                <w:rFonts w:ascii="Arial" w:cs="Arial" w:eastAsia="Arial" w:hAnsi="Arial"/>
                <w:sz w:val="17"/>
                <w:szCs w:val="17"/>
                <w:b w:val="1"/>
                <w:bCs w:val="1"/>
                <w:color w:val="auto"/>
              </w:rPr>
              <w:t>not to exceed</w:t>
            </w:r>
            <w:r>
              <w:rPr>
                <w:rFonts w:ascii="Arial" w:cs="Arial" w:eastAsia="Arial" w:hAnsi="Arial"/>
                <w:sz w:val="17"/>
                <w:szCs w:val="17"/>
                <w:color w:val="auto"/>
              </w:rPr>
              <w:t>)</w:t>
            </w:r>
          </w:p>
        </w:tc>
        <w:tc>
          <w:tcPr>
            <w:tcW w:w="20" w:type="dxa"/>
            <w:vAlign w:val="bottom"/>
          </w:tcPr>
          <w:p>
            <w:pPr>
              <w:spacing w:after="0"/>
              <w:rPr>
                <w:sz w:val="15"/>
                <w:szCs w:val="15"/>
                <w:color w:val="auto"/>
              </w:rPr>
            </w:pPr>
          </w:p>
        </w:tc>
        <w:tc>
          <w:tcPr>
            <w:tcW w:w="360" w:type="dxa"/>
            <w:vAlign w:val="bottom"/>
            <w:tcBorders>
              <w:top w:val="single" w:sz="8" w:color="auto"/>
            </w:tcBorders>
          </w:tcPr>
          <w:p>
            <w:pPr>
              <w:jc w:val="right"/>
              <w:ind w:right="251"/>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b w:val="1"/>
                <w:bCs w:val="1"/>
                <w:color w:val="auto"/>
              </w:rPr>
              <w:t>3,500,000</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920" w:type="dxa"/>
            <w:vAlign w:val="bottom"/>
            <w:gridSpan w:val="3"/>
          </w:tcPr>
          <w:p>
            <w:pPr>
              <w:jc w:val="right"/>
              <w:ind w:right="560"/>
              <w:spacing w:after="0" w:line="163" w:lineRule="exact"/>
              <w:rPr>
                <w:sz w:val="20"/>
                <w:szCs w:val="20"/>
                <w:color w:val="auto"/>
              </w:rPr>
            </w:pPr>
            <w:r>
              <w:rPr>
                <w:rFonts w:ascii="Arial" w:cs="Arial" w:eastAsia="Arial" w:hAnsi="Arial"/>
                <w:sz w:val="17"/>
                <w:szCs w:val="17"/>
                <w:color w:val="auto"/>
              </w:rPr>
              <w:t>$</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Inventory</w:t>
      </w:r>
    </w:p>
    <w:p>
      <w:pPr>
        <w:spacing w:after="0" w:line="32" w:lineRule="exact"/>
        <w:rPr>
          <w:sz w:val="20"/>
          <w:szCs w:val="20"/>
          <w:color w:val="auto"/>
        </w:rPr>
      </w:pPr>
    </w:p>
    <w:p>
      <w:pPr>
        <w:ind w:left="260" w:hanging="255"/>
        <w:spacing w:after="0"/>
        <w:tabs>
          <w:tab w:leader="none" w:pos="260" w:val="left"/>
        </w:tabs>
        <w:numPr>
          <w:ilvl w:val="0"/>
          <w:numId w:val="649"/>
        </w:numPr>
        <w:rPr>
          <w:rFonts w:ascii="Arial" w:cs="Arial" w:eastAsia="Arial" w:hAnsi="Arial"/>
          <w:sz w:val="17"/>
          <w:szCs w:val="17"/>
          <w:color w:val="auto"/>
        </w:rPr>
      </w:pPr>
      <w:r>
        <w:rPr>
          <w:rFonts w:ascii="Arial" w:cs="Arial" w:eastAsia="Arial" w:hAnsi="Arial"/>
          <w:sz w:val="17"/>
          <w:szCs w:val="17"/>
          <w:color w:val="auto"/>
        </w:rPr>
        <w:t>Gross Inventories as of</w:t>
      </w:r>
    </w:p>
    <w:p>
      <w:pPr>
        <w:spacing w:after="0" w:line="14" w:lineRule="exact"/>
        <w:rPr>
          <w:rFonts w:ascii="Arial" w:cs="Arial" w:eastAsia="Arial" w:hAnsi="Arial"/>
          <w:sz w:val="17"/>
          <w:szCs w:val="17"/>
          <w:color w:val="auto"/>
        </w:rPr>
      </w:pPr>
    </w:p>
    <w:p>
      <w:pPr>
        <w:ind w:left="260" w:hanging="255"/>
        <w:spacing w:after="0"/>
        <w:tabs>
          <w:tab w:leader="none" w:pos="260" w:val="left"/>
        </w:tabs>
        <w:numPr>
          <w:ilvl w:val="0"/>
          <w:numId w:val="649"/>
        </w:numPr>
        <w:rPr>
          <w:rFonts w:ascii="Arial" w:cs="Arial" w:eastAsia="Arial" w:hAnsi="Arial"/>
          <w:sz w:val="17"/>
          <w:szCs w:val="17"/>
          <w:color w:val="auto"/>
        </w:rPr>
      </w:pPr>
      <w:r>
        <w:rPr>
          <w:rFonts w:ascii="Arial" w:cs="Arial" w:eastAsia="Arial" w:hAnsi="Arial"/>
          <w:sz w:val="17"/>
          <w:szCs w:val="17"/>
          <w:color w:val="auto"/>
        </w:rPr>
        <w:t>Less: Ineligible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4215130</wp:posOffset>
            </wp:positionH>
            <wp:positionV relativeFrom="paragraph">
              <wp:posOffset>-123190</wp:posOffset>
            </wp:positionV>
            <wp:extent cx="193103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9310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Arial" w:cs="Arial" w:eastAsia="Arial" w:hAnsi="Arial"/>
                <w:sz w:val="17"/>
                <w:szCs w:val="17"/>
                <w:color w:val="auto"/>
              </w:rPr>
              <w:t>Work in Progress</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940" w:type="dxa"/>
            <w:vAlign w:val="bottom"/>
            <w:gridSpan w:val="4"/>
          </w:tcPr>
          <w:p>
            <w:pPr>
              <w:ind w:left="84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6400" w:type="dxa"/>
            <w:vAlign w:val="bottom"/>
          </w:tcPr>
          <w:p>
            <w:pPr>
              <w:ind w:left="120"/>
              <w:spacing w:after="0"/>
              <w:rPr>
                <w:sz w:val="20"/>
                <w:szCs w:val="20"/>
                <w:color w:val="auto"/>
              </w:rPr>
            </w:pPr>
            <w:r>
              <w:rPr>
                <w:rFonts w:ascii="Arial" w:cs="Arial" w:eastAsia="Arial" w:hAnsi="Arial"/>
                <w:sz w:val="17"/>
                <w:szCs w:val="17"/>
                <w:color w:val="auto"/>
              </w:rPr>
              <w:t>Supplies</w:t>
            </w: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7"/>
                <w:szCs w:val="17"/>
                <w:color w:val="auto"/>
                <w:w w:val="82"/>
              </w:rPr>
              <w:t>—</w:t>
            </w:r>
          </w:p>
        </w:tc>
        <w:tc>
          <w:tcPr>
            <w:tcW w:w="94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6400" w:type="dxa"/>
            <w:vAlign w:val="bottom"/>
          </w:tcPr>
          <w:p>
            <w:pPr>
              <w:ind w:left="120"/>
              <w:spacing w:after="0"/>
              <w:rPr>
                <w:sz w:val="20"/>
                <w:szCs w:val="20"/>
                <w:color w:val="auto"/>
              </w:rPr>
            </w:pPr>
            <w:r>
              <w:rPr>
                <w:rFonts w:ascii="Arial" w:cs="Arial" w:eastAsia="Arial" w:hAnsi="Arial"/>
                <w:sz w:val="17"/>
                <w:szCs w:val="17"/>
                <w:color w:val="auto"/>
              </w:rPr>
              <w:t>Packaging Materials</w:t>
            </w: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840"/>
              <w:spacing w:after="0"/>
              <w:rPr>
                <w:sz w:val="20"/>
                <w:szCs w:val="20"/>
                <w:color w:val="auto"/>
              </w:rPr>
            </w:pPr>
            <w:r>
              <w:rPr>
                <w:rFonts w:ascii="Arial" w:cs="Arial" w:eastAsia="Arial" w:hAnsi="Arial"/>
                <w:sz w:val="17"/>
                <w:szCs w:val="17"/>
                <w:color w:val="auto"/>
                <w:w w:val="82"/>
              </w:rPr>
              <w:t>—</w:t>
            </w:r>
          </w:p>
        </w:tc>
        <w:tc>
          <w:tcPr>
            <w:tcW w:w="94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6400" w:type="dxa"/>
            <w:vAlign w:val="bottom"/>
          </w:tcPr>
          <w:p>
            <w:pPr>
              <w:ind w:left="120"/>
              <w:spacing w:after="0" w:line="189" w:lineRule="exact"/>
              <w:rPr>
                <w:sz w:val="20"/>
                <w:szCs w:val="20"/>
                <w:color w:val="auto"/>
              </w:rPr>
            </w:pPr>
            <w:r>
              <w:rPr>
                <w:rFonts w:ascii="Arial" w:cs="Arial" w:eastAsia="Arial" w:hAnsi="Arial"/>
                <w:sz w:val="17"/>
                <w:szCs w:val="17"/>
                <w:color w:val="auto"/>
              </w:rPr>
              <w:t>Allowance/Provision for Obsolete Inventory</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940" w:type="dxa"/>
            <w:vAlign w:val="bottom"/>
            <w:gridSpan w:val="3"/>
            <w:vMerge w:val="restart"/>
          </w:tcPr>
          <w:p>
            <w:pPr>
              <w:jc w:val="right"/>
              <w:ind w:right="511"/>
              <w:spacing w:after="0"/>
              <w:rPr>
                <w:sz w:val="20"/>
                <w:szCs w:val="20"/>
                <w:color w:val="auto"/>
              </w:rPr>
            </w:pPr>
            <w:r>
              <w:rPr>
                <w:rFonts w:ascii="Arial" w:cs="Arial" w:eastAsia="Arial" w:hAnsi="Arial"/>
                <w:sz w:val="17"/>
                <w:szCs w:val="17"/>
                <w:color w:val="auto"/>
              </w:rPr>
              <w:t>$</w:t>
            </w:r>
          </w:p>
        </w:tc>
        <w:tc>
          <w:tcPr>
            <w:tcW w:w="1640" w:type="dxa"/>
            <w:vAlign w:val="bottom"/>
            <w:gridSpan w:val="4"/>
            <w:vMerge w:val="restart"/>
          </w:tcPr>
          <w:p>
            <w:pPr>
              <w:ind w:left="54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4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Total Ineligible Inventory</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640" w:type="dxa"/>
            <w:vAlign w:val="bottom"/>
            <w:gridSpan w:val="4"/>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7"/>
                <w:szCs w:val="17"/>
                <w:color w:val="auto"/>
                <w:w w:val="92"/>
              </w:rPr>
              <w:t>15.</w:t>
            </w:r>
          </w:p>
        </w:tc>
        <w:tc>
          <w:tcPr>
            <w:tcW w:w="6400" w:type="dxa"/>
            <w:vAlign w:val="bottom"/>
            <w:vMerge w:val="restart"/>
          </w:tcPr>
          <w:p>
            <w:pPr>
              <w:ind w:left="20"/>
              <w:spacing w:after="0"/>
              <w:rPr>
                <w:sz w:val="20"/>
                <w:szCs w:val="20"/>
                <w:color w:val="auto"/>
              </w:rPr>
            </w:pPr>
            <w:r>
              <w:rPr>
                <w:rFonts w:ascii="Arial" w:cs="Arial" w:eastAsia="Arial" w:hAnsi="Arial"/>
                <w:sz w:val="17"/>
                <w:szCs w:val="17"/>
                <w:color w:val="auto"/>
              </w:rPr>
              <w:t>Eligible Inventory</w:t>
            </w:r>
          </w:p>
        </w:tc>
        <w:tc>
          <w:tcPr>
            <w:tcW w:w="3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0" w:type="dxa"/>
            <w:vAlign w:val="bottom"/>
            <w:tcBorders>
              <w:top w:val="single" w:sz="8" w:color="auto"/>
            </w:tcBorders>
            <w:gridSpan w:val="2"/>
          </w:tcPr>
          <w:p>
            <w:pPr>
              <w:spacing w:after="0" w:line="20" w:lineRule="exact"/>
              <w:rPr>
                <w:sz w:val="1"/>
                <w:szCs w:val="1"/>
                <w:color w:val="auto"/>
              </w:rPr>
            </w:pPr>
          </w:p>
        </w:tc>
        <w:tc>
          <w:tcPr>
            <w:tcW w:w="740" w:type="dxa"/>
            <w:vAlign w:val="bottom"/>
            <w:tcBorders>
              <w:top w:val="single" w:sz="8" w:color="auto"/>
            </w:tcBorders>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0" w:type="dxa"/>
            <w:vAlign w:val="bottom"/>
            <w:vMerge w:val="continue"/>
          </w:tcPr>
          <w:p>
            <w:pPr>
              <w:spacing w:after="0"/>
              <w:rPr>
                <w:sz w:val="16"/>
                <w:szCs w:val="16"/>
                <w:color w:val="auto"/>
              </w:rPr>
            </w:pPr>
          </w:p>
        </w:tc>
        <w:tc>
          <w:tcPr>
            <w:tcW w:w="64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ind w:left="540"/>
              <w:spacing w:after="0" w:line="189" w:lineRule="exact"/>
              <w:rPr>
                <w:sz w:val="20"/>
                <w:szCs w:val="20"/>
                <w:color w:val="auto"/>
              </w:rPr>
            </w:pPr>
            <w:r>
              <w:rPr>
                <w:rFonts w:ascii="Arial" w:cs="Arial" w:eastAsia="Arial" w:hAnsi="Arial"/>
                <w:sz w:val="17"/>
                <w:szCs w:val="17"/>
                <w:color w:val="auto"/>
                <w:w w:val="93"/>
              </w:rPr>
              <w:t>—</w:t>
            </w:r>
          </w:p>
        </w:tc>
        <w:tc>
          <w:tcPr>
            <w:tcW w:w="20" w:type="dxa"/>
            <w:vAlign w:val="bottom"/>
            <w:tcBorders>
              <w:bottom w:val="single" w:sz="8" w:color="auto"/>
            </w:tcBorders>
          </w:tcPr>
          <w:p>
            <w:pPr>
              <w:spacing w:after="0"/>
              <w:rPr>
                <w:sz w:val="16"/>
                <w:szCs w:val="16"/>
                <w:color w:val="auto"/>
              </w:rPr>
            </w:pPr>
          </w:p>
        </w:tc>
        <w:tc>
          <w:tcPr>
            <w:tcW w:w="9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40" w:type="dxa"/>
            <w:vAlign w:val="bottom"/>
          </w:tcPr>
          <w:p>
            <w:pPr>
              <w:spacing w:after="0" w:line="189" w:lineRule="exact"/>
              <w:rPr>
                <w:sz w:val="20"/>
                <w:szCs w:val="20"/>
                <w:color w:val="auto"/>
              </w:rPr>
            </w:pPr>
            <w:r>
              <w:rPr>
                <w:rFonts w:ascii="Arial" w:cs="Arial" w:eastAsia="Arial" w:hAnsi="Arial"/>
                <w:sz w:val="17"/>
                <w:szCs w:val="17"/>
                <w:color w:val="auto"/>
                <w:w w:val="92"/>
              </w:rPr>
              <w:t>16.</w:t>
            </w:r>
          </w:p>
        </w:tc>
        <w:tc>
          <w:tcPr>
            <w:tcW w:w="6400" w:type="dxa"/>
            <w:vAlign w:val="bottom"/>
          </w:tcPr>
          <w:p>
            <w:pPr>
              <w:ind w:left="20"/>
              <w:spacing w:after="0" w:line="189" w:lineRule="exact"/>
              <w:rPr>
                <w:sz w:val="20"/>
                <w:szCs w:val="20"/>
                <w:color w:val="auto"/>
              </w:rPr>
            </w:pPr>
            <w:r>
              <w:rPr>
                <w:rFonts w:ascii="Arial" w:cs="Arial" w:eastAsia="Arial" w:hAnsi="Arial"/>
                <w:sz w:val="17"/>
                <w:szCs w:val="17"/>
                <w:color w:val="auto"/>
              </w:rPr>
              <w:t>Times Rate of Advance (% of Line 15) with 50% of Total Base</w:t>
            </w:r>
          </w:p>
        </w:tc>
        <w:tc>
          <w:tcPr>
            <w:tcW w:w="380" w:type="dxa"/>
            <w:vAlign w:val="bottom"/>
          </w:tcPr>
          <w:p>
            <w:pPr>
              <w:spacing w:after="0"/>
              <w:rPr>
                <w:sz w:val="19"/>
                <w:szCs w:val="19"/>
                <w:color w:val="auto"/>
              </w:rPr>
            </w:pPr>
          </w:p>
        </w:tc>
        <w:tc>
          <w:tcPr>
            <w:tcW w:w="1320" w:type="dxa"/>
            <w:vAlign w:val="bottom"/>
            <w:gridSpan w:val="3"/>
          </w:tcPr>
          <w:p>
            <w:pPr>
              <w:ind w:left="840"/>
              <w:spacing w:after="0" w:line="189" w:lineRule="exact"/>
              <w:rPr>
                <w:sz w:val="20"/>
                <w:szCs w:val="20"/>
                <w:color w:val="auto"/>
              </w:rPr>
            </w:pPr>
            <w:r>
              <w:rPr>
                <w:rFonts w:ascii="Arial" w:cs="Arial" w:eastAsia="Arial" w:hAnsi="Arial"/>
                <w:sz w:val="17"/>
                <w:szCs w:val="17"/>
                <w:b w:val="1"/>
                <w:bCs w:val="1"/>
                <w:color w:val="auto"/>
              </w:rPr>
              <w:t>30%</w:t>
            </w:r>
          </w:p>
        </w:tc>
        <w:tc>
          <w:tcPr>
            <w:tcW w:w="6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ind w:left="540"/>
              <w:spacing w:after="0" w:line="189" w:lineRule="exact"/>
              <w:rPr>
                <w:sz w:val="20"/>
                <w:szCs w:val="20"/>
                <w:color w:val="auto"/>
              </w:rPr>
            </w:pPr>
            <w:r>
              <w:rPr>
                <w:rFonts w:ascii="Arial" w:cs="Arial" w:eastAsia="Arial" w:hAnsi="Arial"/>
                <w:sz w:val="17"/>
                <w:szCs w:val="17"/>
                <w:color w:val="auto"/>
                <w:w w:val="93"/>
              </w:rPr>
              <w:t>—</w:t>
            </w:r>
          </w:p>
        </w:tc>
        <w:tc>
          <w:tcPr>
            <w:tcW w:w="920" w:type="dxa"/>
            <w:vAlign w:val="bottom"/>
            <w:gridSpan w:val="3"/>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240" w:type="dxa"/>
            <w:vAlign w:val="bottom"/>
          </w:tcPr>
          <w:p>
            <w:pPr>
              <w:spacing w:after="0"/>
              <w:rPr>
                <w:sz w:val="20"/>
                <w:szCs w:val="20"/>
                <w:color w:val="auto"/>
              </w:rPr>
            </w:pPr>
            <w:r>
              <w:rPr>
                <w:rFonts w:ascii="Arial" w:cs="Arial" w:eastAsia="Arial" w:hAnsi="Arial"/>
                <w:sz w:val="17"/>
                <w:szCs w:val="17"/>
                <w:color w:val="auto"/>
                <w:w w:val="92"/>
              </w:rPr>
              <w:t>17.</w:t>
            </w:r>
          </w:p>
        </w:tc>
        <w:tc>
          <w:tcPr>
            <w:tcW w:w="6400" w:type="dxa"/>
            <w:vAlign w:val="bottom"/>
          </w:tcPr>
          <w:p>
            <w:pPr>
              <w:ind w:left="20"/>
              <w:spacing w:after="0"/>
              <w:rPr>
                <w:sz w:val="20"/>
                <w:szCs w:val="20"/>
                <w:color w:val="auto"/>
              </w:rPr>
            </w:pPr>
            <w:r>
              <w:rPr>
                <w:rFonts w:ascii="Arial" w:cs="Arial" w:eastAsia="Arial" w:hAnsi="Arial"/>
                <w:sz w:val="17"/>
                <w:szCs w:val="17"/>
                <w:color w:val="auto"/>
              </w:rPr>
              <w:t>Inventory cap</w:t>
            </w: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7"/>
                <w:szCs w:val="17"/>
                <w:b w:val="1"/>
                <w:bCs w:val="1"/>
                <w:color w:val="auto"/>
                <w:w w:val="89"/>
              </w:rPr>
              <w:t>1,000,000</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40" w:type="dxa"/>
            <w:vAlign w:val="bottom"/>
          </w:tcPr>
          <w:p>
            <w:pPr>
              <w:spacing w:after="0"/>
              <w:rPr>
                <w:sz w:val="20"/>
                <w:szCs w:val="20"/>
                <w:color w:val="auto"/>
              </w:rPr>
            </w:pPr>
            <w:r>
              <w:rPr>
                <w:rFonts w:ascii="Arial" w:cs="Arial" w:eastAsia="Arial" w:hAnsi="Arial"/>
                <w:sz w:val="17"/>
                <w:szCs w:val="17"/>
                <w:color w:val="auto"/>
                <w:w w:val="92"/>
              </w:rPr>
              <w:t>18.</w:t>
            </w:r>
          </w:p>
        </w:tc>
        <w:tc>
          <w:tcPr>
            <w:tcW w:w="6400" w:type="dxa"/>
            <w:vAlign w:val="bottom"/>
          </w:tcPr>
          <w:p>
            <w:pPr>
              <w:ind w:left="20"/>
              <w:spacing w:after="0"/>
              <w:rPr>
                <w:sz w:val="20"/>
                <w:szCs w:val="20"/>
                <w:color w:val="auto"/>
              </w:rPr>
            </w:pPr>
            <w:r>
              <w:rPr>
                <w:rFonts w:ascii="Arial" w:cs="Arial" w:eastAsia="Arial" w:hAnsi="Arial"/>
                <w:sz w:val="17"/>
                <w:szCs w:val="17"/>
                <w:color w:val="auto"/>
              </w:rPr>
              <w:t>Inventory Borrowing Base with 50% of Total Base (</w:t>
            </w:r>
            <w:r>
              <w:rPr>
                <w:rFonts w:ascii="Arial" w:cs="Arial" w:eastAsia="Arial" w:hAnsi="Arial"/>
                <w:sz w:val="17"/>
                <w:szCs w:val="17"/>
                <w:b w:val="1"/>
                <w:bCs w:val="1"/>
                <w:color w:val="auto"/>
              </w:rPr>
              <w:t>not to exceed line 17</w:t>
            </w:r>
            <w:r>
              <w:rPr>
                <w:rFonts w:ascii="Arial" w:cs="Arial" w:eastAsia="Arial" w:hAnsi="Arial"/>
                <w:sz w:val="17"/>
                <w:szCs w:val="17"/>
                <w:color w:val="auto"/>
              </w:rPr>
              <w:t>)</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40" w:type="dxa"/>
            <w:vAlign w:val="bottom"/>
            <w:gridSpan w:val="4"/>
          </w:tcPr>
          <w:p>
            <w:pPr>
              <w:ind w:left="1000"/>
              <w:spacing w:after="0"/>
              <w:rPr>
                <w:sz w:val="20"/>
                <w:szCs w:val="20"/>
                <w:color w:val="auto"/>
              </w:rPr>
            </w:pPr>
            <w:r>
              <w:rPr>
                <w:rFonts w:ascii="Arial" w:cs="Arial" w:eastAsia="Arial" w:hAnsi="Arial"/>
                <w:sz w:val="17"/>
                <w:szCs w:val="17"/>
                <w:color w:val="auto"/>
              </w:rPr>
              <w:t>$</w:t>
            </w:r>
          </w:p>
        </w:tc>
        <w:tc>
          <w:tcPr>
            <w:tcW w:w="720" w:type="dxa"/>
            <w:vAlign w:val="bottom"/>
          </w:tcPr>
          <w:p>
            <w:pPr>
              <w:ind w:left="54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 Equipment</w:t>
            </w: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6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20"/>
                <w:szCs w:val="20"/>
                <w:color w:val="auto"/>
              </w:rPr>
            </w:pPr>
            <w:r>
              <w:rPr>
                <w:rFonts w:ascii="Arial" w:cs="Arial" w:eastAsia="Arial" w:hAnsi="Arial"/>
                <w:sz w:val="17"/>
                <w:szCs w:val="17"/>
                <w:color w:val="auto"/>
                <w:w w:val="92"/>
              </w:rPr>
              <w:t>19.</w:t>
            </w:r>
          </w:p>
        </w:tc>
        <w:tc>
          <w:tcPr>
            <w:tcW w:w="6400" w:type="dxa"/>
            <w:vAlign w:val="bottom"/>
          </w:tcPr>
          <w:p>
            <w:pPr>
              <w:ind w:left="20"/>
              <w:spacing w:after="0"/>
              <w:rPr>
                <w:sz w:val="20"/>
                <w:szCs w:val="20"/>
                <w:color w:val="auto"/>
              </w:rPr>
            </w:pPr>
            <w:r>
              <w:rPr>
                <w:rFonts w:ascii="Arial" w:cs="Arial" w:eastAsia="Arial" w:hAnsi="Arial"/>
                <w:sz w:val="17"/>
                <w:szCs w:val="17"/>
                <w:color w:val="auto"/>
              </w:rPr>
              <w:t>Orderly Liquidation Value as of</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0"/>
                <w:szCs w:val="20"/>
                <w:color w:val="auto"/>
              </w:rPr>
            </w:pPr>
            <w:r>
              <w:rPr>
                <w:rFonts w:ascii="Arial" w:cs="Arial" w:eastAsia="Arial" w:hAnsi="Arial"/>
                <w:sz w:val="17"/>
                <w:szCs w:val="17"/>
                <w:color w:val="auto"/>
                <w:w w:val="92"/>
              </w:rPr>
              <w:t>20.</w:t>
            </w:r>
          </w:p>
        </w:tc>
        <w:tc>
          <w:tcPr>
            <w:tcW w:w="6400" w:type="dxa"/>
            <w:vAlign w:val="bottom"/>
          </w:tcPr>
          <w:p>
            <w:pPr>
              <w:ind w:left="20"/>
              <w:spacing w:after="0"/>
              <w:rPr>
                <w:sz w:val="20"/>
                <w:szCs w:val="20"/>
                <w:color w:val="auto"/>
              </w:rPr>
            </w:pPr>
            <w:r>
              <w:rPr>
                <w:rFonts w:ascii="Arial" w:cs="Arial" w:eastAsia="Arial" w:hAnsi="Arial"/>
                <w:sz w:val="17"/>
                <w:szCs w:val="17"/>
                <w:color w:val="auto"/>
              </w:rPr>
              <w:t>Times Rate of Advance (% of Line 19)</w:t>
            </w:r>
          </w:p>
        </w:tc>
        <w:tc>
          <w:tcPr>
            <w:tcW w:w="380" w:type="dxa"/>
            <w:vAlign w:val="bottom"/>
          </w:tcPr>
          <w:p>
            <w:pPr>
              <w:spacing w:after="0"/>
              <w:rPr>
                <w:sz w:val="21"/>
                <w:szCs w:val="21"/>
                <w:color w:val="auto"/>
              </w:rPr>
            </w:pPr>
          </w:p>
        </w:tc>
        <w:tc>
          <w:tcPr>
            <w:tcW w:w="1300" w:type="dxa"/>
            <w:vAlign w:val="bottom"/>
            <w:gridSpan w:val="2"/>
          </w:tcPr>
          <w:p>
            <w:pPr>
              <w:ind w:left="840"/>
              <w:spacing w:after="0"/>
              <w:rPr>
                <w:sz w:val="20"/>
                <w:szCs w:val="20"/>
                <w:color w:val="auto"/>
              </w:rPr>
            </w:pPr>
            <w:r>
              <w:rPr>
                <w:rFonts w:ascii="Arial" w:cs="Arial" w:eastAsia="Arial" w:hAnsi="Arial"/>
                <w:sz w:val="17"/>
                <w:szCs w:val="17"/>
                <w:b w:val="1"/>
                <w:bCs w:val="1"/>
                <w:color w:val="auto"/>
              </w:rPr>
              <w:t>50%</w:t>
            </w:r>
          </w:p>
        </w:tc>
        <w:tc>
          <w:tcPr>
            <w:tcW w:w="20" w:type="dxa"/>
            <w:vAlign w:val="bottom"/>
          </w:tcPr>
          <w:p>
            <w:pPr>
              <w:spacing w:after="0"/>
              <w:rPr>
                <w:sz w:val="21"/>
                <w:szCs w:val="21"/>
                <w:color w:val="auto"/>
              </w:rPr>
            </w:pPr>
          </w:p>
        </w:tc>
        <w:tc>
          <w:tcPr>
            <w:tcW w:w="620" w:type="dxa"/>
            <w:vAlign w:val="bottom"/>
            <w:tcBorders>
              <w:bottom w:val="single" w:sz="8" w:color="auto"/>
            </w:tcBorders>
          </w:tcPr>
          <w:p>
            <w:pPr>
              <w:jc w:val="right"/>
              <w:ind w:right="51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240" w:type="dxa"/>
            <w:vAlign w:val="bottom"/>
          </w:tcPr>
          <w:p>
            <w:pPr>
              <w:spacing w:after="0"/>
              <w:rPr>
                <w:sz w:val="20"/>
                <w:szCs w:val="20"/>
                <w:color w:val="auto"/>
              </w:rPr>
            </w:pPr>
            <w:r>
              <w:rPr>
                <w:rFonts w:ascii="Arial" w:cs="Arial" w:eastAsia="Arial" w:hAnsi="Arial"/>
                <w:sz w:val="17"/>
                <w:szCs w:val="17"/>
                <w:color w:val="auto"/>
                <w:w w:val="92"/>
              </w:rPr>
              <w:t>21.</w:t>
            </w:r>
          </w:p>
        </w:tc>
        <w:tc>
          <w:tcPr>
            <w:tcW w:w="6400" w:type="dxa"/>
            <w:vAlign w:val="bottom"/>
          </w:tcPr>
          <w:p>
            <w:pPr>
              <w:ind w:left="20"/>
              <w:spacing w:after="0"/>
              <w:rPr>
                <w:sz w:val="20"/>
                <w:szCs w:val="20"/>
                <w:color w:val="auto"/>
              </w:rPr>
            </w:pPr>
            <w:r>
              <w:rPr>
                <w:rFonts w:ascii="Arial" w:cs="Arial" w:eastAsia="Arial" w:hAnsi="Arial"/>
                <w:sz w:val="17"/>
                <w:szCs w:val="17"/>
                <w:color w:val="auto"/>
              </w:rPr>
              <w:t>Equipment cap</w:t>
            </w: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7"/>
                <w:szCs w:val="17"/>
                <w:b w:val="1"/>
                <w:bCs w:val="1"/>
                <w:color w:val="auto"/>
                <w:w w:val="89"/>
              </w:rPr>
              <w:t>1,550,000</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40" w:type="dxa"/>
            <w:vAlign w:val="bottom"/>
          </w:tcPr>
          <w:p>
            <w:pPr>
              <w:spacing w:after="0"/>
              <w:rPr>
                <w:sz w:val="20"/>
                <w:szCs w:val="20"/>
                <w:color w:val="auto"/>
              </w:rPr>
            </w:pPr>
            <w:r>
              <w:rPr>
                <w:rFonts w:ascii="Arial" w:cs="Arial" w:eastAsia="Arial" w:hAnsi="Arial"/>
                <w:sz w:val="17"/>
                <w:szCs w:val="17"/>
                <w:color w:val="auto"/>
                <w:w w:val="92"/>
              </w:rPr>
              <w:t>22.</w:t>
            </w:r>
          </w:p>
        </w:tc>
        <w:tc>
          <w:tcPr>
            <w:tcW w:w="6400" w:type="dxa"/>
            <w:vAlign w:val="bottom"/>
          </w:tcPr>
          <w:p>
            <w:pPr>
              <w:ind w:left="20"/>
              <w:spacing w:after="0"/>
              <w:rPr>
                <w:sz w:val="20"/>
                <w:szCs w:val="20"/>
                <w:color w:val="auto"/>
              </w:rPr>
            </w:pPr>
            <w:r>
              <w:rPr>
                <w:rFonts w:ascii="Arial" w:cs="Arial" w:eastAsia="Arial" w:hAnsi="Arial"/>
                <w:sz w:val="17"/>
                <w:szCs w:val="17"/>
                <w:color w:val="auto"/>
              </w:rPr>
              <w:t>Equipment Borrowing Base (</w:t>
            </w:r>
            <w:r>
              <w:rPr>
                <w:rFonts w:ascii="Arial" w:cs="Arial" w:eastAsia="Arial" w:hAnsi="Arial"/>
                <w:sz w:val="17"/>
                <w:szCs w:val="17"/>
                <w:b w:val="1"/>
                <w:bCs w:val="1"/>
                <w:color w:val="auto"/>
              </w:rPr>
              <w:t>not to exceed line 22</w:t>
            </w:r>
            <w:r>
              <w:rPr>
                <w:rFonts w:ascii="Arial" w:cs="Arial" w:eastAsia="Arial" w:hAnsi="Arial"/>
                <w:sz w:val="17"/>
                <w:szCs w:val="17"/>
                <w:color w:val="auto"/>
              </w:rPr>
              <w:t>)</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40" w:type="dxa"/>
            <w:vAlign w:val="bottom"/>
            <w:gridSpan w:val="4"/>
          </w:tcPr>
          <w:p>
            <w:pPr>
              <w:ind w:left="1000"/>
              <w:spacing w:after="0"/>
              <w:rPr>
                <w:sz w:val="20"/>
                <w:szCs w:val="20"/>
                <w:color w:val="auto"/>
              </w:rPr>
            </w:pPr>
            <w:r>
              <w:rPr>
                <w:rFonts w:ascii="Arial" w:cs="Arial" w:eastAsia="Arial" w:hAnsi="Arial"/>
                <w:sz w:val="17"/>
                <w:szCs w:val="17"/>
                <w:color w:val="auto"/>
              </w:rPr>
              <w:t>$</w:t>
            </w:r>
          </w:p>
        </w:tc>
        <w:tc>
          <w:tcPr>
            <w:tcW w:w="720" w:type="dxa"/>
            <w:vAlign w:val="bottom"/>
          </w:tcPr>
          <w:p>
            <w:pPr>
              <w:ind w:left="54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260" w:hanging="255"/>
        <w:spacing w:after="0"/>
        <w:tabs>
          <w:tab w:leader="none" w:pos="260" w:val="left"/>
        </w:tabs>
        <w:numPr>
          <w:ilvl w:val="0"/>
          <w:numId w:val="650"/>
        </w:numPr>
        <w:rPr>
          <w:rFonts w:ascii="Arial" w:cs="Arial" w:eastAsia="Arial" w:hAnsi="Arial"/>
          <w:sz w:val="17"/>
          <w:szCs w:val="17"/>
          <w:color w:val="auto"/>
        </w:rPr>
      </w:pPr>
      <w:r>
        <w:rPr>
          <w:rFonts w:ascii="Arial" w:cs="Arial" w:eastAsia="Arial" w:hAnsi="Arial"/>
          <w:sz w:val="17"/>
          <w:szCs w:val="17"/>
          <w:b w:val="1"/>
          <w:bCs w:val="1"/>
          <w:color w:val="auto"/>
        </w:rPr>
        <w:t>Total Eligible AR, Inventory &amp; Equipment ($3,500,000 or Line 12 plus Line 18,</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0" w:type="dxa"/>
            <w:vAlign w:val="bottom"/>
            <w:gridSpan w:val="4"/>
          </w:tcPr>
          <w:p>
            <w:pPr>
              <w:spacing w:after="0"/>
              <w:rPr>
                <w:sz w:val="20"/>
                <w:szCs w:val="20"/>
                <w:color w:val="auto"/>
              </w:rPr>
            </w:pPr>
            <w:r>
              <w:rPr>
                <w:rFonts w:ascii="Arial" w:cs="Arial" w:eastAsia="Arial" w:hAnsi="Arial"/>
                <w:sz w:val="17"/>
                <w:szCs w:val="17"/>
                <w:b w:val="1"/>
                <w:bCs w:val="1"/>
                <w:color w:val="auto"/>
              </w:rPr>
              <w:t>whichever is less</w:t>
            </w:r>
            <w:r>
              <w:rPr>
                <w:rFonts w:ascii="Arial" w:cs="Arial" w:eastAsia="Arial" w:hAnsi="Arial"/>
                <w:sz w:val="17"/>
                <w:szCs w:val="17"/>
                <w:color w:val="auto"/>
              </w:rPr>
              <w:t>)</w:t>
            </w:r>
          </w:p>
        </w:tc>
        <w:tc>
          <w:tcPr>
            <w:tcW w:w="640" w:type="dxa"/>
            <w:vAlign w:val="bottom"/>
            <w:gridSpan w:val="2"/>
          </w:tcPr>
          <w:p>
            <w:pPr>
              <w:jc w:val="right"/>
              <w:ind w:right="511"/>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54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jc w:val="right"/>
              <w:spacing w:after="0"/>
              <w:rPr>
                <w:sz w:val="20"/>
                <w:szCs w:val="20"/>
                <w:color w:val="auto"/>
              </w:rPr>
            </w:pPr>
            <w:r>
              <w:rPr>
                <w:rFonts w:ascii="Arial" w:cs="Arial" w:eastAsia="Arial" w:hAnsi="Arial"/>
                <w:sz w:val="17"/>
                <w:szCs w:val="17"/>
                <w:color w:val="auto"/>
                <w:w w:val="84"/>
              </w:rPr>
              <w:t>24.</w:t>
            </w:r>
          </w:p>
        </w:tc>
        <w:tc>
          <w:tcPr>
            <w:tcW w:w="9720" w:type="dxa"/>
            <w:vAlign w:val="bottom"/>
            <w:gridSpan w:val="5"/>
            <w:vMerge w:val="restart"/>
          </w:tcPr>
          <w:p>
            <w:pPr>
              <w:ind w:left="20"/>
              <w:spacing w:after="0"/>
              <w:rPr>
                <w:sz w:val="20"/>
                <w:szCs w:val="20"/>
                <w:color w:val="auto"/>
              </w:rPr>
            </w:pPr>
            <w:r>
              <w:rPr>
                <w:rFonts w:ascii="Arial" w:cs="Arial" w:eastAsia="Arial" w:hAnsi="Arial"/>
                <w:sz w:val="17"/>
                <w:szCs w:val="17"/>
                <w:color w:val="auto"/>
              </w:rPr>
              <w:t>East West Bank Obligations</w:t>
            </w: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9720" w:type="dxa"/>
            <w:vAlign w:val="bottom"/>
            <w:gridSpan w:val="5"/>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40" w:type="dxa"/>
            <w:vAlign w:val="bottom"/>
            <w:vMerge w:val="continue"/>
          </w:tcPr>
          <w:p>
            <w:pPr>
              <w:spacing w:after="0"/>
              <w:rPr>
                <w:sz w:val="11"/>
                <w:szCs w:val="11"/>
                <w:color w:val="auto"/>
              </w:rPr>
            </w:pPr>
          </w:p>
        </w:tc>
        <w:tc>
          <w:tcPr>
            <w:tcW w:w="972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0" w:type="dxa"/>
            <w:vAlign w:val="bottom"/>
            <w:gridSpan w:val="4"/>
          </w:tcPr>
          <w:p>
            <w:pPr>
              <w:ind w:left="340"/>
              <w:spacing w:after="0"/>
              <w:rPr>
                <w:sz w:val="20"/>
                <w:szCs w:val="20"/>
                <w:color w:val="auto"/>
              </w:rPr>
            </w:pPr>
            <w:r>
              <w:rPr>
                <w:rFonts w:ascii="Arial" w:cs="Arial" w:eastAsia="Arial" w:hAnsi="Arial"/>
                <w:sz w:val="17"/>
                <w:szCs w:val="17"/>
                <w:color w:val="auto"/>
              </w:rPr>
              <w:t>Clean Advances /Revolving Working Capital</w:t>
            </w:r>
          </w:p>
        </w:tc>
        <w:tc>
          <w:tcPr>
            <w:tcW w:w="640" w:type="dxa"/>
            <w:vAlign w:val="bottom"/>
            <w:gridSpan w:val="2"/>
            <w:vMerge w:val="restart"/>
          </w:tcPr>
          <w:p>
            <w:pPr>
              <w:jc w:val="right"/>
              <w:ind w:right="511"/>
              <w:spacing w:after="0"/>
              <w:rPr>
                <w:sz w:val="20"/>
                <w:szCs w:val="20"/>
                <w:color w:val="auto"/>
              </w:rPr>
            </w:pPr>
            <w:r>
              <w:rPr>
                <w:rFonts w:ascii="Arial" w:cs="Arial" w:eastAsia="Arial" w:hAnsi="Arial"/>
                <w:sz w:val="15"/>
                <w:szCs w:val="15"/>
                <w:color w:val="auto"/>
                <w:w w:val="71"/>
              </w:rPr>
              <w:t>$</w:t>
            </w:r>
          </w:p>
        </w:tc>
        <w:tc>
          <w:tcPr>
            <w:tcW w:w="720" w:type="dxa"/>
            <w:vAlign w:val="bottom"/>
            <w:vMerge w:val="restart"/>
          </w:tcPr>
          <w:p>
            <w:pPr>
              <w:ind w:left="54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line="190" w:lineRule="exact"/>
              <w:rPr>
                <w:sz w:val="20"/>
                <w:szCs w:val="20"/>
                <w:color w:val="auto"/>
              </w:rPr>
            </w:pPr>
            <w:r>
              <w:rPr>
                <w:rFonts w:ascii="Arial" w:cs="Arial" w:eastAsia="Arial" w:hAnsi="Arial"/>
                <w:sz w:val="17"/>
                <w:szCs w:val="17"/>
                <w:color w:val="auto"/>
                <w:w w:val="84"/>
              </w:rPr>
              <w:t>25.</w:t>
            </w:r>
          </w:p>
        </w:tc>
        <w:tc>
          <w:tcPr>
            <w:tcW w:w="6400" w:type="dxa"/>
            <w:vAlign w:val="bottom"/>
            <w:gridSpan w:val="3"/>
          </w:tcPr>
          <w:p>
            <w:pPr>
              <w:ind w:left="20"/>
              <w:spacing w:after="0" w:line="190" w:lineRule="exact"/>
              <w:rPr>
                <w:sz w:val="20"/>
                <w:szCs w:val="20"/>
                <w:color w:val="auto"/>
              </w:rPr>
            </w:pPr>
            <w:r>
              <w:rPr>
                <w:rFonts w:ascii="Arial" w:cs="Arial" w:eastAsia="Arial" w:hAnsi="Arial"/>
                <w:sz w:val="17"/>
                <w:szCs w:val="17"/>
                <w:color w:val="auto"/>
              </w:rPr>
              <w:t>Total East West Bank Obligations as of:</w:t>
            </w:r>
          </w:p>
        </w:tc>
        <w:tc>
          <w:tcPr>
            <w:tcW w:w="1380" w:type="dxa"/>
            <w:vAlign w:val="bottom"/>
            <w:tcBorders>
              <w:top w:val="single" w:sz="8" w:color="auto"/>
              <w:bottom w:val="single" w:sz="8" w:color="auto"/>
            </w:tcBorders>
          </w:tcPr>
          <w:p>
            <w:pPr>
              <w:spacing w:after="0"/>
              <w:rPr>
                <w:sz w:val="19"/>
                <w:szCs w:val="19"/>
                <w:color w:val="auto"/>
              </w:rPr>
            </w:pPr>
          </w:p>
        </w:tc>
        <w:tc>
          <w:tcPr>
            <w:tcW w:w="1940" w:type="dxa"/>
            <w:vAlign w:val="bottom"/>
          </w:tcPr>
          <w:p>
            <w:pPr>
              <w:spacing w:after="0"/>
              <w:rPr>
                <w:sz w:val="19"/>
                <w:szCs w:val="19"/>
                <w:color w:val="auto"/>
              </w:rPr>
            </w:pPr>
          </w:p>
        </w:tc>
        <w:tc>
          <w:tcPr>
            <w:tcW w:w="640" w:type="dxa"/>
            <w:vAlign w:val="bottom"/>
            <w:tcBorders>
              <w:bottom w:val="single" w:sz="8" w:color="auto"/>
            </w:tcBorders>
            <w:gridSpan w:val="2"/>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0" w:type="dxa"/>
            <w:vAlign w:val="bottom"/>
          </w:tcPr>
          <w:p>
            <w:pPr>
              <w:jc w:val="right"/>
              <w:spacing w:after="0" w:line="189" w:lineRule="exact"/>
              <w:rPr>
                <w:sz w:val="20"/>
                <w:szCs w:val="20"/>
                <w:color w:val="auto"/>
              </w:rPr>
            </w:pPr>
            <w:r>
              <w:rPr>
                <w:rFonts w:ascii="Arial" w:cs="Arial" w:eastAsia="Arial" w:hAnsi="Arial"/>
                <w:sz w:val="17"/>
                <w:szCs w:val="17"/>
                <w:color w:val="auto"/>
                <w:w w:val="84"/>
              </w:rPr>
              <w:t>26.</w:t>
            </w:r>
          </w:p>
        </w:tc>
        <w:tc>
          <w:tcPr>
            <w:tcW w:w="9720" w:type="dxa"/>
            <w:vAlign w:val="bottom"/>
            <w:gridSpan w:val="5"/>
          </w:tcPr>
          <w:p>
            <w:pPr>
              <w:ind w:left="20"/>
              <w:spacing w:after="0" w:line="189" w:lineRule="exact"/>
              <w:rPr>
                <w:sz w:val="20"/>
                <w:szCs w:val="20"/>
                <w:color w:val="auto"/>
              </w:rPr>
            </w:pPr>
            <w:r>
              <w:rPr>
                <w:rFonts w:ascii="Arial" w:cs="Arial" w:eastAsia="Arial" w:hAnsi="Arial"/>
                <w:sz w:val="17"/>
                <w:szCs w:val="17"/>
                <w:color w:val="auto"/>
              </w:rPr>
              <w:t>Net Availability (Line 23 - Line 25)</w:t>
            </w: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1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ind w:left="540"/>
              <w:spacing w:after="0" w:line="189" w:lineRule="exact"/>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7" w:right="199" w:bottom="0" w:gutter="0" w:footer="0" w:header="0"/>
        </w:sectPr>
      </w:pPr>
    </w:p>
    <w:bookmarkStart w:id="403" w:name="page404"/>
    <w:bookmarkEnd w:id="403"/>
    <w:p>
      <w:pPr>
        <w:ind w:left="1260"/>
        <w:spacing w:after="0"/>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Note: if Negative — Repayment Required</w:t>
      </w:r>
      <w:r>
        <w:rPr>
          <w:rFonts w:ascii="Arial" w:cs="Arial" w:eastAsia="Arial" w:hAnsi="Arial"/>
          <w:sz w:val="17"/>
          <w:szCs w:val="17"/>
          <w:i w:val="1"/>
          <w:iCs w:val="1"/>
          <w:color w:val="auto"/>
        </w:rPr>
        <w:t>)</w:t>
      </w:r>
    </w:p>
    <w:p>
      <w:pPr>
        <w:spacing w:after="0" w:line="224"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The above listed collateral is subject to a security interest in favor of East West Bank pursuant to the terms of the Loan Agreement[s] executed between the Bank and the undersigned. Borrower represents and warrants that inventory listed above is owned by Borrower free and clear of any and all liens and encumbrances other than said security interest in favor of East West Bank. The undersigned hereby warrants and represents to Bank that the Borrower is in full compliance with the Terms and Conditions of the Agreement, and related documents, that the collateral is bona fide and accurate, and certifies that the foregoing and any attachments to this report are true and correct.</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Applied Optoelectronics,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287020</wp:posOffset>
            </wp:positionV>
            <wp:extent cx="725043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tabs>
          <w:tab w:leader="none" w:pos="8320"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362966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EXHIBIT D-2</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EXIM BORROWING BASE CERTIFICATE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Export-Import Bank of the United States</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Working Capital Guarantee Program — Optional Form of Borrowing Base Certificate (Rev. 11/05)</w:t>
      </w:r>
    </w:p>
    <w:p>
      <w:pPr>
        <w:sectPr>
          <w:pgSz w:w="11900" w:h="16838" w:orient="portrait"/>
          <w:cols w:equalWidth="0" w:num="1">
            <w:col w:w="11380"/>
          </w:cols>
          <w:pgMar w:left="240" w:top="337" w:right="279" w:bottom="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Borrower:  Applied Optoelectronics, Inc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Covers Period From:</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7"/>
          <w:szCs w:val="17"/>
          <w:u w:val="single" w:color="auto"/>
          <w:color w:val="auto"/>
        </w:rPr>
        <w:t>Line:</w:t>
      </w:r>
    </w:p>
    <w:p>
      <w:pPr>
        <w:spacing w:after="0" w:line="26" w:lineRule="exact"/>
        <w:rPr>
          <w:sz w:val="20"/>
          <w:szCs w:val="20"/>
          <w:color w:val="auto"/>
        </w:rPr>
      </w:pPr>
    </w:p>
    <w:p>
      <w:pPr>
        <w:ind w:left="860" w:right="2260" w:hanging="221"/>
        <w:spacing w:after="0" w:line="257" w:lineRule="auto"/>
        <w:tabs>
          <w:tab w:leader="none" w:pos="860" w:val="left"/>
        </w:tabs>
        <w:numPr>
          <w:ilvl w:val="0"/>
          <w:numId w:val="651"/>
        </w:numPr>
        <w:rPr>
          <w:rFonts w:ascii="Arial" w:cs="Arial" w:eastAsia="Arial" w:hAnsi="Arial"/>
          <w:sz w:val="17"/>
          <w:szCs w:val="17"/>
          <w:color w:val="auto"/>
        </w:rPr>
      </w:pPr>
      <w:r>
        <w:rPr>
          <w:rFonts w:ascii="Arial" w:cs="Arial" w:eastAsia="Arial" w:hAnsi="Arial"/>
          <w:sz w:val="17"/>
          <w:szCs w:val="17"/>
          <w:color w:val="auto"/>
        </w:rPr>
        <w:t>Beginning Gross A/R (Line 5, previous Certificate)</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98"/>
        </w:trPr>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2</w:t>
            </w:r>
          </w:p>
        </w:tc>
        <w:tc>
          <w:tcPr>
            <w:tcW w:w="3160" w:type="dxa"/>
            <w:vAlign w:val="bottom"/>
          </w:tcPr>
          <w:p>
            <w:pPr>
              <w:ind w:left="60"/>
              <w:spacing w:after="0"/>
              <w:rPr>
                <w:sz w:val="20"/>
                <w:szCs w:val="20"/>
                <w:color w:val="auto"/>
              </w:rPr>
            </w:pPr>
            <w:r>
              <w:rPr>
                <w:rFonts w:ascii="Arial" w:cs="Arial" w:eastAsia="Arial" w:hAnsi="Arial"/>
                <w:sz w:val="17"/>
                <w:szCs w:val="17"/>
                <w:color w:val="auto"/>
              </w:rPr>
              <w:t>Add: Export sales since last Certificate</w:t>
            </w:r>
          </w:p>
        </w:tc>
        <w:tc>
          <w:tcPr>
            <w:tcW w:w="540" w:type="dxa"/>
            <w:vAlign w:val="bottom"/>
          </w:tcPr>
          <w:p>
            <w:pPr>
              <w:jc w:val="right"/>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22"/>
        </w:trPr>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3</w:t>
            </w:r>
          </w:p>
        </w:tc>
        <w:tc>
          <w:tcPr>
            <w:tcW w:w="3160" w:type="dxa"/>
            <w:vAlign w:val="bottom"/>
          </w:tcPr>
          <w:p>
            <w:pPr>
              <w:ind w:left="60"/>
              <w:spacing w:after="0"/>
              <w:rPr>
                <w:sz w:val="20"/>
                <w:szCs w:val="20"/>
                <w:color w:val="auto"/>
              </w:rPr>
            </w:pPr>
            <w:r>
              <w:rPr>
                <w:rFonts w:ascii="Arial" w:cs="Arial" w:eastAsia="Arial" w:hAnsi="Arial"/>
                <w:sz w:val="17"/>
                <w:szCs w:val="17"/>
                <w:color w:val="auto"/>
              </w:rPr>
              <w:t>Less: - Payments Received</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3"/>
        </w:trPr>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4</w:t>
            </w:r>
          </w:p>
        </w:tc>
        <w:tc>
          <w:tcPr>
            <w:tcW w:w="3160" w:type="dxa"/>
            <w:vAlign w:val="bottom"/>
          </w:tcPr>
          <w:p>
            <w:pPr>
              <w:ind w:left="460"/>
              <w:spacing w:after="0"/>
              <w:rPr>
                <w:sz w:val="20"/>
                <w:szCs w:val="20"/>
                <w:color w:val="auto"/>
              </w:rPr>
            </w:pPr>
            <w:r>
              <w:rPr>
                <w:rFonts w:ascii="Arial" w:cs="Arial" w:eastAsia="Arial" w:hAnsi="Arial"/>
                <w:sz w:val="17"/>
                <w:szCs w:val="17"/>
                <w:color w:val="auto"/>
              </w:rPr>
              <w:t>- Credit Memos/other adjustments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
        </w:trPr>
        <w:tc>
          <w:tcPr>
            <w:tcW w:w="160" w:type="dxa"/>
            <w:vAlign w:val="bottom"/>
            <w:vMerge w:val="restart"/>
          </w:tcPr>
          <w:p>
            <w:pPr>
              <w:jc w:val="right"/>
              <w:ind w:right="4"/>
              <w:spacing w:after="0"/>
              <w:rPr>
                <w:sz w:val="20"/>
                <w:szCs w:val="20"/>
                <w:color w:val="auto"/>
              </w:rPr>
            </w:pPr>
            <w:r>
              <w:rPr>
                <w:rFonts w:ascii="Arial" w:cs="Arial" w:eastAsia="Arial" w:hAnsi="Arial"/>
                <w:sz w:val="15"/>
                <w:szCs w:val="15"/>
                <w:color w:val="auto"/>
                <w:w w:val="71"/>
              </w:rPr>
              <w:t>5</w:t>
            </w:r>
          </w:p>
        </w:tc>
        <w:tc>
          <w:tcPr>
            <w:tcW w:w="3160" w:type="dxa"/>
            <w:vAlign w:val="bottom"/>
            <w:vMerge w:val="restart"/>
          </w:tcPr>
          <w:p>
            <w:pPr>
              <w:ind w:left="60"/>
              <w:spacing w:after="0" w:line="190" w:lineRule="exact"/>
              <w:rPr>
                <w:sz w:val="20"/>
                <w:szCs w:val="20"/>
                <w:color w:val="auto"/>
              </w:rPr>
            </w:pPr>
            <w:r>
              <w:rPr>
                <w:rFonts w:ascii="Arial" w:cs="Arial" w:eastAsia="Arial" w:hAnsi="Arial"/>
                <w:sz w:val="17"/>
                <w:szCs w:val="17"/>
                <w:color w:val="auto"/>
              </w:rPr>
              <w:t>Ending Gross A/R (carry to Line 1, next</w:t>
            </w: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60" w:type="dxa"/>
            <w:vAlign w:val="bottom"/>
            <w:vMerge w:val="continue"/>
          </w:tcPr>
          <w:p>
            <w:pPr>
              <w:spacing w:after="0"/>
              <w:rPr>
                <w:sz w:val="13"/>
                <w:szCs w:val="13"/>
                <w:color w:val="auto"/>
              </w:rPr>
            </w:pPr>
          </w:p>
        </w:tc>
        <w:tc>
          <w:tcPr>
            <w:tcW w:w="31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3160" w:type="dxa"/>
            <w:vAlign w:val="bottom"/>
          </w:tcPr>
          <w:p>
            <w:pPr>
              <w:ind w:left="60"/>
              <w:spacing w:after="0"/>
              <w:rPr>
                <w:sz w:val="20"/>
                <w:szCs w:val="20"/>
                <w:color w:val="auto"/>
              </w:rPr>
            </w:pPr>
            <w:r>
              <w:rPr>
                <w:rFonts w:ascii="Arial" w:cs="Arial" w:eastAsia="Arial" w:hAnsi="Arial"/>
                <w:sz w:val="17"/>
                <w:szCs w:val="17"/>
                <w:color w:val="auto"/>
              </w:rPr>
              <w:t>Certificate)</w:t>
            </w:r>
          </w:p>
        </w:tc>
        <w:tc>
          <w:tcPr>
            <w:tcW w:w="540" w:type="dxa"/>
            <w:vAlign w:val="bottom"/>
          </w:tcPr>
          <w:p>
            <w:pPr>
              <w:jc w:val="right"/>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3160" w:type="dxa"/>
            <w:vAlign w:val="bottom"/>
          </w:tcPr>
          <w:p>
            <w:pPr>
              <w:ind w:left="60"/>
              <w:spacing w:after="0"/>
              <w:rPr>
                <w:sz w:val="20"/>
                <w:szCs w:val="20"/>
                <w:color w:val="auto"/>
              </w:rPr>
            </w:pPr>
            <w:r>
              <w:rPr>
                <w:rFonts w:ascii="Arial" w:cs="Arial" w:eastAsia="Arial" w:hAnsi="Arial"/>
                <w:sz w:val="17"/>
                <w:szCs w:val="17"/>
                <w:color w:val="auto"/>
              </w:rPr>
              <w:t>Less A/R Exclusions from Borrowing</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3160" w:type="dxa"/>
            <w:vAlign w:val="bottom"/>
          </w:tcPr>
          <w:p>
            <w:pPr>
              <w:ind w:left="60"/>
              <w:spacing w:after="0"/>
              <w:rPr>
                <w:sz w:val="20"/>
                <w:szCs w:val="20"/>
                <w:color w:val="auto"/>
              </w:rPr>
            </w:pPr>
            <w:r>
              <w:rPr>
                <w:rFonts w:ascii="Arial" w:cs="Arial" w:eastAsia="Arial" w:hAnsi="Arial"/>
                <w:sz w:val="17"/>
                <w:szCs w:val="17"/>
                <w:color w:val="auto"/>
              </w:rPr>
              <w:t>Base, per most recent A/R aging:</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6</w:t>
            </w:r>
          </w:p>
        </w:tc>
        <w:tc>
          <w:tcPr>
            <w:tcW w:w="3160" w:type="dxa"/>
            <w:vAlign w:val="bottom"/>
          </w:tcPr>
          <w:p>
            <w:pPr>
              <w:ind w:left="460"/>
              <w:spacing w:after="0"/>
              <w:rPr>
                <w:sz w:val="20"/>
                <w:szCs w:val="20"/>
                <w:color w:val="auto"/>
              </w:rPr>
            </w:pPr>
            <w:r>
              <w:rPr>
                <w:rFonts w:ascii="Arial" w:cs="Arial" w:eastAsia="Arial" w:hAnsi="Arial"/>
                <w:sz w:val="17"/>
                <w:szCs w:val="17"/>
                <w:color w:val="auto"/>
              </w:rPr>
              <w:t>- Ineligible Retainages</w:t>
            </w:r>
          </w:p>
        </w:tc>
        <w:tc>
          <w:tcPr>
            <w:tcW w:w="540" w:type="dxa"/>
            <w:vAlign w:val="bottom"/>
          </w:tcPr>
          <w:p>
            <w:pPr>
              <w:jc w:val="right"/>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bl>
    <w:p>
      <w:pPr>
        <w:ind w:left="1260" w:hanging="621"/>
        <w:spacing w:after="0"/>
        <w:tabs>
          <w:tab w:leader="none" w:pos="1260" w:val="left"/>
        </w:tabs>
        <w:numPr>
          <w:ilvl w:val="0"/>
          <w:numId w:val="652"/>
        </w:numPr>
        <w:rPr>
          <w:rFonts w:ascii="Arial" w:cs="Arial" w:eastAsia="Arial" w:hAnsi="Arial"/>
          <w:sz w:val="17"/>
          <w:szCs w:val="17"/>
          <w:color w:val="auto"/>
        </w:rPr>
      </w:pPr>
      <w:r>
        <w:rPr>
          <w:rFonts w:ascii="Arial" w:cs="Arial" w:eastAsia="Arial" w:hAnsi="Arial"/>
          <w:sz w:val="17"/>
          <w:szCs w:val="17"/>
          <w:color w:val="auto"/>
        </w:rPr>
        <w:t>- Past Due —&gt;</w:t>
      </w:r>
    </w:p>
    <w:p>
      <w:pPr>
        <w:spacing w:after="0" w:line="212" w:lineRule="exact"/>
        <w:rPr>
          <w:sz w:val="20"/>
          <w:szCs w:val="20"/>
          <w:color w:val="auto"/>
        </w:rPr>
      </w:pPr>
    </w:p>
    <w:p>
      <w:pPr>
        <w:ind w:left="1260" w:hanging="621"/>
        <w:spacing w:after="0"/>
        <w:tabs>
          <w:tab w:leader="none" w:pos="1260" w:val="left"/>
        </w:tabs>
        <w:numPr>
          <w:ilvl w:val="0"/>
          <w:numId w:val="653"/>
        </w:numPr>
        <w:rPr>
          <w:rFonts w:ascii="Arial" w:cs="Arial" w:eastAsia="Arial" w:hAnsi="Arial"/>
          <w:sz w:val="17"/>
          <w:szCs w:val="17"/>
          <w:color w:val="auto"/>
        </w:rPr>
      </w:pPr>
      <w:r>
        <w:rPr>
          <w:rFonts w:ascii="Arial" w:cs="Arial" w:eastAsia="Arial" w:hAnsi="Arial"/>
          <w:sz w:val="17"/>
          <w:szCs w:val="17"/>
          <w:color w:val="auto"/>
        </w:rPr>
        <w:t>- Other, Drop Shipment</w:t>
      </w:r>
    </w:p>
    <w:p>
      <w:pPr>
        <w:spacing w:after="0" w:line="26" w:lineRule="exact"/>
        <w:rPr>
          <w:sz w:val="20"/>
          <w:szCs w:val="20"/>
          <w:color w:val="auto"/>
        </w:rPr>
      </w:pPr>
    </w:p>
    <w:tbl>
      <w:tblPr>
        <w:tblLayout w:type="fixed"/>
        <w:tblInd w:w="560" w:type="dxa"/>
        <w:tblCellMar>
          <w:top w:w="0" w:type="dxa"/>
          <w:left w:w="0" w:type="dxa"/>
          <w:bottom w:w="0" w:type="dxa"/>
          <w:right w:w="0" w:type="dxa"/>
        </w:tblCellMar>
      </w:tblPr>
      <w:tr>
        <w:trPr>
          <w:trHeight w:val="198"/>
        </w:trPr>
        <w:tc>
          <w:tcPr>
            <w:tcW w:w="240" w:type="dxa"/>
            <w:vAlign w:val="bottom"/>
          </w:tcPr>
          <w:p>
            <w:pPr>
              <w:jc w:val="right"/>
              <w:spacing w:after="0"/>
              <w:rPr>
                <w:sz w:val="20"/>
                <w:szCs w:val="20"/>
                <w:color w:val="auto"/>
              </w:rPr>
            </w:pPr>
            <w:r>
              <w:rPr>
                <w:rFonts w:ascii="Arial" w:cs="Arial" w:eastAsia="Arial" w:hAnsi="Arial"/>
                <w:sz w:val="17"/>
                <w:szCs w:val="17"/>
                <w:color w:val="auto"/>
              </w:rPr>
              <w:t>9</w:t>
            </w:r>
          </w:p>
        </w:tc>
        <w:tc>
          <w:tcPr>
            <w:tcW w:w="3140" w:type="dxa"/>
            <w:vAlign w:val="bottom"/>
          </w:tcPr>
          <w:p>
            <w:pPr>
              <w:ind w:left="60"/>
              <w:spacing w:after="0"/>
              <w:rPr>
                <w:sz w:val="20"/>
                <w:szCs w:val="20"/>
                <w:color w:val="auto"/>
              </w:rPr>
            </w:pPr>
            <w:r>
              <w:rPr>
                <w:rFonts w:ascii="Arial" w:cs="Arial" w:eastAsia="Arial" w:hAnsi="Arial"/>
                <w:sz w:val="17"/>
                <w:szCs w:val="17"/>
                <w:color w:val="auto"/>
              </w:rPr>
              <w:t>Eligible RETAINAGE A/R —&gt;</w:t>
            </w:r>
          </w:p>
        </w:tc>
        <w:tc>
          <w:tcPr>
            <w:tcW w:w="1940" w:type="dxa"/>
            <w:vAlign w:val="bottom"/>
          </w:tcPr>
          <w:p>
            <w:pPr>
              <w:jc w:val="right"/>
              <w:ind w:right="1293"/>
              <w:spacing w:after="0"/>
              <w:rPr>
                <w:sz w:val="20"/>
                <w:szCs w:val="20"/>
                <w:color w:val="auto"/>
              </w:rPr>
            </w:pPr>
            <w:r>
              <w:rPr>
                <w:rFonts w:ascii="Arial" w:cs="Arial" w:eastAsia="Arial" w:hAnsi="Arial"/>
                <w:sz w:val="17"/>
                <w:szCs w:val="17"/>
                <w:color w:val="auto"/>
              </w:rPr>
              <w:t>0.00</w:t>
            </w:r>
          </w:p>
        </w:tc>
      </w:tr>
      <w:tr>
        <w:trPr>
          <w:trHeight w:val="210"/>
        </w:trPr>
        <w:tc>
          <w:tcPr>
            <w:tcW w:w="240" w:type="dxa"/>
            <w:vAlign w:val="bottom"/>
          </w:tcPr>
          <w:p>
            <w:pPr>
              <w:jc w:val="right"/>
              <w:spacing w:after="0"/>
              <w:rPr>
                <w:sz w:val="20"/>
                <w:szCs w:val="20"/>
                <w:color w:val="auto"/>
              </w:rPr>
            </w:pPr>
            <w:r>
              <w:rPr>
                <w:rFonts w:ascii="Arial" w:cs="Arial" w:eastAsia="Arial" w:hAnsi="Arial"/>
                <w:sz w:val="17"/>
                <w:szCs w:val="17"/>
                <w:color w:val="auto"/>
                <w:w w:val="73"/>
              </w:rPr>
              <w:t>10</w:t>
            </w:r>
          </w:p>
        </w:tc>
        <w:tc>
          <w:tcPr>
            <w:tcW w:w="3140" w:type="dxa"/>
            <w:vAlign w:val="bottom"/>
          </w:tcPr>
          <w:p>
            <w:pPr>
              <w:ind w:left="460"/>
              <w:spacing w:after="0"/>
              <w:rPr>
                <w:sz w:val="20"/>
                <w:szCs w:val="20"/>
                <w:color w:val="auto"/>
              </w:rPr>
            </w:pPr>
            <w:r>
              <w:rPr>
                <w:rFonts w:ascii="Arial" w:cs="Arial" w:eastAsia="Arial" w:hAnsi="Arial"/>
                <w:sz w:val="17"/>
                <w:szCs w:val="17"/>
                <w:color w:val="auto"/>
              </w:rPr>
              <w:t>@ Advance Rate</w:t>
            </w:r>
          </w:p>
        </w:tc>
        <w:tc>
          <w:tcPr>
            <w:tcW w:w="1940" w:type="dxa"/>
            <w:vAlign w:val="bottom"/>
          </w:tcPr>
          <w:p>
            <w:pPr>
              <w:jc w:val="right"/>
              <w:spacing w:after="0"/>
              <w:rPr>
                <w:sz w:val="20"/>
                <w:szCs w:val="20"/>
                <w:color w:val="auto"/>
              </w:rPr>
            </w:pPr>
            <w:r>
              <w:rPr>
                <w:rFonts w:ascii="Arial" w:cs="Arial" w:eastAsia="Arial" w:hAnsi="Arial"/>
                <w:sz w:val="17"/>
                <w:szCs w:val="17"/>
                <w:color w:val="auto"/>
              </w:rPr>
              <w:t>25.00% Loanable Value:</w:t>
            </w:r>
          </w:p>
        </w:tc>
      </w:tr>
      <w:tr>
        <w:trPr>
          <w:trHeight w:val="210"/>
        </w:trPr>
        <w:tc>
          <w:tcPr>
            <w:tcW w:w="240" w:type="dxa"/>
            <w:vAlign w:val="bottom"/>
          </w:tcPr>
          <w:p>
            <w:pPr>
              <w:jc w:val="right"/>
              <w:spacing w:after="0"/>
              <w:rPr>
                <w:sz w:val="20"/>
                <w:szCs w:val="20"/>
                <w:color w:val="auto"/>
              </w:rPr>
            </w:pPr>
            <w:r>
              <w:rPr>
                <w:rFonts w:ascii="Arial" w:cs="Arial" w:eastAsia="Arial" w:hAnsi="Arial"/>
                <w:sz w:val="17"/>
                <w:szCs w:val="17"/>
                <w:color w:val="auto"/>
                <w:w w:val="73"/>
              </w:rPr>
              <w:t>11</w:t>
            </w:r>
          </w:p>
        </w:tc>
        <w:tc>
          <w:tcPr>
            <w:tcW w:w="3140" w:type="dxa"/>
            <w:vAlign w:val="bottom"/>
          </w:tcPr>
          <w:p>
            <w:pPr>
              <w:ind w:left="60"/>
              <w:spacing w:after="0"/>
              <w:rPr>
                <w:sz w:val="20"/>
                <w:szCs w:val="20"/>
                <w:color w:val="auto"/>
              </w:rPr>
            </w:pPr>
            <w:r>
              <w:rPr>
                <w:rFonts w:ascii="Arial" w:cs="Arial" w:eastAsia="Arial" w:hAnsi="Arial"/>
                <w:sz w:val="17"/>
                <w:szCs w:val="17"/>
                <w:color w:val="auto"/>
              </w:rPr>
              <w:t>Eligible A/R (NON-RETAINAGE)</w:t>
            </w:r>
          </w:p>
        </w:tc>
        <w:tc>
          <w:tcPr>
            <w:tcW w:w="1940" w:type="dxa"/>
            <w:vAlign w:val="bottom"/>
          </w:tcPr>
          <w:p>
            <w:pPr>
              <w:jc w:val="right"/>
              <w:ind w:right="1293"/>
              <w:spacing w:after="0"/>
              <w:rPr>
                <w:sz w:val="20"/>
                <w:szCs w:val="20"/>
                <w:color w:val="auto"/>
              </w:rPr>
            </w:pPr>
            <w:r>
              <w:rPr>
                <w:rFonts w:ascii="Arial" w:cs="Arial" w:eastAsia="Arial" w:hAnsi="Arial"/>
                <w:sz w:val="17"/>
                <w:szCs w:val="17"/>
                <w:color w:val="auto"/>
              </w:rPr>
              <w:t>—</w:t>
            </w:r>
          </w:p>
        </w:tc>
      </w:tr>
      <w:tr>
        <w:trPr>
          <w:trHeight w:val="223"/>
        </w:trPr>
        <w:tc>
          <w:tcPr>
            <w:tcW w:w="240" w:type="dxa"/>
            <w:vAlign w:val="bottom"/>
          </w:tcPr>
          <w:p>
            <w:pPr>
              <w:jc w:val="right"/>
              <w:spacing w:after="0"/>
              <w:rPr>
                <w:sz w:val="20"/>
                <w:szCs w:val="20"/>
                <w:color w:val="auto"/>
              </w:rPr>
            </w:pPr>
            <w:r>
              <w:rPr>
                <w:rFonts w:ascii="Arial" w:cs="Arial" w:eastAsia="Arial" w:hAnsi="Arial"/>
                <w:sz w:val="17"/>
                <w:szCs w:val="17"/>
                <w:color w:val="auto"/>
                <w:w w:val="73"/>
              </w:rPr>
              <w:t>12</w:t>
            </w:r>
          </w:p>
        </w:tc>
        <w:tc>
          <w:tcPr>
            <w:tcW w:w="3140" w:type="dxa"/>
            <w:vAlign w:val="bottom"/>
          </w:tcPr>
          <w:p>
            <w:pPr>
              <w:ind w:left="460"/>
              <w:spacing w:after="0"/>
              <w:rPr>
                <w:sz w:val="20"/>
                <w:szCs w:val="20"/>
                <w:color w:val="auto"/>
              </w:rPr>
            </w:pPr>
            <w:r>
              <w:rPr>
                <w:rFonts w:ascii="Arial" w:cs="Arial" w:eastAsia="Arial" w:hAnsi="Arial"/>
                <w:sz w:val="17"/>
                <w:szCs w:val="17"/>
                <w:color w:val="auto"/>
              </w:rPr>
              <w:t>@ Advance Rate</w:t>
            </w:r>
          </w:p>
        </w:tc>
        <w:tc>
          <w:tcPr>
            <w:tcW w:w="1940" w:type="dxa"/>
            <w:vAlign w:val="bottom"/>
          </w:tcPr>
          <w:p>
            <w:pPr>
              <w:jc w:val="right"/>
              <w:spacing w:after="0"/>
              <w:rPr>
                <w:sz w:val="20"/>
                <w:szCs w:val="20"/>
                <w:color w:val="auto"/>
              </w:rPr>
            </w:pPr>
            <w:r>
              <w:rPr>
                <w:rFonts w:ascii="Arial" w:cs="Arial" w:eastAsia="Arial" w:hAnsi="Arial"/>
                <w:sz w:val="17"/>
                <w:szCs w:val="17"/>
                <w:color w:val="auto"/>
              </w:rPr>
              <w:t>90.00% Loanable Value:</w:t>
            </w:r>
          </w:p>
        </w:tc>
      </w:tr>
      <w:tr>
        <w:trPr>
          <w:trHeight w:val="210"/>
        </w:trPr>
        <w:tc>
          <w:tcPr>
            <w:tcW w:w="240" w:type="dxa"/>
            <w:vAlign w:val="bottom"/>
          </w:tcPr>
          <w:p>
            <w:pPr>
              <w:jc w:val="right"/>
              <w:spacing w:after="0"/>
              <w:rPr>
                <w:sz w:val="20"/>
                <w:szCs w:val="20"/>
                <w:color w:val="auto"/>
              </w:rPr>
            </w:pPr>
            <w:r>
              <w:rPr>
                <w:rFonts w:ascii="Arial" w:cs="Arial" w:eastAsia="Arial" w:hAnsi="Arial"/>
                <w:sz w:val="17"/>
                <w:szCs w:val="17"/>
                <w:color w:val="auto"/>
                <w:w w:val="73"/>
              </w:rPr>
              <w:t>13</w:t>
            </w:r>
          </w:p>
        </w:tc>
        <w:tc>
          <w:tcPr>
            <w:tcW w:w="3140" w:type="dxa"/>
            <w:vAlign w:val="bottom"/>
          </w:tcPr>
          <w:p>
            <w:pPr>
              <w:ind w:left="60"/>
              <w:spacing w:after="0"/>
              <w:rPr>
                <w:sz w:val="20"/>
                <w:szCs w:val="20"/>
                <w:color w:val="auto"/>
              </w:rPr>
            </w:pPr>
            <w:r>
              <w:rPr>
                <w:rFonts w:ascii="Arial" w:cs="Arial" w:eastAsia="Arial" w:hAnsi="Arial"/>
                <w:sz w:val="17"/>
                <w:szCs w:val="17"/>
                <w:color w:val="auto"/>
              </w:rPr>
              <w:t>Eligible Export-Related Overseas A/R —</w:t>
            </w:r>
          </w:p>
        </w:tc>
        <w:tc>
          <w:tcPr>
            <w:tcW w:w="1940" w:type="dxa"/>
            <w:vAlign w:val="bottom"/>
          </w:tcPr>
          <w:p>
            <w:pPr>
              <w:spacing w:after="0"/>
              <w:rPr>
                <w:sz w:val="18"/>
                <w:szCs w:val="18"/>
                <w:color w:val="auto"/>
              </w:rPr>
            </w:pPr>
          </w:p>
        </w:tc>
      </w:tr>
      <w:tr>
        <w:trPr>
          <w:trHeight w:val="210"/>
        </w:trPr>
        <w:tc>
          <w:tcPr>
            <w:tcW w:w="240" w:type="dxa"/>
            <w:vAlign w:val="bottom"/>
          </w:tcPr>
          <w:p>
            <w:pPr>
              <w:spacing w:after="0"/>
              <w:rPr>
                <w:sz w:val="18"/>
                <w:szCs w:val="18"/>
                <w:color w:val="auto"/>
              </w:rPr>
            </w:pPr>
          </w:p>
        </w:tc>
        <w:tc>
          <w:tcPr>
            <w:tcW w:w="3140" w:type="dxa"/>
            <w:vAlign w:val="bottom"/>
          </w:tcPr>
          <w:p>
            <w:pPr>
              <w:ind w:left="60"/>
              <w:spacing w:after="0"/>
              <w:rPr>
                <w:sz w:val="20"/>
                <w:szCs w:val="20"/>
                <w:color w:val="auto"/>
              </w:rPr>
            </w:pPr>
            <w:r>
              <w:rPr>
                <w:rFonts w:ascii="Arial" w:cs="Arial" w:eastAsia="Arial" w:hAnsi="Arial"/>
                <w:sz w:val="17"/>
                <w:szCs w:val="17"/>
                <w:color w:val="auto"/>
              </w:rPr>
              <w:t>&gt;</w:t>
            </w:r>
          </w:p>
        </w:tc>
        <w:tc>
          <w:tcPr>
            <w:tcW w:w="1940" w:type="dxa"/>
            <w:vAlign w:val="bottom"/>
          </w:tcPr>
          <w:p>
            <w:pPr>
              <w:jc w:val="right"/>
              <w:ind w:right="1293"/>
              <w:spacing w:after="0"/>
              <w:rPr>
                <w:sz w:val="20"/>
                <w:szCs w:val="20"/>
                <w:color w:val="auto"/>
              </w:rPr>
            </w:pPr>
            <w:r>
              <w:rPr>
                <w:rFonts w:ascii="Arial" w:cs="Arial" w:eastAsia="Arial" w:hAnsi="Arial"/>
                <w:sz w:val="17"/>
                <w:szCs w:val="17"/>
                <w:color w:val="auto"/>
              </w:rPr>
              <w:t>0.00</w:t>
            </w:r>
          </w:p>
        </w:tc>
      </w:tr>
      <w:tr>
        <w:trPr>
          <w:trHeight w:val="455"/>
        </w:trPr>
        <w:tc>
          <w:tcPr>
            <w:tcW w:w="240" w:type="dxa"/>
            <w:vAlign w:val="bottom"/>
          </w:tcPr>
          <w:p>
            <w:pPr>
              <w:jc w:val="right"/>
              <w:spacing w:after="0"/>
              <w:rPr>
                <w:sz w:val="20"/>
                <w:szCs w:val="20"/>
                <w:color w:val="auto"/>
              </w:rPr>
            </w:pPr>
            <w:r>
              <w:rPr>
                <w:rFonts w:ascii="Arial" w:cs="Arial" w:eastAsia="Arial" w:hAnsi="Arial"/>
                <w:sz w:val="17"/>
                <w:szCs w:val="17"/>
                <w:color w:val="auto"/>
                <w:w w:val="73"/>
              </w:rPr>
              <w:t>14</w:t>
            </w:r>
          </w:p>
        </w:tc>
        <w:tc>
          <w:tcPr>
            <w:tcW w:w="3140" w:type="dxa"/>
            <w:vAlign w:val="bottom"/>
          </w:tcPr>
          <w:p>
            <w:pPr>
              <w:ind w:left="460"/>
              <w:spacing w:after="0"/>
              <w:rPr>
                <w:sz w:val="20"/>
                <w:szCs w:val="20"/>
                <w:color w:val="auto"/>
              </w:rPr>
            </w:pPr>
            <w:r>
              <w:rPr>
                <w:rFonts w:ascii="Arial" w:cs="Arial" w:eastAsia="Arial" w:hAnsi="Arial"/>
                <w:sz w:val="17"/>
                <w:szCs w:val="17"/>
                <w:color w:val="auto"/>
              </w:rPr>
              <w:t>@ Advance Rate</w:t>
            </w:r>
          </w:p>
        </w:tc>
        <w:tc>
          <w:tcPr>
            <w:tcW w:w="1940" w:type="dxa"/>
            <w:vAlign w:val="bottom"/>
          </w:tcPr>
          <w:p>
            <w:pPr>
              <w:jc w:val="right"/>
              <w:spacing w:after="0"/>
              <w:rPr>
                <w:sz w:val="20"/>
                <w:szCs w:val="20"/>
                <w:color w:val="auto"/>
              </w:rPr>
            </w:pPr>
            <w:r>
              <w:rPr>
                <w:rFonts w:ascii="Arial" w:cs="Arial" w:eastAsia="Arial" w:hAnsi="Arial"/>
                <w:sz w:val="34"/>
                <w:szCs w:val="34"/>
                <w:color w:val="auto"/>
                <w:w w:val="96"/>
                <w:vertAlign w:val="superscript"/>
              </w:rPr>
              <w:t>70.00</w:t>
            </w:r>
            <w:r>
              <w:rPr>
                <w:rFonts w:ascii="Arial" w:cs="Arial" w:eastAsia="Arial" w:hAnsi="Arial"/>
                <w:sz w:val="17"/>
                <w:szCs w:val="17"/>
                <w:color w:val="auto"/>
                <w:w w:val="96"/>
              </w:rPr>
              <w:t>% Loanable Value:</w:t>
            </w:r>
          </w:p>
        </w:tc>
      </w:tr>
    </w:tbl>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800" w:type="dxa"/>
            <w:vAlign w:val="bottom"/>
          </w:tcPr>
          <w:p>
            <w:pPr>
              <w:spacing w:after="0"/>
              <w:rPr>
                <w:sz w:val="20"/>
                <w:szCs w:val="20"/>
                <w:color w:val="auto"/>
              </w:rPr>
            </w:pPr>
            <w:r>
              <w:rPr>
                <w:rFonts w:ascii="Arial" w:cs="Arial" w:eastAsia="Arial" w:hAnsi="Arial"/>
                <w:sz w:val="17"/>
                <w:szCs w:val="17"/>
                <w:color w:val="auto"/>
              </w:rPr>
              <w:t>Ex-Im Bank Guarantee No.:</w:t>
            </w:r>
          </w:p>
        </w:tc>
        <w:tc>
          <w:tcPr>
            <w:tcW w:w="620" w:type="dxa"/>
            <w:vAlign w:val="bottom"/>
          </w:tcPr>
          <w:p>
            <w:pPr>
              <w:spacing w:after="0"/>
              <w:rPr>
                <w:sz w:val="19"/>
                <w:szCs w:val="19"/>
                <w:color w:val="auto"/>
              </w:rPr>
            </w:pPr>
          </w:p>
        </w:tc>
      </w:tr>
      <w:tr>
        <w:trPr>
          <w:trHeight w:val="419"/>
        </w:trPr>
        <w:tc>
          <w:tcPr>
            <w:tcW w:w="4800" w:type="dxa"/>
            <w:vAlign w:val="bottom"/>
          </w:tcPr>
          <w:p>
            <w:pPr>
              <w:spacing w:after="0"/>
              <w:rPr>
                <w:sz w:val="20"/>
                <w:szCs w:val="20"/>
                <w:color w:val="auto"/>
              </w:rPr>
            </w:pPr>
            <w:r>
              <w:rPr>
                <w:rFonts w:ascii="Arial" w:cs="Arial" w:eastAsia="Arial" w:hAnsi="Arial"/>
                <w:sz w:val="17"/>
                <w:szCs w:val="17"/>
                <w:color w:val="auto"/>
              </w:rPr>
              <w:t>To:</w:t>
            </w:r>
          </w:p>
        </w:tc>
        <w:tc>
          <w:tcPr>
            <w:tcW w:w="620" w:type="dxa"/>
            <w:vAlign w:val="bottom"/>
          </w:tcPr>
          <w:p>
            <w:pPr>
              <w:spacing w:after="0"/>
              <w:rPr>
                <w:sz w:val="24"/>
                <w:szCs w:val="24"/>
                <w:color w:val="auto"/>
              </w:rPr>
            </w:pPr>
          </w:p>
        </w:tc>
      </w:tr>
      <w:tr>
        <w:trPr>
          <w:trHeight w:val="420"/>
        </w:trPr>
        <w:tc>
          <w:tcPr>
            <w:tcW w:w="4800" w:type="dxa"/>
            <w:vAlign w:val="bottom"/>
          </w:tcPr>
          <w:p>
            <w:pPr>
              <w:ind w:left="580"/>
              <w:spacing w:after="0"/>
              <w:rPr>
                <w:sz w:val="20"/>
                <w:szCs w:val="20"/>
                <w:color w:val="auto"/>
              </w:rPr>
            </w:pPr>
            <w:r>
              <w:rPr>
                <w:rFonts w:ascii="Arial" w:cs="Arial" w:eastAsia="Arial" w:hAnsi="Arial"/>
                <w:sz w:val="17"/>
                <w:szCs w:val="17"/>
                <w:u w:val="single" w:color="auto"/>
                <w:color w:val="auto"/>
              </w:rPr>
              <w:t>For Borrowing Base Certificates “as of” month-end:</w:t>
            </w:r>
          </w:p>
        </w:tc>
        <w:tc>
          <w:tcPr>
            <w:tcW w:w="620" w:type="dxa"/>
            <w:vAlign w:val="bottom"/>
          </w:tcPr>
          <w:p>
            <w:pPr>
              <w:spacing w:after="0"/>
              <w:rPr>
                <w:sz w:val="24"/>
                <w:szCs w:val="24"/>
                <w:color w:val="auto"/>
              </w:rPr>
            </w:pPr>
          </w:p>
        </w:tc>
      </w:tr>
      <w:tr>
        <w:trPr>
          <w:trHeight w:val="408"/>
        </w:trPr>
        <w:tc>
          <w:tcPr>
            <w:tcW w:w="4800" w:type="dxa"/>
            <w:vAlign w:val="bottom"/>
          </w:tcPr>
          <w:p>
            <w:pPr>
              <w:ind w:left="580"/>
              <w:spacing w:after="0"/>
              <w:rPr>
                <w:sz w:val="20"/>
                <w:szCs w:val="20"/>
                <w:color w:val="auto"/>
              </w:rPr>
            </w:pPr>
            <w:r>
              <w:rPr>
                <w:rFonts w:ascii="Arial" w:cs="Arial" w:eastAsia="Arial" w:hAnsi="Arial"/>
                <w:sz w:val="17"/>
                <w:szCs w:val="17"/>
                <w:color w:val="auto"/>
              </w:rPr>
              <w:t>5(a) Total Ending A/R this Borrowing Base, Line 5:</w:t>
            </w:r>
          </w:p>
        </w:tc>
        <w:tc>
          <w:tcPr>
            <w:tcW w:w="620" w:type="dxa"/>
            <w:vAlign w:val="bottom"/>
          </w:tcPr>
          <w:p>
            <w:pPr>
              <w:spacing w:after="0"/>
              <w:rPr>
                <w:sz w:val="24"/>
                <w:szCs w:val="24"/>
                <w:color w:val="auto"/>
              </w:rPr>
            </w:pPr>
          </w:p>
        </w:tc>
      </w:tr>
      <w:tr>
        <w:trPr>
          <w:trHeight w:val="222"/>
        </w:trPr>
        <w:tc>
          <w:tcPr>
            <w:tcW w:w="4800" w:type="dxa"/>
            <w:vAlign w:val="bottom"/>
          </w:tcPr>
          <w:p>
            <w:pPr>
              <w:ind w:left="580"/>
              <w:spacing w:after="0"/>
              <w:rPr>
                <w:sz w:val="20"/>
                <w:szCs w:val="20"/>
                <w:color w:val="auto"/>
              </w:rPr>
            </w:pPr>
            <w:r>
              <w:rPr>
                <w:rFonts w:ascii="Arial" w:cs="Arial" w:eastAsia="Arial" w:hAnsi="Arial"/>
                <w:sz w:val="17"/>
                <w:szCs w:val="17"/>
                <w:color w:val="auto"/>
              </w:rPr>
              <w:t>5(b) Total A/R per General Ledger:</w:t>
            </w:r>
          </w:p>
        </w:tc>
        <w:tc>
          <w:tcPr>
            <w:tcW w:w="620" w:type="dxa"/>
            <w:vAlign w:val="bottom"/>
          </w:tcPr>
          <w:p>
            <w:pPr>
              <w:jc w:val="right"/>
              <w:spacing w:after="0"/>
              <w:rPr>
                <w:sz w:val="20"/>
                <w:szCs w:val="20"/>
                <w:color w:val="auto"/>
              </w:rPr>
            </w:pPr>
            <w:r>
              <w:rPr>
                <w:rFonts w:ascii="Arial" w:cs="Arial" w:eastAsia="Arial" w:hAnsi="Arial"/>
                <w:sz w:val="17"/>
                <w:szCs w:val="17"/>
                <w:color w:val="auto"/>
              </w:rPr>
              <w:t>0</w:t>
            </w:r>
          </w:p>
        </w:tc>
      </w:tr>
    </w:tbl>
    <w:p>
      <w:pPr>
        <w:ind w:left="760"/>
        <w:spacing w:after="0"/>
        <w:rPr>
          <w:sz w:val="20"/>
          <w:szCs w:val="20"/>
          <w:color w:val="auto"/>
        </w:rPr>
      </w:pPr>
      <w:r>
        <w:rPr>
          <w:rFonts w:ascii="Arial" w:cs="Arial" w:eastAsia="Arial" w:hAnsi="Arial"/>
          <w:sz w:val="17"/>
          <w:szCs w:val="17"/>
          <w:color w:val="auto"/>
        </w:rPr>
        <w:t>Gen. Ledger Date:</w:t>
      </w:r>
    </w:p>
    <w:p>
      <w:pPr>
        <w:spacing w:after="0" w:line="2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5(c) Total A/R per Accounts Receivable Aging:</w:t>
      </w:r>
    </w:p>
    <w:p>
      <w:pPr>
        <w:spacing w:after="0" w:line="22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A/R Aging Date:</w:t>
      </w:r>
    </w:p>
    <w:p>
      <w:pPr>
        <w:spacing w:after="0" w:line="26" w:lineRule="exact"/>
        <w:rPr>
          <w:sz w:val="20"/>
          <w:szCs w:val="20"/>
          <w:color w:val="auto"/>
        </w:rPr>
      </w:pPr>
    </w:p>
    <w:p>
      <w:pPr>
        <w:ind w:left="580" w:right="940"/>
        <w:spacing w:after="0" w:line="275" w:lineRule="auto"/>
        <w:rPr>
          <w:sz w:val="20"/>
          <w:szCs w:val="20"/>
          <w:color w:val="auto"/>
        </w:rPr>
      </w:pPr>
      <w:r>
        <w:rPr>
          <w:rFonts w:ascii="Arial" w:cs="Arial" w:eastAsia="Arial" w:hAnsi="Arial"/>
          <w:sz w:val="17"/>
          <w:szCs w:val="17"/>
          <w:color w:val="auto"/>
        </w:rPr>
        <w:t>Attach reconciliation of differences between Lines 5(a), 5(b), and 5(c).</w:t>
      </w:r>
    </w:p>
    <w:p>
      <w:pPr>
        <w:spacing w:after="0" w:line="169" w:lineRule="exact"/>
        <w:rPr>
          <w:sz w:val="20"/>
          <w:szCs w:val="20"/>
          <w:color w:val="auto"/>
        </w:rPr>
      </w:pPr>
    </w:p>
    <w:p>
      <w:pPr>
        <w:ind w:left="580" w:right="920"/>
        <w:spacing w:after="0" w:line="289" w:lineRule="auto"/>
        <w:rPr>
          <w:sz w:val="20"/>
          <w:szCs w:val="20"/>
          <w:color w:val="auto"/>
        </w:rPr>
      </w:pPr>
      <w:r>
        <w:rPr>
          <w:rFonts w:ascii="Arial" w:cs="Arial" w:eastAsia="Arial" w:hAnsi="Arial"/>
          <w:sz w:val="17"/>
          <w:szCs w:val="17"/>
          <w:color w:val="auto"/>
        </w:rPr>
        <w:t>—&gt; Over 60 days past due, OR over 90 days past due if insured.</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—&gt; EX-IM BANK APPROVAL IS REQUIRED!</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0</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33274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3327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33655</wp:posOffset>
            </wp:positionV>
            <wp:extent cx="33274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332740" cy="8255"/>
                    </a:xfrm>
                    <a:prstGeom prst="rect">
                      <a:avLst/>
                    </a:prstGeom>
                    <a:noFill/>
                  </pic:spPr>
                </pic:pic>
              </a:graphicData>
            </a:graphic>
          </wp:anchor>
        </w:drawing>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—&gt; EX-IM BANK APPROVAL IS REQUIRED!</w:t>
      </w:r>
    </w:p>
    <w:p>
      <w:pPr>
        <w:spacing w:after="0" w:line="26" w:lineRule="exact"/>
        <w:rPr>
          <w:sz w:val="20"/>
          <w:szCs w:val="20"/>
          <w:color w:val="auto"/>
        </w:rPr>
      </w:pPr>
    </w:p>
    <w:p>
      <w:pPr>
        <w:ind w:left="1840" w:right="200" w:hanging="1536"/>
        <w:spacing w:after="0" w:line="257" w:lineRule="auto"/>
        <w:tabs>
          <w:tab w:leader="none" w:pos="1820" w:val="left"/>
        </w:tabs>
        <w:rPr>
          <w:sz w:val="20"/>
          <w:szCs w:val="20"/>
          <w:color w:val="auto"/>
        </w:rPr>
      </w:pPr>
      <w:r>
        <w:rPr>
          <w:rFonts w:ascii="Arial" w:cs="Arial" w:eastAsia="Arial" w:hAnsi="Arial"/>
          <w:sz w:val="34"/>
          <w:szCs w:val="34"/>
          <w:color w:val="auto"/>
          <w:vertAlign w:val="subscript"/>
        </w:rPr>
        <w:t>0</w:t>
      </w:r>
      <w:r>
        <w:rPr>
          <w:sz w:val="20"/>
          <w:szCs w:val="20"/>
          <w:color w:val="auto"/>
        </w:rPr>
        <w:tab/>
      </w:r>
      <w:r>
        <w:rPr>
          <w:rFonts w:ascii="Arial" w:cs="Arial" w:eastAsia="Arial" w:hAnsi="Arial"/>
          <w:sz w:val="17"/>
          <w:szCs w:val="17"/>
          <w:color w:val="auto"/>
        </w:rPr>
        <w:t>* OPTIONAL - OR use month-end figures throughout the month (without reporting intra-month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-214630</wp:posOffset>
            </wp:positionV>
            <wp:extent cx="33274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3327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-198120</wp:posOffset>
            </wp:positionV>
            <wp:extent cx="33274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33274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880" w:space="80"/>
            <w:col w:w="5420"/>
          </w:cols>
          <w:pgMar w:left="240" w:top="337" w:right="279" w:bottom="0" w:gutter="0" w:footer="0" w:header="0"/>
          <w:type w:val="continuous"/>
        </w:sectPr>
      </w:pPr>
    </w:p>
    <w:p>
      <w:pPr>
        <w:ind w:left="860" w:right="2100" w:hanging="309"/>
        <w:spacing w:after="0" w:line="257" w:lineRule="auto"/>
        <w:tabs>
          <w:tab w:leader="none" w:pos="860" w:val="left"/>
        </w:tabs>
        <w:numPr>
          <w:ilvl w:val="0"/>
          <w:numId w:val="654"/>
        </w:numPr>
        <w:rPr>
          <w:rFonts w:ascii="Arial" w:cs="Arial" w:eastAsia="Arial" w:hAnsi="Arial"/>
          <w:sz w:val="17"/>
          <w:szCs w:val="17"/>
          <w:color w:val="auto"/>
        </w:rPr>
      </w:pPr>
      <w:r>
        <w:rPr>
          <w:rFonts w:ascii="Arial" w:cs="Arial" w:eastAsia="Arial" w:hAnsi="Arial"/>
          <w:sz w:val="17"/>
          <w:szCs w:val="17"/>
          <w:color w:val="auto"/>
        </w:rPr>
        <w:t>Beginning Inventory (Line 18 of previous Certificate)</w:t>
      </w:r>
    </w:p>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560" w:type="dxa"/>
            <w:vAlign w:val="bottom"/>
          </w:tcPr>
          <w:p>
            <w:pPr>
              <w:jc w:val="right"/>
              <w:spacing w:after="0"/>
              <w:rPr>
                <w:sz w:val="20"/>
                <w:szCs w:val="20"/>
                <w:color w:val="auto"/>
              </w:rPr>
            </w:pPr>
            <w:r>
              <w:rPr>
                <w:rFonts w:ascii="Arial" w:cs="Arial" w:eastAsia="Arial" w:hAnsi="Arial"/>
                <w:sz w:val="17"/>
                <w:szCs w:val="17"/>
                <w:color w:val="auto"/>
              </w:rPr>
              <w:t>* 16</w:t>
            </w:r>
          </w:p>
        </w:tc>
        <w:tc>
          <w:tcPr>
            <w:tcW w:w="3160" w:type="dxa"/>
            <w:vAlign w:val="bottom"/>
          </w:tcPr>
          <w:p>
            <w:pPr>
              <w:ind w:left="60"/>
              <w:spacing w:after="0"/>
              <w:rPr>
                <w:sz w:val="20"/>
                <w:szCs w:val="20"/>
                <w:color w:val="auto"/>
              </w:rPr>
            </w:pPr>
            <w:r>
              <w:rPr>
                <w:rFonts w:ascii="Arial" w:cs="Arial" w:eastAsia="Arial" w:hAnsi="Arial"/>
                <w:sz w:val="17"/>
                <w:szCs w:val="17"/>
                <w:color w:val="auto"/>
              </w:rPr>
              <w:t>Add: “Ins” since last Certificate</w:t>
            </w:r>
          </w:p>
        </w:tc>
        <w:tc>
          <w:tcPr>
            <w:tcW w:w="560" w:type="dxa"/>
            <w:vAlign w:val="bottom"/>
            <w:tcBorders>
              <w:bottom w:val="single" w:sz="8" w:color="auto"/>
            </w:tcBorders>
            <w:gridSpan w:val="2"/>
          </w:tcPr>
          <w:p>
            <w:pPr>
              <w:ind w:left="240"/>
              <w:spacing w:after="0"/>
              <w:rPr>
                <w:sz w:val="20"/>
                <w:szCs w:val="20"/>
                <w:color w:val="auto"/>
              </w:rPr>
            </w:pPr>
            <w:r>
              <w:rPr>
                <w:rFonts w:ascii="Arial" w:cs="Arial" w:eastAsia="Arial" w:hAnsi="Arial"/>
                <w:sz w:val="17"/>
                <w:szCs w:val="17"/>
                <w:color w:val="auto"/>
                <w:w w:val="90"/>
              </w:rPr>
              <w:t>0.00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 w:type="dxa"/>
            <w:vAlign w:val="bottom"/>
          </w:tcPr>
          <w:p>
            <w:pPr>
              <w:jc w:val="right"/>
              <w:spacing w:after="0"/>
              <w:rPr>
                <w:sz w:val="20"/>
                <w:szCs w:val="20"/>
                <w:color w:val="auto"/>
              </w:rPr>
            </w:pPr>
            <w:r>
              <w:rPr>
                <w:rFonts w:ascii="Arial" w:cs="Arial" w:eastAsia="Arial" w:hAnsi="Arial"/>
                <w:sz w:val="17"/>
                <w:szCs w:val="17"/>
                <w:color w:val="auto"/>
              </w:rPr>
              <w:t>* 17</w:t>
            </w:r>
          </w:p>
        </w:tc>
        <w:tc>
          <w:tcPr>
            <w:tcW w:w="3160" w:type="dxa"/>
            <w:vAlign w:val="bottom"/>
          </w:tcPr>
          <w:p>
            <w:pPr>
              <w:ind w:left="60"/>
              <w:spacing w:after="0"/>
              <w:rPr>
                <w:sz w:val="20"/>
                <w:szCs w:val="20"/>
                <w:color w:val="auto"/>
              </w:rPr>
            </w:pPr>
            <w:r>
              <w:rPr>
                <w:rFonts w:ascii="Arial" w:cs="Arial" w:eastAsia="Arial" w:hAnsi="Arial"/>
                <w:sz w:val="17"/>
                <w:szCs w:val="17"/>
                <w:color w:val="auto"/>
              </w:rPr>
              <w:t>Less: “Outs” since last Certificate</w:t>
            </w:r>
          </w:p>
        </w:tc>
        <w:tc>
          <w:tcPr>
            <w:tcW w:w="560" w:type="dxa"/>
            <w:vAlign w:val="bottom"/>
            <w:gridSpan w:val="2"/>
          </w:tcPr>
          <w:p>
            <w:pPr>
              <w:ind w:left="240"/>
              <w:spacing w:after="0"/>
              <w:rPr>
                <w:sz w:val="20"/>
                <w:szCs w:val="20"/>
                <w:color w:val="auto"/>
              </w:rPr>
            </w:pPr>
            <w:r>
              <w:rPr>
                <w:rFonts w:ascii="Arial" w:cs="Arial" w:eastAsia="Arial" w:hAnsi="Arial"/>
                <w:sz w:val="17"/>
                <w:szCs w:val="17"/>
                <w:color w:val="auto"/>
                <w:w w:val="90"/>
              </w:rPr>
              <w:t>0.00</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jc w:val="right"/>
              <w:spacing w:after="0" w:line="190" w:lineRule="exact"/>
              <w:rPr>
                <w:sz w:val="20"/>
                <w:szCs w:val="20"/>
                <w:color w:val="auto"/>
              </w:rPr>
            </w:pPr>
            <w:r>
              <w:rPr>
                <w:rFonts w:ascii="Arial" w:cs="Arial" w:eastAsia="Arial" w:hAnsi="Arial"/>
                <w:sz w:val="17"/>
                <w:szCs w:val="17"/>
                <w:color w:val="auto"/>
              </w:rPr>
              <w:t>** 18</w:t>
            </w:r>
          </w:p>
        </w:tc>
        <w:tc>
          <w:tcPr>
            <w:tcW w:w="3160" w:type="dxa"/>
            <w:vAlign w:val="bottom"/>
            <w:vMerge w:val="restart"/>
          </w:tcPr>
          <w:p>
            <w:pPr>
              <w:ind w:left="60"/>
              <w:spacing w:after="0" w:line="190" w:lineRule="exact"/>
              <w:rPr>
                <w:sz w:val="20"/>
                <w:szCs w:val="20"/>
                <w:color w:val="auto"/>
              </w:rPr>
            </w:pPr>
            <w:r>
              <w:rPr>
                <w:rFonts w:ascii="Arial" w:cs="Arial" w:eastAsia="Arial" w:hAnsi="Arial"/>
                <w:sz w:val="17"/>
                <w:szCs w:val="17"/>
                <w:color w:val="auto"/>
              </w:rPr>
              <w:t>Ending Inventory (carry to Line 15 of</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60" w:type="dxa"/>
            <w:vAlign w:val="bottom"/>
            <w:vMerge w:val="continue"/>
          </w:tcPr>
          <w:p>
            <w:pPr>
              <w:spacing w:after="0"/>
              <w:rPr>
                <w:sz w:val="13"/>
                <w:szCs w:val="13"/>
                <w:color w:val="auto"/>
              </w:rPr>
            </w:pPr>
          </w:p>
        </w:tc>
        <w:tc>
          <w:tcPr>
            <w:tcW w:w="31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3160" w:type="dxa"/>
            <w:vAlign w:val="bottom"/>
          </w:tcPr>
          <w:p>
            <w:pPr>
              <w:ind w:left="60"/>
              <w:spacing w:after="0"/>
              <w:rPr>
                <w:sz w:val="20"/>
                <w:szCs w:val="20"/>
                <w:color w:val="auto"/>
              </w:rPr>
            </w:pPr>
            <w:r>
              <w:rPr>
                <w:rFonts w:ascii="Arial" w:cs="Arial" w:eastAsia="Arial" w:hAnsi="Arial"/>
                <w:sz w:val="17"/>
                <w:szCs w:val="17"/>
                <w:color w:val="auto"/>
              </w:rPr>
              <w:t>next Certificate)</w:t>
            </w:r>
          </w:p>
        </w:tc>
        <w:tc>
          <w:tcPr>
            <w:tcW w:w="5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w w:val="84"/>
              </w:rPr>
              <w:t>0.00</w:t>
            </w: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60" w:type="dxa"/>
            <w:vAlign w:val="bottom"/>
          </w:tcPr>
          <w:p>
            <w:pPr>
              <w:jc w:val="right"/>
              <w:spacing w:after="0" w:line="178" w:lineRule="exact"/>
              <w:rPr>
                <w:sz w:val="20"/>
                <w:szCs w:val="20"/>
                <w:color w:val="auto"/>
              </w:rPr>
            </w:pPr>
            <w:r>
              <w:rPr>
                <w:rFonts w:ascii="Arial" w:cs="Arial" w:eastAsia="Arial" w:hAnsi="Arial"/>
                <w:sz w:val="17"/>
                <w:szCs w:val="17"/>
                <w:color w:val="auto"/>
              </w:rPr>
              <w:t>19</w:t>
            </w:r>
          </w:p>
        </w:tc>
        <w:tc>
          <w:tcPr>
            <w:tcW w:w="3160" w:type="dxa"/>
            <w:vAlign w:val="bottom"/>
          </w:tcPr>
          <w:p>
            <w:pPr>
              <w:ind w:left="60"/>
              <w:spacing w:after="0" w:line="178" w:lineRule="exact"/>
              <w:rPr>
                <w:sz w:val="20"/>
                <w:szCs w:val="20"/>
                <w:color w:val="auto"/>
              </w:rPr>
            </w:pPr>
            <w:r>
              <w:rPr>
                <w:rFonts w:ascii="Arial" w:cs="Arial" w:eastAsia="Arial" w:hAnsi="Arial"/>
                <w:sz w:val="17"/>
                <w:szCs w:val="17"/>
                <w:color w:val="auto"/>
              </w:rPr>
              <w:t>Less Inventory Exclusions from</w:t>
            </w:r>
          </w:p>
        </w:tc>
        <w:tc>
          <w:tcPr>
            <w:tcW w:w="560" w:type="dxa"/>
            <w:vAlign w:val="bottom"/>
            <w:gridSpan w:val="2"/>
            <w:vMerge w:val="restart"/>
          </w:tcPr>
          <w:p>
            <w:pPr>
              <w:ind w:left="240"/>
              <w:spacing w:after="0"/>
              <w:rPr>
                <w:sz w:val="20"/>
                <w:szCs w:val="20"/>
                <w:color w:val="auto"/>
              </w:rPr>
            </w:pPr>
            <w:r>
              <w:rPr>
                <w:rFonts w:ascii="Arial" w:cs="Arial" w:eastAsia="Arial" w:hAnsi="Arial"/>
                <w:sz w:val="17"/>
                <w:szCs w:val="17"/>
                <w:color w:val="auto"/>
                <w:w w:val="90"/>
              </w:rPr>
              <w:t>0.00</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20</w:t>
            </w:r>
          </w:p>
        </w:tc>
        <w:tc>
          <w:tcPr>
            <w:tcW w:w="3160" w:type="dxa"/>
            <w:vAlign w:val="bottom"/>
          </w:tcPr>
          <w:p>
            <w:pPr>
              <w:ind w:left="60"/>
              <w:spacing w:after="0"/>
              <w:rPr>
                <w:sz w:val="20"/>
                <w:szCs w:val="20"/>
                <w:color w:val="auto"/>
              </w:rPr>
            </w:pPr>
            <w:r>
              <w:rPr>
                <w:rFonts w:ascii="Arial" w:cs="Arial" w:eastAsia="Arial" w:hAnsi="Arial"/>
                <w:sz w:val="17"/>
                <w:szCs w:val="17"/>
                <w:color w:val="auto"/>
              </w:rPr>
              <w:t>Borrowing Base (if any)</w:t>
            </w:r>
          </w:p>
        </w:tc>
        <w:tc>
          <w:tcPr>
            <w:tcW w:w="560" w:type="dxa"/>
            <w:vAlign w:val="bottom"/>
            <w:tcBorders>
              <w:bottom w:val="single" w:sz="8" w:color="auto"/>
            </w:tcBorders>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3160" w:type="dxa"/>
            <w:vAlign w:val="bottom"/>
            <w:vMerge w:val="restart"/>
          </w:tcPr>
          <w:p>
            <w:pPr>
              <w:ind w:left="60"/>
              <w:spacing w:after="0"/>
              <w:rPr>
                <w:sz w:val="20"/>
                <w:szCs w:val="20"/>
                <w:color w:val="auto"/>
              </w:rPr>
            </w:pPr>
            <w:r>
              <w:rPr>
                <w:rFonts w:ascii="Arial" w:cs="Arial" w:eastAsia="Arial" w:hAnsi="Arial"/>
                <w:sz w:val="17"/>
                <w:szCs w:val="17"/>
                <w:color w:val="auto"/>
              </w:rPr>
              <w:t>Eligible Inventory</w:t>
            </w:r>
          </w:p>
        </w:tc>
        <w:tc>
          <w:tcPr>
            <w:tcW w:w="5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0" w:type="dxa"/>
            <w:vAlign w:val="bottom"/>
            <w:vMerge w:val="continue"/>
          </w:tcPr>
          <w:p>
            <w:pPr>
              <w:spacing w:after="0"/>
              <w:rPr>
                <w:sz w:val="16"/>
                <w:szCs w:val="16"/>
                <w:color w:val="auto"/>
              </w:rPr>
            </w:pPr>
          </w:p>
        </w:tc>
        <w:tc>
          <w:tcPr>
            <w:tcW w:w="3160" w:type="dxa"/>
            <w:vAlign w:val="bottom"/>
            <w:vMerge w:val="continue"/>
          </w:tcPr>
          <w:p>
            <w:pPr>
              <w:spacing w:after="0"/>
              <w:rPr>
                <w:sz w:val="16"/>
                <w:szCs w:val="16"/>
                <w:color w:val="auto"/>
              </w:rPr>
            </w:pPr>
          </w:p>
        </w:tc>
        <w:tc>
          <w:tcPr>
            <w:tcW w:w="540" w:type="dxa"/>
            <w:vAlign w:val="bottom"/>
            <w:tcBorders>
              <w:top w:val="single" w:sz="8" w:color="auto"/>
              <w:bottom w:val="single" w:sz="8" w:color="auto"/>
            </w:tcBorders>
          </w:tcPr>
          <w:p>
            <w:pPr>
              <w:ind w:left="240"/>
              <w:spacing w:after="0" w:line="189" w:lineRule="exact"/>
              <w:rPr>
                <w:sz w:val="20"/>
                <w:szCs w:val="20"/>
                <w:color w:val="auto"/>
              </w:rPr>
            </w:pPr>
            <w:r>
              <w:rPr>
                <w:rFonts w:ascii="Arial" w:cs="Arial" w:eastAsia="Arial" w:hAnsi="Arial"/>
                <w:sz w:val="17"/>
                <w:szCs w:val="17"/>
                <w:color w:val="auto"/>
                <w:w w:val="84"/>
              </w:rPr>
              <w:t>0.00</w:t>
            </w:r>
          </w:p>
        </w:tc>
        <w:tc>
          <w:tcPr>
            <w:tcW w:w="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jc w:val="right"/>
              <w:spacing w:after="0"/>
              <w:rPr>
                <w:sz w:val="20"/>
                <w:szCs w:val="20"/>
                <w:color w:val="auto"/>
              </w:rPr>
            </w:pPr>
            <w:r>
              <w:rPr>
                <w:rFonts w:ascii="Arial" w:cs="Arial" w:eastAsia="Arial" w:hAnsi="Arial"/>
                <w:sz w:val="17"/>
                <w:szCs w:val="17"/>
                <w:color w:val="auto"/>
              </w:rPr>
              <w:t>21</w:t>
            </w:r>
          </w:p>
        </w:tc>
        <w:tc>
          <w:tcPr>
            <w:tcW w:w="3160" w:type="dxa"/>
            <w:vAlign w:val="bottom"/>
          </w:tcPr>
          <w:p>
            <w:pPr>
              <w:ind w:left="460"/>
              <w:spacing w:after="0"/>
              <w:rPr>
                <w:sz w:val="20"/>
                <w:szCs w:val="20"/>
                <w:color w:val="auto"/>
              </w:rPr>
            </w:pPr>
            <w:r>
              <w:rPr>
                <w:rFonts w:ascii="Arial" w:cs="Arial" w:eastAsia="Arial" w:hAnsi="Arial"/>
                <w:sz w:val="17"/>
                <w:szCs w:val="17"/>
                <w:color w:val="auto"/>
              </w:rPr>
              <w:t>@ Advance Rate</w:t>
            </w:r>
          </w:p>
        </w:tc>
        <w:tc>
          <w:tcPr>
            <w:tcW w:w="1920" w:type="dxa"/>
            <w:vAlign w:val="bottom"/>
            <w:gridSpan w:val="3"/>
          </w:tcPr>
          <w:p>
            <w:pPr>
              <w:ind w:left="140"/>
              <w:spacing w:after="0"/>
              <w:rPr>
                <w:sz w:val="20"/>
                <w:szCs w:val="20"/>
                <w:color w:val="auto"/>
              </w:rPr>
            </w:pPr>
            <w:r>
              <w:rPr>
                <w:rFonts w:ascii="Arial" w:cs="Arial" w:eastAsia="Arial" w:hAnsi="Arial"/>
                <w:sz w:val="17"/>
                <w:szCs w:val="17"/>
                <w:color w:val="auto"/>
                <w:w w:val="94"/>
              </w:rPr>
              <w:t>75.00% Loanable Value:</w:t>
            </w:r>
          </w:p>
        </w:tc>
        <w:tc>
          <w:tcPr>
            <w:tcW w:w="0" w:type="dxa"/>
            <w:vAlign w:val="bottom"/>
          </w:tcPr>
          <w:p>
            <w:pPr>
              <w:spacing w:after="0"/>
              <w:rPr>
                <w:sz w:val="1"/>
                <w:szCs w:val="1"/>
                <w:color w:val="auto"/>
              </w:rPr>
            </w:pPr>
          </w:p>
        </w:tc>
      </w:tr>
      <w:tr>
        <w:trPr>
          <w:trHeight w:val="178"/>
        </w:trPr>
        <w:tc>
          <w:tcPr>
            <w:tcW w:w="560" w:type="dxa"/>
            <w:vAlign w:val="bottom"/>
          </w:tcPr>
          <w:p>
            <w:pPr>
              <w:jc w:val="right"/>
              <w:spacing w:after="0" w:line="178" w:lineRule="exact"/>
              <w:rPr>
                <w:sz w:val="20"/>
                <w:szCs w:val="20"/>
                <w:color w:val="auto"/>
              </w:rPr>
            </w:pPr>
            <w:r>
              <w:rPr>
                <w:rFonts w:ascii="Arial" w:cs="Arial" w:eastAsia="Arial" w:hAnsi="Arial"/>
                <w:sz w:val="17"/>
                <w:szCs w:val="17"/>
                <w:color w:val="auto"/>
              </w:rPr>
              <w:t>22</w:t>
            </w:r>
          </w:p>
        </w:tc>
        <w:tc>
          <w:tcPr>
            <w:tcW w:w="3160" w:type="dxa"/>
            <w:vAlign w:val="bottom"/>
          </w:tcPr>
          <w:p>
            <w:pPr>
              <w:ind w:left="60"/>
              <w:spacing w:after="0" w:line="178" w:lineRule="exact"/>
              <w:rPr>
                <w:sz w:val="20"/>
                <w:szCs w:val="20"/>
                <w:color w:val="auto"/>
              </w:rPr>
            </w:pPr>
            <w:r>
              <w:rPr>
                <w:rFonts w:ascii="Arial" w:cs="Arial" w:eastAsia="Arial" w:hAnsi="Arial"/>
                <w:sz w:val="17"/>
                <w:szCs w:val="17"/>
                <w:color w:val="auto"/>
              </w:rPr>
              <w:t>Eligible Export-Related Overseas</w:t>
            </w:r>
          </w:p>
        </w:tc>
        <w:tc>
          <w:tcPr>
            <w:tcW w:w="5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3160" w:type="dxa"/>
            <w:vAlign w:val="bottom"/>
          </w:tcPr>
          <w:p>
            <w:pPr>
              <w:ind w:left="60"/>
              <w:spacing w:after="0"/>
              <w:rPr>
                <w:sz w:val="20"/>
                <w:szCs w:val="20"/>
                <w:color w:val="auto"/>
              </w:rPr>
            </w:pPr>
            <w:r>
              <w:rPr>
                <w:rFonts w:ascii="Arial" w:cs="Arial" w:eastAsia="Arial" w:hAnsi="Arial"/>
                <w:sz w:val="17"/>
                <w:szCs w:val="17"/>
                <w:color w:val="auto"/>
              </w:rPr>
              <w:t>Inventory —&gt;</w:t>
            </w:r>
          </w:p>
        </w:tc>
        <w:tc>
          <w:tcPr>
            <w:tcW w:w="560" w:type="dxa"/>
            <w:vAlign w:val="bottom"/>
            <w:tcBorders>
              <w:bottom w:val="single" w:sz="8" w:color="auto"/>
            </w:tcBorders>
            <w:gridSpan w:val="2"/>
          </w:tcPr>
          <w:p>
            <w:pPr>
              <w:ind w:left="240"/>
              <w:spacing w:after="0"/>
              <w:rPr>
                <w:sz w:val="20"/>
                <w:szCs w:val="20"/>
                <w:color w:val="auto"/>
              </w:rPr>
            </w:pPr>
            <w:r>
              <w:rPr>
                <w:rFonts w:ascii="Arial" w:cs="Arial" w:eastAsia="Arial" w:hAnsi="Arial"/>
                <w:sz w:val="17"/>
                <w:szCs w:val="17"/>
                <w:color w:val="auto"/>
                <w:w w:val="90"/>
              </w:rPr>
              <w:t>0.00</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60" w:type="dxa"/>
            <w:vAlign w:val="bottom"/>
          </w:tcPr>
          <w:p>
            <w:pPr>
              <w:jc w:val="right"/>
              <w:spacing w:after="0"/>
              <w:rPr>
                <w:sz w:val="20"/>
                <w:szCs w:val="20"/>
                <w:color w:val="auto"/>
              </w:rPr>
            </w:pPr>
            <w:r>
              <w:rPr>
                <w:rFonts w:ascii="Arial" w:cs="Arial" w:eastAsia="Arial" w:hAnsi="Arial"/>
                <w:sz w:val="17"/>
                <w:szCs w:val="17"/>
                <w:color w:val="auto"/>
              </w:rPr>
              <w:t>23</w:t>
            </w:r>
          </w:p>
        </w:tc>
        <w:tc>
          <w:tcPr>
            <w:tcW w:w="3160" w:type="dxa"/>
            <w:vAlign w:val="bottom"/>
          </w:tcPr>
          <w:p>
            <w:pPr>
              <w:ind w:left="460"/>
              <w:spacing w:after="0"/>
              <w:rPr>
                <w:sz w:val="20"/>
                <w:szCs w:val="20"/>
                <w:color w:val="auto"/>
              </w:rPr>
            </w:pPr>
            <w:r>
              <w:rPr>
                <w:rFonts w:ascii="Arial" w:cs="Arial" w:eastAsia="Arial" w:hAnsi="Arial"/>
                <w:sz w:val="17"/>
                <w:szCs w:val="17"/>
                <w:color w:val="auto"/>
              </w:rPr>
              <w:t>@ Advance Rate</w:t>
            </w:r>
          </w:p>
        </w:tc>
        <w:tc>
          <w:tcPr>
            <w:tcW w:w="1920" w:type="dxa"/>
            <w:vAlign w:val="bottom"/>
            <w:gridSpan w:val="3"/>
          </w:tcPr>
          <w:p>
            <w:pPr>
              <w:ind w:left="140"/>
              <w:spacing w:after="0"/>
              <w:rPr>
                <w:sz w:val="20"/>
                <w:szCs w:val="20"/>
                <w:color w:val="auto"/>
              </w:rPr>
            </w:pPr>
            <w:r>
              <w:rPr>
                <w:rFonts w:ascii="Arial" w:cs="Arial" w:eastAsia="Arial" w:hAnsi="Arial"/>
                <w:sz w:val="17"/>
                <w:szCs w:val="17"/>
                <w:color w:val="auto"/>
                <w:w w:val="94"/>
              </w:rPr>
              <w:t>60.00% Loanable Value:</w:t>
            </w:r>
          </w:p>
        </w:tc>
        <w:tc>
          <w:tcPr>
            <w:tcW w:w="0" w:type="dxa"/>
            <w:vAlign w:val="bottom"/>
          </w:tcPr>
          <w:p>
            <w:pPr>
              <w:spacing w:after="0"/>
              <w:rPr>
                <w:sz w:val="1"/>
                <w:szCs w:val="1"/>
                <w:color w:val="auto"/>
              </w:rPr>
            </w:pPr>
          </w:p>
        </w:tc>
      </w:tr>
      <w:tr>
        <w:trPr>
          <w:trHeight w:val="413"/>
        </w:trPr>
        <w:tc>
          <w:tcPr>
            <w:tcW w:w="560" w:type="dxa"/>
            <w:vAlign w:val="bottom"/>
          </w:tcPr>
          <w:p>
            <w:pPr>
              <w:jc w:val="right"/>
              <w:spacing w:after="0"/>
              <w:rPr>
                <w:sz w:val="20"/>
                <w:szCs w:val="20"/>
                <w:color w:val="auto"/>
              </w:rPr>
            </w:pPr>
            <w:r>
              <w:rPr>
                <w:rFonts w:ascii="Arial" w:cs="Arial" w:eastAsia="Arial" w:hAnsi="Arial"/>
                <w:sz w:val="17"/>
                <w:szCs w:val="17"/>
                <w:color w:val="auto"/>
              </w:rPr>
              <w:t>*** 24</w:t>
            </w:r>
          </w:p>
        </w:tc>
        <w:tc>
          <w:tcPr>
            <w:tcW w:w="3160" w:type="dxa"/>
            <w:vAlign w:val="bottom"/>
          </w:tcPr>
          <w:p>
            <w:pPr>
              <w:ind w:left="60"/>
              <w:spacing w:after="0"/>
              <w:rPr>
                <w:sz w:val="20"/>
                <w:szCs w:val="20"/>
                <w:color w:val="auto"/>
              </w:rPr>
            </w:pPr>
            <w:r>
              <w:rPr>
                <w:rFonts w:ascii="Arial" w:cs="Arial" w:eastAsia="Arial" w:hAnsi="Arial"/>
                <w:sz w:val="17"/>
                <w:szCs w:val="17"/>
                <w:color w:val="auto"/>
              </w:rPr>
              <w:t>Cash or Cash Equivalents (if any) @</w:t>
            </w: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3160" w:type="dxa"/>
            <w:vAlign w:val="bottom"/>
          </w:tcPr>
          <w:p>
            <w:pPr>
              <w:ind w:left="60"/>
              <w:spacing w:after="0"/>
              <w:rPr>
                <w:sz w:val="20"/>
                <w:szCs w:val="20"/>
                <w:color w:val="auto"/>
              </w:rPr>
            </w:pPr>
            <w:r>
              <w:rPr>
                <w:rFonts w:ascii="Arial" w:cs="Arial" w:eastAsia="Arial" w:hAnsi="Arial"/>
                <w:sz w:val="17"/>
                <w:szCs w:val="17"/>
                <w:color w:val="auto"/>
              </w:rPr>
              <w:t>100% =</w:t>
            </w:r>
          </w:p>
        </w:tc>
        <w:tc>
          <w:tcPr>
            <w:tcW w:w="560" w:type="dxa"/>
            <w:vAlign w:val="bottom"/>
            <w:gridSpan w:val="2"/>
          </w:tcPr>
          <w:p>
            <w:pPr>
              <w:ind w:left="240"/>
              <w:spacing w:after="0"/>
              <w:rPr>
                <w:sz w:val="20"/>
                <w:szCs w:val="20"/>
                <w:color w:val="auto"/>
              </w:rPr>
            </w:pPr>
            <w:r>
              <w:rPr>
                <w:rFonts w:ascii="Arial" w:cs="Arial" w:eastAsia="Arial" w:hAnsi="Arial"/>
                <w:sz w:val="17"/>
                <w:szCs w:val="17"/>
                <w:color w:val="auto"/>
                <w:w w:val="90"/>
              </w:rPr>
              <w:t>0.00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jc w:val="right"/>
              <w:spacing w:after="0"/>
              <w:rPr>
                <w:sz w:val="20"/>
                <w:szCs w:val="20"/>
                <w:color w:val="auto"/>
              </w:rPr>
            </w:pPr>
            <w:r>
              <w:rPr>
                <w:rFonts w:ascii="Arial" w:cs="Arial" w:eastAsia="Arial" w:hAnsi="Arial"/>
                <w:sz w:val="17"/>
                <w:szCs w:val="17"/>
                <w:color w:val="auto"/>
              </w:rPr>
              <w:t>25</w:t>
            </w:r>
          </w:p>
        </w:tc>
        <w:tc>
          <w:tcPr>
            <w:tcW w:w="3160" w:type="dxa"/>
            <w:vAlign w:val="bottom"/>
          </w:tcPr>
          <w:p>
            <w:pPr>
              <w:ind w:left="60"/>
              <w:spacing w:after="0"/>
              <w:rPr>
                <w:sz w:val="20"/>
                <w:szCs w:val="20"/>
                <w:color w:val="auto"/>
              </w:rPr>
            </w:pPr>
            <w:r>
              <w:rPr>
                <w:rFonts w:ascii="Arial" w:cs="Arial" w:eastAsia="Arial" w:hAnsi="Arial"/>
                <w:sz w:val="17"/>
                <w:szCs w:val="17"/>
                <w:color w:val="auto"/>
              </w:rPr>
              <w:t>Other Collateral (if any) - Describe: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3160" w:type="dxa"/>
            <w:vAlign w:val="bottom"/>
          </w:tcPr>
          <w:p>
            <w:pPr>
              <w:ind w:left="460"/>
              <w:spacing w:after="0"/>
              <w:rPr>
                <w:sz w:val="20"/>
                <w:szCs w:val="20"/>
                <w:color w:val="auto"/>
              </w:rPr>
            </w:pPr>
            <w:r>
              <w:rPr>
                <w:rFonts w:ascii="Arial" w:cs="Arial" w:eastAsia="Arial" w:hAnsi="Arial"/>
                <w:sz w:val="17"/>
                <w:szCs w:val="17"/>
                <w:color w:val="auto"/>
              </w:rPr>
              <w:t>Amount:</w:t>
            </w:r>
          </w:p>
        </w:tc>
        <w:tc>
          <w:tcPr>
            <w:tcW w:w="560" w:type="dxa"/>
            <w:vAlign w:val="bottom"/>
            <w:gridSpan w:val="2"/>
          </w:tcPr>
          <w:p>
            <w:pPr>
              <w:ind w:left="240"/>
              <w:spacing w:after="0"/>
              <w:rPr>
                <w:sz w:val="20"/>
                <w:szCs w:val="20"/>
                <w:color w:val="auto"/>
              </w:rPr>
            </w:pPr>
            <w:r>
              <w:rPr>
                <w:rFonts w:ascii="Arial" w:cs="Arial" w:eastAsia="Arial" w:hAnsi="Arial"/>
                <w:sz w:val="17"/>
                <w:szCs w:val="17"/>
                <w:color w:val="auto"/>
                <w:w w:val="90"/>
              </w:rPr>
              <w:t>0.00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 w:type="dxa"/>
            <w:vAlign w:val="bottom"/>
          </w:tcPr>
          <w:p>
            <w:pPr>
              <w:jc w:val="right"/>
              <w:spacing w:after="0"/>
              <w:rPr>
                <w:sz w:val="20"/>
                <w:szCs w:val="20"/>
                <w:color w:val="auto"/>
              </w:rPr>
            </w:pPr>
            <w:r>
              <w:rPr>
                <w:rFonts w:ascii="Arial" w:cs="Arial" w:eastAsia="Arial" w:hAnsi="Arial"/>
                <w:sz w:val="17"/>
                <w:szCs w:val="17"/>
                <w:color w:val="auto"/>
              </w:rPr>
              <w:t>26</w:t>
            </w:r>
          </w:p>
        </w:tc>
        <w:tc>
          <w:tcPr>
            <w:tcW w:w="3160" w:type="dxa"/>
            <w:vAlign w:val="bottom"/>
          </w:tcPr>
          <w:p>
            <w:pPr>
              <w:ind w:left="60"/>
              <w:spacing w:after="0"/>
              <w:rPr>
                <w:sz w:val="20"/>
                <w:szCs w:val="20"/>
                <w:color w:val="auto"/>
              </w:rPr>
            </w:pPr>
            <w:r>
              <w:rPr>
                <w:rFonts w:ascii="Arial" w:cs="Arial" w:eastAsia="Arial" w:hAnsi="Arial"/>
                <w:sz w:val="17"/>
                <w:szCs w:val="17"/>
                <w:color w:val="auto"/>
              </w:rPr>
              <w:t>Advance Rate for Collateral on Line 25:</w:t>
            </w:r>
          </w:p>
        </w:tc>
        <w:tc>
          <w:tcPr>
            <w:tcW w:w="1920" w:type="dxa"/>
            <w:vAlign w:val="bottom"/>
            <w:gridSpan w:val="3"/>
          </w:tcPr>
          <w:p>
            <w:pPr>
              <w:ind w:left="240"/>
              <w:spacing w:after="0"/>
              <w:rPr>
                <w:sz w:val="20"/>
                <w:szCs w:val="20"/>
                <w:color w:val="auto"/>
              </w:rPr>
            </w:pPr>
            <w:r>
              <w:rPr>
                <w:rFonts w:ascii="Arial" w:cs="Arial" w:eastAsia="Arial" w:hAnsi="Arial"/>
                <w:sz w:val="17"/>
                <w:szCs w:val="17"/>
                <w:color w:val="auto"/>
                <w:w w:val="94"/>
              </w:rPr>
              <w:t>0.00% Loanable Value:</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TOTAL LOANABLE COLLATERAL</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Reserves for Letters of Credit</w:t>
      </w:r>
    </w:p>
    <w:p>
      <w:pPr>
        <w:spacing w:after="0" w:line="1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Less: (L/Cs)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right"/>
        <w:ind w:left="2480" w:right="60"/>
        <w:spacing w:after="0" w:line="289" w:lineRule="auto"/>
        <w:rPr>
          <w:sz w:val="20"/>
          <w:szCs w:val="20"/>
          <w:color w:val="auto"/>
        </w:rPr>
      </w:pPr>
      <w:r>
        <w:rPr>
          <w:rFonts w:ascii="Arial" w:cs="Arial" w:eastAsia="Arial" w:hAnsi="Arial"/>
          <w:sz w:val="17"/>
          <w:szCs w:val="17"/>
          <w:color w:val="auto"/>
        </w:rPr>
        <w:t>** PROVIDE BREAKDOWN OF LINE 18: (Total should equal Line 18)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60" w:type="dxa"/>
            <w:vAlign w:val="bottom"/>
          </w:tcPr>
          <w:p>
            <w:pPr>
              <w:jc w:val="right"/>
              <w:ind w:right="13"/>
              <w:spacing w:after="0"/>
              <w:rPr>
                <w:sz w:val="20"/>
                <w:szCs w:val="20"/>
                <w:color w:val="auto"/>
              </w:rPr>
            </w:pPr>
            <w:r>
              <w:rPr>
                <w:rFonts w:ascii="Arial" w:cs="Arial" w:eastAsia="Arial" w:hAnsi="Arial"/>
                <w:sz w:val="17"/>
                <w:szCs w:val="17"/>
                <w:color w:val="auto"/>
              </w:rPr>
              <w:t>Raw Materials:</w:t>
            </w: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99"/>
        </w:trPr>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60" w:type="dxa"/>
            <w:vAlign w:val="bottom"/>
          </w:tcPr>
          <w:p>
            <w:pPr>
              <w:jc w:val="right"/>
              <w:ind w:right="13"/>
              <w:spacing w:after="0"/>
              <w:rPr>
                <w:sz w:val="20"/>
                <w:szCs w:val="20"/>
                <w:color w:val="auto"/>
              </w:rPr>
            </w:pPr>
            <w:r>
              <w:rPr>
                <w:rFonts w:ascii="Arial" w:cs="Arial" w:eastAsia="Arial" w:hAnsi="Arial"/>
                <w:sz w:val="17"/>
                <w:szCs w:val="17"/>
                <w:color w:val="auto"/>
              </w:rPr>
              <w:t>Work In Process:</w:t>
            </w: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60" w:type="dxa"/>
            <w:vAlign w:val="bottom"/>
          </w:tcPr>
          <w:p>
            <w:pPr>
              <w:jc w:val="right"/>
              <w:ind w:right="13"/>
              <w:spacing w:after="0"/>
              <w:rPr>
                <w:sz w:val="20"/>
                <w:szCs w:val="20"/>
                <w:color w:val="auto"/>
              </w:rPr>
            </w:pPr>
            <w:r>
              <w:rPr>
                <w:rFonts w:ascii="Arial" w:cs="Arial" w:eastAsia="Arial" w:hAnsi="Arial"/>
                <w:sz w:val="17"/>
                <w:szCs w:val="17"/>
                <w:color w:val="auto"/>
              </w:rPr>
              <w:t>Finished Goods:</w:t>
            </w: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2100" w:type="dxa"/>
            <w:vAlign w:val="bottom"/>
            <w:gridSpan w:val="2"/>
            <w:vMerge w:val="restart"/>
          </w:tcPr>
          <w:p>
            <w:pPr>
              <w:ind w:left="340"/>
              <w:spacing w:after="0"/>
              <w:rPr>
                <w:sz w:val="20"/>
                <w:szCs w:val="20"/>
                <w:color w:val="auto"/>
              </w:rPr>
            </w:pPr>
            <w:r>
              <w:rPr>
                <w:rFonts w:ascii="Arial" w:cs="Arial" w:eastAsia="Arial" w:hAnsi="Arial"/>
                <w:sz w:val="17"/>
                <w:szCs w:val="17"/>
                <w:color w:val="auto"/>
              </w:rPr>
              <w:t>—</w:t>
            </w:r>
          </w:p>
        </w:tc>
        <w:tc>
          <w:tcPr>
            <w:tcW w:w="2860" w:type="dxa"/>
            <w:vAlign w:val="bottom"/>
            <w:vMerge w:val="restart"/>
          </w:tcPr>
          <w:p>
            <w:pPr>
              <w:jc w:val="right"/>
              <w:ind w:right="13"/>
              <w:spacing w:after="0"/>
              <w:rPr>
                <w:sz w:val="20"/>
                <w:szCs w:val="20"/>
                <w:color w:val="auto"/>
              </w:rPr>
            </w:pPr>
            <w:r>
              <w:rPr>
                <w:rFonts w:ascii="Arial" w:cs="Arial" w:eastAsia="Arial" w:hAnsi="Arial"/>
                <w:sz w:val="17"/>
                <w:szCs w:val="17"/>
                <w:color w:val="auto"/>
              </w:rPr>
              <w:t>Total Inventory:</w:t>
            </w: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gridSpan w:val="2"/>
            <w:vMerge w:val="continue"/>
          </w:tcPr>
          <w:p>
            <w:pPr>
              <w:spacing w:after="0"/>
              <w:rPr>
                <w:sz w:val="17"/>
                <w:szCs w:val="17"/>
                <w:color w:val="auto"/>
              </w:rPr>
            </w:pPr>
          </w:p>
        </w:tc>
        <w:tc>
          <w:tcPr>
            <w:tcW w:w="2860" w:type="dxa"/>
            <w:vAlign w:val="bottom"/>
            <w:vMerge w:val="continue"/>
          </w:tcPr>
          <w:p>
            <w:pPr>
              <w:spacing w:after="0"/>
              <w:rPr>
                <w:sz w:val="17"/>
                <w:szCs w:val="17"/>
                <w:color w:val="auto"/>
              </w:rPr>
            </w:pPr>
          </w:p>
        </w:tc>
        <w:tc>
          <w:tcPr>
            <w:tcW w:w="4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—&gt; EX-IM BANK APPROVAL IS REQUIRED!</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33274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3327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26035</wp:posOffset>
            </wp:positionV>
            <wp:extent cx="33274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33274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0</w:t>
      </w: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0</w:t>
      </w:r>
    </w:p>
    <w:p>
      <w:pPr>
        <w:sectPr>
          <w:pgSz w:w="11900" w:h="16838" w:orient="portrait"/>
          <w:cols w:equalWidth="0" w:num="2">
            <w:col w:w="5880" w:space="80"/>
            <w:col w:w="5420"/>
          </w:cols>
          <w:pgMar w:left="240" w:top="337" w:right="279" w:bottom="0" w:gutter="0" w:footer="0" w:header="0"/>
          <w:type w:val="continuous"/>
        </w:sectPr>
      </w:pPr>
    </w:p>
    <w:bookmarkStart w:id="404" w:name="page405"/>
    <w:bookmarkEnd w:id="404"/>
    <w:tbl>
      <w:tblPr>
        <w:tblLayout w:type="fixed"/>
        <w:tblInd w:w="240" w:type="dxa"/>
        <w:tblCellMar>
          <w:top w:w="0" w:type="dxa"/>
          <w:left w:w="0" w:type="dxa"/>
          <w:bottom w:w="0" w:type="dxa"/>
          <w:right w:w="0" w:type="dxa"/>
        </w:tblCellMar>
      </w:tblPr>
      <w:tr>
        <w:trPr>
          <w:trHeight w:val="210"/>
        </w:trPr>
        <w:tc>
          <w:tcPr>
            <w:tcW w:w="760" w:type="dxa"/>
            <w:vAlign w:val="bottom"/>
          </w:tcPr>
          <w:p>
            <w:pPr>
              <w:jc w:val="right"/>
              <w:ind w:right="193"/>
              <w:spacing w:after="0"/>
              <w:rPr>
                <w:sz w:val="20"/>
                <w:szCs w:val="20"/>
                <w:color w:val="auto"/>
              </w:rPr>
            </w:pPr>
            <w:r>
              <w:rPr>
                <w:rFonts w:ascii="Arial" w:cs="Arial" w:eastAsia="Arial" w:hAnsi="Arial"/>
                <w:sz w:val="17"/>
                <w:szCs w:val="17"/>
                <w:color w:val="auto"/>
              </w:rPr>
              <w:t>27</w:t>
            </w:r>
          </w:p>
        </w:tc>
        <w:tc>
          <w:tcPr>
            <w:tcW w:w="2960" w:type="dxa"/>
            <w:vAlign w:val="bottom"/>
          </w:tcPr>
          <w:p>
            <w:pPr>
              <w:ind w:left="260"/>
              <w:spacing w:after="0"/>
              <w:rPr>
                <w:sz w:val="20"/>
                <w:szCs w:val="20"/>
                <w:color w:val="auto"/>
              </w:rPr>
            </w:pPr>
            <w:r>
              <w:rPr>
                <w:rFonts w:ascii="Arial" w:cs="Arial" w:eastAsia="Arial" w:hAnsi="Arial"/>
                <w:sz w:val="17"/>
                <w:szCs w:val="17"/>
                <w:color w:val="auto"/>
              </w:rPr>
              <w:t>- Non-Warranty L/Cs (from Line D</w:t>
            </w:r>
          </w:p>
        </w:tc>
        <w:tc>
          <w:tcPr>
            <w:tcW w:w="660" w:type="dxa"/>
            <w:vAlign w:val="bottom"/>
          </w:tcPr>
          <w:p>
            <w:pPr>
              <w:jc w:val="right"/>
              <w:ind w:right="33"/>
              <w:spacing w:after="0"/>
              <w:rPr>
                <w:sz w:val="20"/>
                <w:szCs w:val="20"/>
                <w:color w:val="auto"/>
              </w:rPr>
            </w:pPr>
            <w:r>
              <w:rPr>
                <w:rFonts w:ascii="Arial" w:cs="Arial" w:eastAsia="Arial" w:hAnsi="Arial"/>
                <w:sz w:val="17"/>
                <w:szCs w:val="17"/>
                <w:color w:val="auto"/>
              </w:rPr>
              <w:t>0.00</w:t>
            </w:r>
          </w:p>
        </w:tc>
        <w:tc>
          <w:tcPr>
            <w:tcW w:w="1320" w:type="dxa"/>
            <w:vAlign w:val="bottom"/>
          </w:tcPr>
          <w:p>
            <w:pPr>
              <w:ind w:left="120"/>
              <w:spacing w:after="0"/>
              <w:rPr>
                <w:sz w:val="20"/>
                <w:szCs w:val="20"/>
                <w:color w:val="auto"/>
              </w:rPr>
            </w:pPr>
            <w:r>
              <w:rPr>
                <w:rFonts w:ascii="Arial" w:cs="Arial" w:eastAsia="Arial" w:hAnsi="Arial"/>
                <w:sz w:val="17"/>
                <w:szCs w:val="17"/>
                <w:color w:val="auto"/>
              </w:rPr>
              <w:t>@ 25% =</w:t>
            </w:r>
          </w:p>
        </w:tc>
        <w:tc>
          <w:tcPr>
            <w:tcW w:w="1200" w:type="dxa"/>
            <w:vAlign w:val="bottom"/>
          </w:tcPr>
          <w:p>
            <w:pPr>
              <w:jc w:val="right"/>
              <w:ind w:right="573"/>
              <w:spacing w:after="0"/>
              <w:rPr>
                <w:sz w:val="20"/>
                <w:szCs w:val="20"/>
                <w:color w:val="auto"/>
              </w:rPr>
            </w:pPr>
            <w:r>
              <w:rPr>
                <w:rFonts w:ascii="Arial" w:cs="Arial" w:eastAsia="Arial" w:hAnsi="Arial"/>
                <w:sz w:val="17"/>
                <w:szCs w:val="17"/>
                <w:color w:val="auto"/>
              </w:rPr>
              <w:t>0</w:t>
            </w:r>
          </w:p>
        </w:tc>
        <w:tc>
          <w:tcPr>
            <w:tcW w:w="4080" w:type="dxa"/>
            <w:vAlign w:val="bottom"/>
          </w:tcPr>
          <w:p>
            <w:pPr>
              <w:jc w:val="center"/>
              <w:ind w:left="573"/>
              <w:spacing w:after="0"/>
              <w:rPr>
                <w:sz w:val="20"/>
                <w:szCs w:val="20"/>
                <w:color w:val="auto"/>
              </w:rPr>
            </w:pPr>
            <w:r>
              <w:rPr>
                <w:rFonts w:ascii="Arial" w:cs="Arial" w:eastAsia="Arial" w:hAnsi="Arial"/>
                <w:sz w:val="17"/>
                <w:szCs w:val="17"/>
                <w:color w:val="auto"/>
                <w:w w:val="96"/>
              </w:rPr>
              <w:t>*** Warranty Letters of Credit MUST be at least</w:t>
            </w:r>
          </w:p>
        </w:tc>
      </w:tr>
      <w:tr>
        <w:trPr>
          <w:trHeight w:val="210"/>
        </w:trPr>
        <w:tc>
          <w:tcPr>
            <w:tcW w:w="760" w:type="dxa"/>
            <w:vAlign w:val="bottom"/>
          </w:tcPr>
          <w:p>
            <w:pPr>
              <w:spacing w:after="0"/>
              <w:rPr>
                <w:sz w:val="18"/>
                <w:szCs w:val="18"/>
                <w:color w:val="auto"/>
              </w:rPr>
            </w:pPr>
          </w:p>
        </w:tc>
        <w:tc>
          <w:tcPr>
            <w:tcW w:w="2960" w:type="dxa"/>
            <w:vAlign w:val="bottom"/>
          </w:tcPr>
          <w:p>
            <w:pPr>
              <w:ind w:left="260"/>
              <w:spacing w:after="0"/>
              <w:rPr>
                <w:sz w:val="20"/>
                <w:szCs w:val="20"/>
                <w:color w:val="auto"/>
              </w:rPr>
            </w:pPr>
            <w:r>
              <w:rPr>
                <w:rFonts w:ascii="Arial" w:cs="Arial" w:eastAsia="Arial" w:hAnsi="Arial"/>
                <w:sz w:val="17"/>
                <w:szCs w:val="17"/>
                <w:color w:val="auto"/>
              </w:rPr>
              <w:t>below)</w:t>
            </w: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80" w:type="dxa"/>
            <w:vAlign w:val="bottom"/>
          </w:tcPr>
          <w:p>
            <w:pPr>
              <w:jc w:val="center"/>
              <w:ind w:left="513"/>
              <w:spacing w:after="0"/>
              <w:rPr>
                <w:sz w:val="20"/>
                <w:szCs w:val="20"/>
                <w:color w:val="auto"/>
              </w:rPr>
            </w:pPr>
            <w:r>
              <w:rPr>
                <w:rFonts w:ascii="Arial" w:cs="Arial" w:eastAsia="Arial" w:hAnsi="Arial"/>
                <w:sz w:val="17"/>
                <w:szCs w:val="17"/>
                <w:color w:val="auto"/>
                <w:w w:val="94"/>
              </w:rPr>
              <w:t>100% collateralized, OF WHICH at least 25%</w:t>
            </w:r>
          </w:p>
        </w:tc>
      </w:tr>
      <w:tr>
        <w:trPr>
          <w:trHeight w:val="210"/>
        </w:trPr>
        <w:tc>
          <w:tcPr>
            <w:tcW w:w="760" w:type="dxa"/>
            <w:vAlign w:val="bottom"/>
          </w:tcPr>
          <w:p>
            <w:pPr>
              <w:jc w:val="right"/>
              <w:ind w:right="193"/>
              <w:spacing w:after="0"/>
              <w:rPr>
                <w:sz w:val="20"/>
                <w:szCs w:val="20"/>
                <w:color w:val="auto"/>
              </w:rPr>
            </w:pPr>
            <w:r>
              <w:rPr>
                <w:rFonts w:ascii="Arial" w:cs="Arial" w:eastAsia="Arial" w:hAnsi="Arial"/>
                <w:sz w:val="17"/>
                <w:szCs w:val="17"/>
                <w:color w:val="auto"/>
              </w:rPr>
              <w:t>*** 28</w:t>
            </w:r>
          </w:p>
        </w:tc>
        <w:tc>
          <w:tcPr>
            <w:tcW w:w="2960" w:type="dxa"/>
            <w:vAlign w:val="bottom"/>
          </w:tcPr>
          <w:p>
            <w:pPr>
              <w:ind w:left="260"/>
              <w:spacing w:after="0"/>
              <w:rPr>
                <w:sz w:val="20"/>
                <w:szCs w:val="20"/>
                <w:color w:val="auto"/>
              </w:rPr>
            </w:pPr>
            <w:r>
              <w:rPr>
                <w:rFonts w:ascii="Arial" w:cs="Arial" w:eastAsia="Arial" w:hAnsi="Arial"/>
                <w:sz w:val="17"/>
                <w:szCs w:val="17"/>
                <w:color w:val="auto"/>
              </w:rPr>
              <w:t>- Warranty L/Cs (from Line G</w:t>
            </w: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80" w:type="dxa"/>
            <w:vAlign w:val="bottom"/>
          </w:tcPr>
          <w:p>
            <w:pPr>
              <w:jc w:val="center"/>
              <w:ind w:left="573"/>
              <w:spacing w:after="0"/>
              <w:rPr>
                <w:sz w:val="20"/>
                <w:szCs w:val="20"/>
                <w:color w:val="auto"/>
              </w:rPr>
            </w:pPr>
            <w:r>
              <w:rPr>
                <w:rFonts w:ascii="Arial" w:cs="Arial" w:eastAsia="Arial" w:hAnsi="Arial"/>
                <w:sz w:val="17"/>
                <w:szCs w:val="17"/>
                <w:color w:val="auto"/>
                <w:w w:val="93"/>
              </w:rPr>
              <w:t>MUST consist of cash and/or cash equivalents.</w:t>
            </w:r>
          </w:p>
        </w:tc>
      </w:tr>
      <w:tr>
        <w:trPr>
          <w:trHeight w:val="222"/>
        </w:trPr>
        <w:tc>
          <w:tcPr>
            <w:tcW w:w="760" w:type="dxa"/>
            <w:vAlign w:val="bottom"/>
          </w:tcPr>
          <w:p>
            <w:pPr>
              <w:spacing w:after="0"/>
              <w:rPr>
                <w:sz w:val="19"/>
                <w:szCs w:val="19"/>
                <w:color w:val="auto"/>
              </w:rPr>
            </w:pPr>
          </w:p>
        </w:tc>
        <w:tc>
          <w:tcPr>
            <w:tcW w:w="2960" w:type="dxa"/>
            <w:vAlign w:val="bottom"/>
          </w:tcPr>
          <w:p>
            <w:pPr>
              <w:ind w:left="260"/>
              <w:spacing w:after="0"/>
              <w:rPr>
                <w:sz w:val="20"/>
                <w:szCs w:val="20"/>
                <w:color w:val="auto"/>
              </w:rPr>
            </w:pPr>
            <w:r>
              <w:rPr>
                <w:rFonts w:ascii="Arial" w:cs="Arial" w:eastAsia="Arial" w:hAnsi="Arial"/>
                <w:sz w:val="17"/>
                <w:szCs w:val="17"/>
                <w:color w:val="auto"/>
              </w:rPr>
              <w:t>below)</w:t>
            </w:r>
          </w:p>
        </w:tc>
        <w:tc>
          <w:tcPr>
            <w:tcW w:w="660" w:type="dxa"/>
            <w:vAlign w:val="bottom"/>
          </w:tcPr>
          <w:p>
            <w:pPr>
              <w:jc w:val="right"/>
              <w:ind w:right="33"/>
              <w:spacing w:after="0"/>
              <w:rPr>
                <w:sz w:val="20"/>
                <w:szCs w:val="20"/>
                <w:color w:val="auto"/>
              </w:rPr>
            </w:pPr>
            <w:r>
              <w:rPr>
                <w:rFonts w:ascii="Arial" w:cs="Arial" w:eastAsia="Arial" w:hAnsi="Arial"/>
                <w:sz w:val="17"/>
                <w:szCs w:val="17"/>
                <w:color w:val="auto"/>
              </w:rPr>
              <w:t>0.00</w:t>
            </w:r>
          </w:p>
        </w:tc>
        <w:tc>
          <w:tcPr>
            <w:tcW w:w="1320" w:type="dxa"/>
            <w:vAlign w:val="bottom"/>
          </w:tcPr>
          <w:p>
            <w:pPr>
              <w:ind w:left="120"/>
              <w:spacing w:after="0"/>
              <w:rPr>
                <w:sz w:val="20"/>
                <w:szCs w:val="20"/>
                <w:color w:val="auto"/>
              </w:rPr>
            </w:pPr>
            <w:r>
              <w:rPr>
                <w:rFonts w:ascii="Arial" w:cs="Arial" w:eastAsia="Arial" w:hAnsi="Arial"/>
                <w:sz w:val="17"/>
                <w:szCs w:val="17"/>
                <w:color w:val="auto"/>
              </w:rPr>
              <w:t>@ 100% =</w:t>
            </w:r>
          </w:p>
        </w:tc>
        <w:tc>
          <w:tcPr>
            <w:tcW w:w="1200" w:type="dxa"/>
            <w:vAlign w:val="bottom"/>
          </w:tcPr>
          <w:p>
            <w:pPr>
              <w:jc w:val="right"/>
              <w:ind w:right="573"/>
              <w:spacing w:after="0"/>
              <w:rPr>
                <w:sz w:val="20"/>
                <w:szCs w:val="20"/>
                <w:color w:val="auto"/>
              </w:rPr>
            </w:pPr>
            <w:r>
              <w:rPr>
                <w:rFonts w:ascii="Arial" w:cs="Arial" w:eastAsia="Arial" w:hAnsi="Arial"/>
                <w:sz w:val="17"/>
                <w:szCs w:val="17"/>
                <w:color w:val="auto"/>
              </w:rPr>
              <w:t>0</w:t>
            </w:r>
          </w:p>
        </w:tc>
        <w:tc>
          <w:tcPr>
            <w:tcW w:w="4080" w:type="dxa"/>
            <w:vAlign w:val="bottom"/>
          </w:tcPr>
          <w:p>
            <w:pPr>
              <w:spacing w:after="0"/>
              <w:rPr>
                <w:sz w:val="19"/>
                <w:szCs w:val="19"/>
                <w:color w:val="auto"/>
              </w:rPr>
            </w:pPr>
          </w:p>
        </w:tc>
      </w:tr>
    </w:tbl>
    <w:p>
      <w:pPr>
        <w:ind w:left="560"/>
        <w:spacing w:after="0"/>
        <w:tabs>
          <w:tab w:leader="none" w:pos="5340" w:val="left"/>
          <w:tab w:leader="none" w:pos="6280" w:val="left"/>
        </w:tabs>
        <w:rPr>
          <w:sz w:val="20"/>
          <w:szCs w:val="20"/>
          <w:color w:val="auto"/>
        </w:rPr>
      </w:pPr>
      <w:r>
        <w:rPr>
          <w:rFonts w:ascii="Arial" w:cs="Arial" w:eastAsia="Arial" w:hAnsi="Arial"/>
          <w:sz w:val="17"/>
          <w:szCs w:val="17"/>
          <w:color w:val="auto"/>
        </w:rPr>
        <w:t>29  LOANABLE COLLATERAL</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1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AVAILABLE TO SUPPORT</w:t>
      </w:r>
    </w:p>
    <w:p>
      <w:pPr>
        <w:spacing w:after="0" w:line="1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DISBURSEMENTS</w:t>
      </w:r>
    </w:p>
    <w:p>
      <w:pPr>
        <w:sectPr>
          <w:pgSz w:w="11900" w:h="16838" w:orient="portrait"/>
          <w:cols w:equalWidth="0" w:num="1">
            <w:col w:w="11420"/>
          </w:cols>
          <w:pgMar w:left="240" w:top="127" w:right="239" w:bottom="0" w:gutter="0" w:footer="0" w:header="0"/>
        </w:sectPr>
      </w:pPr>
    </w:p>
    <w:p>
      <w:pPr>
        <w:spacing w:after="0" w:line="199"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w w:val="92"/>
              </w:rPr>
              <w:t>Line:</w:t>
            </w:r>
          </w:p>
        </w:tc>
        <w:tc>
          <w:tcPr>
            <w:tcW w:w="3100" w:type="dxa"/>
            <w:vAlign w:val="bottom"/>
            <w:gridSpan w:val="3"/>
            <w:vMerge w:val="restart"/>
          </w:tcPr>
          <w:p>
            <w:pPr>
              <w:spacing w:after="0"/>
              <w:rPr>
                <w:sz w:val="20"/>
                <w:szCs w:val="20"/>
                <w:color w:val="auto"/>
              </w:rPr>
            </w:pPr>
            <w:r>
              <w:rPr>
                <w:rFonts w:ascii="Arial" w:cs="Arial" w:eastAsia="Arial" w:hAnsi="Arial"/>
                <w:sz w:val="17"/>
                <w:szCs w:val="17"/>
                <w:color w:val="auto"/>
              </w:rPr>
              <w:t>Authorized Ex-Im Bank Maximum</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20"/>
                <w:szCs w:val="20"/>
                <w:color w:val="auto"/>
              </w:rPr>
            </w:pPr>
            <w:r>
              <w:rPr>
                <w:rFonts w:ascii="Arial" w:cs="Arial" w:eastAsia="Arial" w:hAnsi="Arial"/>
                <w:sz w:val="17"/>
                <w:szCs w:val="17"/>
                <w:color w:val="auto"/>
                <w:w w:val="92"/>
              </w:rPr>
              <w:t>Line:</w:t>
            </w:r>
          </w:p>
        </w:tc>
        <w:tc>
          <w:tcPr>
            <w:tcW w:w="0" w:type="dxa"/>
            <w:vAlign w:val="bottom"/>
          </w:tcPr>
          <w:p>
            <w:pPr>
              <w:spacing w:after="0"/>
              <w:rPr>
                <w:sz w:val="1"/>
                <w:szCs w:val="1"/>
                <w:color w:val="auto"/>
              </w:rPr>
            </w:pPr>
          </w:p>
        </w:tc>
      </w:tr>
      <w:tr>
        <w:trPr>
          <w:trHeight w:val="217"/>
        </w:trPr>
        <w:tc>
          <w:tcPr>
            <w:tcW w:w="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gridSpan w:val="3"/>
            <w:vMerge w:val="continue"/>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0.00</w:t>
            </w: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A</w:t>
            </w:r>
          </w:p>
        </w:tc>
        <w:tc>
          <w:tcPr>
            <w:tcW w:w="3100" w:type="dxa"/>
            <w:vAlign w:val="bottom"/>
            <w:gridSpan w:val="3"/>
          </w:tcPr>
          <w:p>
            <w:pPr>
              <w:spacing w:after="0"/>
              <w:rPr>
                <w:sz w:val="20"/>
                <w:szCs w:val="20"/>
                <w:color w:val="auto"/>
              </w:rPr>
            </w:pPr>
            <w:r>
              <w:rPr>
                <w:rFonts w:ascii="Arial" w:cs="Arial" w:eastAsia="Arial" w:hAnsi="Arial"/>
                <w:sz w:val="17"/>
                <w:szCs w:val="17"/>
                <w:color w:val="auto"/>
              </w:rPr>
              <w:t>Amount</w:t>
            </w:r>
          </w:p>
        </w:tc>
        <w:tc>
          <w:tcPr>
            <w:tcW w:w="5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M</w:t>
            </w:r>
          </w:p>
        </w:tc>
        <w:tc>
          <w:tcPr>
            <w:tcW w:w="0" w:type="dxa"/>
            <w:vAlign w:val="bottom"/>
          </w:tcPr>
          <w:p>
            <w:pPr>
              <w:spacing w:after="0"/>
              <w:rPr>
                <w:sz w:val="1"/>
                <w:szCs w:val="1"/>
                <w:color w:val="auto"/>
              </w:rPr>
            </w:pPr>
          </w:p>
        </w:tc>
      </w:tr>
      <w:tr>
        <w:trPr>
          <w:trHeight w:val="381"/>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3"/>
          </w:tcPr>
          <w:p>
            <w:pPr>
              <w:spacing w:after="0"/>
              <w:rPr>
                <w:sz w:val="20"/>
                <w:szCs w:val="20"/>
                <w:color w:val="auto"/>
              </w:rPr>
            </w:pPr>
            <w:r>
              <w:rPr>
                <w:rFonts w:ascii="Arial" w:cs="Arial" w:eastAsia="Arial" w:hAnsi="Arial"/>
                <w:sz w:val="17"/>
                <w:szCs w:val="17"/>
                <w:color w:val="auto"/>
                <w:w w:val="98"/>
              </w:rPr>
              <w:t>Less Set-aside for Letters of Credit (L/Cs)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N</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tcBorders>
              <w:top w:val="single" w:sz="8" w:color="auto"/>
              <w:bottom w:val="single" w:sz="8" w:color="auto"/>
            </w:tcBorders>
          </w:tcPr>
          <w:p>
            <w:pPr>
              <w:spacing w:after="0" w:line="189" w:lineRule="exact"/>
              <w:rPr>
                <w:sz w:val="20"/>
                <w:szCs w:val="20"/>
                <w:color w:val="auto"/>
              </w:rPr>
            </w:pPr>
            <w:r>
              <w:rPr>
                <w:rFonts w:ascii="Arial" w:cs="Arial" w:eastAsia="Arial" w:hAnsi="Arial"/>
                <w:sz w:val="17"/>
                <w:szCs w:val="17"/>
                <w:color w:val="auto"/>
                <w:w w:val="93"/>
              </w:rPr>
              <w:t>(both Standby and Commercial L/Cs):</w:t>
            </w:r>
          </w:p>
        </w:tc>
        <w:tc>
          <w:tcPr>
            <w:tcW w:w="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B</w:t>
            </w:r>
          </w:p>
        </w:tc>
        <w:tc>
          <w:tcPr>
            <w:tcW w:w="3100" w:type="dxa"/>
            <w:vAlign w:val="bottom"/>
            <w:gridSpan w:val="3"/>
          </w:tcPr>
          <w:p>
            <w:pPr>
              <w:spacing w:after="0"/>
              <w:rPr>
                <w:sz w:val="20"/>
                <w:szCs w:val="20"/>
                <w:color w:val="auto"/>
              </w:rPr>
            </w:pPr>
            <w:r>
              <w:rPr>
                <w:rFonts w:ascii="Arial" w:cs="Arial" w:eastAsia="Arial" w:hAnsi="Arial"/>
                <w:sz w:val="17"/>
                <w:szCs w:val="17"/>
                <w:color w:val="auto"/>
              </w:rPr>
              <w:t>- NON-Warranty Letters of Credit:</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r>
        <w:trPr>
          <w:trHeight w:val="290"/>
        </w:trPr>
        <w:tc>
          <w:tcPr>
            <w:tcW w:w="500" w:type="dxa"/>
            <w:vAlign w:val="bottom"/>
            <w:gridSpan w:val="2"/>
            <w:vMerge w:val="continue"/>
          </w:tcPr>
          <w:p>
            <w:pPr>
              <w:spacing w:after="0"/>
              <w:rPr>
                <w:sz w:val="24"/>
                <w:szCs w:val="24"/>
                <w:color w:val="auto"/>
              </w:rPr>
            </w:pPr>
          </w:p>
        </w:tc>
        <w:tc>
          <w:tcPr>
            <w:tcW w:w="3100" w:type="dxa"/>
            <w:vAlign w:val="bottom"/>
            <w:gridSpan w:val="3"/>
          </w:tcPr>
          <w:p>
            <w:pPr>
              <w:spacing w:after="0"/>
              <w:rPr>
                <w:sz w:val="20"/>
                <w:szCs w:val="20"/>
                <w:color w:val="auto"/>
              </w:rPr>
            </w:pPr>
            <w:r>
              <w:rPr>
                <w:rFonts w:ascii="Arial" w:cs="Arial" w:eastAsia="Arial" w:hAnsi="Arial"/>
                <w:sz w:val="17"/>
                <w:szCs w:val="17"/>
                <w:color w:val="auto"/>
                <w:w w:val="98"/>
              </w:rPr>
              <w:t>...previously issued (Line D from previous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00" w:type="dxa"/>
            <w:vAlign w:val="bottom"/>
            <w:gridSpan w:val="3"/>
          </w:tcPr>
          <w:p>
            <w:pPr>
              <w:ind w:left="180"/>
              <w:spacing w:after="0"/>
              <w:rPr>
                <w:sz w:val="20"/>
                <w:szCs w:val="20"/>
                <w:color w:val="auto"/>
              </w:rPr>
            </w:pPr>
            <w:r>
              <w:rPr>
                <w:rFonts w:ascii="Arial" w:cs="Arial" w:eastAsia="Arial" w:hAnsi="Arial"/>
                <w:sz w:val="17"/>
                <w:szCs w:val="17"/>
                <w:color w:val="auto"/>
              </w:rPr>
              <w:t>Certificate)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C</w:t>
            </w:r>
          </w:p>
        </w:tc>
        <w:tc>
          <w:tcPr>
            <w:tcW w:w="3100" w:type="dxa"/>
            <w:vAlign w:val="bottom"/>
            <w:gridSpan w:val="3"/>
          </w:tcPr>
          <w:p>
            <w:pPr>
              <w:spacing w:after="0"/>
              <w:rPr>
                <w:sz w:val="20"/>
                <w:szCs w:val="20"/>
                <w:color w:val="auto"/>
              </w:rPr>
            </w:pPr>
            <w:r>
              <w:rPr>
                <w:rFonts w:ascii="Arial" w:cs="Arial" w:eastAsia="Arial" w:hAnsi="Arial"/>
                <w:sz w:val="17"/>
                <w:szCs w:val="17"/>
                <w:color w:val="auto"/>
              </w:rPr>
              <w:t>...to be issued per this request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0.00</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jc w:val="right"/>
              <w:ind w:right="140"/>
              <w:spacing w:after="0" w:line="190" w:lineRule="exact"/>
              <w:rPr>
                <w:sz w:val="20"/>
                <w:szCs w:val="20"/>
                <w:color w:val="auto"/>
              </w:rPr>
            </w:pPr>
            <w:r>
              <w:rPr>
                <w:rFonts w:ascii="Arial" w:cs="Arial" w:eastAsia="Arial" w:hAnsi="Arial"/>
                <w:sz w:val="17"/>
                <w:szCs w:val="17"/>
                <w:color w:val="auto"/>
              </w:rPr>
              <w:t>D</w:t>
            </w:r>
          </w:p>
        </w:tc>
        <w:tc>
          <w:tcPr>
            <w:tcW w:w="3100" w:type="dxa"/>
            <w:vAlign w:val="bottom"/>
            <w:gridSpan w:val="3"/>
            <w:vMerge w:val="restart"/>
          </w:tcPr>
          <w:p>
            <w:pPr>
              <w:spacing w:after="0" w:line="190" w:lineRule="exact"/>
              <w:rPr>
                <w:sz w:val="20"/>
                <w:szCs w:val="20"/>
                <w:color w:val="auto"/>
              </w:rPr>
            </w:pPr>
            <w:r>
              <w:rPr>
                <w:rFonts w:ascii="Arial" w:cs="Arial" w:eastAsia="Arial" w:hAnsi="Arial"/>
                <w:sz w:val="17"/>
                <w:szCs w:val="17"/>
                <w:color w:val="auto"/>
              </w:rPr>
              <w:t>Total NON-Warranty L/Cs (carry to Line</w:t>
            </w: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00" w:type="dxa"/>
            <w:vAlign w:val="bottom"/>
            <w:gridSpan w:val="2"/>
            <w:vMerge w:val="continue"/>
          </w:tcPr>
          <w:p>
            <w:pPr>
              <w:spacing w:after="0"/>
              <w:rPr>
                <w:sz w:val="13"/>
                <w:szCs w:val="13"/>
                <w:color w:val="auto"/>
              </w:rPr>
            </w:pPr>
          </w:p>
        </w:tc>
        <w:tc>
          <w:tcPr>
            <w:tcW w:w="3100" w:type="dxa"/>
            <w:vAlign w:val="bottom"/>
            <w:gridSpan w:val="3"/>
            <w:vMerge w:val="continue"/>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gridSpan w:val="3"/>
          </w:tcPr>
          <w:p>
            <w:pPr>
              <w:spacing w:after="0"/>
              <w:rPr>
                <w:sz w:val="20"/>
                <w:szCs w:val="20"/>
                <w:color w:val="auto"/>
              </w:rPr>
            </w:pPr>
            <w:r>
              <w:rPr>
                <w:rFonts w:ascii="Arial" w:cs="Arial" w:eastAsia="Arial" w:hAnsi="Arial"/>
                <w:sz w:val="17"/>
                <w:szCs w:val="17"/>
                <w:color w:val="auto"/>
              </w:rPr>
              <w:t>B, next Cert.)</w:t>
            </w:r>
          </w:p>
        </w:tc>
        <w:tc>
          <w:tcPr>
            <w:tcW w:w="540" w:type="dxa"/>
            <w:vAlign w:val="bottom"/>
          </w:tcPr>
          <w:p>
            <w:pPr>
              <w:jc w:val="right"/>
              <w:spacing w:after="0"/>
              <w:rPr>
                <w:sz w:val="20"/>
                <w:szCs w:val="20"/>
                <w:color w:val="auto"/>
              </w:rPr>
            </w:pPr>
            <w:r>
              <w:rPr>
                <w:rFonts w:ascii="Arial" w:cs="Arial" w:eastAsia="Arial" w:hAnsi="Arial"/>
                <w:sz w:val="17"/>
                <w:szCs w:val="17"/>
                <w:color w:val="auto"/>
              </w:rPr>
              <w:t>0.00</w:t>
            </w:r>
          </w:p>
        </w:tc>
        <w:tc>
          <w:tcPr>
            <w:tcW w:w="24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P</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gridSpan w:val="3"/>
          </w:tcPr>
          <w:p>
            <w:pPr>
              <w:spacing w:after="0"/>
              <w:rPr>
                <w:sz w:val="20"/>
                <w:szCs w:val="20"/>
                <w:color w:val="auto"/>
              </w:rPr>
            </w:pPr>
            <w:r>
              <w:rPr>
                <w:rFonts w:ascii="Arial" w:cs="Arial" w:eastAsia="Arial" w:hAnsi="Arial"/>
                <w:sz w:val="17"/>
                <w:szCs w:val="17"/>
                <w:color w:val="auto"/>
              </w:rPr>
              <w:t>- WARRANTY Letters of Credit: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E</w:t>
            </w:r>
          </w:p>
        </w:tc>
        <w:tc>
          <w:tcPr>
            <w:tcW w:w="3100" w:type="dxa"/>
            <w:vAlign w:val="bottom"/>
            <w:gridSpan w:val="3"/>
          </w:tcPr>
          <w:p>
            <w:pPr>
              <w:spacing w:after="0"/>
              <w:rPr>
                <w:sz w:val="20"/>
                <w:szCs w:val="20"/>
                <w:color w:val="auto"/>
              </w:rPr>
            </w:pPr>
            <w:r>
              <w:rPr>
                <w:rFonts w:ascii="Arial" w:cs="Arial" w:eastAsia="Arial" w:hAnsi="Arial"/>
                <w:sz w:val="17"/>
                <w:szCs w:val="17"/>
                <w:color w:val="auto"/>
                <w:w w:val="98"/>
              </w:rPr>
              <w:t>...previously issued (Line G from previous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00" w:type="dxa"/>
            <w:vAlign w:val="bottom"/>
            <w:gridSpan w:val="3"/>
          </w:tcPr>
          <w:p>
            <w:pPr>
              <w:ind w:left="180"/>
              <w:spacing w:after="0"/>
              <w:rPr>
                <w:sz w:val="20"/>
                <w:szCs w:val="20"/>
                <w:color w:val="auto"/>
              </w:rPr>
            </w:pPr>
            <w:r>
              <w:rPr>
                <w:rFonts w:ascii="Arial" w:cs="Arial" w:eastAsia="Arial" w:hAnsi="Arial"/>
                <w:sz w:val="17"/>
                <w:szCs w:val="17"/>
                <w:color w:val="auto"/>
              </w:rPr>
              <w:t>Certificate)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F</w:t>
            </w:r>
          </w:p>
        </w:tc>
        <w:tc>
          <w:tcPr>
            <w:tcW w:w="3100" w:type="dxa"/>
            <w:vAlign w:val="bottom"/>
            <w:gridSpan w:val="3"/>
          </w:tcPr>
          <w:p>
            <w:pPr>
              <w:spacing w:after="0"/>
              <w:rPr>
                <w:sz w:val="20"/>
                <w:szCs w:val="20"/>
                <w:color w:val="auto"/>
              </w:rPr>
            </w:pPr>
            <w:r>
              <w:rPr>
                <w:rFonts w:ascii="Arial" w:cs="Arial" w:eastAsia="Arial" w:hAnsi="Arial"/>
                <w:sz w:val="17"/>
                <w:szCs w:val="17"/>
                <w:color w:val="auto"/>
              </w:rPr>
              <w:t>...to be issued per this request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0.00</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vMerge w:val="restart"/>
          </w:tcPr>
          <w:p>
            <w:pPr>
              <w:jc w:val="right"/>
              <w:ind w:right="140"/>
              <w:spacing w:after="0" w:line="190" w:lineRule="exact"/>
              <w:rPr>
                <w:sz w:val="20"/>
                <w:szCs w:val="20"/>
                <w:color w:val="auto"/>
              </w:rPr>
            </w:pPr>
            <w:r>
              <w:rPr>
                <w:rFonts w:ascii="Arial" w:cs="Arial" w:eastAsia="Arial" w:hAnsi="Arial"/>
                <w:sz w:val="17"/>
                <w:szCs w:val="17"/>
                <w:color w:val="auto"/>
              </w:rPr>
              <w:t>G</w:t>
            </w:r>
          </w:p>
        </w:tc>
        <w:tc>
          <w:tcPr>
            <w:tcW w:w="3100" w:type="dxa"/>
            <w:vAlign w:val="bottom"/>
            <w:gridSpan w:val="3"/>
            <w:vMerge w:val="restart"/>
          </w:tcPr>
          <w:p>
            <w:pPr>
              <w:spacing w:after="0" w:line="190" w:lineRule="exact"/>
              <w:rPr>
                <w:sz w:val="20"/>
                <w:szCs w:val="20"/>
                <w:color w:val="auto"/>
              </w:rPr>
            </w:pPr>
            <w:r>
              <w:rPr>
                <w:rFonts w:ascii="Arial" w:cs="Arial" w:eastAsia="Arial" w:hAnsi="Arial"/>
                <w:sz w:val="17"/>
                <w:szCs w:val="17"/>
                <w:color w:val="auto"/>
                <w:w w:val="98"/>
              </w:rPr>
              <w:t>Total Warranty L/Cs (carry to Line E, next</w:t>
            </w: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00" w:type="dxa"/>
            <w:vAlign w:val="bottom"/>
            <w:gridSpan w:val="2"/>
            <w:vMerge w:val="continue"/>
          </w:tcPr>
          <w:p>
            <w:pPr>
              <w:spacing w:after="0"/>
              <w:rPr>
                <w:sz w:val="13"/>
                <w:szCs w:val="13"/>
                <w:color w:val="auto"/>
              </w:rPr>
            </w:pPr>
          </w:p>
        </w:tc>
        <w:tc>
          <w:tcPr>
            <w:tcW w:w="3100" w:type="dxa"/>
            <w:vAlign w:val="bottom"/>
            <w:gridSpan w:val="3"/>
            <w:vMerge w:val="continue"/>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0.00</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gridSpan w:val="3"/>
          </w:tcPr>
          <w:p>
            <w:pPr>
              <w:spacing w:after="0"/>
              <w:rPr>
                <w:sz w:val="20"/>
                <w:szCs w:val="20"/>
                <w:color w:val="auto"/>
              </w:rPr>
            </w:pPr>
            <w:r>
              <w:rPr>
                <w:rFonts w:ascii="Arial" w:cs="Arial" w:eastAsia="Arial" w:hAnsi="Arial"/>
                <w:sz w:val="17"/>
                <w:szCs w:val="17"/>
                <w:color w:val="auto"/>
              </w:rPr>
              <w:t>Certificate)</w:t>
            </w:r>
          </w:p>
        </w:tc>
        <w:tc>
          <w:tcPr>
            <w:tcW w:w="5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3"/>
          </w:tcPr>
          <w:p>
            <w:pPr>
              <w:spacing w:after="0"/>
              <w:rPr>
                <w:sz w:val="20"/>
                <w:szCs w:val="20"/>
                <w:color w:val="auto"/>
              </w:rPr>
            </w:pPr>
            <w:r>
              <w:rPr>
                <w:rFonts w:ascii="Arial" w:cs="Arial" w:eastAsia="Arial" w:hAnsi="Arial"/>
                <w:sz w:val="17"/>
                <w:szCs w:val="17"/>
                <w:color w:val="auto"/>
              </w:rPr>
              <w:t>Total Letters of Credit (Lines D + G)</w:t>
            </w:r>
          </w:p>
        </w:tc>
        <w:tc>
          <w:tcPr>
            <w:tcW w:w="540" w:type="dxa"/>
            <w:vAlign w:val="bottom"/>
          </w:tcPr>
          <w:p>
            <w:pPr>
              <w:jc w:val="right"/>
              <w:spacing w:after="0"/>
              <w:rPr>
                <w:sz w:val="20"/>
                <w:szCs w:val="20"/>
                <w:color w:val="auto"/>
              </w:rPr>
            </w:pPr>
            <w:r>
              <w:rPr>
                <w:rFonts w:ascii="Arial" w:cs="Arial" w:eastAsia="Arial" w:hAnsi="Arial"/>
                <w:sz w:val="17"/>
                <w:szCs w:val="17"/>
                <w:color w:val="auto"/>
              </w:rPr>
              <w:t>0.00</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gridSpan w:val="3"/>
          </w:tcPr>
          <w:p>
            <w:pPr>
              <w:spacing w:after="0"/>
              <w:rPr>
                <w:sz w:val="20"/>
                <w:szCs w:val="20"/>
                <w:color w:val="auto"/>
              </w:rPr>
            </w:pPr>
            <w:r>
              <w:rPr>
                <w:rFonts w:ascii="Arial" w:cs="Arial" w:eastAsia="Arial" w:hAnsi="Arial"/>
                <w:sz w:val="17"/>
                <w:szCs w:val="17"/>
                <w:color w:val="auto"/>
              </w:rPr>
              <w:t>PORTION OF MAXIMUM AMOUNT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H</w:t>
            </w:r>
          </w:p>
        </w:tc>
        <w:tc>
          <w:tcPr>
            <w:tcW w:w="3100" w:type="dxa"/>
            <w:vAlign w:val="bottom"/>
            <w:gridSpan w:val="3"/>
          </w:tcPr>
          <w:p>
            <w:pPr>
              <w:spacing w:after="0"/>
              <w:rPr>
                <w:sz w:val="20"/>
                <w:szCs w:val="20"/>
                <w:color w:val="auto"/>
              </w:rPr>
            </w:pPr>
            <w:r>
              <w:rPr>
                <w:rFonts w:ascii="Arial" w:cs="Arial" w:eastAsia="Arial" w:hAnsi="Arial"/>
                <w:sz w:val="17"/>
                <w:szCs w:val="17"/>
                <w:color w:val="auto"/>
              </w:rPr>
              <w:t>(Line A)</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00" w:type="dxa"/>
            <w:vAlign w:val="bottom"/>
            <w:gridSpan w:val="3"/>
          </w:tcPr>
          <w:p>
            <w:pPr>
              <w:spacing w:after="0"/>
              <w:rPr>
                <w:sz w:val="20"/>
                <w:szCs w:val="20"/>
                <w:color w:val="auto"/>
              </w:rPr>
            </w:pPr>
            <w:r>
              <w:rPr>
                <w:rFonts w:ascii="Arial" w:cs="Arial" w:eastAsia="Arial" w:hAnsi="Arial"/>
                <w:sz w:val="17"/>
                <w:szCs w:val="17"/>
                <w:color w:val="auto"/>
              </w:rPr>
              <w:t>AVAILABLE FOR DISBURSEMENTS</w:t>
            </w:r>
          </w:p>
        </w:tc>
        <w:tc>
          <w:tcPr>
            <w:tcW w:w="540" w:type="dxa"/>
            <w:vAlign w:val="bottom"/>
          </w:tcPr>
          <w:p>
            <w:pPr>
              <w:jc w:val="right"/>
              <w:spacing w:after="0"/>
              <w:rPr>
                <w:sz w:val="20"/>
                <w:szCs w:val="20"/>
                <w:color w:val="auto"/>
              </w:rPr>
            </w:pPr>
            <w:r>
              <w:rPr>
                <w:rFonts w:ascii="Arial" w:cs="Arial" w:eastAsia="Arial" w:hAnsi="Arial"/>
                <w:sz w:val="17"/>
                <w:szCs w:val="17"/>
                <w:color w:val="auto"/>
              </w:rPr>
              <w:t>0.00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60" w:right="2020" w:hanging="192"/>
        <w:spacing w:after="0" w:line="264" w:lineRule="auto"/>
        <w:tabs>
          <w:tab w:leader="none" w:pos="860" w:val="left"/>
        </w:tabs>
        <w:numPr>
          <w:ilvl w:val="0"/>
          <w:numId w:val="655"/>
        </w:numPr>
        <w:rPr>
          <w:rFonts w:ascii="Arial" w:cs="Arial" w:eastAsia="Arial" w:hAnsi="Arial"/>
          <w:sz w:val="17"/>
          <w:szCs w:val="17"/>
          <w:color w:val="auto"/>
        </w:rPr>
      </w:pPr>
      <w:r>
        <w:rPr>
          <w:rFonts w:ascii="Arial" w:cs="Arial" w:eastAsia="Arial" w:hAnsi="Arial"/>
          <w:sz w:val="17"/>
          <w:szCs w:val="17"/>
          <w:color w:val="auto"/>
        </w:rPr>
        <w:t>Beginning Loan Balance (Line L, previous Certificate)</w:t>
      </w:r>
    </w:p>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198"/>
        </w:trPr>
        <w:tc>
          <w:tcPr>
            <w:tcW w:w="200" w:type="dxa"/>
            <w:vAlign w:val="bottom"/>
          </w:tcPr>
          <w:p>
            <w:pPr>
              <w:jc w:val="right"/>
              <w:spacing w:after="0"/>
              <w:rPr>
                <w:sz w:val="20"/>
                <w:szCs w:val="20"/>
                <w:color w:val="auto"/>
              </w:rPr>
            </w:pPr>
            <w:r>
              <w:rPr>
                <w:rFonts w:ascii="Arial" w:cs="Arial" w:eastAsia="Arial" w:hAnsi="Arial"/>
                <w:sz w:val="17"/>
                <w:szCs w:val="17"/>
                <w:color w:val="auto"/>
              </w:rPr>
              <w:t>J</w:t>
            </w:r>
          </w:p>
        </w:tc>
        <w:tc>
          <w:tcPr>
            <w:tcW w:w="3060" w:type="dxa"/>
            <w:vAlign w:val="bottom"/>
          </w:tcPr>
          <w:p>
            <w:pPr>
              <w:ind w:left="60"/>
              <w:spacing w:after="0"/>
              <w:rPr>
                <w:sz w:val="20"/>
                <w:szCs w:val="20"/>
                <w:color w:val="auto"/>
              </w:rPr>
            </w:pPr>
            <w:r>
              <w:rPr>
                <w:rFonts w:ascii="Arial" w:cs="Arial" w:eastAsia="Arial" w:hAnsi="Arial"/>
                <w:sz w:val="17"/>
                <w:szCs w:val="17"/>
                <w:color w:val="auto"/>
              </w:rPr>
              <w:t>Less: Principal Payments Received</w:t>
            </w:r>
          </w:p>
        </w:tc>
        <w:tc>
          <w:tcPr>
            <w:tcW w:w="640" w:type="dxa"/>
            <w:vAlign w:val="bottom"/>
          </w:tcPr>
          <w:p>
            <w:pPr>
              <w:jc w:val="right"/>
              <w:spacing w:after="0"/>
              <w:rPr>
                <w:sz w:val="20"/>
                <w:szCs w:val="20"/>
                <w:color w:val="auto"/>
              </w:rPr>
            </w:pPr>
            <w:r>
              <w:rPr>
                <w:rFonts w:ascii="Arial" w:cs="Arial" w:eastAsia="Arial" w:hAnsi="Arial"/>
                <w:sz w:val="17"/>
                <w:szCs w:val="17"/>
                <w:color w:val="auto"/>
              </w:rPr>
              <w:t>0.00</w:t>
            </w:r>
          </w:p>
        </w:tc>
      </w:tr>
      <w:tr>
        <w:trPr>
          <w:trHeight w:val="210"/>
        </w:trPr>
        <w:tc>
          <w:tcPr>
            <w:tcW w:w="200" w:type="dxa"/>
            <w:vAlign w:val="bottom"/>
          </w:tcPr>
          <w:p>
            <w:pPr>
              <w:jc w:val="right"/>
              <w:spacing w:after="0"/>
              <w:rPr>
                <w:sz w:val="20"/>
                <w:szCs w:val="20"/>
                <w:color w:val="auto"/>
              </w:rPr>
            </w:pPr>
            <w:r>
              <w:rPr>
                <w:rFonts w:ascii="Arial" w:cs="Arial" w:eastAsia="Arial" w:hAnsi="Arial"/>
                <w:sz w:val="17"/>
                <w:szCs w:val="17"/>
                <w:color w:val="auto"/>
                <w:w w:val="87"/>
              </w:rPr>
              <w:t>K</w:t>
            </w:r>
          </w:p>
        </w:tc>
        <w:tc>
          <w:tcPr>
            <w:tcW w:w="3060" w:type="dxa"/>
            <w:vAlign w:val="bottom"/>
          </w:tcPr>
          <w:p>
            <w:pPr>
              <w:ind w:left="60"/>
              <w:spacing w:after="0"/>
              <w:rPr>
                <w:sz w:val="20"/>
                <w:szCs w:val="20"/>
                <w:color w:val="auto"/>
              </w:rPr>
            </w:pPr>
            <w:r>
              <w:rPr>
                <w:rFonts w:ascii="Arial" w:cs="Arial" w:eastAsia="Arial" w:hAnsi="Arial"/>
                <w:sz w:val="17"/>
                <w:szCs w:val="17"/>
                <w:color w:val="auto"/>
              </w:rPr>
              <w:t>Add: Disbursement(s) Requested</w:t>
            </w:r>
          </w:p>
        </w:tc>
        <w:tc>
          <w:tcPr>
            <w:tcW w:w="640" w:type="dxa"/>
            <w:vAlign w:val="bottom"/>
          </w:tcPr>
          <w:p>
            <w:pPr>
              <w:jc w:val="right"/>
              <w:spacing w:after="0"/>
              <w:rPr>
                <w:sz w:val="20"/>
                <w:szCs w:val="20"/>
                <w:color w:val="auto"/>
              </w:rPr>
            </w:pPr>
            <w:r>
              <w:rPr>
                <w:rFonts w:ascii="Arial" w:cs="Arial" w:eastAsia="Arial" w:hAnsi="Arial"/>
                <w:sz w:val="17"/>
                <w:szCs w:val="17"/>
                <w:color w:val="auto"/>
              </w:rPr>
              <w:t>0.00</w:t>
            </w:r>
          </w:p>
        </w:tc>
      </w:tr>
      <w:tr>
        <w:trPr>
          <w:trHeight w:val="210"/>
        </w:trPr>
        <w:tc>
          <w:tcPr>
            <w:tcW w:w="200" w:type="dxa"/>
            <w:vAlign w:val="bottom"/>
          </w:tcPr>
          <w:p>
            <w:pPr>
              <w:jc w:val="right"/>
              <w:spacing w:after="0"/>
              <w:rPr>
                <w:sz w:val="20"/>
                <w:szCs w:val="20"/>
                <w:color w:val="auto"/>
              </w:rPr>
            </w:pPr>
            <w:r>
              <w:rPr>
                <w:rFonts w:ascii="Arial" w:cs="Arial" w:eastAsia="Arial" w:hAnsi="Arial"/>
                <w:sz w:val="17"/>
                <w:szCs w:val="17"/>
                <w:color w:val="auto"/>
              </w:rPr>
              <w:t>L</w:t>
            </w:r>
          </w:p>
        </w:tc>
        <w:tc>
          <w:tcPr>
            <w:tcW w:w="3060" w:type="dxa"/>
            <w:vAlign w:val="bottom"/>
          </w:tcPr>
          <w:p>
            <w:pPr>
              <w:ind w:left="60"/>
              <w:spacing w:after="0"/>
              <w:rPr>
                <w:sz w:val="20"/>
                <w:szCs w:val="20"/>
                <w:color w:val="auto"/>
              </w:rPr>
            </w:pPr>
            <w:r>
              <w:rPr>
                <w:rFonts w:ascii="Arial" w:cs="Arial" w:eastAsia="Arial" w:hAnsi="Arial"/>
                <w:sz w:val="17"/>
                <w:szCs w:val="17"/>
                <w:color w:val="auto"/>
              </w:rPr>
              <w:t>Ending Loan Balance (carry to Line I,</w:t>
            </w:r>
          </w:p>
        </w:tc>
        <w:tc>
          <w:tcPr>
            <w:tcW w:w="64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3060" w:type="dxa"/>
            <w:vAlign w:val="bottom"/>
          </w:tcPr>
          <w:p>
            <w:pPr>
              <w:ind w:left="60"/>
              <w:spacing w:after="0"/>
              <w:rPr>
                <w:sz w:val="20"/>
                <w:szCs w:val="20"/>
                <w:color w:val="auto"/>
              </w:rPr>
            </w:pPr>
            <w:r>
              <w:rPr>
                <w:rFonts w:ascii="Arial" w:cs="Arial" w:eastAsia="Arial" w:hAnsi="Arial"/>
                <w:sz w:val="17"/>
                <w:szCs w:val="17"/>
                <w:color w:val="auto"/>
              </w:rPr>
              <w:t>next Certificate)</w:t>
            </w:r>
          </w:p>
        </w:tc>
        <w:tc>
          <w:tcPr>
            <w:tcW w:w="640" w:type="dxa"/>
            <w:vAlign w:val="bottom"/>
          </w:tcPr>
          <w:p>
            <w:pPr>
              <w:jc w:val="right"/>
              <w:spacing w:after="0"/>
              <w:rPr>
                <w:sz w:val="20"/>
                <w:szCs w:val="20"/>
                <w:color w:val="auto"/>
              </w:rPr>
            </w:pPr>
            <w:r>
              <w:rPr>
                <w:rFonts w:ascii="Arial" w:cs="Arial" w:eastAsia="Arial" w:hAnsi="Arial"/>
                <w:sz w:val="17"/>
                <w:szCs w:val="17"/>
                <w:color w:val="auto"/>
              </w:rPr>
              <w:t>0.00</w:t>
            </w:r>
          </w:p>
        </w:tc>
      </w:tr>
      <w:tr>
        <w:trPr>
          <w:trHeight w:val="419"/>
        </w:trPr>
        <w:tc>
          <w:tcPr>
            <w:tcW w:w="2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0.00</w:t>
            </w:r>
          </w:p>
        </w:tc>
      </w:tr>
    </w:tbl>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Pr>
          <w:p>
            <w:pPr>
              <w:spacing w:after="0"/>
              <w:rPr>
                <w:sz w:val="16"/>
                <w:szCs w:val="16"/>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7"/>
                <w:szCs w:val="17"/>
                <w:color w:val="auto"/>
                <w:w w:val="95"/>
              </w:rPr>
              <w:t>(Yes/No)</w:t>
            </w:r>
          </w:p>
        </w:tc>
        <w:tc>
          <w:tcPr>
            <w:tcW w:w="1700" w:type="dxa"/>
            <w:vAlign w:val="bottom"/>
          </w:tcPr>
          <w:p>
            <w:pPr>
              <w:ind w:left="100"/>
              <w:spacing w:after="0"/>
              <w:rPr>
                <w:sz w:val="20"/>
                <w:szCs w:val="20"/>
                <w:color w:val="auto"/>
              </w:rPr>
            </w:pPr>
            <w:r>
              <w:rPr>
                <w:rFonts w:ascii="Arial" w:cs="Arial" w:eastAsia="Arial" w:hAnsi="Arial"/>
                <w:sz w:val="17"/>
                <w:szCs w:val="17"/>
                <w:color w:val="auto"/>
                <w:w w:val="92"/>
              </w:rPr>
              <w:t>If the answers to M, N,</w:t>
            </w:r>
          </w:p>
        </w:tc>
      </w:tr>
      <w:tr>
        <w:trPr>
          <w:trHeight w:val="217"/>
        </w:trPr>
        <w:tc>
          <w:tcPr>
            <w:tcW w:w="2960" w:type="dxa"/>
            <w:vAlign w:val="bottom"/>
          </w:tcPr>
          <w:p>
            <w:pPr>
              <w:spacing w:after="0"/>
              <w:rPr>
                <w:sz w:val="20"/>
                <w:szCs w:val="20"/>
                <w:color w:val="auto"/>
              </w:rPr>
            </w:pPr>
            <w:r>
              <w:rPr>
                <w:rFonts w:ascii="Arial" w:cs="Arial" w:eastAsia="Arial" w:hAnsi="Arial"/>
                <w:sz w:val="17"/>
                <w:szCs w:val="17"/>
                <w:color w:val="auto"/>
              </w:rPr>
              <w:t>Is Line H greater than or equal to Line</w:t>
            </w: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ind w:left="100"/>
              <w:spacing w:after="0"/>
              <w:rPr>
                <w:sz w:val="20"/>
                <w:szCs w:val="20"/>
                <w:color w:val="auto"/>
              </w:rPr>
            </w:pPr>
            <w:r>
              <w:rPr>
                <w:rFonts w:ascii="Arial" w:cs="Arial" w:eastAsia="Arial" w:hAnsi="Arial"/>
                <w:sz w:val="17"/>
                <w:szCs w:val="17"/>
                <w:color w:val="auto"/>
                <w:w w:val="93"/>
              </w:rPr>
              <w:t>O, and P are all “Yes”,</w:t>
            </w:r>
          </w:p>
        </w:tc>
      </w:tr>
      <w:tr>
        <w:trPr>
          <w:trHeight w:val="210"/>
        </w:trPr>
        <w:tc>
          <w:tcPr>
            <w:tcW w:w="2960" w:type="dxa"/>
            <w:vAlign w:val="bottom"/>
          </w:tcPr>
          <w:p>
            <w:pPr>
              <w:spacing w:after="0"/>
              <w:rPr>
                <w:sz w:val="20"/>
                <w:szCs w:val="20"/>
                <w:color w:val="auto"/>
              </w:rPr>
            </w:pPr>
            <w:r>
              <w:rPr>
                <w:rFonts w:ascii="Arial" w:cs="Arial" w:eastAsia="Arial" w:hAnsi="Arial"/>
                <w:sz w:val="17"/>
                <w:szCs w:val="17"/>
                <w:color w:val="auto"/>
              </w:rPr>
              <w:t>L?</w:t>
            </w:r>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Yes</w:t>
            </w:r>
          </w:p>
        </w:tc>
        <w:tc>
          <w:tcPr>
            <w:tcW w:w="1700" w:type="dxa"/>
            <w:vAlign w:val="bottom"/>
          </w:tcPr>
          <w:p>
            <w:pPr>
              <w:ind w:left="100"/>
              <w:spacing w:after="0"/>
              <w:rPr>
                <w:sz w:val="20"/>
                <w:szCs w:val="20"/>
                <w:color w:val="auto"/>
              </w:rPr>
            </w:pPr>
            <w:r>
              <w:rPr>
                <w:rFonts w:ascii="Arial" w:cs="Arial" w:eastAsia="Arial" w:hAnsi="Arial"/>
                <w:sz w:val="17"/>
                <w:szCs w:val="17"/>
                <w:color w:val="auto"/>
              </w:rPr>
              <w:t>it is anticipated that</w:t>
            </w:r>
          </w:p>
        </w:tc>
      </w:tr>
      <w:tr>
        <w:trPr>
          <w:trHeight w:val="210"/>
        </w:trPr>
        <w:tc>
          <w:tcPr>
            <w:tcW w:w="2960" w:type="dxa"/>
            <w:vAlign w:val="bottom"/>
          </w:tcPr>
          <w:p>
            <w:pPr>
              <w:spacing w:after="0"/>
              <w:rPr>
                <w:sz w:val="20"/>
                <w:szCs w:val="20"/>
                <w:color w:val="auto"/>
              </w:rPr>
            </w:pPr>
            <w:r>
              <w:rPr>
                <w:rFonts w:ascii="Arial" w:cs="Arial" w:eastAsia="Arial" w:hAnsi="Arial"/>
                <w:sz w:val="17"/>
                <w:szCs w:val="17"/>
                <w:color w:val="auto"/>
              </w:rPr>
              <w:t>Is Line 29 greater than or equal to Line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ind w:left="100"/>
              <w:spacing w:after="0"/>
              <w:rPr>
                <w:sz w:val="20"/>
                <w:szCs w:val="20"/>
                <w:color w:val="auto"/>
              </w:rPr>
            </w:pPr>
            <w:r>
              <w:rPr>
                <w:rFonts w:ascii="Arial" w:cs="Arial" w:eastAsia="Arial" w:hAnsi="Arial"/>
                <w:sz w:val="17"/>
                <w:szCs w:val="17"/>
                <w:color w:val="auto"/>
              </w:rPr>
              <w:t>the Borrowing Base</w:t>
            </w:r>
          </w:p>
        </w:tc>
      </w:tr>
      <w:tr>
        <w:trPr>
          <w:trHeight w:val="210"/>
        </w:trPr>
        <w:tc>
          <w:tcPr>
            <w:tcW w:w="2960" w:type="dxa"/>
            <w:vAlign w:val="bottom"/>
          </w:tcPr>
          <w:p>
            <w:pPr>
              <w:spacing w:after="0"/>
              <w:rPr>
                <w:sz w:val="20"/>
                <w:szCs w:val="20"/>
                <w:color w:val="auto"/>
              </w:rPr>
            </w:pPr>
            <w:r>
              <w:rPr>
                <w:rFonts w:ascii="Arial" w:cs="Arial" w:eastAsia="Arial" w:hAnsi="Arial"/>
                <w:sz w:val="17"/>
                <w:szCs w:val="17"/>
                <w:color w:val="auto"/>
              </w:rPr>
              <w:t>L?</w:t>
            </w:r>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Yes</w:t>
            </w:r>
          </w:p>
        </w:tc>
        <w:tc>
          <w:tcPr>
            <w:tcW w:w="1700" w:type="dxa"/>
            <w:vAlign w:val="bottom"/>
          </w:tcPr>
          <w:p>
            <w:pPr>
              <w:ind w:left="100"/>
              <w:spacing w:after="0"/>
              <w:rPr>
                <w:sz w:val="20"/>
                <w:szCs w:val="20"/>
                <w:color w:val="auto"/>
              </w:rPr>
            </w:pPr>
            <w:r>
              <w:rPr>
                <w:rFonts w:ascii="Arial" w:cs="Arial" w:eastAsia="Arial" w:hAnsi="Arial"/>
                <w:sz w:val="17"/>
                <w:szCs w:val="17"/>
                <w:color w:val="auto"/>
              </w:rPr>
              <w:t>parameters will be</w:t>
            </w:r>
          </w:p>
        </w:tc>
      </w:tr>
      <w:tr>
        <w:trPr>
          <w:trHeight w:val="210"/>
        </w:trPr>
        <w:tc>
          <w:tcPr>
            <w:tcW w:w="2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ind w:left="100"/>
              <w:spacing w:after="0"/>
              <w:rPr>
                <w:sz w:val="20"/>
                <w:szCs w:val="20"/>
                <w:color w:val="auto"/>
              </w:rPr>
            </w:pPr>
            <w:r>
              <w:rPr>
                <w:rFonts w:ascii="Arial" w:cs="Arial" w:eastAsia="Arial" w:hAnsi="Arial"/>
                <w:sz w:val="17"/>
                <w:szCs w:val="17"/>
                <w:color w:val="auto"/>
              </w:rPr>
              <w:t>acceptable for the</w:t>
            </w:r>
          </w:p>
        </w:tc>
      </w:tr>
      <w:tr>
        <w:trPr>
          <w:trHeight w:val="210"/>
        </w:trPr>
        <w:tc>
          <w:tcPr>
            <w:tcW w:w="2960" w:type="dxa"/>
            <w:vAlign w:val="bottom"/>
          </w:tcPr>
          <w:p>
            <w:pPr>
              <w:spacing w:after="0"/>
              <w:rPr>
                <w:sz w:val="20"/>
                <w:szCs w:val="20"/>
                <w:color w:val="auto"/>
              </w:rPr>
            </w:pPr>
            <w:r>
              <w:rPr>
                <w:rFonts w:ascii="Arial" w:cs="Arial" w:eastAsia="Arial" w:hAnsi="Arial"/>
                <w:sz w:val="17"/>
                <w:szCs w:val="17"/>
                <w:color w:val="auto"/>
              </w:rPr>
              <w:t>Does Borrowing Base comply with</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ind w:left="100"/>
              <w:spacing w:after="0"/>
              <w:rPr>
                <w:sz w:val="20"/>
                <w:szCs w:val="20"/>
                <w:color w:val="auto"/>
              </w:rPr>
            </w:pPr>
            <w:r>
              <w:rPr>
                <w:rFonts w:ascii="Arial" w:cs="Arial" w:eastAsia="Arial" w:hAnsi="Arial"/>
                <w:sz w:val="17"/>
                <w:szCs w:val="17"/>
                <w:color w:val="auto"/>
              </w:rPr>
              <w:t>Lender to make a</w:t>
            </w:r>
          </w:p>
        </w:tc>
      </w:tr>
      <w:tr>
        <w:trPr>
          <w:trHeight w:val="210"/>
        </w:trPr>
        <w:tc>
          <w:tcPr>
            <w:tcW w:w="2960" w:type="dxa"/>
            <w:vAlign w:val="bottom"/>
          </w:tcPr>
          <w:p>
            <w:pPr>
              <w:spacing w:after="0"/>
              <w:rPr>
                <w:sz w:val="20"/>
                <w:szCs w:val="20"/>
                <w:color w:val="auto"/>
              </w:rPr>
            </w:pPr>
            <w:r>
              <w:rPr>
                <w:rFonts w:ascii="Arial" w:cs="Arial" w:eastAsia="Arial" w:hAnsi="Arial"/>
                <w:sz w:val="17"/>
                <w:szCs w:val="17"/>
                <w:color w:val="auto"/>
              </w:rPr>
              <w:t>maximum 60% Inventory Reliance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ind w:left="100"/>
              <w:spacing w:after="0"/>
              <w:rPr>
                <w:sz w:val="20"/>
                <w:szCs w:val="20"/>
                <w:color w:val="auto"/>
              </w:rPr>
            </w:pPr>
            <w:r>
              <w:rPr>
                <w:rFonts w:ascii="Arial" w:cs="Arial" w:eastAsia="Arial" w:hAnsi="Arial"/>
                <w:sz w:val="17"/>
                <w:szCs w:val="17"/>
                <w:color w:val="auto"/>
              </w:rPr>
              <w:t>Disbursement and/or</w:t>
            </w:r>
          </w:p>
        </w:tc>
      </w:tr>
      <w:tr>
        <w:trPr>
          <w:trHeight w:val="210"/>
        </w:trPr>
        <w:tc>
          <w:tcPr>
            <w:tcW w:w="2960" w:type="dxa"/>
            <w:vAlign w:val="bottom"/>
          </w:tcPr>
          <w:p>
            <w:pPr>
              <w:spacing w:after="0"/>
              <w:rPr>
                <w:sz w:val="20"/>
                <w:szCs w:val="20"/>
                <w:color w:val="auto"/>
              </w:rPr>
            </w:pPr>
            <w:r>
              <w:rPr>
                <w:rFonts w:ascii="Arial" w:cs="Arial" w:eastAsia="Arial" w:hAnsi="Arial"/>
                <w:sz w:val="17"/>
                <w:szCs w:val="17"/>
                <w:color w:val="auto"/>
              </w:rPr>
              <w:t>(MGA, Section 4.06)? (See Sample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ind w:left="100"/>
              <w:spacing w:after="0"/>
              <w:rPr>
                <w:sz w:val="20"/>
                <w:szCs w:val="20"/>
                <w:color w:val="auto"/>
              </w:rPr>
            </w:pPr>
            <w:r>
              <w:rPr>
                <w:rFonts w:ascii="Arial" w:cs="Arial" w:eastAsia="Arial" w:hAnsi="Arial"/>
                <w:sz w:val="17"/>
                <w:szCs w:val="17"/>
                <w:color w:val="auto"/>
              </w:rPr>
              <w:t>issue a Letter of</w:t>
            </w:r>
          </w:p>
        </w:tc>
      </w:tr>
      <w:tr>
        <w:trPr>
          <w:trHeight w:val="210"/>
        </w:trPr>
        <w:tc>
          <w:tcPr>
            <w:tcW w:w="2960" w:type="dxa"/>
            <w:vAlign w:val="bottom"/>
          </w:tcPr>
          <w:p>
            <w:pPr>
              <w:spacing w:after="0"/>
              <w:rPr>
                <w:sz w:val="20"/>
                <w:szCs w:val="20"/>
                <w:color w:val="auto"/>
              </w:rPr>
            </w:pPr>
            <w:r>
              <w:rPr>
                <w:rFonts w:ascii="Arial" w:cs="Arial" w:eastAsia="Arial" w:hAnsi="Arial"/>
                <w:sz w:val="17"/>
                <w:szCs w:val="17"/>
                <w:color w:val="auto"/>
                <w:w w:val="99"/>
              </w:rPr>
              <w:t>Borr. Base Calc., Appenix B to Manual,</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ind w:left="100"/>
              <w:spacing w:after="0"/>
              <w:rPr>
                <w:sz w:val="20"/>
                <w:szCs w:val="20"/>
                <w:color w:val="auto"/>
              </w:rPr>
            </w:pPr>
            <w:r>
              <w:rPr>
                <w:rFonts w:ascii="Arial" w:cs="Arial" w:eastAsia="Arial" w:hAnsi="Arial"/>
                <w:sz w:val="17"/>
                <w:szCs w:val="17"/>
                <w:color w:val="auto"/>
              </w:rPr>
              <w:t>Credit.</w:t>
            </w:r>
          </w:p>
        </w:tc>
      </w:tr>
      <w:tr>
        <w:trPr>
          <w:trHeight w:val="210"/>
        </w:trPr>
        <w:tc>
          <w:tcPr>
            <w:tcW w:w="2960" w:type="dxa"/>
            <w:vAlign w:val="bottom"/>
          </w:tcPr>
          <w:p>
            <w:pPr>
              <w:spacing w:after="0"/>
              <w:rPr>
                <w:sz w:val="20"/>
                <w:szCs w:val="20"/>
                <w:color w:val="auto"/>
              </w:rPr>
            </w:pPr>
            <w:r>
              <w:rPr>
                <w:rFonts w:ascii="Arial" w:cs="Arial" w:eastAsia="Arial" w:hAnsi="Arial"/>
                <w:sz w:val="17"/>
                <w:szCs w:val="17"/>
                <w:color w:val="auto"/>
              </w:rPr>
              <w:t>for examples.)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7"/>
                <w:szCs w:val="17"/>
                <w:color w:val="auto"/>
              </w:rPr>
              <w:t>Do all Eligible A/R &amp; Inv comply with</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7"/>
                <w:szCs w:val="17"/>
                <w:color w:val="auto"/>
              </w:rPr>
              <w:t>Country</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2"/>
        </w:trPr>
        <w:tc>
          <w:tcPr>
            <w:tcW w:w="2960" w:type="dxa"/>
            <w:vAlign w:val="bottom"/>
          </w:tcPr>
          <w:p>
            <w:pPr>
              <w:spacing w:after="0"/>
              <w:rPr>
                <w:sz w:val="20"/>
                <w:szCs w:val="20"/>
                <w:color w:val="auto"/>
              </w:rPr>
            </w:pPr>
            <w:r>
              <w:rPr>
                <w:rFonts w:ascii="Arial" w:cs="Arial" w:eastAsia="Arial" w:hAnsi="Arial"/>
                <w:sz w:val="17"/>
                <w:szCs w:val="17"/>
                <w:color w:val="auto"/>
              </w:rPr>
              <w:t>Limitation Schedule?</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BORROWER: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(Sign)</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(Print)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-3783330</wp:posOffset>
            </wp:positionH>
            <wp:positionV relativeFrom="paragraph">
              <wp:posOffset>739775</wp:posOffset>
            </wp:positionV>
            <wp:extent cx="7271385" cy="2921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053" w:lineRule="exact"/>
        <w:rPr>
          <w:sz w:val="20"/>
          <w:szCs w:val="20"/>
          <w:color w:val="auto"/>
        </w:rPr>
      </w:pPr>
    </w:p>
    <w:p>
      <w:pPr>
        <w:sectPr>
          <w:pgSz w:w="11900" w:h="16838" w:orient="portrait"/>
          <w:cols w:equalWidth="0" w:num="2">
            <w:col w:w="5240" w:space="720"/>
            <w:col w:w="5460"/>
          </w:cols>
          <w:pgMar w:left="240" w:top="127"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2089150" cy="29972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089150"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20"/>
                <w:szCs w:val="20"/>
                <w:color w:val="auto"/>
              </w:rPr>
            </w:pPr>
            <w:r>
              <w:rPr>
                <w:rFonts w:ascii="Arial" w:cs="Arial" w:eastAsia="Arial" w:hAnsi="Arial"/>
                <w:sz w:val="17"/>
                <w:szCs w:val="17"/>
                <w:b w:val="1"/>
                <w:bCs w:val="1"/>
                <w:color w:val="auto"/>
              </w:rPr>
              <w:t>Borrower:</w:t>
            </w:r>
          </w:p>
        </w:tc>
        <w:tc>
          <w:tcPr>
            <w:tcW w:w="3180" w:type="dxa"/>
            <w:vAlign w:val="bottom"/>
          </w:tcPr>
          <w:p>
            <w:pPr>
              <w:ind w:left="380"/>
              <w:spacing w:after="0"/>
              <w:rPr>
                <w:sz w:val="20"/>
                <w:szCs w:val="20"/>
                <w:color w:val="auto"/>
              </w:rPr>
            </w:pPr>
            <w:r>
              <w:rPr>
                <w:rFonts w:ascii="Arial" w:cs="Arial" w:eastAsia="Arial" w:hAnsi="Arial"/>
                <w:sz w:val="17"/>
                <w:szCs w:val="17"/>
                <w:color w:val="auto"/>
              </w:rPr>
              <w:t>Applied Optoelectronic, Inc.</w:t>
            </w:r>
          </w:p>
        </w:tc>
        <w:tc>
          <w:tcPr>
            <w:tcW w:w="2260" w:type="dxa"/>
            <w:vAlign w:val="bottom"/>
          </w:tcPr>
          <w:p>
            <w:pPr>
              <w:ind w:left="560"/>
              <w:spacing w:after="0"/>
              <w:rPr>
                <w:sz w:val="20"/>
                <w:szCs w:val="20"/>
                <w:color w:val="auto"/>
              </w:rPr>
            </w:pPr>
            <w:r>
              <w:rPr>
                <w:rFonts w:ascii="Arial" w:cs="Arial" w:eastAsia="Arial" w:hAnsi="Arial"/>
                <w:sz w:val="17"/>
                <w:szCs w:val="17"/>
                <w:b w:val="1"/>
                <w:bCs w:val="1"/>
                <w:color w:val="auto"/>
              </w:rPr>
              <w:t>Lender:</w:t>
            </w:r>
          </w:p>
        </w:tc>
        <w:tc>
          <w:tcPr>
            <w:tcW w:w="3460" w:type="dxa"/>
            <w:vAlign w:val="bottom"/>
          </w:tcPr>
          <w:p>
            <w:pPr>
              <w:ind w:left="420"/>
              <w:spacing w:after="0"/>
              <w:rPr>
                <w:sz w:val="20"/>
                <w:szCs w:val="20"/>
                <w:color w:val="auto"/>
              </w:rPr>
            </w:pPr>
            <w:r>
              <w:rPr>
                <w:rFonts w:ascii="Arial" w:cs="Arial" w:eastAsia="Arial" w:hAnsi="Arial"/>
                <w:sz w:val="17"/>
                <w:szCs w:val="17"/>
                <w:color w:val="auto"/>
                <w:w w:val="95"/>
              </w:rPr>
              <w:t>Technology &amp; Commercial Banking Group</w:t>
            </w: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3180" w:type="dxa"/>
            <w:vAlign w:val="bottom"/>
          </w:tcPr>
          <w:p>
            <w:pPr>
              <w:ind w:left="380"/>
              <w:spacing w:after="0"/>
              <w:rPr>
                <w:sz w:val="20"/>
                <w:szCs w:val="20"/>
                <w:color w:val="auto"/>
              </w:rPr>
            </w:pPr>
            <w:r>
              <w:rPr>
                <w:rFonts w:ascii="Arial" w:cs="Arial" w:eastAsia="Arial" w:hAnsi="Arial"/>
                <w:sz w:val="17"/>
                <w:szCs w:val="17"/>
                <w:color w:val="auto"/>
              </w:rPr>
              <w:t>13115 Jess Pirtle Blvd.,</w:t>
            </w:r>
          </w:p>
        </w:tc>
        <w:tc>
          <w:tcPr>
            <w:tcW w:w="2260" w:type="dxa"/>
            <w:vAlign w:val="bottom"/>
          </w:tcPr>
          <w:p>
            <w:pPr>
              <w:spacing w:after="0"/>
              <w:rPr>
                <w:sz w:val="18"/>
                <w:szCs w:val="18"/>
                <w:color w:val="auto"/>
              </w:rPr>
            </w:pPr>
          </w:p>
        </w:tc>
        <w:tc>
          <w:tcPr>
            <w:tcW w:w="3460" w:type="dxa"/>
            <w:vAlign w:val="bottom"/>
          </w:tcPr>
          <w:p>
            <w:pPr>
              <w:ind w:left="420"/>
              <w:spacing w:after="0"/>
              <w:rPr>
                <w:sz w:val="20"/>
                <w:szCs w:val="20"/>
                <w:color w:val="auto"/>
              </w:rPr>
            </w:pPr>
            <w:r>
              <w:rPr>
                <w:rFonts w:ascii="Arial" w:cs="Arial" w:eastAsia="Arial" w:hAnsi="Arial"/>
                <w:sz w:val="17"/>
                <w:szCs w:val="17"/>
                <w:color w:val="auto"/>
              </w:rPr>
              <w:t>2305 Mission College Blvd, #988</w:t>
            </w:r>
          </w:p>
        </w:tc>
        <w:tc>
          <w:tcPr>
            <w:tcW w:w="0" w:type="dxa"/>
            <w:vAlign w:val="bottom"/>
          </w:tcPr>
          <w:p>
            <w:pPr>
              <w:spacing w:after="0"/>
              <w:rPr>
                <w:sz w:val="1"/>
                <w:szCs w:val="1"/>
                <w:color w:val="auto"/>
              </w:rPr>
            </w:pPr>
          </w:p>
        </w:tc>
      </w:tr>
      <w:tr>
        <w:trPr>
          <w:trHeight w:val="210"/>
        </w:trPr>
        <w:tc>
          <w:tcPr>
            <w:tcW w:w="1500" w:type="dxa"/>
            <w:vAlign w:val="bottom"/>
            <w:vMerge w:val="restart"/>
          </w:tcPr>
          <w:p>
            <w:pPr>
              <w:spacing w:after="0"/>
              <w:rPr>
                <w:sz w:val="20"/>
                <w:szCs w:val="20"/>
                <w:color w:val="auto"/>
              </w:rPr>
            </w:pPr>
            <w:r>
              <w:rPr>
                <w:rFonts w:ascii="Arial" w:cs="Arial" w:eastAsia="Arial" w:hAnsi="Arial"/>
                <w:sz w:val="17"/>
                <w:szCs w:val="17"/>
                <w:b w:val="1"/>
                <w:bCs w:val="1"/>
                <w:color w:val="auto"/>
              </w:rPr>
              <w:t>Loan Number:</w:t>
            </w:r>
          </w:p>
        </w:tc>
        <w:tc>
          <w:tcPr>
            <w:tcW w:w="3180" w:type="dxa"/>
            <w:vAlign w:val="bottom"/>
          </w:tcPr>
          <w:p>
            <w:pPr>
              <w:ind w:left="380"/>
              <w:spacing w:after="0"/>
              <w:rPr>
                <w:sz w:val="20"/>
                <w:szCs w:val="20"/>
                <w:color w:val="auto"/>
              </w:rPr>
            </w:pPr>
            <w:r>
              <w:rPr>
                <w:rFonts w:ascii="Arial" w:cs="Arial" w:eastAsia="Arial" w:hAnsi="Arial"/>
                <w:sz w:val="17"/>
                <w:szCs w:val="17"/>
                <w:color w:val="auto"/>
              </w:rPr>
              <w:t>Sugar Land, TX 77478</w:t>
            </w:r>
          </w:p>
        </w:tc>
        <w:tc>
          <w:tcPr>
            <w:tcW w:w="2260" w:type="dxa"/>
            <w:vAlign w:val="bottom"/>
          </w:tcPr>
          <w:p>
            <w:pPr>
              <w:spacing w:after="0"/>
              <w:rPr>
                <w:sz w:val="18"/>
                <w:szCs w:val="18"/>
                <w:color w:val="auto"/>
              </w:rPr>
            </w:pPr>
          </w:p>
        </w:tc>
        <w:tc>
          <w:tcPr>
            <w:tcW w:w="3460" w:type="dxa"/>
            <w:vAlign w:val="bottom"/>
          </w:tcPr>
          <w:p>
            <w:pPr>
              <w:ind w:left="420"/>
              <w:spacing w:after="0"/>
              <w:rPr>
                <w:sz w:val="20"/>
                <w:szCs w:val="20"/>
                <w:color w:val="auto"/>
              </w:rPr>
            </w:pPr>
            <w:r>
              <w:rPr>
                <w:rFonts w:ascii="Arial" w:cs="Arial" w:eastAsia="Arial" w:hAnsi="Arial"/>
                <w:sz w:val="17"/>
                <w:szCs w:val="17"/>
                <w:color w:val="auto"/>
              </w:rPr>
              <w:t>Santa Clara, CA 95054</w:t>
            </w:r>
          </w:p>
        </w:tc>
        <w:tc>
          <w:tcPr>
            <w:tcW w:w="0" w:type="dxa"/>
            <w:vAlign w:val="bottom"/>
          </w:tcPr>
          <w:p>
            <w:pPr>
              <w:spacing w:after="0"/>
              <w:rPr>
                <w:sz w:val="1"/>
                <w:szCs w:val="1"/>
                <w:color w:val="auto"/>
              </w:rPr>
            </w:pPr>
          </w:p>
        </w:tc>
      </w:tr>
      <w:tr>
        <w:trPr>
          <w:trHeight w:val="210"/>
        </w:trPr>
        <w:tc>
          <w:tcPr>
            <w:tcW w:w="1500" w:type="dxa"/>
            <w:vAlign w:val="bottom"/>
            <w:vMerge w:val="continue"/>
          </w:tcPr>
          <w:p>
            <w:pPr>
              <w:spacing w:after="0"/>
              <w:rPr>
                <w:sz w:val="18"/>
                <w:szCs w:val="18"/>
                <w:color w:val="auto"/>
              </w:rPr>
            </w:pPr>
          </w:p>
        </w:tc>
        <w:tc>
          <w:tcPr>
            <w:tcW w:w="3180" w:type="dxa"/>
            <w:vAlign w:val="bottom"/>
          </w:tcPr>
          <w:p>
            <w:pPr>
              <w:ind w:left="380"/>
              <w:spacing w:after="0"/>
              <w:rPr>
                <w:sz w:val="20"/>
                <w:szCs w:val="20"/>
                <w:color w:val="auto"/>
              </w:rPr>
            </w:pPr>
            <w:r>
              <w:rPr>
                <w:rFonts w:ascii="Arial" w:cs="Arial" w:eastAsia="Arial" w:hAnsi="Arial"/>
                <w:sz w:val="17"/>
                <w:szCs w:val="17"/>
                <w:color w:val="auto"/>
              </w:rPr>
              <w:t>A) 87813118 / B) 87811520</w:t>
            </w:r>
          </w:p>
        </w:tc>
        <w:tc>
          <w:tcPr>
            <w:tcW w:w="22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vMerge w:val="restart"/>
          </w:tcPr>
          <w:p>
            <w:pPr>
              <w:spacing w:after="0"/>
              <w:rPr>
                <w:sz w:val="20"/>
                <w:szCs w:val="20"/>
                <w:color w:val="auto"/>
              </w:rPr>
            </w:pPr>
            <w:r>
              <w:rPr>
                <w:rFonts w:ascii="Arial" w:cs="Arial" w:eastAsia="Arial" w:hAnsi="Arial"/>
                <w:sz w:val="17"/>
                <w:szCs w:val="17"/>
                <w:b w:val="1"/>
                <w:bCs w:val="1"/>
                <w:color w:val="auto"/>
              </w:rPr>
              <w:t>Commitment:</w:t>
            </w:r>
          </w:p>
        </w:tc>
        <w:tc>
          <w:tcPr>
            <w:tcW w:w="3180" w:type="dxa"/>
            <w:vAlign w:val="bottom"/>
          </w:tcPr>
          <w:p>
            <w:pPr>
              <w:ind w:left="380"/>
              <w:spacing w:after="0"/>
              <w:rPr>
                <w:sz w:val="20"/>
                <w:szCs w:val="20"/>
                <w:color w:val="auto"/>
              </w:rPr>
            </w:pPr>
            <w:r>
              <w:rPr>
                <w:rFonts w:ascii="Arial" w:cs="Arial" w:eastAsia="Arial" w:hAnsi="Arial"/>
                <w:sz w:val="17"/>
                <w:szCs w:val="17"/>
                <w:color w:val="auto"/>
              </w:rPr>
              <w:t>C) 87812755 / D) 87812756</w:t>
            </w:r>
          </w:p>
        </w:tc>
        <w:tc>
          <w:tcPr>
            <w:tcW w:w="2260" w:type="dxa"/>
            <w:vAlign w:val="bottom"/>
            <w:vMerge w:val="restart"/>
          </w:tcPr>
          <w:p>
            <w:pPr>
              <w:ind w:left="560"/>
              <w:spacing w:after="0"/>
              <w:rPr>
                <w:sz w:val="20"/>
                <w:szCs w:val="20"/>
                <w:color w:val="auto"/>
              </w:rPr>
            </w:pPr>
            <w:r>
              <w:rPr>
                <w:rFonts w:ascii="Arial" w:cs="Arial" w:eastAsia="Arial" w:hAnsi="Arial"/>
                <w:sz w:val="17"/>
                <w:szCs w:val="17"/>
                <w:b w:val="1"/>
                <w:bCs w:val="1"/>
                <w:color w:val="auto"/>
              </w:rPr>
              <w:t>Account Officer:</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vMerge w:val="continue"/>
          </w:tcPr>
          <w:p>
            <w:pPr>
              <w:spacing w:after="0"/>
              <w:rPr>
                <w:sz w:val="18"/>
                <w:szCs w:val="18"/>
                <w:color w:val="auto"/>
              </w:rPr>
            </w:pPr>
          </w:p>
        </w:tc>
        <w:tc>
          <w:tcPr>
            <w:tcW w:w="3180" w:type="dxa"/>
            <w:vAlign w:val="bottom"/>
          </w:tcPr>
          <w:p>
            <w:pPr>
              <w:ind w:left="380"/>
              <w:spacing w:after="0"/>
              <w:rPr>
                <w:sz w:val="20"/>
                <w:szCs w:val="20"/>
                <w:color w:val="auto"/>
              </w:rPr>
            </w:pPr>
            <w:r>
              <w:rPr>
                <w:rFonts w:ascii="Arial" w:cs="Arial" w:eastAsia="Arial" w:hAnsi="Arial"/>
                <w:sz w:val="17"/>
                <w:szCs w:val="17"/>
                <w:color w:val="auto"/>
              </w:rPr>
              <w:t>A) $3,500,000 EXIM RLOC</w:t>
            </w:r>
          </w:p>
        </w:tc>
        <w:tc>
          <w:tcPr>
            <w:tcW w:w="2260" w:type="dxa"/>
            <w:vAlign w:val="bottom"/>
            <w:vMerge w:val="continue"/>
          </w:tcPr>
          <w:p>
            <w:pPr>
              <w:spacing w:after="0"/>
              <w:rPr>
                <w:sz w:val="18"/>
                <w:szCs w:val="18"/>
                <w:color w:val="auto"/>
              </w:rPr>
            </w:pPr>
          </w:p>
        </w:tc>
        <w:tc>
          <w:tcPr>
            <w:tcW w:w="3460" w:type="dxa"/>
            <w:vAlign w:val="bottom"/>
          </w:tcPr>
          <w:p>
            <w:pPr>
              <w:ind w:left="420"/>
              <w:spacing w:after="0"/>
              <w:rPr>
                <w:sz w:val="20"/>
                <w:szCs w:val="20"/>
                <w:color w:val="auto"/>
              </w:rPr>
            </w:pPr>
            <w:r>
              <w:rPr>
                <w:rFonts w:ascii="Arial" w:cs="Arial" w:eastAsia="Arial" w:hAnsi="Arial"/>
                <w:sz w:val="17"/>
                <w:szCs w:val="17"/>
                <w:color w:val="auto"/>
              </w:rPr>
              <w:t>Lisa Chang</w:t>
            </w: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3180" w:type="dxa"/>
            <w:vAlign w:val="bottom"/>
          </w:tcPr>
          <w:p>
            <w:pPr>
              <w:ind w:left="380"/>
              <w:spacing w:after="0"/>
              <w:rPr>
                <w:sz w:val="20"/>
                <w:szCs w:val="20"/>
                <w:color w:val="auto"/>
              </w:rPr>
            </w:pPr>
            <w:r>
              <w:rPr>
                <w:rFonts w:ascii="Arial" w:cs="Arial" w:eastAsia="Arial" w:hAnsi="Arial"/>
                <w:sz w:val="17"/>
                <w:szCs w:val="17"/>
                <w:color w:val="auto"/>
              </w:rPr>
              <w:t>B) $3,500,000 RLOC</w:t>
            </w:r>
          </w:p>
        </w:tc>
        <w:tc>
          <w:tcPr>
            <w:tcW w:w="2260" w:type="dxa"/>
            <w:vAlign w:val="bottom"/>
            <w:vMerge w:val="restart"/>
          </w:tcPr>
          <w:p>
            <w:pPr>
              <w:ind w:left="560"/>
              <w:spacing w:after="0"/>
              <w:rPr>
                <w:sz w:val="20"/>
                <w:szCs w:val="20"/>
                <w:color w:val="auto"/>
              </w:rPr>
            </w:pPr>
            <w:r>
              <w:rPr>
                <w:rFonts w:ascii="Arial" w:cs="Arial" w:eastAsia="Arial" w:hAnsi="Arial"/>
                <w:sz w:val="17"/>
                <w:szCs w:val="17"/>
                <w:b w:val="1"/>
                <w:bCs w:val="1"/>
                <w:color w:val="auto"/>
              </w:rPr>
              <w:t>Underwriter:</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3180" w:type="dxa"/>
            <w:vAlign w:val="bottom"/>
          </w:tcPr>
          <w:p>
            <w:pPr>
              <w:ind w:left="380"/>
              <w:spacing w:after="0"/>
              <w:rPr>
                <w:sz w:val="20"/>
                <w:szCs w:val="20"/>
                <w:color w:val="auto"/>
              </w:rPr>
            </w:pPr>
            <w:r>
              <w:rPr>
                <w:rFonts w:ascii="Arial" w:cs="Arial" w:eastAsia="Arial" w:hAnsi="Arial"/>
                <w:sz w:val="17"/>
                <w:szCs w:val="17"/>
                <w:color w:val="auto"/>
              </w:rPr>
              <w:t>C) $2,137,000 Equipment Loan</w:t>
            </w:r>
          </w:p>
        </w:tc>
        <w:tc>
          <w:tcPr>
            <w:tcW w:w="2260" w:type="dxa"/>
            <w:vAlign w:val="bottom"/>
            <w:vMerge w:val="continue"/>
          </w:tcPr>
          <w:p>
            <w:pPr>
              <w:spacing w:after="0"/>
              <w:rPr>
                <w:sz w:val="18"/>
                <w:szCs w:val="18"/>
                <w:color w:val="auto"/>
              </w:rPr>
            </w:pPr>
          </w:p>
        </w:tc>
        <w:tc>
          <w:tcPr>
            <w:tcW w:w="3460" w:type="dxa"/>
            <w:vAlign w:val="bottom"/>
          </w:tcPr>
          <w:p>
            <w:pPr>
              <w:ind w:left="420"/>
              <w:spacing w:after="0"/>
              <w:rPr>
                <w:sz w:val="20"/>
                <w:szCs w:val="20"/>
                <w:color w:val="auto"/>
              </w:rPr>
            </w:pPr>
            <w:r>
              <w:rPr>
                <w:rFonts w:ascii="Arial" w:cs="Arial" w:eastAsia="Arial" w:hAnsi="Arial"/>
                <w:sz w:val="17"/>
                <w:szCs w:val="17"/>
                <w:color w:val="auto"/>
              </w:rPr>
              <w:t>Lisa Chang</w:t>
            </w:r>
          </w:p>
        </w:tc>
        <w:tc>
          <w:tcPr>
            <w:tcW w:w="0" w:type="dxa"/>
            <w:vAlign w:val="bottom"/>
          </w:tcPr>
          <w:p>
            <w:pPr>
              <w:spacing w:after="0"/>
              <w:rPr>
                <w:sz w:val="1"/>
                <w:szCs w:val="1"/>
                <w:color w:val="auto"/>
              </w:rPr>
            </w:pPr>
          </w:p>
        </w:tc>
      </w:tr>
      <w:tr>
        <w:trPr>
          <w:trHeight w:val="222"/>
        </w:trPr>
        <w:tc>
          <w:tcPr>
            <w:tcW w:w="150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7"/>
                <w:szCs w:val="17"/>
                <w:color w:val="auto"/>
              </w:rPr>
              <w:t>D) $3,537,000 CRE</w:t>
            </w:r>
          </w:p>
        </w:tc>
        <w:tc>
          <w:tcPr>
            <w:tcW w:w="22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200"/>
        <w:spacing w:after="0" w:line="300" w:lineRule="auto"/>
        <w:rPr>
          <w:sz w:val="20"/>
          <w:szCs w:val="20"/>
          <w:color w:val="auto"/>
        </w:rPr>
      </w:pPr>
      <w:r>
        <w:rPr>
          <w:rFonts w:ascii="Arial" w:cs="Arial" w:eastAsia="Arial" w:hAnsi="Arial"/>
          <w:sz w:val="15"/>
          <w:szCs w:val="15"/>
          <w:color w:val="auto"/>
        </w:rPr>
        <w:t xml:space="preserve">The undersigned is authorized Officer of </w:t>
      </w:r>
      <w:r>
        <w:rPr>
          <w:rFonts w:ascii="Arial" w:cs="Arial" w:eastAsia="Arial" w:hAnsi="Arial"/>
          <w:sz w:val="15"/>
          <w:szCs w:val="15"/>
          <w:b w:val="1"/>
          <w:bCs w:val="1"/>
          <w:color w:val="auto"/>
        </w:rPr>
        <w:t>Applied Optoelectronic, Inc</w:t>
      </w:r>
      <w:r>
        <w:rPr>
          <w:rFonts w:ascii="Arial" w:cs="Arial" w:eastAsia="Arial" w:hAnsi="Arial"/>
          <w:sz w:val="15"/>
          <w:szCs w:val="15"/>
          <w:color w:val="auto"/>
        </w:rPr>
        <w:t xml:space="preserve"> hereby certifies that in accordance with the terms and conditions of the Loan &amp; Security Agreement dated </w:t>
      </w:r>
      <w:r>
        <w:rPr>
          <w:rFonts w:ascii="Arial" w:cs="Arial" w:eastAsia="Arial" w:hAnsi="Arial"/>
          <w:sz w:val="15"/>
          <w:szCs w:val="15"/>
          <w:b w:val="1"/>
          <w:bCs w:val="1"/>
          <w:color w:val="auto"/>
        </w:rPr>
        <w:t>September 6, 2007</w:t>
      </w:r>
      <w:r>
        <w:rPr>
          <w:rFonts w:ascii="Arial" w:cs="Arial" w:eastAsia="Arial" w:hAnsi="Arial"/>
          <w:sz w:val="15"/>
          <w:szCs w:val="15"/>
          <w:color w:val="auto"/>
        </w:rPr>
        <w:t xml:space="preserve">, Amendment to Loan and Security Agreement dated </w:t>
      </w:r>
      <w:r>
        <w:rPr>
          <w:rFonts w:ascii="Arial" w:cs="Arial" w:eastAsia="Arial" w:hAnsi="Arial"/>
          <w:sz w:val="15"/>
          <w:szCs w:val="15"/>
          <w:b w:val="1"/>
          <w:bCs w:val="1"/>
          <w:color w:val="auto"/>
        </w:rPr>
        <w:t>February 20, 2008,</w:t>
      </w:r>
      <w:r>
        <w:rPr>
          <w:rFonts w:ascii="Arial" w:cs="Arial" w:eastAsia="Arial" w:hAnsi="Arial"/>
          <w:sz w:val="15"/>
          <w:szCs w:val="15"/>
          <w:color w:val="auto"/>
        </w:rPr>
        <w:t xml:space="preserve"> Amendment to Loan and Security Agreement dated </w:t>
      </w:r>
      <w:r>
        <w:rPr>
          <w:rFonts w:ascii="Arial" w:cs="Arial" w:eastAsia="Arial" w:hAnsi="Arial"/>
          <w:sz w:val="15"/>
          <w:szCs w:val="15"/>
          <w:b w:val="1"/>
          <w:bCs w:val="1"/>
          <w:color w:val="auto"/>
        </w:rPr>
        <w:t>March 31, 2009</w:t>
      </w:r>
      <w:r>
        <w:rPr>
          <w:rFonts w:ascii="Arial" w:cs="Arial" w:eastAsia="Arial" w:hAnsi="Arial"/>
          <w:sz w:val="15"/>
          <w:szCs w:val="15"/>
          <w:color w:val="auto"/>
        </w:rPr>
        <w:t xml:space="preserve">, Amendment to Loan and Security Agreement dated </w:t>
      </w:r>
      <w:r>
        <w:rPr>
          <w:rFonts w:ascii="Arial" w:cs="Arial" w:eastAsia="Arial" w:hAnsi="Arial"/>
          <w:sz w:val="15"/>
          <w:szCs w:val="15"/>
          <w:b w:val="1"/>
          <w:bCs w:val="1"/>
          <w:color w:val="auto"/>
        </w:rPr>
        <w:t>April 1, 2009</w:t>
      </w:r>
      <w:r>
        <w:rPr>
          <w:rFonts w:ascii="Arial" w:cs="Arial" w:eastAsia="Arial" w:hAnsi="Arial"/>
          <w:sz w:val="15"/>
          <w:szCs w:val="15"/>
          <w:color w:val="auto"/>
        </w:rPr>
        <w:t xml:space="preserve">, Amended and Restated Loan and Security Agreement dated </w:t>
      </w:r>
      <w:r>
        <w:rPr>
          <w:rFonts w:ascii="Arial" w:cs="Arial" w:eastAsia="Arial" w:hAnsi="Arial"/>
          <w:sz w:val="15"/>
          <w:szCs w:val="15"/>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4930775</wp:posOffset>
            </wp:positionH>
            <wp:positionV relativeFrom="paragraph">
              <wp:posOffset>-156845</wp:posOffset>
            </wp:positionV>
            <wp:extent cx="2794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jc w:val="both"/>
        <w:ind w:right="20"/>
        <w:spacing w:after="0" w:line="266" w:lineRule="auto"/>
        <w:rPr>
          <w:sz w:val="20"/>
          <w:szCs w:val="20"/>
          <w:color w:val="auto"/>
        </w:rPr>
      </w:pPr>
      <w:r>
        <w:rPr>
          <w:rFonts w:ascii="Arial" w:cs="Arial" w:eastAsia="Arial" w:hAnsi="Arial"/>
          <w:sz w:val="17"/>
          <w:szCs w:val="17"/>
          <w:b w:val="1"/>
          <w:bCs w:val="1"/>
          <w:color w:val="auto"/>
        </w:rPr>
        <w:t xml:space="preserve">2009, </w:t>
      </w:r>
      <w:r>
        <w:rPr>
          <w:rFonts w:ascii="Arial" w:cs="Arial" w:eastAsia="Arial" w:hAnsi="Arial"/>
          <w:sz w:val="17"/>
          <w:szCs w:val="17"/>
          <w:color w:val="auto"/>
        </w:rPr>
        <w:t>the Borrower is in complete compliance for the period ended of all required terms and conditions except as noted below. Attached herewith are</w:t>
      </w:r>
      <w:r>
        <w:rPr>
          <w:rFonts w:ascii="Arial" w:cs="Arial" w:eastAsia="Arial" w:hAnsi="Arial"/>
          <w:sz w:val="17"/>
          <w:szCs w:val="17"/>
          <w:b w:val="1"/>
          <w:bCs w:val="1"/>
          <w:color w:val="auto"/>
        </w:rPr>
        <w:t xml:space="preserve"> </w:t>
      </w:r>
      <w:r>
        <w:rPr>
          <w:rFonts w:ascii="Arial" w:cs="Arial" w:eastAsia="Arial" w:hAnsi="Arial"/>
          <w:sz w:val="17"/>
          <w:szCs w:val="17"/>
          <w:color w:val="auto"/>
        </w:rPr>
        <w:t>the required documents supporting the above certification. The Officer further certifies that these are prepared in accordance with Generally Accepted Accounting Principles (GAAP) and are consistent from one period to the next except as explained in an accompanying letter of footnotes.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Please indicate compliance status by circling Met/Not Met under “Complies” column.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REPORTING COVENANTS</w:t>
            </w:r>
          </w:p>
        </w:tc>
        <w:tc>
          <w:tcPr>
            <w:tcW w:w="3300" w:type="dxa"/>
            <w:vAlign w:val="bottom"/>
          </w:tcPr>
          <w:p>
            <w:pPr>
              <w:ind w:left="1280"/>
              <w:spacing w:after="0"/>
              <w:rPr>
                <w:sz w:val="20"/>
                <w:szCs w:val="20"/>
                <w:color w:val="auto"/>
              </w:rPr>
            </w:pPr>
            <w:r>
              <w:rPr>
                <w:rFonts w:ascii="Arial" w:cs="Arial" w:eastAsia="Arial" w:hAnsi="Arial"/>
                <w:sz w:val="14"/>
                <w:szCs w:val="14"/>
                <w:b w:val="1"/>
                <w:bCs w:val="1"/>
                <w:color w:val="auto"/>
              </w:rPr>
              <w:t>REQUIRED</w:t>
            </w:r>
          </w:p>
        </w:tc>
        <w:tc>
          <w:tcPr>
            <w:tcW w:w="260" w:type="dxa"/>
            <w:vAlign w:val="bottom"/>
          </w:tcPr>
          <w:p>
            <w:pPr>
              <w:spacing w:after="0"/>
              <w:rPr>
                <w:sz w:val="14"/>
                <w:szCs w:val="14"/>
                <w:color w:val="auto"/>
              </w:rPr>
            </w:pPr>
          </w:p>
        </w:tc>
        <w:tc>
          <w:tcPr>
            <w:tcW w:w="1900" w:type="dxa"/>
            <w:vAlign w:val="bottom"/>
          </w:tcPr>
          <w:p>
            <w:pPr>
              <w:ind w:left="460"/>
              <w:spacing w:after="0"/>
              <w:rPr>
                <w:sz w:val="20"/>
                <w:szCs w:val="20"/>
                <w:color w:val="auto"/>
              </w:rPr>
            </w:pPr>
            <w:r>
              <w:rPr>
                <w:rFonts w:ascii="Arial" w:cs="Arial" w:eastAsia="Arial" w:hAnsi="Arial"/>
                <w:sz w:val="14"/>
                <w:szCs w:val="14"/>
                <w:b w:val="1"/>
                <w:bCs w:val="1"/>
                <w:color w:val="auto"/>
              </w:rPr>
              <w:t>COMPLIANCE</w:t>
            </w:r>
          </w:p>
        </w:tc>
      </w:tr>
      <w:tr>
        <w:trPr>
          <w:trHeight w:val="203"/>
        </w:trPr>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Annual CPA Audited Financial Statements</w:t>
            </w:r>
          </w:p>
        </w:tc>
        <w:tc>
          <w:tcPr>
            <w:tcW w:w="280" w:type="dxa"/>
            <w:vAlign w:val="bottom"/>
            <w:tcBorders>
              <w:top w:val="single" w:sz="8" w:color="CCEEFF"/>
            </w:tcBorders>
            <w:shd w:val="clear" w:color="auto" w:fill="CCEEFF"/>
          </w:tcPr>
          <w:p>
            <w:pPr>
              <w:spacing w:after="0"/>
              <w:rPr>
                <w:sz w:val="17"/>
                <w:szCs w:val="17"/>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w/in 150 days from FYE (12/31)</w:t>
            </w:r>
          </w:p>
        </w:tc>
        <w:tc>
          <w:tcPr>
            <w:tcW w:w="26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MET/NOT MET</w:t>
            </w:r>
          </w:p>
        </w:tc>
      </w:tr>
      <w:tr>
        <w:trPr>
          <w:trHeight w:val="210"/>
        </w:trPr>
        <w:tc>
          <w:tcPr>
            <w:tcW w:w="5960" w:type="dxa"/>
            <w:vAlign w:val="bottom"/>
            <w:gridSpan w:val="2"/>
          </w:tcPr>
          <w:p>
            <w:pPr>
              <w:spacing w:after="0"/>
              <w:rPr>
                <w:sz w:val="20"/>
                <w:szCs w:val="20"/>
                <w:color w:val="auto"/>
              </w:rPr>
            </w:pPr>
            <w:r>
              <w:rPr>
                <w:rFonts w:ascii="Arial" w:cs="Arial" w:eastAsia="Arial" w:hAnsi="Arial"/>
                <w:sz w:val="17"/>
                <w:szCs w:val="17"/>
                <w:color w:val="auto"/>
              </w:rPr>
              <w:t>Monthly Co. prepared Financial Statements</w:t>
            </w:r>
          </w:p>
        </w:tc>
        <w:tc>
          <w:tcPr>
            <w:tcW w:w="3300" w:type="dxa"/>
            <w:vAlign w:val="bottom"/>
          </w:tcPr>
          <w:p>
            <w:pPr>
              <w:spacing w:after="0"/>
              <w:rPr>
                <w:sz w:val="20"/>
                <w:szCs w:val="20"/>
                <w:color w:val="auto"/>
              </w:rPr>
            </w:pPr>
            <w:r>
              <w:rPr>
                <w:rFonts w:ascii="Arial" w:cs="Arial" w:eastAsia="Arial" w:hAnsi="Arial"/>
                <w:sz w:val="17"/>
                <w:szCs w:val="17"/>
                <w:color w:val="auto"/>
              </w:rPr>
              <w:t>w/in 20 days from Monthly end</w:t>
            </w:r>
          </w:p>
        </w:tc>
        <w:tc>
          <w:tcPr>
            <w:tcW w:w="2160" w:type="dxa"/>
            <w:vAlign w:val="bottom"/>
            <w:gridSpan w:val="2"/>
          </w:tcPr>
          <w:p>
            <w:pPr>
              <w:ind w:left="260"/>
              <w:spacing w:after="0"/>
              <w:rPr>
                <w:sz w:val="20"/>
                <w:szCs w:val="20"/>
                <w:color w:val="auto"/>
              </w:rPr>
            </w:pPr>
            <w:r>
              <w:rPr>
                <w:rFonts w:ascii="Arial" w:cs="Arial" w:eastAsia="Arial" w:hAnsi="Arial"/>
                <w:sz w:val="17"/>
                <w:szCs w:val="17"/>
                <w:color w:val="auto"/>
              </w:rPr>
              <w:t>MET/NOT MET</w:t>
            </w:r>
          </w:p>
        </w:tc>
      </w:tr>
      <w:tr>
        <w:trPr>
          <w:trHeight w:val="210"/>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Monthly Compliance Certificate</w:t>
            </w: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w/in 20 days from Monthly end</w:t>
            </w:r>
          </w:p>
        </w:tc>
        <w:tc>
          <w:tcPr>
            <w:tcW w:w="21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MET/NOT MET</w:t>
            </w:r>
          </w:p>
        </w:tc>
      </w:tr>
      <w:tr>
        <w:trPr>
          <w:trHeight w:val="210"/>
        </w:trPr>
        <w:tc>
          <w:tcPr>
            <w:tcW w:w="5960" w:type="dxa"/>
            <w:vAlign w:val="bottom"/>
            <w:gridSpan w:val="2"/>
          </w:tcPr>
          <w:p>
            <w:pPr>
              <w:spacing w:after="0"/>
              <w:rPr>
                <w:sz w:val="20"/>
                <w:szCs w:val="20"/>
                <w:color w:val="auto"/>
              </w:rPr>
            </w:pPr>
            <w:r>
              <w:rPr>
                <w:rFonts w:ascii="Arial" w:cs="Arial" w:eastAsia="Arial" w:hAnsi="Arial"/>
                <w:sz w:val="17"/>
                <w:szCs w:val="17"/>
                <w:color w:val="auto"/>
              </w:rPr>
              <w:t>Monthly A/R aging, A/P reports and Inventory list</w:t>
            </w:r>
          </w:p>
        </w:tc>
        <w:tc>
          <w:tcPr>
            <w:tcW w:w="3300" w:type="dxa"/>
            <w:vAlign w:val="bottom"/>
          </w:tcPr>
          <w:p>
            <w:pPr>
              <w:spacing w:after="0"/>
              <w:rPr>
                <w:sz w:val="20"/>
                <w:szCs w:val="20"/>
                <w:color w:val="auto"/>
              </w:rPr>
            </w:pPr>
            <w:r>
              <w:rPr>
                <w:rFonts w:ascii="Arial" w:cs="Arial" w:eastAsia="Arial" w:hAnsi="Arial"/>
                <w:sz w:val="17"/>
                <w:szCs w:val="17"/>
                <w:color w:val="auto"/>
              </w:rPr>
              <w:t>w/in 20 days from Monthly end</w:t>
            </w:r>
          </w:p>
        </w:tc>
        <w:tc>
          <w:tcPr>
            <w:tcW w:w="2160" w:type="dxa"/>
            <w:vAlign w:val="bottom"/>
            <w:gridSpan w:val="2"/>
          </w:tcPr>
          <w:p>
            <w:pPr>
              <w:ind w:left="260"/>
              <w:spacing w:after="0"/>
              <w:rPr>
                <w:sz w:val="20"/>
                <w:szCs w:val="20"/>
                <w:color w:val="auto"/>
              </w:rPr>
            </w:pPr>
            <w:r>
              <w:rPr>
                <w:rFonts w:ascii="Arial" w:cs="Arial" w:eastAsia="Arial" w:hAnsi="Arial"/>
                <w:sz w:val="17"/>
                <w:szCs w:val="17"/>
                <w:color w:val="auto"/>
              </w:rPr>
              <w:t>MET/NOT MET</w:t>
            </w:r>
          </w:p>
        </w:tc>
      </w:tr>
      <w:tr>
        <w:trPr>
          <w:trHeight w:val="210"/>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Monthly Borrowing Base Certificate</w:t>
            </w: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w/in 20 days from Monthly end</w:t>
            </w:r>
          </w:p>
        </w:tc>
        <w:tc>
          <w:tcPr>
            <w:tcW w:w="21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MET/NOT MET</w:t>
            </w:r>
          </w:p>
        </w:tc>
      </w:tr>
      <w:tr>
        <w:trPr>
          <w:trHeight w:val="210"/>
        </w:trPr>
        <w:tc>
          <w:tcPr>
            <w:tcW w:w="5960" w:type="dxa"/>
            <w:vAlign w:val="bottom"/>
            <w:gridSpan w:val="2"/>
          </w:tcPr>
          <w:p>
            <w:pPr>
              <w:spacing w:after="0"/>
              <w:rPr>
                <w:sz w:val="20"/>
                <w:szCs w:val="20"/>
                <w:color w:val="auto"/>
              </w:rPr>
            </w:pPr>
            <w:r>
              <w:rPr>
                <w:rFonts w:ascii="Arial" w:cs="Arial" w:eastAsia="Arial" w:hAnsi="Arial"/>
                <w:sz w:val="17"/>
                <w:szCs w:val="17"/>
                <w:color w:val="auto"/>
              </w:rPr>
              <w:t>Monthly EXIM Borrowing Base Certificate</w:t>
            </w:r>
          </w:p>
        </w:tc>
        <w:tc>
          <w:tcPr>
            <w:tcW w:w="3300" w:type="dxa"/>
            <w:vAlign w:val="bottom"/>
          </w:tcPr>
          <w:p>
            <w:pPr>
              <w:spacing w:after="0"/>
              <w:rPr>
                <w:sz w:val="20"/>
                <w:szCs w:val="20"/>
                <w:color w:val="auto"/>
              </w:rPr>
            </w:pPr>
            <w:r>
              <w:rPr>
                <w:rFonts w:ascii="Arial" w:cs="Arial" w:eastAsia="Arial" w:hAnsi="Arial"/>
                <w:sz w:val="17"/>
                <w:szCs w:val="17"/>
                <w:color w:val="auto"/>
              </w:rPr>
              <w:t>w/in 20 days from Monthly end</w:t>
            </w:r>
          </w:p>
        </w:tc>
        <w:tc>
          <w:tcPr>
            <w:tcW w:w="2160" w:type="dxa"/>
            <w:vAlign w:val="bottom"/>
            <w:gridSpan w:val="2"/>
          </w:tcPr>
          <w:p>
            <w:pPr>
              <w:ind w:left="260"/>
              <w:spacing w:after="0"/>
              <w:rPr>
                <w:sz w:val="20"/>
                <w:szCs w:val="20"/>
                <w:color w:val="auto"/>
              </w:rPr>
            </w:pPr>
            <w:r>
              <w:rPr>
                <w:rFonts w:ascii="Arial" w:cs="Arial" w:eastAsia="Arial" w:hAnsi="Arial"/>
                <w:sz w:val="17"/>
                <w:szCs w:val="17"/>
                <w:color w:val="auto"/>
              </w:rPr>
              <w:t>MET/NOT MET</w:t>
            </w:r>
          </w:p>
        </w:tc>
      </w:tr>
      <w:tr>
        <w:trPr>
          <w:trHeight w:val="210"/>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Monthly Foreign A/R Aging, AP Aging and Inventory list</w:t>
            </w: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w/in 20 days from Monthly end</w:t>
            </w:r>
          </w:p>
        </w:tc>
        <w:tc>
          <w:tcPr>
            <w:tcW w:w="21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MET/NOT MET</w:t>
            </w:r>
          </w:p>
        </w:tc>
      </w:tr>
    </w:tbl>
    <w:p>
      <w:pPr>
        <w:sectPr>
          <w:pgSz w:w="11900" w:h="16838" w:orient="portrait"/>
          <w:cols w:equalWidth="0" w:num="1">
            <w:col w:w="11420"/>
          </w:cols>
          <w:pgMar w:left="240" w:top="127" w:right="239" w:bottom="0" w:gutter="0" w:footer="0" w:header="0"/>
          <w:type w:val="continuous"/>
        </w:sectPr>
      </w:pPr>
    </w:p>
    <w:bookmarkStart w:id="405" w:name="page406"/>
    <w:bookmarkEnd w:id="4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gridSpan w:val="2"/>
          </w:tcPr>
          <w:p>
            <w:pPr>
              <w:spacing w:after="0"/>
              <w:rPr>
                <w:sz w:val="20"/>
                <w:szCs w:val="20"/>
                <w:color w:val="auto"/>
              </w:rPr>
            </w:pPr>
            <w:r>
              <w:rPr>
                <w:rFonts w:ascii="Arial" w:cs="Arial" w:eastAsia="Arial" w:hAnsi="Arial"/>
                <w:sz w:val="17"/>
                <w:szCs w:val="17"/>
                <w:color w:val="auto"/>
              </w:rPr>
              <w:t>Monthly Summary of Export Purchase Order and copies of Actual Pos (10%</w:t>
            </w:r>
          </w:p>
        </w:tc>
        <w:tc>
          <w:tcPr>
            <w:tcW w:w="3540" w:type="dxa"/>
            <w:vAlign w:val="bottom"/>
            <w:gridSpan w:val="4"/>
          </w:tcPr>
          <w:p>
            <w:pPr>
              <w:spacing w:after="0"/>
              <w:rPr>
                <w:sz w:val="20"/>
                <w:szCs w:val="20"/>
                <w:color w:val="auto"/>
              </w:rPr>
            </w:pPr>
            <w:r>
              <w:rPr>
                <w:rFonts w:ascii="Arial" w:cs="Arial" w:eastAsia="Arial" w:hAnsi="Arial"/>
                <w:sz w:val="17"/>
                <w:szCs w:val="17"/>
                <w:color w:val="auto"/>
              </w:rPr>
              <w:t>w/in 20 days from Monthly end</w:t>
            </w:r>
          </w:p>
        </w:tc>
        <w:tc>
          <w:tcPr>
            <w:tcW w:w="1920" w:type="dxa"/>
            <w:vAlign w:val="bottom"/>
            <w:gridSpan w:val="2"/>
          </w:tcPr>
          <w:p>
            <w:pPr>
              <w:ind w:left="20"/>
              <w:spacing w:after="0"/>
              <w:rPr>
                <w:sz w:val="20"/>
                <w:szCs w:val="20"/>
                <w:color w:val="auto"/>
              </w:rPr>
            </w:pPr>
            <w:r>
              <w:rPr>
                <w:rFonts w:ascii="Arial" w:cs="Arial" w:eastAsia="Arial" w:hAnsi="Arial"/>
                <w:sz w:val="17"/>
                <w:szCs w:val="17"/>
                <w:color w:val="auto"/>
              </w:rPr>
              <w:t>MET/NOT MET</w:t>
            </w:r>
          </w:p>
        </w:tc>
      </w:tr>
      <w:tr>
        <w:trPr>
          <w:trHeight w:val="222"/>
        </w:trPr>
        <w:tc>
          <w:tcPr>
            <w:tcW w:w="5960" w:type="dxa"/>
            <w:vAlign w:val="bottom"/>
            <w:gridSpan w:val="2"/>
          </w:tcPr>
          <w:p>
            <w:pPr>
              <w:ind w:left="180"/>
              <w:spacing w:after="0"/>
              <w:rPr>
                <w:sz w:val="20"/>
                <w:szCs w:val="20"/>
                <w:color w:val="auto"/>
              </w:rPr>
            </w:pPr>
            <w:r>
              <w:rPr>
                <w:rFonts w:ascii="Arial" w:cs="Arial" w:eastAsia="Arial" w:hAnsi="Arial"/>
                <w:sz w:val="17"/>
                <w:szCs w:val="17"/>
                <w:color w:val="auto"/>
              </w:rPr>
              <w:t>sample) shall be submitted</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54"/>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FINANCIAL COVENANTS</w:t>
            </w:r>
          </w:p>
        </w:tc>
        <w:tc>
          <w:tcPr>
            <w:tcW w:w="1880" w:type="dxa"/>
            <w:vAlign w:val="bottom"/>
            <w:gridSpan w:val="2"/>
          </w:tcPr>
          <w:p>
            <w:pPr>
              <w:ind w:left="420"/>
              <w:spacing w:after="0"/>
              <w:rPr>
                <w:sz w:val="20"/>
                <w:szCs w:val="20"/>
                <w:color w:val="auto"/>
              </w:rPr>
            </w:pPr>
            <w:r>
              <w:rPr>
                <w:rFonts w:ascii="Arial" w:cs="Arial" w:eastAsia="Arial" w:hAnsi="Arial"/>
                <w:sz w:val="14"/>
                <w:szCs w:val="14"/>
                <w:b w:val="1"/>
                <w:bCs w:val="1"/>
                <w:color w:val="auto"/>
              </w:rPr>
              <w:t>REQUIRED</w:t>
            </w:r>
          </w:p>
        </w:tc>
        <w:tc>
          <w:tcPr>
            <w:tcW w:w="1660" w:type="dxa"/>
            <w:vAlign w:val="bottom"/>
            <w:gridSpan w:val="2"/>
          </w:tcPr>
          <w:p>
            <w:pPr>
              <w:ind w:left="400"/>
              <w:spacing w:after="0"/>
              <w:rPr>
                <w:sz w:val="20"/>
                <w:szCs w:val="20"/>
                <w:color w:val="auto"/>
              </w:rPr>
            </w:pPr>
            <w:r>
              <w:rPr>
                <w:rFonts w:ascii="Arial" w:cs="Arial" w:eastAsia="Arial" w:hAnsi="Arial"/>
                <w:sz w:val="14"/>
                <w:szCs w:val="14"/>
                <w:b w:val="1"/>
                <w:bCs w:val="1"/>
                <w:color w:val="auto"/>
              </w:rPr>
              <w:t>ACTUAL</w:t>
            </w:r>
          </w:p>
        </w:tc>
        <w:tc>
          <w:tcPr>
            <w:tcW w:w="1920" w:type="dxa"/>
            <w:vAlign w:val="bottom"/>
            <w:gridSpan w:val="2"/>
          </w:tcPr>
          <w:p>
            <w:pPr>
              <w:ind w:left="540"/>
              <w:spacing w:after="0"/>
              <w:rPr>
                <w:sz w:val="20"/>
                <w:szCs w:val="20"/>
                <w:color w:val="auto"/>
              </w:rPr>
            </w:pPr>
            <w:r>
              <w:rPr>
                <w:rFonts w:ascii="Arial" w:cs="Arial" w:eastAsia="Arial" w:hAnsi="Arial"/>
                <w:sz w:val="14"/>
                <w:szCs w:val="14"/>
                <w:b w:val="1"/>
                <w:bCs w:val="1"/>
                <w:color w:val="auto"/>
              </w:rPr>
              <w:t>COMPLIES</w:t>
            </w:r>
          </w:p>
        </w:tc>
      </w:tr>
      <w:tr>
        <w:trPr>
          <w:trHeight w:val="203"/>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Minimum Monthly Current Ratio:</w:t>
            </w:r>
          </w:p>
        </w:tc>
        <w:tc>
          <w:tcPr>
            <w:tcW w:w="3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1.20:1.00</w:t>
            </w: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641"/>
              <w:spacing w:after="0"/>
              <w:rPr>
                <w:sz w:val="20"/>
                <w:szCs w:val="20"/>
                <w:color w:val="auto"/>
              </w:rPr>
            </w:pPr>
            <w:r>
              <w:rPr>
                <w:rFonts w:ascii="Arial" w:cs="Arial" w:eastAsia="Arial" w:hAnsi="Arial"/>
                <w:sz w:val="17"/>
                <w:szCs w:val="17"/>
                <w:color w:val="auto"/>
              </w:rPr>
              <w:t>:1.00</w:t>
            </w:r>
          </w:p>
        </w:tc>
        <w:tc>
          <w:tcPr>
            <w:tcW w:w="28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MET/NOT MET</w:t>
            </w:r>
          </w:p>
        </w:tc>
        <w:tc>
          <w:tcPr>
            <w:tcW w:w="120" w:type="dxa"/>
            <w:vAlign w:val="bottom"/>
            <w:tcBorders>
              <w:top w:val="single" w:sz="8" w:color="CCEEFF"/>
            </w:tcBorders>
            <w:shd w:val="clear" w:color="auto" w:fill="CCEEFF"/>
          </w:tcPr>
          <w:p>
            <w:pPr>
              <w:spacing w:after="0"/>
              <w:rPr>
                <w:sz w:val="17"/>
                <w:szCs w:val="17"/>
                <w:color w:val="auto"/>
              </w:rPr>
            </w:pPr>
          </w:p>
        </w:tc>
      </w:tr>
    </w:tbl>
    <w:p>
      <w:pPr>
        <w:spacing w:after="0" w:line="197"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(Note: if the loan (or line of credit) borrowed by Global Technology, Inc. in China by pledging the real estate collateral has a term of 1 year or shorter, only 1/3 of the loan shall be counted as current liability.)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Minimum Quarterly EBITDASO:</w:t>
            </w:r>
          </w:p>
        </w:tc>
        <w:tc>
          <w:tcPr>
            <w:tcW w:w="8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7"/>
                <w:szCs w:val="17"/>
                <w:color w:val="auto"/>
              </w:rPr>
              <w:t>(a) 04/01/09 to 06/30/09</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360" w:type="dxa"/>
            <w:vAlign w:val="bottom"/>
          </w:tcPr>
          <w:p>
            <w:pPr>
              <w:jc w:val="right"/>
              <w:ind w:right="533"/>
              <w:spacing w:after="0"/>
              <w:rPr>
                <w:sz w:val="20"/>
                <w:szCs w:val="20"/>
                <w:color w:val="auto"/>
              </w:rPr>
            </w:pPr>
            <w:r>
              <w:rPr>
                <w:rFonts w:ascii="Arial" w:cs="Arial" w:eastAsia="Arial" w:hAnsi="Arial"/>
                <w:sz w:val="17"/>
                <w:szCs w:val="17"/>
                <w:color w:val="auto"/>
              </w:rPr>
              <w:t>(600,000)</w:t>
            </w:r>
          </w:p>
        </w:tc>
        <w:tc>
          <w:tcPr>
            <w:tcW w:w="1300" w:type="dxa"/>
            <w:vAlign w:val="bottom"/>
          </w:tcPr>
          <w:p>
            <w:pPr>
              <w:spacing w:after="0"/>
              <w:rPr>
                <w:sz w:val="18"/>
                <w:szCs w:val="18"/>
                <w:color w:val="auto"/>
              </w:rPr>
            </w:pPr>
          </w:p>
        </w:tc>
        <w:tc>
          <w:tcPr>
            <w:tcW w:w="2340" w:type="dxa"/>
            <w:vAlign w:val="bottom"/>
          </w:tcPr>
          <w:p>
            <w:pPr>
              <w:ind w:left="420"/>
              <w:spacing w:after="0"/>
              <w:rPr>
                <w:sz w:val="20"/>
                <w:szCs w:val="20"/>
                <w:color w:val="auto"/>
              </w:rPr>
            </w:pPr>
            <w:r>
              <w:rPr>
                <w:rFonts w:ascii="Arial" w:cs="Arial" w:eastAsia="Arial" w:hAnsi="Arial"/>
                <w:sz w:val="17"/>
                <w:szCs w:val="17"/>
                <w:color w:val="auto"/>
              </w:rPr>
              <w:t>MET/NOT MET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(b) 07/01/09 to 09/30/09</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36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500,000</w:t>
            </w:r>
          </w:p>
        </w:tc>
        <w:tc>
          <w:tcPr>
            <w:tcW w:w="1300" w:type="dxa"/>
            <w:vAlign w:val="bottom"/>
            <w:shd w:val="clear" w:color="auto" w:fill="CCEEFF"/>
          </w:tcPr>
          <w:p>
            <w:pPr>
              <w:spacing w:after="0"/>
              <w:rPr>
                <w:sz w:val="18"/>
                <w:szCs w:val="18"/>
                <w:color w:val="auto"/>
              </w:rPr>
            </w:pPr>
          </w:p>
        </w:tc>
        <w:tc>
          <w:tcPr>
            <w:tcW w:w="2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MET/NOT MET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7"/>
                <w:szCs w:val="17"/>
                <w:color w:val="auto"/>
              </w:rPr>
              <w:t>(c) 09/30/09 to 12/31/09</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360" w:type="dxa"/>
            <w:vAlign w:val="bottom"/>
          </w:tcPr>
          <w:p>
            <w:pPr>
              <w:jc w:val="right"/>
              <w:ind w:right="573"/>
              <w:spacing w:after="0"/>
              <w:rPr>
                <w:sz w:val="20"/>
                <w:szCs w:val="20"/>
                <w:color w:val="auto"/>
              </w:rPr>
            </w:pPr>
            <w:r>
              <w:rPr>
                <w:rFonts w:ascii="Arial" w:cs="Arial" w:eastAsia="Arial" w:hAnsi="Arial"/>
                <w:sz w:val="17"/>
                <w:szCs w:val="17"/>
                <w:color w:val="auto"/>
              </w:rPr>
              <w:t>1,000,000</w:t>
            </w:r>
          </w:p>
        </w:tc>
        <w:tc>
          <w:tcPr>
            <w:tcW w:w="1300" w:type="dxa"/>
            <w:vAlign w:val="bottom"/>
          </w:tcPr>
          <w:p>
            <w:pPr>
              <w:spacing w:after="0"/>
              <w:rPr>
                <w:sz w:val="18"/>
                <w:szCs w:val="18"/>
                <w:color w:val="auto"/>
              </w:rPr>
            </w:pPr>
          </w:p>
        </w:tc>
        <w:tc>
          <w:tcPr>
            <w:tcW w:w="2340" w:type="dxa"/>
            <w:vAlign w:val="bottom"/>
          </w:tcPr>
          <w:p>
            <w:pPr>
              <w:ind w:left="420"/>
              <w:spacing w:after="0"/>
              <w:rPr>
                <w:sz w:val="20"/>
                <w:szCs w:val="20"/>
                <w:color w:val="auto"/>
              </w:rPr>
            </w:pPr>
            <w:r>
              <w:rPr>
                <w:rFonts w:ascii="Arial" w:cs="Arial" w:eastAsia="Arial" w:hAnsi="Arial"/>
                <w:sz w:val="17"/>
                <w:szCs w:val="17"/>
                <w:color w:val="auto"/>
              </w:rPr>
              <w:t>MET/NOT MET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 Each of Q1 after 12/31/09</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36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300,000</w:t>
            </w:r>
          </w:p>
        </w:tc>
        <w:tc>
          <w:tcPr>
            <w:tcW w:w="1300" w:type="dxa"/>
            <w:vAlign w:val="bottom"/>
            <w:shd w:val="clear" w:color="auto" w:fill="CCEEFF"/>
          </w:tcPr>
          <w:p>
            <w:pPr>
              <w:spacing w:after="0"/>
              <w:rPr>
                <w:sz w:val="18"/>
                <w:szCs w:val="18"/>
                <w:color w:val="auto"/>
              </w:rPr>
            </w:pPr>
          </w:p>
        </w:tc>
        <w:tc>
          <w:tcPr>
            <w:tcW w:w="2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MET/NOT MET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2"/>
          </w:tcPr>
          <w:p>
            <w:pPr>
              <w:ind w:left="160"/>
              <w:spacing w:after="0"/>
              <w:rPr>
                <w:sz w:val="20"/>
                <w:szCs w:val="20"/>
                <w:color w:val="auto"/>
              </w:rPr>
            </w:pPr>
            <w:r>
              <w:rPr>
                <w:rFonts w:ascii="Arial" w:cs="Arial" w:eastAsia="Arial" w:hAnsi="Arial"/>
                <w:sz w:val="17"/>
                <w:szCs w:val="17"/>
                <w:color w:val="auto"/>
              </w:rPr>
              <w:t>(e) Each of Q2, Q3 and Q4 after 12/31/09</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360" w:type="dxa"/>
            <w:vAlign w:val="bottom"/>
          </w:tcPr>
          <w:p>
            <w:pPr>
              <w:jc w:val="right"/>
              <w:ind w:right="573"/>
              <w:spacing w:after="0"/>
              <w:rPr>
                <w:sz w:val="20"/>
                <w:szCs w:val="20"/>
                <w:color w:val="auto"/>
              </w:rPr>
            </w:pPr>
            <w:r>
              <w:rPr>
                <w:rFonts w:ascii="Arial" w:cs="Arial" w:eastAsia="Arial" w:hAnsi="Arial"/>
                <w:sz w:val="17"/>
                <w:szCs w:val="17"/>
                <w:color w:val="auto"/>
              </w:rPr>
              <w:t>1,000,000</w:t>
            </w:r>
          </w:p>
        </w:tc>
        <w:tc>
          <w:tcPr>
            <w:tcW w:w="1300" w:type="dxa"/>
            <w:vAlign w:val="bottom"/>
          </w:tcPr>
          <w:p>
            <w:pPr>
              <w:spacing w:after="0"/>
              <w:rPr>
                <w:sz w:val="19"/>
                <w:szCs w:val="19"/>
                <w:color w:val="auto"/>
              </w:rPr>
            </w:pPr>
          </w:p>
        </w:tc>
        <w:tc>
          <w:tcPr>
            <w:tcW w:w="2340" w:type="dxa"/>
            <w:vAlign w:val="bottom"/>
          </w:tcPr>
          <w:p>
            <w:pPr>
              <w:ind w:left="420"/>
              <w:spacing w:after="0"/>
              <w:rPr>
                <w:sz w:val="20"/>
                <w:szCs w:val="20"/>
                <w:color w:val="auto"/>
              </w:rPr>
            </w:pPr>
            <w:r>
              <w:rPr>
                <w:rFonts w:ascii="Arial" w:cs="Arial" w:eastAsia="Arial" w:hAnsi="Arial"/>
                <w:sz w:val="17"/>
                <w:szCs w:val="17"/>
                <w:color w:val="auto"/>
              </w:rPr>
              <w:t>MET/NOT MET</w:t>
            </w: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900" w:type="dxa"/>
            <w:vAlign w:val="bottom"/>
            <w:gridSpan w:val="3"/>
          </w:tcPr>
          <w:p>
            <w:pPr>
              <w:spacing w:after="0"/>
              <w:rPr>
                <w:sz w:val="24"/>
                <w:szCs w:val="24"/>
                <w:color w:val="auto"/>
              </w:rPr>
            </w:pPr>
          </w:p>
        </w:tc>
        <w:tc>
          <w:tcPr>
            <w:tcW w:w="1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780" w:type="dxa"/>
            <w:vAlign w:val="bottom"/>
            <w:gridSpan w:val="5"/>
          </w:tcPr>
          <w:p>
            <w:pPr>
              <w:spacing w:after="0"/>
              <w:rPr>
                <w:sz w:val="20"/>
                <w:szCs w:val="20"/>
                <w:color w:val="auto"/>
              </w:rPr>
            </w:pPr>
            <w:r>
              <w:rPr>
                <w:rFonts w:ascii="Arial" w:cs="Arial" w:eastAsia="Arial" w:hAnsi="Arial"/>
                <w:sz w:val="17"/>
                <w:szCs w:val="17"/>
                <w:color w:val="auto"/>
              </w:rPr>
              <w:t>**EBITDASO: Earning Before Interest, Tax, Depreciation, Amortization and Stock Option Expense**</w:t>
            </w:r>
          </w:p>
        </w:tc>
        <w:tc>
          <w:tcPr>
            <w:tcW w:w="1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Maximum Monthly Debt/Tangible Net Worth (“TNW”)</w:t>
            </w:r>
          </w:p>
        </w:tc>
        <w:tc>
          <w:tcPr>
            <w:tcW w:w="840" w:type="dxa"/>
            <w:vAlign w:val="bottom"/>
            <w:shd w:val="clear" w:color="auto" w:fill="CCEEFF"/>
          </w:tcPr>
          <w:p>
            <w:pPr>
              <w:spacing w:after="0"/>
              <w:rPr>
                <w:sz w:val="18"/>
                <w:szCs w:val="18"/>
                <w:color w:val="auto"/>
              </w:rPr>
            </w:pPr>
          </w:p>
        </w:tc>
        <w:tc>
          <w:tcPr>
            <w:tcW w:w="236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w w:val="98"/>
              </w:rPr>
              <w:t>1.20:1.00 until 6-30-10)</w:t>
            </w:r>
          </w:p>
        </w:tc>
        <w:tc>
          <w:tcPr>
            <w:tcW w:w="130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:1.00</w:t>
            </w:r>
          </w:p>
        </w:tc>
        <w:tc>
          <w:tcPr>
            <w:tcW w:w="23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MET/NOT MET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Comments regarding exceptions: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 w:type="dxa"/>
            <w:vAlign w:val="bottom"/>
          </w:tcPr>
          <w:p>
            <w:pPr>
              <w:spacing w:after="0"/>
              <w:rPr>
                <w:sz w:val="20"/>
                <w:szCs w:val="20"/>
                <w:color w:val="auto"/>
              </w:rPr>
            </w:pPr>
            <w:r>
              <w:rPr>
                <w:rFonts w:ascii="Arial" w:cs="Arial" w:eastAsia="Arial" w:hAnsi="Arial"/>
                <w:sz w:val="17"/>
                <w:szCs w:val="17"/>
                <w:color w:val="auto"/>
              </w:rPr>
              <w:t>By:</w:t>
            </w:r>
          </w:p>
        </w:tc>
        <w:tc>
          <w:tcPr>
            <w:tcW w:w="10840" w:type="dxa"/>
            <w:vAlign w:val="bottom"/>
          </w:tcPr>
          <w:p>
            <w:pPr>
              <w:spacing w:after="0"/>
              <w:rPr>
                <w:sz w:val="18"/>
                <w:szCs w:val="18"/>
                <w:color w:val="auto"/>
              </w:rPr>
            </w:pPr>
          </w:p>
        </w:tc>
      </w:tr>
      <w:tr>
        <w:trPr>
          <w:trHeight w:val="210"/>
        </w:trPr>
        <w:tc>
          <w:tcPr>
            <w:tcW w:w="620" w:type="dxa"/>
            <w:vAlign w:val="bottom"/>
          </w:tcPr>
          <w:p>
            <w:pPr>
              <w:spacing w:after="0"/>
              <w:rPr>
                <w:sz w:val="20"/>
                <w:szCs w:val="20"/>
                <w:color w:val="auto"/>
              </w:rPr>
            </w:pPr>
            <w:r>
              <w:rPr>
                <w:rFonts w:ascii="Arial" w:cs="Arial" w:eastAsia="Arial" w:hAnsi="Arial"/>
                <w:sz w:val="17"/>
                <w:szCs w:val="17"/>
                <w:color w:val="auto"/>
              </w:rPr>
              <w:t>Name:</w:t>
            </w:r>
          </w:p>
        </w:tc>
        <w:tc>
          <w:tcPr>
            <w:tcW w:w="10840" w:type="dxa"/>
            <w:vAlign w:val="bottom"/>
          </w:tcPr>
          <w:p>
            <w:pPr>
              <w:ind w:left="160"/>
              <w:spacing w:after="0"/>
              <w:rPr>
                <w:sz w:val="20"/>
                <w:szCs w:val="20"/>
                <w:color w:val="auto"/>
              </w:rPr>
            </w:pPr>
            <w:r>
              <w:rPr>
                <w:rFonts w:ascii="Arial" w:cs="Arial" w:eastAsia="Arial" w:hAnsi="Arial"/>
                <w:sz w:val="17"/>
                <w:szCs w:val="17"/>
                <w:color w:val="auto"/>
              </w:rPr>
              <w:t>Chih-Hsiang Lin (aka Thompson Lin)</w:t>
            </w:r>
          </w:p>
        </w:tc>
      </w:tr>
      <w:tr>
        <w:trPr>
          <w:trHeight w:val="222"/>
        </w:trPr>
        <w:tc>
          <w:tcPr>
            <w:tcW w:w="620" w:type="dxa"/>
            <w:vAlign w:val="bottom"/>
          </w:tcPr>
          <w:p>
            <w:pPr>
              <w:spacing w:after="0"/>
              <w:rPr>
                <w:sz w:val="20"/>
                <w:szCs w:val="20"/>
                <w:color w:val="auto"/>
              </w:rPr>
            </w:pPr>
            <w:r>
              <w:rPr>
                <w:rFonts w:ascii="Arial" w:cs="Arial" w:eastAsia="Arial" w:hAnsi="Arial"/>
                <w:sz w:val="17"/>
                <w:szCs w:val="17"/>
                <w:color w:val="auto"/>
              </w:rPr>
              <w:t>Title:</w:t>
            </w:r>
          </w:p>
        </w:tc>
        <w:tc>
          <w:tcPr>
            <w:tcW w:w="10840" w:type="dxa"/>
            <w:vAlign w:val="bottom"/>
          </w:tcPr>
          <w:p>
            <w:pPr>
              <w:ind w:left="160"/>
              <w:spacing w:after="0"/>
              <w:rPr>
                <w:sz w:val="20"/>
                <w:szCs w:val="20"/>
                <w:color w:val="auto"/>
              </w:rPr>
            </w:pPr>
            <w:r>
              <w:rPr>
                <w:rFonts w:ascii="Arial" w:cs="Arial" w:eastAsia="Arial" w:hAnsi="Arial"/>
                <w:sz w:val="17"/>
                <w:szCs w:val="17"/>
                <w:color w:val="auto"/>
              </w:rPr>
              <w:t>CEO &amp; Chairman</w:t>
            </w:r>
          </w:p>
        </w:tc>
      </w:tr>
      <w:tr>
        <w:trPr>
          <w:trHeight w:val="338"/>
        </w:trPr>
        <w:tc>
          <w:tcPr>
            <w:tcW w:w="620" w:type="dxa"/>
            <w:vAlign w:val="bottom"/>
            <w:tcBorders>
              <w:bottom w:val="single" w:sz="8" w:color="010101"/>
            </w:tcBorders>
          </w:tcPr>
          <w:p>
            <w:pPr>
              <w:spacing w:after="0"/>
              <w:rPr>
                <w:sz w:val="24"/>
                <w:szCs w:val="24"/>
                <w:color w:val="auto"/>
              </w:rPr>
            </w:pPr>
          </w:p>
        </w:tc>
        <w:tc>
          <w:tcPr>
            <w:tcW w:w="108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406" w:name="page407"/>
    <w:bookmarkEnd w:id="406"/>
    <w:p>
      <w:pPr>
        <w:jc w:val="right"/>
        <w:spacing w:after="0"/>
        <w:rPr>
          <w:sz w:val="20"/>
          <w:szCs w:val="20"/>
          <w:color w:val="auto"/>
        </w:rPr>
      </w:pPr>
      <w:r>
        <w:rPr>
          <w:rFonts w:ascii="Arial" w:cs="Arial" w:eastAsia="Arial" w:hAnsi="Arial"/>
          <w:sz w:val="17"/>
          <w:szCs w:val="17"/>
          <w:b w:val="1"/>
          <w:bCs w:val="1"/>
          <w:color w:val="auto"/>
        </w:rPr>
        <w:t>Exhibit 10.10.1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FIRST AMENDMENT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AMENDED AND RESTATED LOAN AND SECURITY AGREEMENT</w:t>
      </w:r>
    </w:p>
    <w:p>
      <w:pPr>
        <w:spacing w:after="0" w:line="212" w:lineRule="exact"/>
        <w:rPr>
          <w:sz w:val="20"/>
          <w:szCs w:val="20"/>
          <w:color w:val="auto"/>
        </w:rPr>
      </w:pPr>
    </w:p>
    <w:p>
      <w:pPr>
        <w:ind w:right="260" w:firstLine="629"/>
        <w:spacing w:after="0" w:line="360" w:lineRule="auto"/>
        <w:rPr>
          <w:sz w:val="20"/>
          <w:szCs w:val="20"/>
          <w:color w:val="auto"/>
        </w:rPr>
      </w:pPr>
      <w:r>
        <w:rPr>
          <w:rFonts w:ascii="Arial" w:cs="Arial" w:eastAsia="Arial" w:hAnsi="Arial"/>
          <w:sz w:val="15"/>
          <w:szCs w:val="15"/>
          <w:color w:val="auto"/>
        </w:rPr>
        <w:t>This First Amendment to Amended and Restated Loan and Security Agreement is entered into as of May 3, 2010 (the “Amendment”), by and between EAST WEST BANK as successor in interest and assignee to East West Bank (“Bank”) and Applied Optoelectronics, Inc., a Texas corporation (“Borrower”).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Borrower and Bank are parties to that certain Amended and Restated Loan and Security Agreement dated as of May 20, 2009, as amended from time to time (the “Agreement”). The parties desire to amend the Agreement in accordance with the terms of this Amendment.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the parties agree as follows:</w:t>
      </w:r>
    </w:p>
    <w:p>
      <w:pPr>
        <w:spacing w:after="0" w:line="224" w:lineRule="exact"/>
        <w:rPr>
          <w:sz w:val="20"/>
          <w:szCs w:val="20"/>
          <w:color w:val="auto"/>
        </w:rPr>
      </w:pPr>
    </w:p>
    <w:p>
      <w:pPr>
        <w:ind w:left="640" w:hanging="635"/>
        <w:spacing w:after="0"/>
        <w:tabs>
          <w:tab w:leader="none" w:pos="640" w:val="left"/>
        </w:tabs>
        <w:numPr>
          <w:ilvl w:val="0"/>
          <w:numId w:val="656"/>
        </w:numPr>
        <w:rPr>
          <w:rFonts w:ascii="Arial" w:cs="Arial" w:eastAsia="Arial" w:hAnsi="Arial"/>
          <w:sz w:val="17"/>
          <w:szCs w:val="17"/>
          <w:b w:val="1"/>
          <w:bCs w:val="1"/>
          <w:color w:val="auto"/>
        </w:rPr>
      </w:pPr>
      <w:r>
        <w:rPr>
          <w:rFonts w:ascii="Arial" w:cs="Arial" w:eastAsia="Arial" w:hAnsi="Arial"/>
          <w:sz w:val="17"/>
          <w:szCs w:val="17"/>
          <w:color w:val="auto"/>
        </w:rPr>
        <w:t>The following defined terms set forth in Section 1.1 of the Agreement are added or amended in their entirety to read as follows: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“Domestic Borrowing Base” means an amount equal to (i) 80% of Eligible Accounts plus (ii) the lesser of 30% of Eligible Inventory or</w:t>
      </w:r>
    </w:p>
    <w:p>
      <w:pPr>
        <w:spacing w:after="0" w:line="26" w:lineRule="exact"/>
        <w:rPr>
          <w:sz w:val="20"/>
          <w:szCs w:val="20"/>
          <w:color w:val="auto"/>
        </w:rPr>
      </w:pPr>
    </w:p>
    <w:p>
      <w:pPr>
        <w:ind w:left="1260" w:right="40"/>
        <w:spacing w:after="0" w:line="263" w:lineRule="auto"/>
        <w:rPr>
          <w:sz w:val="20"/>
          <w:szCs w:val="20"/>
          <w:color w:val="auto"/>
        </w:rPr>
      </w:pPr>
      <w:r>
        <w:rPr>
          <w:rFonts w:ascii="Arial" w:cs="Arial" w:eastAsia="Arial" w:hAnsi="Arial"/>
          <w:sz w:val="17"/>
          <w:szCs w:val="17"/>
          <w:color w:val="auto"/>
        </w:rPr>
        <w:t>$1,000,000, plus (iii) the lesser of 50% of the Orderly Liquidation Value of domestic Equipment (as set forth in the appraisal completed in April 2009 and in the form previously provided to Bank) or $1,600,000, as determined by Bank with reference to the most recent Borrowing Base Certificate delivered by Borrower. Notwithstanding the foregoing, Eligible Inventory shall not exceed 50% of the total Domestic Borrowing Base.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“Equipment Maturity Date” means May 3, 2014.</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“EXIM Maturity Date” means May 3, 2011.</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“Real Estate Maturity Date” means May 3, 2014.</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“Revolving Maturity Date” means May 3, 2011.</w:t>
      </w:r>
    </w:p>
    <w:p>
      <w:pPr>
        <w:spacing w:after="0" w:line="224" w:lineRule="exact"/>
        <w:rPr>
          <w:sz w:val="20"/>
          <w:szCs w:val="20"/>
          <w:color w:val="auto"/>
        </w:rPr>
      </w:pPr>
    </w:p>
    <w:p>
      <w:pPr>
        <w:ind w:left="640" w:hanging="635"/>
        <w:spacing w:after="0"/>
        <w:tabs>
          <w:tab w:leader="none" w:pos="640" w:val="left"/>
        </w:tabs>
        <w:numPr>
          <w:ilvl w:val="0"/>
          <w:numId w:val="657"/>
        </w:numPr>
        <w:rPr>
          <w:rFonts w:ascii="Arial" w:cs="Arial" w:eastAsia="Arial" w:hAnsi="Arial"/>
          <w:sz w:val="17"/>
          <w:szCs w:val="17"/>
          <w:b w:val="1"/>
          <w:bCs w:val="1"/>
          <w:color w:val="auto"/>
        </w:rPr>
      </w:pPr>
      <w:r>
        <w:rPr>
          <w:rFonts w:ascii="Arial" w:cs="Arial" w:eastAsia="Arial" w:hAnsi="Arial"/>
          <w:sz w:val="17"/>
          <w:szCs w:val="17"/>
          <w:color w:val="auto"/>
        </w:rPr>
        <w:t>Subsection (c) to the defined term “Domestic Eligible Accounts” is amended in its entirety to read as follows:</w:t>
      </w:r>
    </w:p>
    <w:p>
      <w:pPr>
        <w:spacing w:after="0" w:line="224" w:lineRule="exact"/>
        <w:rPr>
          <w:sz w:val="20"/>
          <w:szCs w:val="20"/>
          <w:color w:val="auto"/>
        </w:rPr>
      </w:pPr>
    </w:p>
    <w:p>
      <w:pPr>
        <w:jc w:val="both"/>
        <w:ind w:left="1260" w:right="460"/>
        <w:spacing w:after="0" w:line="268" w:lineRule="auto"/>
        <w:rPr>
          <w:sz w:val="20"/>
          <w:szCs w:val="20"/>
          <w:color w:val="auto"/>
        </w:rPr>
      </w:pPr>
      <w:r>
        <w:rPr>
          <w:rFonts w:ascii="Arial" w:cs="Arial" w:eastAsia="Arial" w:hAnsi="Arial"/>
          <w:sz w:val="17"/>
          <w:szCs w:val="17"/>
          <w:color w:val="auto"/>
        </w:rPr>
        <w:t>Accounts with respect to an account debtor, including Subsidiaries and Affiliates, whose total obligations to Borrower exceed twenty five percent (25%) of all domestic and foreign Accounts (the “Concentration Limit”), to the extent such obligations exceed the aforementioned percentage, except as approved in writing by Bank and except that the Concentration Limit for Accounts with respect to which the account debtor is Cisco/Scientific-A shall be forty percent (40%);</w:t>
      </w:r>
    </w:p>
    <w:p>
      <w:pPr>
        <w:spacing w:after="0" w:line="176" w:lineRule="exact"/>
        <w:rPr>
          <w:sz w:val="20"/>
          <w:szCs w:val="20"/>
          <w:color w:val="auto"/>
        </w:rPr>
      </w:pPr>
    </w:p>
    <w:p>
      <w:pPr>
        <w:ind w:left="640" w:hanging="635"/>
        <w:spacing w:after="0"/>
        <w:tabs>
          <w:tab w:leader="none" w:pos="640" w:val="left"/>
        </w:tabs>
        <w:numPr>
          <w:ilvl w:val="0"/>
          <w:numId w:val="658"/>
        </w:numPr>
        <w:rPr>
          <w:rFonts w:ascii="Arial" w:cs="Arial" w:eastAsia="Arial" w:hAnsi="Arial"/>
          <w:sz w:val="17"/>
          <w:szCs w:val="17"/>
          <w:b w:val="1"/>
          <w:bCs w:val="1"/>
          <w:color w:val="auto"/>
        </w:rPr>
      </w:pPr>
      <w:r>
        <w:rPr>
          <w:rFonts w:ascii="Arial" w:cs="Arial" w:eastAsia="Arial" w:hAnsi="Arial"/>
          <w:sz w:val="17"/>
          <w:szCs w:val="17"/>
          <w:color w:val="auto"/>
        </w:rPr>
        <w:t>The following is added as a new subsection (c) to the defined term “Permitted Investment” set forth in Section 1.1 of the Agreement:</w:t>
      </w:r>
    </w:p>
    <w:p>
      <w:pPr>
        <w:spacing w:after="0" w:line="224" w:lineRule="exact"/>
        <w:rPr>
          <w:rFonts w:ascii="Arial" w:cs="Arial" w:eastAsia="Arial" w:hAnsi="Arial"/>
          <w:sz w:val="17"/>
          <w:szCs w:val="17"/>
          <w:b w:val="1"/>
          <w:bCs w:val="1"/>
          <w:color w:val="auto"/>
        </w:rPr>
      </w:pPr>
    </w:p>
    <w:p>
      <w:pPr>
        <w:ind w:left="1260" w:right="260" w:firstLine="3"/>
        <w:spacing w:after="0" w:line="322" w:lineRule="auto"/>
        <w:tabs>
          <w:tab w:leader="none" w:pos="1498" w:val="left"/>
        </w:tabs>
        <w:numPr>
          <w:ilvl w:val="1"/>
          <w:numId w:val="658"/>
        </w:numPr>
        <w:rPr>
          <w:rFonts w:ascii="Arial" w:cs="Arial" w:eastAsia="Arial" w:hAnsi="Arial"/>
          <w:sz w:val="16"/>
          <w:szCs w:val="16"/>
          <w:color w:val="auto"/>
        </w:rPr>
      </w:pPr>
      <w:r>
        <w:rPr>
          <w:rFonts w:ascii="Arial" w:cs="Arial" w:eastAsia="Arial" w:hAnsi="Arial"/>
          <w:sz w:val="16"/>
          <w:szCs w:val="16"/>
          <w:color w:val="auto"/>
        </w:rPr>
        <w:t>Investments into Global Technology, Inc., a Chinese corporation (through Borrower’s wholly owned subsidiary Prime World International Holdings Ltd.) in an amount not to exceed the required registered capital requirement and in the ordinary course of business.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640" w:hanging="635"/>
        <w:spacing w:after="0"/>
        <w:tabs>
          <w:tab w:leader="none" w:pos="640" w:val="left"/>
        </w:tabs>
        <w:numPr>
          <w:ilvl w:val="0"/>
          <w:numId w:val="658"/>
        </w:numPr>
        <w:rPr>
          <w:rFonts w:ascii="Arial" w:cs="Arial" w:eastAsia="Arial" w:hAnsi="Arial"/>
          <w:sz w:val="17"/>
          <w:szCs w:val="17"/>
          <w:b w:val="1"/>
          <w:bCs w:val="1"/>
          <w:color w:val="auto"/>
        </w:rPr>
      </w:pPr>
      <w:r>
        <w:rPr>
          <w:rFonts w:ascii="Arial" w:cs="Arial" w:eastAsia="Arial" w:hAnsi="Arial"/>
          <w:sz w:val="17"/>
          <w:szCs w:val="17"/>
          <w:color w:val="auto"/>
        </w:rPr>
        <w:t>Section 2.1(c) is amended in its entirety to read as follows:</w:t>
      </w:r>
    </w:p>
    <w:p>
      <w:pPr>
        <w:spacing w:after="0" w:line="224" w:lineRule="exact"/>
        <w:rPr>
          <w:rFonts w:ascii="Arial" w:cs="Arial" w:eastAsia="Arial" w:hAnsi="Arial"/>
          <w:sz w:val="17"/>
          <w:szCs w:val="17"/>
          <w:b w:val="1"/>
          <w:bCs w:val="1"/>
          <w:color w:val="auto"/>
        </w:rPr>
      </w:pPr>
    </w:p>
    <w:p>
      <w:pPr>
        <w:ind w:left="1900" w:hanging="637"/>
        <w:spacing w:after="0"/>
        <w:tabs>
          <w:tab w:leader="none" w:pos="1900" w:val="left"/>
        </w:tabs>
        <w:numPr>
          <w:ilvl w:val="1"/>
          <w:numId w:val="658"/>
        </w:numPr>
        <w:rPr>
          <w:rFonts w:ascii="Arial" w:cs="Arial" w:eastAsia="Arial" w:hAnsi="Arial"/>
          <w:sz w:val="17"/>
          <w:szCs w:val="17"/>
          <w:color w:val="auto"/>
        </w:rPr>
      </w:pPr>
      <w:r>
        <w:rPr>
          <w:rFonts w:ascii="Arial" w:cs="Arial" w:eastAsia="Arial" w:hAnsi="Arial"/>
          <w:sz w:val="17"/>
          <w:szCs w:val="17"/>
          <w:color w:val="auto"/>
        </w:rPr>
        <w:t>Equipment Advances.</w:t>
      </w:r>
    </w:p>
    <w:p>
      <w:pPr>
        <w:spacing w:after="0" w:line="224" w:lineRule="exact"/>
        <w:rPr>
          <w:rFonts w:ascii="Arial" w:cs="Arial" w:eastAsia="Arial" w:hAnsi="Arial"/>
          <w:sz w:val="17"/>
          <w:szCs w:val="17"/>
          <w:color w:val="auto"/>
        </w:rPr>
      </w:pPr>
    </w:p>
    <w:p>
      <w:pPr>
        <w:ind w:left="1260" w:firstLine="633"/>
        <w:spacing w:after="0" w:line="265" w:lineRule="auto"/>
        <w:tabs>
          <w:tab w:leader="none" w:pos="2539" w:val="left"/>
        </w:tabs>
        <w:numPr>
          <w:ilvl w:val="2"/>
          <w:numId w:val="658"/>
        </w:numPr>
        <w:rPr>
          <w:rFonts w:ascii="Arial" w:cs="Arial" w:eastAsia="Arial" w:hAnsi="Arial"/>
          <w:sz w:val="17"/>
          <w:szCs w:val="17"/>
          <w:color w:val="auto"/>
        </w:rPr>
      </w:pPr>
      <w:r>
        <w:rPr>
          <w:rFonts w:ascii="Arial" w:cs="Arial" w:eastAsia="Arial" w:hAnsi="Arial"/>
          <w:sz w:val="17"/>
          <w:szCs w:val="17"/>
          <w:color w:val="auto"/>
        </w:rPr>
        <w:t>Subject to and upon the terms and conditions of this Agreement, Bank agrees to make Equipment Advances to Borrower in an aggregate amount not to exceed the lesser of (A) $390,795 or (B) fifty percent (50%) of the Orderly Liquidation Value (as set forth in the appraisal completed in April 2009 and in the form previously provided to Bank) of such Equipment minus $3,000,000. Borrower shall deliver to Bank a promissory note for the Equipment Advances in substantially the form attached hereto as Exhibit B-2. Bank may enforce its rights in respect of the Equipment Advance under this Agreement without such note.</w:t>
      </w:r>
    </w:p>
    <w:p>
      <w:pPr>
        <w:spacing w:after="0" w:line="179" w:lineRule="exact"/>
        <w:rPr>
          <w:rFonts w:ascii="Arial" w:cs="Arial" w:eastAsia="Arial" w:hAnsi="Arial"/>
          <w:sz w:val="17"/>
          <w:szCs w:val="17"/>
          <w:color w:val="auto"/>
        </w:rPr>
      </w:pPr>
    </w:p>
    <w:p>
      <w:pPr>
        <w:ind w:left="1260" w:right="100" w:firstLine="633"/>
        <w:spacing w:after="0" w:line="290" w:lineRule="auto"/>
        <w:tabs>
          <w:tab w:leader="none" w:pos="2548" w:val="left"/>
        </w:tabs>
        <w:numPr>
          <w:ilvl w:val="2"/>
          <w:numId w:val="658"/>
        </w:numPr>
        <w:rPr>
          <w:rFonts w:ascii="Arial" w:cs="Arial" w:eastAsia="Arial" w:hAnsi="Arial"/>
          <w:sz w:val="16"/>
          <w:szCs w:val="16"/>
          <w:color w:val="auto"/>
        </w:rPr>
      </w:pPr>
      <w:r>
        <w:rPr>
          <w:rFonts w:ascii="Arial" w:cs="Arial" w:eastAsia="Arial" w:hAnsi="Arial"/>
          <w:sz w:val="16"/>
          <w:szCs w:val="16"/>
          <w:color w:val="auto"/>
        </w:rPr>
        <w:t>On the fifth day of each month until the Equipment Advance Maturity Date, Borrower shall repay the outstanding Equipment Advance in forty eight (48) equal monthly installments of principal, plus accrued interest. The entire principal balance and all accrued but unpaid interest on the Equipment Advance shall be due and payable on the Equipment Advance Maturity Date. Equipment Advances, once repaid, may not be reborrowed. Borrower may prepay any Equipment Advances without penalty or premium.</w:t>
      </w:r>
    </w:p>
    <w:p>
      <w:pPr>
        <w:spacing w:after="0" w:line="159" w:lineRule="exact"/>
        <w:rPr>
          <w:rFonts w:ascii="Arial" w:cs="Arial" w:eastAsia="Arial" w:hAnsi="Arial"/>
          <w:sz w:val="16"/>
          <w:szCs w:val="16"/>
          <w:color w:val="auto"/>
        </w:rPr>
      </w:pPr>
    </w:p>
    <w:p>
      <w:pPr>
        <w:ind w:left="1260" w:right="160" w:firstLine="633"/>
        <w:spacing w:after="0" w:line="290" w:lineRule="auto"/>
        <w:tabs>
          <w:tab w:leader="none" w:pos="2558" w:val="left"/>
        </w:tabs>
        <w:numPr>
          <w:ilvl w:val="2"/>
          <w:numId w:val="658"/>
        </w:numPr>
        <w:rPr>
          <w:rFonts w:ascii="Arial" w:cs="Arial" w:eastAsia="Arial" w:hAnsi="Arial"/>
          <w:sz w:val="16"/>
          <w:szCs w:val="16"/>
          <w:color w:val="auto"/>
        </w:rPr>
      </w:pPr>
      <w:r>
        <w:rPr>
          <w:rFonts w:ascii="Arial" w:cs="Arial" w:eastAsia="Arial" w:hAnsi="Arial"/>
          <w:sz w:val="16"/>
          <w:szCs w:val="16"/>
          <w:color w:val="auto"/>
        </w:rPr>
        <w:t xml:space="preserve">When Borrower desires to obtain an Equipment Advance, Borrower shall notify Bank (which notice shall be irrevocable) by facsimile transmission to be received no later than 3:00 p.m. Pacific time three (3) Business Days before the day on which the Equipment Advance is to be made. Such notice shall be substantially in the form of </w:t>
      </w:r>
      <w:r>
        <w:rPr>
          <w:rFonts w:ascii="Arial" w:cs="Arial" w:eastAsia="Arial" w:hAnsi="Arial"/>
          <w:sz w:val="16"/>
          <w:szCs w:val="16"/>
          <w:b w:val="1"/>
          <w:bCs w:val="1"/>
          <w:color w:val="auto"/>
        </w:rPr>
        <w:t>Exhibit C</w:t>
      </w:r>
      <w:r>
        <w:rPr>
          <w:rFonts w:ascii="Arial" w:cs="Arial" w:eastAsia="Arial" w:hAnsi="Arial"/>
          <w:sz w:val="16"/>
          <w:szCs w:val="16"/>
          <w:color w:val="auto"/>
        </w:rPr>
        <w:t>. The notice shall be signed by a Responsible Officer or its designee and include a copy of the invoice and proof of payment of such invoice for any Equipment to be financed.</w:t>
      </w:r>
    </w:p>
    <w:p>
      <w:pPr>
        <w:spacing w:after="0" w:line="159" w:lineRule="exact"/>
        <w:rPr>
          <w:rFonts w:ascii="Arial" w:cs="Arial" w:eastAsia="Arial" w:hAnsi="Arial"/>
          <w:sz w:val="16"/>
          <w:szCs w:val="16"/>
          <w:color w:val="auto"/>
        </w:rPr>
      </w:pPr>
    </w:p>
    <w:p>
      <w:pPr>
        <w:ind w:left="640" w:hanging="635"/>
        <w:spacing w:after="0"/>
        <w:tabs>
          <w:tab w:leader="none" w:pos="640" w:val="left"/>
        </w:tabs>
        <w:numPr>
          <w:ilvl w:val="0"/>
          <w:numId w:val="658"/>
        </w:numPr>
        <w:rPr>
          <w:rFonts w:ascii="Arial" w:cs="Arial" w:eastAsia="Arial" w:hAnsi="Arial"/>
          <w:sz w:val="17"/>
          <w:szCs w:val="17"/>
          <w:b w:val="1"/>
          <w:bCs w:val="1"/>
          <w:color w:val="auto"/>
        </w:rPr>
      </w:pPr>
      <w:r>
        <w:rPr>
          <w:rFonts w:ascii="Arial" w:cs="Arial" w:eastAsia="Arial" w:hAnsi="Arial"/>
          <w:sz w:val="17"/>
          <w:szCs w:val="17"/>
          <w:color w:val="auto"/>
        </w:rPr>
        <w:t>Section 2.1(d)(ii) is amended in its entirety to read as follows:</w:t>
      </w:r>
    </w:p>
    <w:p>
      <w:pPr>
        <w:spacing w:after="0" w:line="224" w:lineRule="exact"/>
        <w:rPr>
          <w:rFonts w:ascii="Arial" w:cs="Arial" w:eastAsia="Arial" w:hAnsi="Arial"/>
          <w:sz w:val="17"/>
          <w:szCs w:val="17"/>
          <w:b w:val="1"/>
          <w:bCs w:val="1"/>
          <w:color w:val="auto"/>
        </w:rPr>
      </w:pPr>
    </w:p>
    <w:p>
      <w:pPr>
        <w:ind w:left="1260" w:right="40" w:firstLine="3"/>
        <w:spacing w:after="0" w:line="268" w:lineRule="auto"/>
        <w:tabs>
          <w:tab w:leader="none" w:pos="1919" w:val="left"/>
        </w:tabs>
        <w:numPr>
          <w:ilvl w:val="1"/>
          <w:numId w:val="659"/>
        </w:numPr>
        <w:rPr>
          <w:rFonts w:ascii="Arial" w:cs="Arial" w:eastAsia="Arial" w:hAnsi="Arial"/>
          <w:sz w:val="17"/>
          <w:szCs w:val="17"/>
          <w:color w:val="auto"/>
        </w:rPr>
      </w:pPr>
      <w:r>
        <w:rPr>
          <w:rFonts w:ascii="Arial" w:cs="Arial" w:eastAsia="Arial" w:hAnsi="Arial"/>
          <w:sz w:val="17"/>
          <w:szCs w:val="17"/>
          <w:color w:val="auto"/>
        </w:rPr>
        <w:t>Payments. The outstanding principal amount of the Real Estate Advance as of May 3, 2010 is $3,452,638.13. On the fifth day of each of each until the Real Estate Maturity Date, Borrower shall repay the Real Estate Advance in equal installments of principal and interest based on a 240-month amortization schedule as prescribed by Bank. The entire principal balance and all accrued but unpaid interest on the Real Estate Advance shall be due and payable on the Real Estate Maturity Date.</w:t>
      </w:r>
    </w:p>
    <w:p>
      <w:pPr>
        <w:spacing w:after="0" w:line="175" w:lineRule="exact"/>
        <w:rPr>
          <w:rFonts w:ascii="Arial" w:cs="Arial" w:eastAsia="Arial" w:hAnsi="Arial"/>
          <w:sz w:val="17"/>
          <w:szCs w:val="17"/>
          <w:color w:val="auto"/>
        </w:rPr>
      </w:pPr>
    </w:p>
    <w:p>
      <w:pPr>
        <w:ind w:left="640" w:hanging="635"/>
        <w:spacing w:after="0"/>
        <w:tabs>
          <w:tab w:leader="none" w:pos="640" w:val="left"/>
        </w:tabs>
        <w:numPr>
          <w:ilvl w:val="0"/>
          <w:numId w:val="660"/>
        </w:numPr>
        <w:rPr>
          <w:rFonts w:ascii="Arial" w:cs="Arial" w:eastAsia="Arial" w:hAnsi="Arial"/>
          <w:sz w:val="17"/>
          <w:szCs w:val="17"/>
          <w:b w:val="1"/>
          <w:bCs w:val="1"/>
          <w:color w:val="auto"/>
        </w:rPr>
      </w:pPr>
      <w:r>
        <w:rPr>
          <w:rFonts w:ascii="Arial" w:cs="Arial" w:eastAsia="Arial" w:hAnsi="Arial"/>
          <w:sz w:val="17"/>
          <w:szCs w:val="17"/>
          <w:color w:val="auto"/>
        </w:rPr>
        <w:t>Section 2.3(a) of the Agreement is amended in its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-4088765</wp:posOffset>
            </wp:positionV>
            <wp:extent cx="7271385" cy="2921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0" w:gutter="0" w:footer="0" w:header="0"/>
        </w:sectPr>
      </w:pPr>
    </w:p>
    <w:bookmarkStart w:id="407" w:name="page408"/>
    <w:bookmarkEnd w:id="407"/>
    <w:p>
      <w:pPr>
        <w:spacing w:after="0" w:line="2" w:lineRule="exact"/>
        <w:rPr>
          <w:sz w:val="20"/>
          <w:szCs w:val="20"/>
          <w:color w:val="auto"/>
        </w:rPr>
      </w:pPr>
    </w:p>
    <w:p>
      <w:pPr>
        <w:ind w:left="1875" w:hanging="617"/>
        <w:spacing w:after="0"/>
        <w:tabs>
          <w:tab w:leader="none" w:pos="1875" w:val="left"/>
        </w:tabs>
        <w:numPr>
          <w:ilvl w:val="0"/>
          <w:numId w:val="661"/>
        </w:numPr>
        <w:rPr>
          <w:rFonts w:ascii="Arial" w:cs="Arial" w:eastAsia="Arial" w:hAnsi="Arial"/>
          <w:sz w:val="17"/>
          <w:szCs w:val="17"/>
          <w:color w:val="auto"/>
        </w:rPr>
      </w:pPr>
      <w:r>
        <w:rPr>
          <w:rFonts w:ascii="Arial" w:cs="Arial" w:eastAsia="Arial" w:hAnsi="Arial"/>
          <w:sz w:val="17"/>
          <w:szCs w:val="17"/>
          <w:color w:val="auto"/>
        </w:rPr>
        <w:t>Interest Rates.</w:t>
      </w:r>
    </w:p>
    <w:p>
      <w:pPr>
        <w:spacing w:after="0" w:line="224" w:lineRule="exact"/>
        <w:rPr>
          <w:rFonts w:ascii="Arial" w:cs="Arial" w:eastAsia="Arial" w:hAnsi="Arial"/>
          <w:sz w:val="17"/>
          <w:szCs w:val="17"/>
          <w:color w:val="auto"/>
        </w:rPr>
      </w:pPr>
    </w:p>
    <w:p>
      <w:pPr>
        <w:ind w:left="1255" w:right="180" w:firstLine="633"/>
        <w:spacing w:after="0" w:line="273" w:lineRule="auto"/>
        <w:tabs>
          <w:tab w:leader="none" w:pos="2534" w:val="left"/>
        </w:tabs>
        <w:numPr>
          <w:ilvl w:val="1"/>
          <w:numId w:val="661"/>
        </w:numPr>
        <w:rPr>
          <w:rFonts w:ascii="Arial" w:cs="Arial" w:eastAsia="Arial" w:hAnsi="Arial"/>
          <w:sz w:val="17"/>
          <w:szCs w:val="17"/>
          <w:color w:val="auto"/>
        </w:rPr>
      </w:pPr>
      <w:r>
        <w:rPr>
          <w:rFonts w:ascii="Arial" w:cs="Arial" w:eastAsia="Arial" w:hAnsi="Arial"/>
          <w:sz w:val="17"/>
          <w:szCs w:val="17"/>
          <w:color w:val="auto"/>
        </w:rPr>
        <w:t>Revolving Advance Interest Rate. Except as set forth in Section 2.3(b), the outstanding principal balance of each Revolving Advance shall bear interest (computed daily on the basis of a 360 day year and actual days elapsed), at a variable rate per annum equal to the Prime Rate plus 2.25%.</w:t>
      </w:r>
    </w:p>
    <w:p>
      <w:pPr>
        <w:spacing w:after="0" w:line="171" w:lineRule="exact"/>
        <w:rPr>
          <w:rFonts w:ascii="Arial" w:cs="Arial" w:eastAsia="Arial" w:hAnsi="Arial"/>
          <w:sz w:val="17"/>
          <w:szCs w:val="17"/>
          <w:color w:val="auto"/>
        </w:rPr>
      </w:pPr>
    </w:p>
    <w:p>
      <w:pPr>
        <w:ind w:left="1255" w:right="200" w:firstLine="633"/>
        <w:spacing w:after="0" w:line="273" w:lineRule="auto"/>
        <w:tabs>
          <w:tab w:leader="none" w:pos="2544" w:val="left"/>
        </w:tabs>
        <w:numPr>
          <w:ilvl w:val="1"/>
          <w:numId w:val="661"/>
        </w:numPr>
        <w:rPr>
          <w:rFonts w:ascii="Arial" w:cs="Arial" w:eastAsia="Arial" w:hAnsi="Arial"/>
          <w:sz w:val="17"/>
          <w:szCs w:val="17"/>
          <w:color w:val="auto"/>
        </w:rPr>
      </w:pPr>
      <w:r>
        <w:rPr>
          <w:rFonts w:ascii="Arial" w:cs="Arial" w:eastAsia="Arial" w:hAnsi="Arial"/>
          <w:sz w:val="17"/>
          <w:szCs w:val="17"/>
          <w:color w:val="auto"/>
        </w:rPr>
        <w:t>Equipment Advance Interest Rate. Except as set forth in Section 2.3(b), the outstanding principal balance of the Equipment Advance shall bear interest (computed daily on the basis of a 360 day year and actual days elapsed), at a variable rate equal to the Prime Rate plus 2.25%.</w:t>
      </w:r>
    </w:p>
    <w:p>
      <w:pPr>
        <w:spacing w:after="0" w:line="171" w:lineRule="exact"/>
        <w:rPr>
          <w:rFonts w:ascii="Arial" w:cs="Arial" w:eastAsia="Arial" w:hAnsi="Arial"/>
          <w:sz w:val="17"/>
          <w:szCs w:val="17"/>
          <w:color w:val="auto"/>
        </w:rPr>
      </w:pPr>
    </w:p>
    <w:p>
      <w:pPr>
        <w:ind w:left="1255" w:right="140" w:firstLine="633"/>
        <w:spacing w:after="0" w:line="289" w:lineRule="auto"/>
        <w:tabs>
          <w:tab w:leader="none" w:pos="2553" w:val="left"/>
        </w:tabs>
        <w:numPr>
          <w:ilvl w:val="1"/>
          <w:numId w:val="661"/>
        </w:numPr>
        <w:rPr>
          <w:rFonts w:ascii="Arial" w:cs="Arial" w:eastAsia="Arial" w:hAnsi="Arial"/>
          <w:sz w:val="17"/>
          <w:szCs w:val="17"/>
          <w:color w:val="auto"/>
        </w:rPr>
      </w:pPr>
      <w:r>
        <w:rPr>
          <w:rFonts w:ascii="Arial" w:cs="Arial" w:eastAsia="Arial" w:hAnsi="Arial"/>
          <w:sz w:val="17"/>
          <w:szCs w:val="17"/>
          <w:color w:val="auto"/>
        </w:rPr>
        <w:t>Real Estate Advance Interest Rate. Except as set forth in Section 2.3(b), the outstanding principal balance of the Real Estate Advance shall bear interest (computed daily on the basis of a 360 day year and actual days elapsed), at a variable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172720</wp:posOffset>
            </wp:positionV>
            <wp:extent cx="7271385" cy="2921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55"/>
        <w:spacing w:after="0"/>
        <w:rPr>
          <w:sz w:val="20"/>
          <w:szCs w:val="20"/>
          <w:color w:val="auto"/>
        </w:rPr>
      </w:pPr>
      <w:r>
        <w:rPr>
          <w:rFonts w:ascii="Arial" w:cs="Arial" w:eastAsia="Arial" w:hAnsi="Arial"/>
          <w:sz w:val="17"/>
          <w:szCs w:val="17"/>
          <w:color w:val="auto"/>
        </w:rPr>
        <w:t>equal to the Prime Rate plus 2.25%.</w:t>
      </w:r>
    </w:p>
    <w:p>
      <w:pPr>
        <w:spacing w:after="0" w:line="224" w:lineRule="exact"/>
        <w:rPr>
          <w:sz w:val="20"/>
          <w:szCs w:val="20"/>
          <w:color w:val="auto"/>
        </w:rPr>
      </w:pPr>
    </w:p>
    <w:p>
      <w:pPr>
        <w:ind w:left="1255" w:right="60" w:firstLine="633"/>
        <w:spacing w:after="0" w:line="360" w:lineRule="auto"/>
        <w:tabs>
          <w:tab w:leader="none" w:pos="2530" w:val="left"/>
        </w:tabs>
        <w:numPr>
          <w:ilvl w:val="0"/>
          <w:numId w:val="662"/>
        </w:numPr>
        <w:rPr>
          <w:rFonts w:ascii="Arial" w:cs="Arial" w:eastAsia="Arial" w:hAnsi="Arial"/>
          <w:sz w:val="15"/>
          <w:szCs w:val="15"/>
          <w:color w:val="auto"/>
        </w:rPr>
      </w:pPr>
      <w:r>
        <w:rPr>
          <w:rFonts w:ascii="Arial" w:cs="Arial" w:eastAsia="Arial" w:hAnsi="Arial"/>
          <w:sz w:val="15"/>
          <w:szCs w:val="15"/>
          <w:color w:val="auto"/>
        </w:rPr>
        <w:t>EXIM Advance Interest Rate. Except as set forth in Section 2.3(b), the outstanding principal balance of the EXIM Advances shall bear interest (computed daily on the basis of a 360 day year and actual days elapsed), at a variable rate equal to the Prime Rate plus 2.25%.</w:t>
      </w:r>
    </w:p>
    <w:p>
      <w:pPr>
        <w:spacing w:after="0" w:line="112" w:lineRule="exact"/>
        <w:rPr>
          <w:sz w:val="20"/>
          <w:szCs w:val="20"/>
          <w:color w:val="auto"/>
        </w:rPr>
      </w:pPr>
    </w:p>
    <w:p>
      <w:pPr>
        <w:ind w:left="1255" w:right="160"/>
        <w:spacing w:after="0" w:line="289" w:lineRule="auto"/>
        <w:rPr>
          <w:sz w:val="20"/>
          <w:szCs w:val="20"/>
          <w:color w:val="auto"/>
        </w:rPr>
      </w:pPr>
      <w:r>
        <w:rPr>
          <w:rFonts w:ascii="Arial" w:cs="Arial" w:eastAsia="Arial" w:hAnsi="Arial"/>
          <w:sz w:val="17"/>
          <w:szCs w:val="17"/>
          <w:color w:val="auto"/>
        </w:rPr>
        <w:t>Notwithstanding the foregoing, at no time shall the interest rate applied to any Credit Extension be less than 5.75% per annum (computed daily on the basis of a 360 day year and actual days elapsed) (the “Floor Rate”).</w:t>
      </w:r>
    </w:p>
    <w:p>
      <w:pPr>
        <w:spacing w:after="0" w:line="158" w:lineRule="exact"/>
        <w:rPr>
          <w:sz w:val="20"/>
          <w:szCs w:val="20"/>
          <w:color w:val="auto"/>
        </w:rPr>
      </w:pPr>
    </w:p>
    <w:p>
      <w:pPr>
        <w:ind w:left="635" w:hanging="635"/>
        <w:spacing w:after="0"/>
        <w:tabs>
          <w:tab w:leader="none" w:pos="635" w:val="left"/>
        </w:tabs>
        <w:numPr>
          <w:ilvl w:val="0"/>
          <w:numId w:val="663"/>
        </w:numPr>
        <w:rPr>
          <w:rFonts w:ascii="Arial" w:cs="Arial" w:eastAsia="Arial" w:hAnsi="Arial"/>
          <w:sz w:val="17"/>
          <w:szCs w:val="17"/>
          <w:b w:val="1"/>
          <w:bCs w:val="1"/>
          <w:color w:val="auto"/>
        </w:rPr>
      </w:pPr>
      <w:r>
        <w:rPr>
          <w:rFonts w:ascii="Arial" w:cs="Arial" w:eastAsia="Arial" w:hAnsi="Arial"/>
          <w:sz w:val="17"/>
          <w:szCs w:val="17"/>
          <w:color w:val="auto"/>
        </w:rPr>
        <w:t>The following is added as a new subsection (g) to Section 6.2 of the Agreement:</w:t>
      </w:r>
    </w:p>
    <w:p>
      <w:pPr>
        <w:spacing w:after="0" w:line="224" w:lineRule="exact"/>
        <w:rPr>
          <w:rFonts w:ascii="Arial" w:cs="Arial" w:eastAsia="Arial" w:hAnsi="Arial"/>
          <w:sz w:val="17"/>
          <w:szCs w:val="17"/>
          <w:b w:val="1"/>
          <w:bCs w:val="1"/>
          <w:color w:val="auto"/>
        </w:rPr>
      </w:pPr>
    </w:p>
    <w:p>
      <w:pPr>
        <w:ind w:left="1255" w:right="200" w:firstLine="3"/>
        <w:spacing w:after="0" w:line="268" w:lineRule="auto"/>
        <w:tabs>
          <w:tab w:leader="none" w:pos="1904" w:val="left"/>
        </w:tabs>
        <w:numPr>
          <w:ilvl w:val="1"/>
          <w:numId w:val="663"/>
        </w:numPr>
        <w:rPr>
          <w:rFonts w:ascii="Arial" w:cs="Arial" w:eastAsia="Arial" w:hAnsi="Arial"/>
          <w:sz w:val="17"/>
          <w:szCs w:val="17"/>
          <w:color w:val="auto"/>
        </w:rPr>
      </w:pPr>
      <w:r>
        <w:rPr>
          <w:rFonts w:ascii="Arial" w:cs="Arial" w:eastAsia="Arial" w:hAnsi="Arial"/>
          <w:sz w:val="17"/>
          <w:szCs w:val="17"/>
          <w:color w:val="auto"/>
        </w:rPr>
        <w:t>Within 20 days after the last day of each month, Borrower shall deliver to Bank (i) a monthly accounts payable aging report (against invoice date) of all accounts payable owing by account debtor Global Technology, Inc. to Borrower, and (ii) a monthly accounts payable aging report (against invoice date) of all accounts payable owing by the account debtor AOI Taiwan (Borrower’s subsidiary operating in Taiwan) to Borrower.</w:t>
      </w:r>
    </w:p>
    <w:p>
      <w:pPr>
        <w:spacing w:after="0" w:line="175" w:lineRule="exact"/>
        <w:rPr>
          <w:rFonts w:ascii="Arial" w:cs="Arial" w:eastAsia="Arial" w:hAnsi="Arial"/>
          <w:sz w:val="17"/>
          <w:szCs w:val="17"/>
          <w:color w:val="auto"/>
        </w:rPr>
      </w:pPr>
    </w:p>
    <w:p>
      <w:pPr>
        <w:ind w:left="635" w:hanging="635"/>
        <w:spacing w:after="0"/>
        <w:tabs>
          <w:tab w:leader="none" w:pos="635" w:val="left"/>
        </w:tabs>
        <w:numPr>
          <w:ilvl w:val="0"/>
          <w:numId w:val="663"/>
        </w:numPr>
        <w:rPr>
          <w:rFonts w:ascii="Arial" w:cs="Arial" w:eastAsia="Arial" w:hAnsi="Arial"/>
          <w:sz w:val="17"/>
          <w:szCs w:val="17"/>
          <w:b w:val="1"/>
          <w:bCs w:val="1"/>
          <w:color w:val="auto"/>
        </w:rPr>
      </w:pPr>
      <w:r>
        <w:rPr>
          <w:rFonts w:ascii="Arial" w:cs="Arial" w:eastAsia="Arial" w:hAnsi="Arial"/>
          <w:sz w:val="17"/>
          <w:szCs w:val="17"/>
          <w:color w:val="auto"/>
        </w:rPr>
        <w:t>Section 6.3 of the Agreement is amended in its entirety to read as follows:</w:t>
      </w:r>
    </w:p>
    <w:p>
      <w:pPr>
        <w:spacing w:after="0" w:line="224" w:lineRule="exact"/>
        <w:rPr>
          <w:sz w:val="20"/>
          <w:szCs w:val="20"/>
          <w:color w:val="auto"/>
        </w:rPr>
      </w:pPr>
    </w:p>
    <w:p>
      <w:pPr>
        <w:ind w:left="1255" w:right="220"/>
        <w:spacing w:after="0" w:line="273" w:lineRule="auto"/>
        <w:rPr>
          <w:sz w:val="20"/>
          <w:szCs w:val="20"/>
          <w:color w:val="auto"/>
        </w:rPr>
      </w:pPr>
      <w:r>
        <w:rPr>
          <w:rFonts w:ascii="Arial" w:cs="Arial" w:eastAsia="Arial" w:hAnsi="Arial"/>
          <w:sz w:val="17"/>
          <w:szCs w:val="17"/>
          <w:color w:val="auto"/>
        </w:rPr>
        <w:t>6.3 Collateral Audits. Bank shall have a right from time to time hereafter to audit Borrower’s Accounts and appraise Collateral at Borrower’s expense, provided that such audits will be conducted no more often than once every twelve months unless an Event of Default has occurred and is continuing.</w:t>
      </w:r>
    </w:p>
    <w:p>
      <w:pPr>
        <w:spacing w:after="0" w:line="172" w:lineRule="exact"/>
        <w:rPr>
          <w:sz w:val="20"/>
          <w:szCs w:val="20"/>
          <w:color w:val="auto"/>
        </w:rPr>
      </w:pPr>
    </w:p>
    <w:p>
      <w:pPr>
        <w:ind w:left="635" w:hanging="635"/>
        <w:spacing w:after="0"/>
        <w:tabs>
          <w:tab w:leader="none" w:pos="635" w:val="left"/>
        </w:tabs>
        <w:numPr>
          <w:ilvl w:val="0"/>
          <w:numId w:val="664"/>
        </w:numPr>
        <w:rPr>
          <w:rFonts w:ascii="Arial" w:cs="Arial" w:eastAsia="Arial" w:hAnsi="Arial"/>
          <w:sz w:val="17"/>
          <w:szCs w:val="17"/>
          <w:b w:val="1"/>
          <w:bCs w:val="1"/>
          <w:color w:val="auto"/>
        </w:rPr>
      </w:pPr>
      <w:r>
        <w:rPr>
          <w:rFonts w:ascii="Arial" w:cs="Arial" w:eastAsia="Arial" w:hAnsi="Arial"/>
          <w:sz w:val="17"/>
          <w:szCs w:val="17"/>
          <w:color w:val="auto"/>
        </w:rPr>
        <w:t>Section 6.4 of the Agreement is amended in its entirety to read as follows:</w:t>
      </w:r>
    </w:p>
    <w:p>
      <w:pPr>
        <w:spacing w:after="0" w:line="224" w:lineRule="exact"/>
        <w:rPr>
          <w:sz w:val="20"/>
          <w:szCs w:val="20"/>
          <w:color w:val="auto"/>
        </w:rPr>
      </w:pPr>
    </w:p>
    <w:p>
      <w:pPr>
        <w:ind w:left="1255"/>
        <w:spacing w:after="0"/>
        <w:tabs>
          <w:tab w:leader="none" w:pos="1855"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5"/>
          <w:szCs w:val="15"/>
          <w:color w:val="auto"/>
        </w:rPr>
        <w:t>Current Ratio. Borrower shall maintain, as of the last day of each month, a Current Ratio equal to or greater than 1.00 to 1.00.</w:t>
      </w:r>
    </w:p>
    <w:p>
      <w:pPr>
        <w:spacing w:after="0" w:line="224" w:lineRule="exact"/>
        <w:rPr>
          <w:sz w:val="20"/>
          <w:szCs w:val="20"/>
          <w:color w:val="auto"/>
        </w:rPr>
      </w:pPr>
    </w:p>
    <w:p>
      <w:pPr>
        <w:ind w:left="615" w:hanging="615"/>
        <w:spacing w:after="0"/>
        <w:tabs>
          <w:tab w:leader="none" w:pos="615" w:val="left"/>
        </w:tabs>
        <w:numPr>
          <w:ilvl w:val="0"/>
          <w:numId w:val="665"/>
        </w:numPr>
        <w:rPr>
          <w:rFonts w:ascii="Arial" w:cs="Arial" w:eastAsia="Arial" w:hAnsi="Arial"/>
          <w:sz w:val="17"/>
          <w:szCs w:val="17"/>
          <w:b w:val="1"/>
          <w:bCs w:val="1"/>
          <w:color w:val="auto"/>
        </w:rPr>
      </w:pPr>
      <w:r>
        <w:rPr>
          <w:rFonts w:ascii="Arial" w:cs="Arial" w:eastAsia="Arial" w:hAnsi="Arial"/>
          <w:sz w:val="17"/>
          <w:szCs w:val="17"/>
          <w:color w:val="auto"/>
        </w:rPr>
        <w:t>Section 6.5 of the Agreement is amended in its entirety to read as follows:</w:t>
      </w:r>
    </w:p>
    <w:p>
      <w:pPr>
        <w:spacing w:after="0" w:line="224" w:lineRule="exact"/>
        <w:rPr>
          <w:sz w:val="20"/>
          <w:szCs w:val="20"/>
          <w:color w:val="auto"/>
        </w:rPr>
      </w:pPr>
    </w:p>
    <w:p>
      <w:pPr>
        <w:ind w:left="1255" w:right="620"/>
        <w:spacing w:after="0" w:line="289" w:lineRule="auto"/>
        <w:rPr>
          <w:sz w:val="20"/>
          <w:szCs w:val="20"/>
          <w:color w:val="auto"/>
        </w:rPr>
      </w:pPr>
      <w:r>
        <w:rPr>
          <w:rFonts w:ascii="Arial" w:cs="Arial" w:eastAsia="Arial" w:hAnsi="Arial"/>
          <w:sz w:val="17"/>
          <w:szCs w:val="17"/>
          <w:color w:val="auto"/>
        </w:rPr>
        <w:t>6.5 Total Liabilities to Tangible Net Worth Ratio. Borrower shall maintain as of the last day of each month starting, a ratio of Total Liabilities to Tangible Net Worth not greater than 1.20 to 1:00.</w:t>
      </w:r>
    </w:p>
    <w:p>
      <w:pPr>
        <w:spacing w:after="0" w:line="158" w:lineRule="exact"/>
        <w:rPr>
          <w:sz w:val="20"/>
          <w:szCs w:val="20"/>
          <w:color w:val="auto"/>
        </w:rPr>
      </w:pPr>
    </w:p>
    <w:p>
      <w:pPr>
        <w:ind w:left="615" w:hanging="615"/>
        <w:spacing w:after="0"/>
        <w:tabs>
          <w:tab w:leader="none" w:pos="615" w:val="left"/>
        </w:tabs>
        <w:numPr>
          <w:ilvl w:val="0"/>
          <w:numId w:val="666"/>
        </w:numPr>
        <w:rPr>
          <w:rFonts w:ascii="Arial" w:cs="Arial" w:eastAsia="Arial" w:hAnsi="Arial"/>
          <w:sz w:val="17"/>
          <w:szCs w:val="17"/>
          <w:b w:val="1"/>
          <w:bCs w:val="1"/>
          <w:color w:val="auto"/>
        </w:rPr>
      </w:pPr>
      <w:r>
        <w:rPr>
          <w:rFonts w:ascii="Arial" w:cs="Arial" w:eastAsia="Arial" w:hAnsi="Arial"/>
          <w:sz w:val="17"/>
          <w:szCs w:val="17"/>
          <w:color w:val="auto"/>
        </w:rPr>
        <w:t>Section 6.6 of the Agreement is amended in its entirety to read as follows:</w:t>
      </w:r>
    </w:p>
    <w:p>
      <w:pPr>
        <w:spacing w:after="0" w:line="224" w:lineRule="exact"/>
        <w:rPr>
          <w:sz w:val="20"/>
          <w:szCs w:val="20"/>
          <w:color w:val="auto"/>
        </w:rPr>
      </w:pPr>
    </w:p>
    <w:p>
      <w:pPr>
        <w:ind w:left="1255"/>
        <w:spacing w:after="0"/>
        <w:tabs>
          <w:tab w:leader="none" w:pos="1855"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6"/>
          <w:szCs w:val="16"/>
          <w:color w:val="auto"/>
        </w:rPr>
        <w:t>Minimum EBITDASO. Borrower shall maintain a minimum quarterly EBITDASO of at least the following amounts:</w:t>
      </w:r>
    </w:p>
    <w:p>
      <w:pPr>
        <w:spacing w:after="0" w:line="214" w:lineRule="exact"/>
        <w:rPr>
          <w:sz w:val="20"/>
          <w:szCs w:val="20"/>
          <w:color w:val="auto"/>
        </w:rPr>
      </w:pPr>
    </w:p>
    <w:tbl>
      <w:tblPr>
        <w:tblLayout w:type="fixed"/>
        <w:tblInd w:w="1895" w:type="dxa"/>
        <w:tblCellMar>
          <w:top w:w="0" w:type="dxa"/>
          <w:left w:w="0" w:type="dxa"/>
          <w:bottom w:w="0" w:type="dxa"/>
          <w:right w:w="0" w:type="dxa"/>
        </w:tblCellMar>
      </w:tblPr>
      <w:tr>
        <w:trPr>
          <w:trHeight w:val="167"/>
        </w:trPr>
        <w:tc>
          <w:tcPr>
            <w:tcW w:w="5100" w:type="dxa"/>
            <w:vAlign w:val="bottom"/>
          </w:tcPr>
          <w:p>
            <w:pPr>
              <w:spacing w:after="0"/>
              <w:rPr>
                <w:sz w:val="20"/>
                <w:szCs w:val="20"/>
                <w:color w:val="auto"/>
              </w:rPr>
            </w:pPr>
            <w:r>
              <w:rPr>
                <w:rFonts w:ascii="Arial" w:cs="Arial" w:eastAsia="Arial" w:hAnsi="Arial"/>
                <w:sz w:val="14"/>
                <w:szCs w:val="14"/>
                <w:b w:val="1"/>
                <w:bCs w:val="1"/>
                <w:color w:val="auto"/>
              </w:rPr>
              <w:t>Quarter(s) Ending</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r>
      <w:tr>
        <w:trPr>
          <w:trHeight w:val="203"/>
        </w:trPr>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June 30, 2010:</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7"/>
                <w:szCs w:val="17"/>
                <w:color w:val="auto"/>
              </w:rPr>
              <w:t>September 30, 2010:</w:t>
            </w:r>
          </w:p>
        </w:tc>
        <w:tc>
          <w:tcPr>
            <w:tcW w:w="52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225,000</w:t>
            </w:r>
          </w:p>
        </w:tc>
        <w:tc>
          <w:tcPr>
            <w:tcW w:w="100" w:type="dxa"/>
            <w:vAlign w:val="bottom"/>
          </w:tcPr>
          <w:p>
            <w:pPr>
              <w:spacing w:after="0"/>
              <w:rPr>
                <w:sz w:val="18"/>
                <w:szCs w:val="18"/>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2010:</w:t>
            </w:r>
          </w:p>
        </w:tc>
        <w:tc>
          <w:tcPr>
            <w:tcW w:w="52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225,000</w:t>
            </w:r>
          </w:p>
        </w:tc>
        <w:tc>
          <w:tcPr>
            <w:tcW w:w="100" w:type="dxa"/>
            <w:vAlign w:val="bottom"/>
            <w:shd w:val="clear" w:color="auto" w:fill="CCEEFF"/>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7"/>
                <w:szCs w:val="17"/>
                <w:color w:val="auto"/>
              </w:rPr>
              <w:t>March 31, 2011:</w:t>
            </w:r>
          </w:p>
        </w:tc>
        <w:tc>
          <w:tcPr>
            <w:tcW w:w="52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225,000</w:t>
            </w:r>
          </w:p>
        </w:tc>
        <w:tc>
          <w:tcPr>
            <w:tcW w:w="100" w:type="dxa"/>
            <w:vAlign w:val="bottom"/>
          </w:tcPr>
          <w:p>
            <w:pPr>
              <w:spacing w:after="0"/>
              <w:rPr>
                <w:sz w:val="18"/>
                <w:szCs w:val="18"/>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June 30, 2011:</w:t>
            </w:r>
          </w:p>
        </w:tc>
        <w:tc>
          <w:tcPr>
            <w:tcW w:w="52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100" w:type="dxa"/>
            <w:vAlign w:val="bottom"/>
            <w:shd w:val="clear" w:color="auto" w:fill="CCEEFF"/>
          </w:tcPr>
          <w:p>
            <w:pPr>
              <w:spacing w:after="0"/>
              <w:rPr>
                <w:sz w:val="18"/>
                <w:szCs w:val="18"/>
                <w:color w:val="auto"/>
              </w:rPr>
            </w:pPr>
          </w:p>
        </w:tc>
      </w:tr>
      <w:tr>
        <w:trPr>
          <w:trHeight w:val="222"/>
        </w:trPr>
        <w:tc>
          <w:tcPr>
            <w:tcW w:w="5100" w:type="dxa"/>
            <w:vAlign w:val="bottom"/>
          </w:tcPr>
          <w:p>
            <w:pPr>
              <w:spacing w:after="0"/>
              <w:rPr>
                <w:sz w:val="20"/>
                <w:szCs w:val="20"/>
                <w:color w:val="auto"/>
              </w:rPr>
            </w:pPr>
            <w:r>
              <w:rPr>
                <w:rFonts w:ascii="Arial" w:cs="Arial" w:eastAsia="Arial" w:hAnsi="Arial"/>
                <w:sz w:val="17"/>
                <w:szCs w:val="17"/>
                <w:color w:val="auto"/>
              </w:rPr>
              <w:t>September 30, 2011 and thereafter:</w:t>
            </w:r>
          </w:p>
        </w:tc>
        <w:tc>
          <w:tcPr>
            <w:tcW w:w="52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275,000</w:t>
            </w:r>
          </w:p>
        </w:tc>
        <w:tc>
          <w:tcPr>
            <w:tcW w:w="100" w:type="dxa"/>
            <w:vAlign w:val="bottom"/>
          </w:tcPr>
          <w:p>
            <w:pPr>
              <w:spacing w:after="0"/>
              <w:rPr>
                <w:sz w:val="19"/>
                <w:szCs w:val="19"/>
                <w:color w:val="auto"/>
              </w:rPr>
            </w:pPr>
          </w:p>
        </w:tc>
      </w:tr>
    </w:tbl>
    <w:p>
      <w:pPr>
        <w:spacing w:after="0" w:line="185" w:lineRule="exact"/>
        <w:rPr>
          <w:sz w:val="20"/>
          <w:szCs w:val="20"/>
          <w:color w:val="auto"/>
        </w:rPr>
      </w:pPr>
    </w:p>
    <w:p>
      <w:pPr>
        <w:ind w:left="615" w:hanging="615"/>
        <w:spacing w:after="0"/>
        <w:tabs>
          <w:tab w:leader="none" w:pos="615" w:val="left"/>
        </w:tabs>
        <w:numPr>
          <w:ilvl w:val="0"/>
          <w:numId w:val="667"/>
        </w:numPr>
        <w:rPr>
          <w:rFonts w:ascii="Arial" w:cs="Arial" w:eastAsia="Arial" w:hAnsi="Arial"/>
          <w:sz w:val="17"/>
          <w:szCs w:val="17"/>
          <w:b w:val="1"/>
          <w:bCs w:val="1"/>
          <w:color w:val="auto"/>
        </w:rPr>
      </w:pPr>
      <w:r>
        <w:rPr>
          <w:rFonts w:ascii="Arial" w:cs="Arial" w:eastAsia="Arial" w:hAnsi="Arial"/>
          <w:sz w:val="17"/>
          <w:szCs w:val="17"/>
          <w:color w:val="auto"/>
        </w:rPr>
        <w:t>The following is added as a new Section 6.14 of the Agreement:</w:t>
      </w:r>
    </w:p>
    <w:p>
      <w:pPr>
        <w:spacing w:after="0" w:line="224" w:lineRule="exact"/>
        <w:rPr>
          <w:sz w:val="20"/>
          <w:szCs w:val="20"/>
          <w:color w:val="auto"/>
        </w:rPr>
      </w:pPr>
    </w:p>
    <w:p>
      <w:pPr>
        <w:ind w:left="1255"/>
        <w:spacing w:after="0" w:line="289" w:lineRule="auto"/>
        <w:rPr>
          <w:sz w:val="20"/>
          <w:szCs w:val="20"/>
          <w:color w:val="auto"/>
        </w:rPr>
      </w:pPr>
      <w:r>
        <w:rPr>
          <w:rFonts w:ascii="Arial" w:cs="Arial" w:eastAsia="Arial" w:hAnsi="Arial"/>
          <w:sz w:val="17"/>
          <w:szCs w:val="17"/>
          <w:color w:val="auto"/>
        </w:rPr>
        <w:t>6.14 Beginning on May 3, 2010 and continuing thereafter, Borrower shall cause its subsidiaries, Prime World International Holdings, Ltd and Global Technology Inc., to pay all accounts receivable owing to Borrower within 60 days of invoice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172720</wp:posOffset>
            </wp:positionV>
            <wp:extent cx="7271385" cy="2921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15" w:hanging="615"/>
        <w:spacing w:after="0"/>
        <w:tabs>
          <w:tab w:leader="none" w:pos="615" w:val="left"/>
        </w:tabs>
        <w:numPr>
          <w:ilvl w:val="0"/>
          <w:numId w:val="668"/>
        </w:numPr>
        <w:rPr>
          <w:rFonts w:ascii="Arial" w:cs="Arial" w:eastAsia="Arial" w:hAnsi="Arial"/>
          <w:sz w:val="17"/>
          <w:szCs w:val="17"/>
          <w:b w:val="1"/>
          <w:bCs w:val="1"/>
          <w:color w:val="auto"/>
        </w:rPr>
      </w:pPr>
      <w:r>
        <w:rPr>
          <w:rFonts w:ascii="Arial" w:cs="Arial" w:eastAsia="Arial" w:hAnsi="Arial"/>
          <w:sz w:val="17"/>
          <w:szCs w:val="17"/>
          <w:color w:val="auto"/>
        </w:rPr>
        <w:t>Exhibit B-2 to the Agreement is replaced in its entirety with Exhibit B-2 attached hereto.</w:t>
      </w:r>
    </w:p>
    <w:p>
      <w:pPr>
        <w:spacing w:after="0" w:line="224" w:lineRule="exact"/>
        <w:rPr>
          <w:rFonts w:ascii="Arial" w:cs="Arial" w:eastAsia="Arial" w:hAnsi="Arial"/>
          <w:sz w:val="17"/>
          <w:szCs w:val="17"/>
          <w:b w:val="1"/>
          <w:bCs w:val="1"/>
          <w:color w:val="auto"/>
        </w:rPr>
      </w:pPr>
    </w:p>
    <w:p>
      <w:pPr>
        <w:ind w:left="-5" w:right="60" w:firstLine="5"/>
        <w:spacing w:after="0" w:line="265" w:lineRule="auto"/>
        <w:tabs>
          <w:tab w:leader="none" w:pos="620" w:val="left"/>
        </w:tabs>
        <w:numPr>
          <w:ilvl w:val="0"/>
          <w:numId w:val="668"/>
        </w:numPr>
        <w:rPr>
          <w:rFonts w:ascii="Arial" w:cs="Arial" w:eastAsia="Arial" w:hAnsi="Arial"/>
          <w:sz w:val="17"/>
          <w:szCs w:val="17"/>
          <w:b w:val="1"/>
          <w:bCs w:val="1"/>
          <w:color w:val="auto"/>
        </w:rPr>
      </w:pPr>
      <w:r>
        <w:rPr>
          <w:rFonts w:ascii="Arial" w:cs="Arial" w:eastAsia="Arial" w:hAnsi="Arial"/>
          <w:sz w:val="17"/>
          <w:szCs w:val="17"/>
          <w:color w:val="auto"/>
        </w:rPr>
        <w:t>Bank and Borrower each acknowledge and agree that the warrant issued to United Commercial Bank on June 30, 2009 has been assigned in full to Bank, and such warrant provides Bank with rights to acquire 400,000 shares of Borrower’s Series F Preferred Stock at an exercise price of $0.25 (the “2009 Warrant”). In connection with this Amendment, Borrower shall issue to Bank an additional 250,000 shares warrant to purchase Borrower’s Series F Preferred Stock at an exercise price of $0.60 per share (the “2010 Warrant”). The 2010 Warrant shall be in addition to Bank’s 2009 Warrant, and does not replace or supersede the 2009 Warrant.</w:t>
      </w:r>
    </w:p>
    <w:p>
      <w:pPr>
        <w:spacing w:after="0" w:line="179" w:lineRule="exact"/>
        <w:rPr>
          <w:rFonts w:ascii="Arial" w:cs="Arial" w:eastAsia="Arial" w:hAnsi="Arial"/>
          <w:sz w:val="17"/>
          <w:szCs w:val="17"/>
          <w:b w:val="1"/>
          <w:bCs w:val="1"/>
          <w:color w:val="auto"/>
        </w:rPr>
      </w:pPr>
    </w:p>
    <w:p>
      <w:pPr>
        <w:ind w:left="-5" w:right="140" w:firstLine="5"/>
        <w:spacing w:after="0" w:line="326" w:lineRule="auto"/>
        <w:tabs>
          <w:tab w:leader="none" w:pos="620" w:val="left"/>
        </w:tabs>
        <w:numPr>
          <w:ilvl w:val="0"/>
          <w:numId w:val="668"/>
        </w:numPr>
        <w:rPr>
          <w:rFonts w:ascii="Arial" w:cs="Arial" w:eastAsia="Arial" w:hAnsi="Arial"/>
          <w:sz w:val="15"/>
          <w:szCs w:val="15"/>
          <w:b w:val="1"/>
          <w:bCs w:val="1"/>
          <w:color w:val="auto"/>
        </w:rPr>
      </w:pPr>
      <w:r>
        <w:rPr>
          <w:rFonts w:ascii="Arial" w:cs="Arial" w:eastAsia="Arial" w:hAnsi="Arial"/>
          <w:sz w:val="15"/>
          <w:szCs w:val="15"/>
          <w:color w:val="auto"/>
        </w:rPr>
        <w:t>Unless otherwise defined, all initially capitalized terms in this Amendment shall be as defined in the Agreement. The Agreement, as amended hereby, shall be and remains in full force and effect in accordance with its terms and hereby is ratified and confirmed in all respects. Except as expressly set forth herein, the execution, delivery, and performance of this Amendment shall not operate as a waiver of, or as an amendment of, any right, power, or remedy of Bank under</w:t>
      </w:r>
    </w:p>
    <w:p>
      <w:pPr>
        <w:sectPr>
          <w:pgSz w:w="11900" w:h="16840" w:orient="portrait"/>
          <w:cols w:equalWidth="0" w:num="1">
            <w:col w:w="11415"/>
          </w:cols>
          <w:pgMar w:left="245" w:top="336" w:right="239" w:bottom="0" w:gutter="0" w:footer="0" w:header="0"/>
        </w:sectPr>
      </w:pPr>
    </w:p>
    <w:bookmarkStart w:id="408" w:name="page409"/>
    <w:bookmarkEnd w:id="408"/>
    <w:p>
      <w:pPr>
        <w:ind w:right="340"/>
        <w:spacing w:after="0" w:line="289" w:lineRule="auto"/>
        <w:rPr>
          <w:sz w:val="20"/>
          <w:szCs w:val="20"/>
          <w:color w:val="auto"/>
        </w:rPr>
      </w:pPr>
      <w:r>
        <w:rPr>
          <w:rFonts w:ascii="Arial" w:cs="Arial" w:eastAsia="Arial" w:hAnsi="Arial"/>
          <w:sz w:val="17"/>
          <w:szCs w:val="17"/>
          <w:color w:val="auto"/>
        </w:rPr>
        <w:t>the Agreement, as in effect prior to the date hereof. Borrower ratifies and reaffirms the continuing effectiveness of all instruments, documents and agreements entered into in connection with the Agreement.</w:t>
      </w:r>
    </w:p>
    <w:p>
      <w:pPr>
        <w:spacing w:after="0" w:line="158" w:lineRule="exact"/>
        <w:rPr>
          <w:sz w:val="20"/>
          <w:szCs w:val="20"/>
          <w:color w:val="auto"/>
        </w:rPr>
      </w:pPr>
    </w:p>
    <w:p>
      <w:pPr>
        <w:ind w:right="860" w:firstLine="5"/>
        <w:spacing w:after="0" w:line="289" w:lineRule="auto"/>
        <w:tabs>
          <w:tab w:leader="none" w:pos="625" w:val="left"/>
        </w:tabs>
        <w:numPr>
          <w:ilvl w:val="0"/>
          <w:numId w:val="669"/>
        </w:numPr>
        <w:rPr>
          <w:rFonts w:ascii="Arial" w:cs="Arial" w:eastAsia="Arial" w:hAnsi="Arial"/>
          <w:sz w:val="17"/>
          <w:szCs w:val="17"/>
          <w:b w:val="1"/>
          <w:bCs w:val="1"/>
          <w:color w:val="auto"/>
        </w:rPr>
      </w:pPr>
      <w:r>
        <w:rPr>
          <w:rFonts w:ascii="Arial" w:cs="Arial" w:eastAsia="Arial" w:hAnsi="Arial"/>
          <w:sz w:val="17"/>
          <w:szCs w:val="17"/>
          <w:color w:val="auto"/>
        </w:rPr>
        <w:t>Borrower represents and warrants that the representations and warranties contained in the Agreement are true and correct as of the date of this Amendment, and that no Event of Default has occurred and is continuing.</w:t>
      </w:r>
    </w:p>
    <w:p>
      <w:pPr>
        <w:spacing w:after="0" w:line="158" w:lineRule="exact"/>
        <w:rPr>
          <w:rFonts w:ascii="Arial" w:cs="Arial" w:eastAsia="Arial" w:hAnsi="Arial"/>
          <w:sz w:val="17"/>
          <w:szCs w:val="17"/>
          <w:b w:val="1"/>
          <w:bCs w:val="1"/>
          <w:color w:val="auto"/>
        </w:rPr>
      </w:pPr>
    </w:p>
    <w:p>
      <w:pPr>
        <w:ind w:left="620" w:hanging="615"/>
        <w:spacing w:after="0"/>
        <w:tabs>
          <w:tab w:leader="none" w:pos="620" w:val="left"/>
        </w:tabs>
        <w:numPr>
          <w:ilvl w:val="0"/>
          <w:numId w:val="669"/>
        </w:numPr>
        <w:rPr>
          <w:rFonts w:ascii="Arial" w:cs="Arial" w:eastAsia="Arial" w:hAnsi="Arial"/>
          <w:sz w:val="17"/>
          <w:szCs w:val="17"/>
          <w:b w:val="1"/>
          <w:bCs w:val="1"/>
          <w:color w:val="auto"/>
        </w:rPr>
      </w:pPr>
      <w:r>
        <w:rPr>
          <w:rFonts w:ascii="Arial" w:cs="Arial" w:eastAsia="Arial" w:hAnsi="Arial"/>
          <w:sz w:val="17"/>
          <w:szCs w:val="17"/>
          <w:color w:val="auto"/>
        </w:rPr>
        <w:t>Borrower represents and warrants that the Schedule of Exceptions attached hereto is true and complete as of the date hereof.</w:t>
      </w:r>
    </w:p>
    <w:p>
      <w:pPr>
        <w:spacing w:after="0" w:line="224" w:lineRule="exact"/>
        <w:rPr>
          <w:rFonts w:ascii="Arial" w:cs="Arial" w:eastAsia="Arial" w:hAnsi="Arial"/>
          <w:sz w:val="17"/>
          <w:szCs w:val="17"/>
          <w:b w:val="1"/>
          <w:bCs w:val="1"/>
          <w:color w:val="auto"/>
        </w:rPr>
      </w:pPr>
    </w:p>
    <w:p>
      <w:pPr>
        <w:ind w:right="140" w:firstLine="5"/>
        <w:spacing w:after="0" w:line="289" w:lineRule="auto"/>
        <w:tabs>
          <w:tab w:leader="none" w:pos="625" w:val="left"/>
        </w:tabs>
        <w:numPr>
          <w:ilvl w:val="0"/>
          <w:numId w:val="669"/>
        </w:numPr>
        <w:rPr>
          <w:rFonts w:ascii="Arial" w:cs="Arial" w:eastAsia="Arial" w:hAnsi="Arial"/>
          <w:sz w:val="17"/>
          <w:szCs w:val="17"/>
          <w:b w:val="1"/>
          <w:bCs w:val="1"/>
          <w:color w:val="auto"/>
        </w:rPr>
      </w:pPr>
      <w:r>
        <w:rPr>
          <w:rFonts w:ascii="Arial" w:cs="Arial" w:eastAsia="Arial" w:hAnsi="Arial"/>
          <w:sz w:val="17"/>
          <w:szCs w:val="17"/>
          <w:color w:val="auto"/>
        </w:rPr>
        <w:t>This Amendment may be executed in two or more counterparts, each of which shall be deemed an original, but all of which together shall constitute one instrument.</w:t>
      </w:r>
    </w:p>
    <w:p>
      <w:pPr>
        <w:spacing w:after="0" w:line="158" w:lineRule="exact"/>
        <w:rPr>
          <w:rFonts w:ascii="Arial" w:cs="Arial" w:eastAsia="Arial" w:hAnsi="Arial"/>
          <w:sz w:val="17"/>
          <w:szCs w:val="17"/>
          <w:b w:val="1"/>
          <w:bCs w:val="1"/>
          <w:color w:val="auto"/>
        </w:rPr>
      </w:pPr>
    </w:p>
    <w:p>
      <w:pPr>
        <w:ind w:left="620" w:hanging="615"/>
        <w:spacing w:after="0"/>
        <w:tabs>
          <w:tab w:leader="none" w:pos="620" w:val="left"/>
        </w:tabs>
        <w:numPr>
          <w:ilvl w:val="0"/>
          <w:numId w:val="669"/>
        </w:numPr>
        <w:rPr>
          <w:rFonts w:ascii="Arial" w:cs="Arial" w:eastAsia="Arial" w:hAnsi="Arial"/>
          <w:sz w:val="17"/>
          <w:szCs w:val="17"/>
          <w:b w:val="1"/>
          <w:bCs w:val="1"/>
          <w:color w:val="auto"/>
        </w:rPr>
      </w:pPr>
      <w:r>
        <w:rPr>
          <w:rFonts w:ascii="Arial" w:cs="Arial" w:eastAsia="Arial" w:hAnsi="Arial"/>
          <w:sz w:val="17"/>
          <w:szCs w:val="17"/>
          <w:color w:val="auto"/>
        </w:rPr>
        <w:t>As a condition to the effectiveness of this Amendment, Bank shall have received, in form and substance satisfactory to Bank, the following:</w:t>
      </w:r>
    </w:p>
    <w:p>
      <w:pPr>
        <w:spacing w:after="0" w:line="224" w:lineRule="exact"/>
        <w:rPr>
          <w:rFonts w:ascii="Arial" w:cs="Arial" w:eastAsia="Arial" w:hAnsi="Arial"/>
          <w:sz w:val="17"/>
          <w:szCs w:val="17"/>
          <w:b w:val="1"/>
          <w:bCs w:val="1"/>
          <w:color w:val="auto"/>
        </w:rPr>
      </w:pPr>
    </w:p>
    <w:p>
      <w:pPr>
        <w:ind w:left="2520" w:hanging="627"/>
        <w:spacing w:after="0"/>
        <w:tabs>
          <w:tab w:leader="none" w:pos="2520" w:val="left"/>
        </w:tabs>
        <w:numPr>
          <w:ilvl w:val="1"/>
          <w:numId w:val="669"/>
        </w:numPr>
        <w:rPr>
          <w:rFonts w:ascii="Arial" w:cs="Arial" w:eastAsia="Arial" w:hAnsi="Arial"/>
          <w:sz w:val="17"/>
          <w:szCs w:val="17"/>
          <w:color w:val="auto"/>
        </w:rPr>
      </w:pPr>
      <w:r>
        <w:rPr>
          <w:rFonts w:ascii="Arial" w:cs="Arial" w:eastAsia="Arial" w:hAnsi="Arial"/>
          <w:sz w:val="17"/>
          <w:szCs w:val="17"/>
          <w:color w:val="auto"/>
        </w:rPr>
        <w:t>this Amendment, duly executed by Borrower;</w:t>
      </w:r>
    </w:p>
    <w:p>
      <w:pPr>
        <w:spacing w:after="0" w:line="224" w:lineRule="exact"/>
        <w:rPr>
          <w:rFonts w:ascii="Arial" w:cs="Arial" w:eastAsia="Arial" w:hAnsi="Arial"/>
          <w:sz w:val="17"/>
          <w:szCs w:val="17"/>
          <w:color w:val="auto"/>
        </w:rPr>
      </w:pPr>
    </w:p>
    <w:p>
      <w:pPr>
        <w:ind w:left="2520" w:hanging="627"/>
        <w:spacing w:after="0"/>
        <w:tabs>
          <w:tab w:leader="none" w:pos="2520" w:val="left"/>
        </w:tabs>
        <w:numPr>
          <w:ilvl w:val="1"/>
          <w:numId w:val="669"/>
        </w:numPr>
        <w:rPr>
          <w:rFonts w:ascii="Arial" w:cs="Arial" w:eastAsia="Arial" w:hAnsi="Arial"/>
          <w:sz w:val="17"/>
          <w:szCs w:val="17"/>
          <w:color w:val="auto"/>
        </w:rPr>
      </w:pPr>
      <w:r>
        <w:rPr>
          <w:rFonts w:ascii="Arial" w:cs="Arial" w:eastAsia="Arial" w:hAnsi="Arial"/>
          <w:sz w:val="17"/>
          <w:szCs w:val="17"/>
          <w:color w:val="auto"/>
        </w:rPr>
        <w:t>the 2010 Warrant;</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1"/>
          <w:numId w:val="669"/>
        </w:numPr>
        <w:rPr>
          <w:rFonts w:ascii="Arial" w:cs="Arial" w:eastAsia="Arial" w:hAnsi="Arial"/>
          <w:sz w:val="17"/>
          <w:szCs w:val="17"/>
          <w:color w:val="auto"/>
        </w:rPr>
      </w:pPr>
      <w:r>
        <w:rPr>
          <w:rFonts w:ascii="Arial" w:cs="Arial" w:eastAsia="Arial" w:hAnsi="Arial"/>
          <w:sz w:val="17"/>
          <w:szCs w:val="17"/>
          <w:color w:val="auto"/>
        </w:rPr>
        <w:t>Corporation Resolutions and Incumbency Certification;</w:t>
      </w:r>
    </w:p>
    <w:p>
      <w:pPr>
        <w:spacing w:after="0" w:line="224" w:lineRule="exact"/>
        <w:rPr>
          <w:rFonts w:ascii="Arial" w:cs="Arial" w:eastAsia="Arial" w:hAnsi="Arial"/>
          <w:sz w:val="17"/>
          <w:szCs w:val="17"/>
          <w:color w:val="auto"/>
        </w:rPr>
      </w:pPr>
    </w:p>
    <w:p>
      <w:pPr>
        <w:ind w:left="2520" w:hanging="627"/>
        <w:spacing w:after="0"/>
        <w:tabs>
          <w:tab w:leader="none" w:pos="2520" w:val="left"/>
        </w:tabs>
        <w:numPr>
          <w:ilvl w:val="1"/>
          <w:numId w:val="669"/>
        </w:numPr>
        <w:rPr>
          <w:rFonts w:ascii="Arial" w:cs="Arial" w:eastAsia="Arial" w:hAnsi="Arial"/>
          <w:sz w:val="17"/>
          <w:szCs w:val="17"/>
          <w:color w:val="auto"/>
        </w:rPr>
      </w:pPr>
      <w:r>
        <w:rPr>
          <w:rFonts w:ascii="Arial" w:cs="Arial" w:eastAsia="Arial" w:hAnsi="Arial"/>
          <w:sz w:val="17"/>
          <w:szCs w:val="17"/>
          <w:color w:val="auto"/>
        </w:rPr>
        <w:t>Schedule of Exceptions, as of the date hereof;</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1"/>
          <w:numId w:val="669"/>
        </w:numPr>
        <w:rPr>
          <w:rFonts w:ascii="Arial" w:cs="Arial" w:eastAsia="Arial" w:hAnsi="Arial"/>
          <w:sz w:val="17"/>
          <w:szCs w:val="17"/>
          <w:color w:val="auto"/>
        </w:rPr>
      </w:pPr>
      <w:r>
        <w:rPr>
          <w:rFonts w:ascii="Arial" w:cs="Arial" w:eastAsia="Arial" w:hAnsi="Arial"/>
          <w:sz w:val="17"/>
          <w:szCs w:val="17"/>
          <w:color w:val="auto"/>
        </w:rPr>
        <w:t>the stock certificate of Global Technology, Inc., pursuant to Section 6.12 of the Agreement;</w:t>
      </w:r>
    </w:p>
    <w:p>
      <w:pPr>
        <w:spacing w:after="0" w:line="224" w:lineRule="exact"/>
        <w:rPr>
          <w:rFonts w:ascii="Arial" w:cs="Arial" w:eastAsia="Arial" w:hAnsi="Arial"/>
          <w:sz w:val="17"/>
          <w:szCs w:val="17"/>
          <w:color w:val="auto"/>
        </w:rPr>
      </w:pPr>
    </w:p>
    <w:p>
      <w:pPr>
        <w:ind w:left="2520" w:hanging="627"/>
        <w:spacing w:after="0"/>
        <w:tabs>
          <w:tab w:leader="none" w:pos="2520" w:val="left"/>
        </w:tabs>
        <w:numPr>
          <w:ilvl w:val="1"/>
          <w:numId w:val="669"/>
        </w:numPr>
        <w:rPr>
          <w:rFonts w:ascii="Arial" w:cs="Arial" w:eastAsia="Arial" w:hAnsi="Arial"/>
          <w:sz w:val="16"/>
          <w:szCs w:val="16"/>
          <w:color w:val="auto"/>
        </w:rPr>
      </w:pPr>
      <w:r>
        <w:rPr>
          <w:rFonts w:ascii="Arial" w:cs="Arial" w:eastAsia="Arial" w:hAnsi="Arial"/>
          <w:sz w:val="16"/>
          <w:szCs w:val="16"/>
          <w:color w:val="auto"/>
        </w:rPr>
        <w:t>an amendment fee of $34,608.59 to Bank, plus an amount equal to all Bank Expenses incurred through the date of this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Amendment; and</w:t>
      </w:r>
    </w:p>
    <w:p>
      <w:pPr>
        <w:spacing w:after="0" w:line="212" w:lineRule="exact"/>
        <w:rPr>
          <w:rFonts w:ascii="Arial" w:cs="Arial" w:eastAsia="Arial" w:hAnsi="Arial"/>
          <w:sz w:val="16"/>
          <w:szCs w:val="16"/>
          <w:color w:val="auto"/>
        </w:rPr>
      </w:pPr>
    </w:p>
    <w:p>
      <w:pPr>
        <w:ind w:left="2540" w:hanging="647"/>
        <w:spacing w:after="0"/>
        <w:tabs>
          <w:tab w:leader="none" w:pos="2540" w:val="left"/>
        </w:tabs>
        <w:numPr>
          <w:ilvl w:val="1"/>
          <w:numId w:val="669"/>
        </w:numPr>
        <w:rPr>
          <w:rFonts w:ascii="Arial" w:cs="Arial" w:eastAsia="Arial" w:hAnsi="Arial"/>
          <w:sz w:val="16"/>
          <w:szCs w:val="16"/>
          <w:color w:val="auto"/>
        </w:rPr>
      </w:pPr>
      <w:r>
        <w:rPr>
          <w:rFonts w:ascii="Arial" w:cs="Arial" w:eastAsia="Arial" w:hAnsi="Arial"/>
          <w:sz w:val="16"/>
          <w:szCs w:val="16"/>
          <w:color w:val="auto"/>
        </w:rPr>
        <w:t>such other documents, and completion of such other matters, as Bank may reasonably deem necessary or appropriate.</w:t>
      </w:r>
    </w:p>
    <w:p>
      <w:pPr>
        <w:spacing w:after="0" w:line="235" w:lineRule="exact"/>
        <w:rPr>
          <w:rFonts w:ascii="Arial" w:cs="Arial" w:eastAsia="Arial" w:hAnsi="Arial"/>
          <w:sz w:val="16"/>
          <w:szCs w:val="16"/>
          <w:color w:val="auto"/>
        </w:rPr>
      </w:pPr>
    </w:p>
    <w:p>
      <w:pPr>
        <w:ind w:left="3500"/>
        <w:spacing w:after="0"/>
        <w:rPr>
          <w:rFonts w:ascii="Arial" w:cs="Arial" w:eastAsia="Arial" w:hAnsi="Arial"/>
          <w:sz w:val="16"/>
          <w:szCs w:val="16"/>
          <w:color w:val="auto"/>
        </w:rPr>
      </w:pPr>
      <w:r>
        <w:rPr>
          <w:rFonts w:ascii="Arial" w:cs="Arial" w:eastAsia="Arial" w:hAnsi="Arial"/>
          <w:sz w:val="17"/>
          <w:szCs w:val="17"/>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undersigned have executed this Amendment as of the first date above written.</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APPLIED OPTOELECTRONICS, INC.</w:t>
      </w:r>
    </w:p>
    <w:p>
      <w:pPr>
        <w:spacing w:after="0" w:line="200" w:lineRule="exact"/>
        <w:rPr>
          <w:sz w:val="20"/>
          <w:szCs w:val="20"/>
          <w:color w:val="auto"/>
        </w:rPr>
      </w:pPr>
    </w:p>
    <w:p>
      <w:pPr>
        <w:spacing w:after="0" w:line="234"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Lin, Chih-Hsiang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17145</wp:posOffset>
            </wp:positionV>
            <wp:extent cx="321310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3213100" cy="8255"/>
                    </a:xfrm>
                    <a:prstGeom prst="rect">
                      <a:avLst/>
                    </a:prstGeom>
                    <a:noFill/>
                  </pic:spPr>
                </pic:pic>
              </a:graphicData>
            </a:graphic>
          </wp:anchor>
        </w:drawing>
      </w:r>
    </w:p>
    <w:p>
      <w:pPr>
        <w:spacing w:after="0" w:line="217"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7"/>
          <w:szCs w:val="17"/>
          <w:color w:val="auto"/>
        </w:rPr>
        <w:t>Title:</w:t>
        <w:tab/>
        <w:t>Lin, Chih-Hsiang, President</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EAST WEST BANK</w:t>
      </w:r>
    </w:p>
    <w:p>
      <w:pPr>
        <w:spacing w:after="0" w:line="200" w:lineRule="exact"/>
        <w:rPr>
          <w:sz w:val="20"/>
          <w:szCs w:val="20"/>
          <w:color w:val="auto"/>
        </w:rPr>
      </w:pPr>
    </w:p>
    <w:p>
      <w:pPr>
        <w:spacing w:after="0" w:line="234"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Yu-Fu Lin</w:t>
            </w:r>
          </w:p>
        </w:tc>
      </w:tr>
      <w:tr>
        <w:trPr>
          <w:trHeight w:val="412"/>
        </w:trPr>
        <w:tc>
          <w:tcPr>
            <w:tcW w:w="640" w:type="dxa"/>
            <w:vAlign w:val="bottom"/>
          </w:tcPr>
          <w:p>
            <w:pPr>
              <w:spacing w:after="0"/>
              <w:rPr>
                <w:sz w:val="20"/>
                <w:szCs w:val="20"/>
                <w:color w:val="auto"/>
              </w:rPr>
            </w:pPr>
            <w:r>
              <w:rPr>
                <w:rFonts w:ascii="Arial" w:cs="Arial" w:eastAsia="Arial" w:hAnsi="Arial"/>
                <w:sz w:val="17"/>
                <w:szCs w:val="17"/>
                <w:color w:val="auto"/>
              </w:rPr>
              <w:t>Title:</w:t>
            </w:r>
          </w:p>
        </w:tc>
        <w:tc>
          <w:tcPr>
            <w:tcW w:w="5060" w:type="dxa"/>
            <w:vAlign w:val="bottom"/>
          </w:tcPr>
          <w:p>
            <w:pPr>
              <w:spacing w:after="0"/>
              <w:rPr>
                <w:sz w:val="20"/>
                <w:szCs w:val="20"/>
                <w:color w:val="auto"/>
              </w:rPr>
            </w:pPr>
            <w:r>
              <w:rPr>
                <w:rFonts w:ascii="Arial" w:cs="Arial" w:eastAsia="Arial" w:hAnsi="Arial"/>
                <w:sz w:val="17"/>
                <w:szCs w:val="17"/>
                <w:color w:val="auto"/>
              </w:rPr>
              <w:t>First 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198120</wp:posOffset>
            </wp:positionV>
            <wp:extent cx="7271385" cy="2921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60" w:type="dxa"/>
            <w:vAlign w:val="bottom"/>
          </w:tcPr>
          <w:p>
            <w:pPr>
              <w:spacing w:after="0"/>
              <w:rPr>
                <w:sz w:val="18"/>
                <w:szCs w:val="18"/>
                <w:color w:val="auto"/>
              </w:rPr>
            </w:pPr>
          </w:p>
        </w:tc>
        <w:tc>
          <w:tcPr>
            <w:tcW w:w="8860" w:type="dxa"/>
            <w:vAlign w:val="bottom"/>
          </w:tcPr>
          <w:p>
            <w:pPr>
              <w:jc w:val="right"/>
              <w:ind w:right="5093"/>
              <w:spacing w:after="0"/>
              <w:rPr>
                <w:sz w:val="20"/>
                <w:szCs w:val="20"/>
                <w:color w:val="auto"/>
              </w:rPr>
            </w:pPr>
            <w:r>
              <w:rPr>
                <w:rFonts w:ascii="Arial" w:cs="Arial" w:eastAsia="Arial" w:hAnsi="Arial"/>
                <w:sz w:val="17"/>
                <w:szCs w:val="17"/>
                <w:b w:val="1"/>
                <w:bCs w:val="1"/>
                <w:color w:val="auto"/>
              </w:rPr>
              <w:t>EXHIBIT B-2</w:t>
            </w:r>
          </w:p>
        </w:tc>
      </w:tr>
      <w:tr>
        <w:trPr>
          <w:trHeight w:val="228"/>
        </w:trPr>
        <w:tc>
          <w:tcPr>
            <w:tcW w:w="2560" w:type="dxa"/>
            <w:vAlign w:val="bottom"/>
          </w:tcPr>
          <w:p>
            <w:pPr>
              <w:spacing w:after="0"/>
              <w:rPr>
                <w:sz w:val="19"/>
                <w:szCs w:val="19"/>
                <w:color w:val="auto"/>
              </w:rPr>
            </w:pPr>
          </w:p>
        </w:tc>
        <w:tc>
          <w:tcPr>
            <w:tcW w:w="8860" w:type="dxa"/>
            <w:vAlign w:val="bottom"/>
          </w:tcPr>
          <w:p>
            <w:pPr>
              <w:jc w:val="right"/>
              <w:ind w:right="4373"/>
              <w:spacing w:after="0"/>
              <w:rPr>
                <w:sz w:val="20"/>
                <w:szCs w:val="20"/>
                <w:color w:val="auto"/>
              </w:rPr>
            </w:pPr>
            <w:r>
              <w:rPr>
                <w:rFonts w:ascii="Arial" w:cs="Arial" w:eastAsia="Arial" w:hAnsi="Arial"/>
                <w:sz w:val="17"/>
                <w:szCs w:val="17"/>
                <w:b w:val="1"/>
                <w:bCs w:val="1"/>
                <w:color w:val="auto"/>
              </w:rPr>
              <w:t>EQUIPMENT ADVANCE NOTE</w:t>
            </w:r>
          </w:p>
        </w:tc>
      </w:tr>
      <w:tr>
        <w:trPr>
          <w:trHeight w:val="408"/>
        </w:trPr>
        <w:tc>
          <w:tcPr>
            <w:tcW w:w="2560" w:type="dxa"/>
            <w:vAlign w:val="bottom"/>
          </w:tcPr>
          <w:p>
            <w:pPr>
              <w:jc w:val="right"/>
              <w:ind w:right="1813"/>
              <w:spacing w:after="0"/>
              <w:rPr>
                <w:sz w:val="20"/>
                <w:szCs w:val="20"/>
                <w:color w:val="auto"/>
              </w:rPr>
            </w:pPr>
            <w:r>
              <w:rPr>
                <w:rFonts w:ascii="Arial" w:cs="Arial" w:eastAsia="Arial" w:hAnsi="Arial"/>
                <w:sz w:val="17"/>
                <w:szCs w:val="17"/>
                <w:color w:val="auto"/>
                <w:w w:val="90"/>
              </w:rPr>
              <w:t>$390,795</w:t>
            </w:r>
          </w:p>
        </w:tc>
        <w:tc>
          <w:tcPr>
            <w:tcW w:w="8860" w:type="dxa"/>
            <w:vAlign w:val="bottom"/>
          </w:tcPr>
          <w:p>
            <w:pPr>
              <w:jc w:val="right"/>
              <w:spacing w:after="0"/>
              <w:rPr>
                <w:sz w:val="20"/>
                <w:szCs w:val="20"/>
                <w:color w:val="auto"/>
              </w:rPr>
            </w:pPr>
            <w:r>
              <w:rPr>
                <w:rFonts w:ascii="Arial" w:cs="Arial" w:eastAsia="Arial" w:hAnsi="Arial"/>
                <w:sz w:val="17"/>
                <w:szCs w:val="17"/>
                <w:color w:val="auto"/>
              </w:rPr>
              <w:t>May 3, 2010</w:t>
            </w:r>
          </w:p>
        </w:tc>
      </w:tr>
      <w:tr>
        <w:trPr>
          <w:trHeight w:val="222"/>
        </w:trPr>
        <w:tc>
          <w:tcPr>
            <w:tcW w:w="2560" w:type="dxa"/>
            <w:vAlign w:val="bottom"/>
          </w:tcPr>
          <w:p>
            <w:pPr>
              <w:spacing w:after="0"/>
              <w:rPr>
                <w:sz w:val="19"/>
                <w:szCs w:val="19"/>
                <w:color w:val="auto"/>
              </w:rPr>
            </w:pPr>
          </w:p>
        </w:tc>
        <w:tc>
          <w:tcPr>
            <w:tcW w:w="8860" w:type="dxa"/>
            <w:vAlign w:val="bottom"/>
          </w:tcPr>
          <w:p>
            <w:pPr>
              <w:jc w:val="right"/>
              <w:spacing w:after="0"/>
              <w:rPr>
                <w:sz w:val="20"/>
                <w:szCs w:val="20"/>
                <w:color w:val="auto"/>
              </w:rPr>
            </w:pPr>
            <w:r>
              <w:rPr>
                <w:rFonts w:ascii="Arial" w:cs="Arial" w:eastAsia="Arial" w:hAnsi="Arial"/>
                <w:sz w:val="17"/>
                <w:szCs w:val="17"/>
                <w:color w:val="auto"/>
              </w:rPr>
              <w:t>Santa Clara, California</w:t>
            </w:r>
          </w:p>
        </w:tc>
      </w:tr>
    </w:tbl>
    <w:p>
      <w:pPr>
        <w:spacing w:after="0" w:line="192" w:lineRule="exact"/>
        <w:rPr>
          <w:sz w:val="20"/>
          <w:szCs w:val="20"/>
          <w:color w:val="auto"/>
        </w:rPr>
      </w:pPr>
    </w:p>
    <w:p>
      <w:pPr>
        <w:ind w:right="60" w:firstLine="629"/>
        <w:spacing w:after="0" w:line="263" w:lineRule="auto"/>
        <w:rPr>
          <w:sz w:val="20"/>
          <w:szCs w:val="20"/>
          <w:color w:val="auto"/>
        </w:rPr>
      </w:pPr>
      <w:r>
        <w:rPr>
          <w:rFonts w:ascii="Arial" w:cs="Arial" w:eastAsia="Arial" w:hAnsi="Arial"/>
          <w:sz w:val="17"/>
          <w:szCs w:val="17"/>
          <w:b w:val="1"/>
          <w:bCs w:val="1"/>
          <w:color w:val="auto"/>
        </w:rPr>
        <w:t>FOR VALUE RECEIVED</w:t>
      </w:r>
      <w:r>
        <w:rPr>
          <w:rFonts w:ascii="Arial" w:cs="Arial" w:eastAsia="Arial" w:hAnsi="Arial"/>
          <w:sz w:val="17"/>
          <w:szCs w:val="17"/>
          <w:color w:val="auto"/>
        </w:rPr>
        <w:t>, the undersigned, Applied Optoelectronics, Inc. (the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w:t>
      </w:r>
      <w:r>
        <w:rPr>
          <w:rFonts w:ascii="Arial" w:cs="Arial" w:eastAsia="Arial" w:hAnsi="Arial"/>
          <w:sz w:val="17"/>
          <w:szCs w:val="17"/>
          <w:b w:val="1"/>
          <w:bCs w:val="1"/>
          <w:color w:val="auto"/>
        </w:rPr>
        <w:t xml:space="preserve"> HEREBY PROMISES TO PAY </w:t>
      </w:r>
      <w:r>
        <w:rPr>
          <w:rFonts w:ascii="Arial" w:cs="Arial" w:eastAsia="Arial" w:hAnsi="Arial"/>
          <w:sz w:val="17"/>
          <w:szCs w:val="17"/>
          <w:color w:val="auto"/>
        </w:rPr>
        <w:t>to the order of East</w:t>
      </w:r>
      <w:r>
        <w:rPr>
          <w:rFonts w:ascii="Arial" w:cs="Arial" w:eastAsia="Arial" w:hAnsi="Arial"/>
          <w:sz w:val="17"/>
          <w:szCs w:val="17"/>
          <w:b w:val="1"/>
          <w:bCs w:val="1"/>
          <w:color w:val="auto"/>
        </w:rPr>
        <w:t xml:space="preserve"> </w:t>
      </w:r>
      <w:r>
        <w:rPr>
          <w:rFonts w:ascii="Arial" w:cs="Arial" w:eastAsia="Arial" w:hAnsi="Arial"/>
          <w:sz w:val="17"/>
          <w:szCs w:val="17"/>
          <w:color w:val="auto"/>
        </w:rPr>
        <w:t>West Bank (the “</w:t>
      </w:r>
      <w:r>
        <w:rPr>
          <w:rFonts w:ascii="Arial" w:cs="Arial" w:eastAsia="Arial" w:hAnsi="Arial"/>
          <w:sz w:val="17"/>
          <w:szCs w:val="17"/>
          <w:b w:val="1"/>
          <w:bCs w:val="1"/>
          <w:i w:val="1"/>
          <w:iCs w:val="1"/>
          <w:color w:val="auto"/>
        </w:rPr>
        <w:t>Bank”</w:t>
      </w:r>
      <w:r>
        <w:rPr>
          <w:rFonts w:ascii="Arial" w:cs="Arial" w:eastAsia="Arial" w:hAnsi="Arial"/>
          <w:sz w:val="17"/>
          <w:szCs w:val="17"/>
          <w:color w:val="auto"/>
        </w:rPr>
        <w:t xml:space="preserve">) at its Principal Office located at 5201 Great American Parkway, Suite 300, Santa Clara, CA 95054, or at such other place as Bank may from time to time designate in writing, in lawful money of the United States and in immediately available funds, the principal amount of </w:t>
      </w:r>
      <w:r>
        <w:rPr>
          <w:rFonts w:ascii="Arial" w:cs="Arial" w:eastAsia="Arial" w:hAnsi="Arial"/>
          <w:sz w:val="17"/>
          <w:szCs w:val="17"/>
          <w:b w:val="1"/>
          <w:bCs w:val="1"/>
          <w:color w:val="auto"/>
        </w:rPr>
        <w:t>THREE HUNDRED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NINETY THOUSAND SEVEN HUNDRED NINETY FIVE DOLLARS </w:t>
      </w:r>
      <w:r>
        <w:rPr>
          <w:rFonts w:ascii="Arial" w:cs="Arial" w:eastAsia="Arial" w:hAnsi="Arial"/>
          <w:sz w:val="17"/>
          <w:szCs w:val="17"/>
          <w:color w:val="auto"/>
        </w:rPr>
        <w:t>($390.795.00) or so much of the Equipment Advances (as defined in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(defined below)) as may be advanced from time to time, together with interest from the date of disbursement computed on the principal balances hereof from time to time outstanding as set forth in the Amended and Restated Loan and Security Agreement dated as of the date hereof by and between Bank and Borrower (the “</w:t>
      </w:r>
      <w:r>
        <w:rPr>
          <w:rFonts w:ascii="Arial" w:cs="Arial" w:eastAsia="Arial" w:hAnsi="Arial"/>
          <w:sz w:val="17"/>
          <w:szCs w:val="17"/>
          <w:b w:val="1"/>
          <w:bCs w:val="1"/>
          <w:i w:val="1"/>
          <w:iCs w:val="1"/>
          <w:color w:val="auto"/>
        </w:rPr>
        <w:t>Loan Agreement”</w:t>
      </w:r>
      <w:r>
        <w:rPr>
          <w:rFonts w:ascii="Arial" w:cs="Arial" w:eastAsia="Arial" w:hAnsi="Arial"/>
          <w:sz w:val="17"/>
          <w:szCs w:val="17"/>
          <w:color w:val="auto"/>
        </w:rPr>
        <w:t>). The Loan Agreement is incorporated herein by this reference in its entirety. Capitalized terms used but not otherwise defined herein are used in this Equipment Advance Note as defined in the Loan Agreement.</w:t>
      </w:r>
    </w:p>
    <w:p>
      <w:pPr>
        <w:spacing w:after="0" w:line="180"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This Equipment Advance Note (the “</w:t>
      </w:r>
      <w:r>
        <w:rPr>
          <w:rFonts w:ascii="Arial" w:cs="Arial" w:eastAsia="Arial" w:hAnsi="Arial"/>
          <w:sz w:val="17"/>
          <w:szCs w:val="17"/>
          <w:b w:val="1"/>
          <w:bCs w:val="1"/>
          <w:i w:val="1"/>
          <w:iCs w:val="1"/>
          <w:color w:val="auto"/>
        </w:rPr>
        <w:t>Equipment Advance Note”</w:t>
      </w:r>
      <w:r>
        <w:rPr>
          <w:rFonts w:ascii="Arial" w:cs="Arial" w:eastAsia="Arial" w:hAnsi="Arial"/>
          <w:sz w:val="17"/>
          <w:szCs w:val="17"/>
          <w:color w:val="auto"/>
        </w:rPr>
        <w:t>) is entitled to the benefits of, the Loan Agreement. The Loan Agreement, among other things, contains provisions for acceleration of the maturity of this Equipment Advance Note upon the happening of certain stated events and also for prepayments on account of principal hereof prior to the maturity of this Equipment Advance Note upon the terms and conditions specified in the Loan Agreement. This Equipment Advance Note is also secured by the Collateral described in the Loan Agreement, and reference to the Loan Agreement is hereby made for a description of the rights of Borrower and Bank in respect to such Collateral.</w:t>
      </w:r>
    </w:p>
    <w:p>
      <w:pPr>
        <w:spacing w:after="0" w:line="179"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Borrower further promises to pay interest on the unpaid principal amount hereof outstanding from time to time from the date hereof until payment in full hereof at the rate (or rates) from time to time applicable to the Equipment Advances as determined in accordance with the Loan Agreement. Interest shall be calculated on the basis of a three hundred sixty (360)-day year for the actual days elapsed.</w:t>
      </w:r>
    </w:p>
    <w:p>
      <w:pPr>
        <w:sectPr>
          <w:pgSz w:w="11900" w:h="16838" w:orient="portrait"/>
          <w:cols w:equalWidth="0" w:num="1">
            <w:col w:w="11420"/>
          </w:cols>
          <w:pgMar w:left="240" w:top="127" w:right="239" w:bottom="37" w:gutter="0" w:footer="0" w:header="0"/>
        </w:sectPr>
      </w:pPr>
    </w:p>
    <w:bookmarkStart w:id="409" w:name="page410"/>
    <w:bookmarkEnd w:id="409"/>
    <w:p>
      <w:pPr>
        <w:jc w:val="both"/>
        <w:ind w:firstLine="629"/>
        <w:spacing w:after="0" w:line="298" w:lineRule="auto"/>
        <w:rPr>
          <w:sz w:val="20"/>
          <w:szCs w:val="20"/>
          <w:color w:val="auto"/>
        </w:rPr>
      </w:pPr>
      <w:r>
        <w:rPr>
          <w:rFonts w:ascii="Arial" w:cs="Arial" w:eastAsia="Arial" w:hAnsi="Arial"/>
          <w:sz w:val="16"/>
          <w:szCs w:val="16"/>
          <w:color w:val="auto"/>
        </w:rPr>
        <w:t>Borrower waives demand, presentment and protest, and notice of demand, presentment, protest and nonpayment. Except as otherwise provided in the Loan Agreement or other Loan Documents, Borrower waives all rights to notice and hearing of any kind upon the occurrence of an Event of Default prior to the exercise by Bank of its rights to repossess the Collateral without judicial process or to replevy, attach or levy upon the Collateral without notice or hearing.</w:t>
      </w:r>
    </w:p>
    <w:p>
      <w:pPr>
        <w:spacing w:after="0" w:line="154" w:lineRule="exact"/>
        <w:rPr>
          <w:sz w:val="20"/>
          <w:szCs w:val="20"/>
          <w:color w:val="auto"/>
        </w:rPr>
      </w:pPr>
    </w:p>
    <w:p>
      <w:pPr>
        <w:ind w:right="300" w:firstLine="629"/>
        <w:spacing w:after="0" w:line="273" w:lineRule="auto"/>
        <w:rPr>
          <w:sz w:val="20"/>
          <w:szCs w:val="20"/>
          <w:color w:val="auto"/>
        </w:rPr>
      </w:pPr>
      <w:r>
        <w:rPr>
          <w:rFonts w:ascii="Arial" w:cs="Arial" w:eastAsia="Arial" w:hAnsi="Arial"/>
          <w:sz w:val="17"/>
          <w:szCs w:val="17"/>
          <w:color w:val="auto"/>
        </w:rPr>
        <w:t>If this Equipment Advance Note is not paid when due, whether at its specified or accelerated maturity date, Borrower promises to pay all costs of collection and enforcement of this Equipment Advance Note, including, but not limited to, reasonable attorneys’ fees and costs, incurred by Bank hereof on account of such collection or enforcement, whether or not suit is filed hereon.</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Equipment Advance Note shall be governed and construed in accordance with the laws of the State of California.</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has executed and delivered this Equipment Advance Note as of the date and year first above written.</w:t>
      </w:r>
    </w:p>
    <w:p>
      <w:pPr>
        <w:spacing w:after="0" w:line="23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APPLIED OPTOELECTRONICS, INC.</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4023995</wp:posOffset>
            </wp:positionH>
            <wp:positionV relativeFrom="paragraph">
              <wp:posOffset>17145</wp:posOffset>
            </wp:positionV>
            <wp:extent cx="322961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3229610" cy="8255"/>
                    </a:xfrm>
                    <a:prstGeom prst="rect">
                      <a:avLst/>
                    </a:prstGeom>
                    <a:noFill/>
                  </pic:spPr>
                </pic:pic>
              </a:graphicData>
            </a:graphic>
          </wp:anchor>
        </w:drawing>
      </w:r>
    </w:p>
    <w:p>
      <w:pPr>
        <w:spacing w:after="0" w:line="217" w:lineRule="exact"/>
        <w:rPr>
          <w:sz w:val="20"/>
          <w:szCs w:val="20"/>
          <w:color w:val="auto"/>
        </w:rPr>
      </w:pPr>
    </w:p>
    <w:p>
      <w:pPr>
        <w:ind w:left="5720"/>
        <w:spacing w:after="0"/>
        <w:tabs>
          <w:tab w:leader="none" w:pos="6320" w:val="left"/>
        </w:tabs>
        <w:rPr>
          <w:sz w:val="20"/>
          <w:szCs w:val="20"/>
          <w:color w:val="auto"/>
        </w:rPr>
      </w:pPr>
      <w:r>
        <w:rPr>
          <w:rFonts w:ascii="Arial" w:cs="Arial" w:eastAsia="Arial" w:hAnsi="Arial"/>
          <w:sz w:val="17"/>
          <w:szCs w:val="17"/>
          <w:color w:val="auto"/>
        </w:rPr>
        <w:t>Title:</w:t>
        <w:tab/>
        <w:t>Lin, Chih-Hsiang,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4023995</wp:posOffset>
            </wp:positionH>
            <wp:positionV relativeFrom="paragraph">
              <wp:posOffset>17145</wp:posOffset>
            </wp:positionV>
            <wp:extent cx="322961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32296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222885</wp:posOffset>
            </wp:positionV>
            <wp:extent cx="7271385" cy="2921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200"/>
          </w:cols>
          <w:pgMar w:left="240" w:top="127" w:right="459" w:bottom="1440" w:gutter="0" w:footer="0" w:header="0"/>
        </w:sectPr>
      </w:pPr>
    </w:p>
    <w:bookmarkStart w:id="410" w:name="page411"/>
    <w:bookmarkEnd w:id="410"/>
    <w:p>
      <w:pPr>
        <w:jc w:val="right"/>
        <w:spacing w:after="0"/>
        <w:rPr>
          <w:sz w:val="20"/>
          <w:szCs w:val="20"/>
          <w:color w:val="auto"/>
        </w:rPr>
      </w:pPr>
      <w:r>
        <w:rPr>
          <w:rFonts w:ascii="Arial" w:cs="Arial" w:eastAsia="Arial" w:hAnsi="Arial"/>
          <w:sz w:val="17"/>
          <w:szCs w:val="17"/>
          <w:b w:val="1"/>
          <w:bCs w:val="1"/>
          <w:color w:val="auto"/>
        </w:rPr>
        <w:t>Exhibit 10.10.2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AMENDED AND RESTATED LOAN AND SECURITY AGREEMENT</w:t>
      </w:r>
    </w:p>
    <w:p>
      <w:pPr>
        <w:spacing w:after="0" w:line="212" w:lineRule="exact"/>
        <w:rPr>
          <w:sz w:val="20"/>
          <w:szCs w:val="20"/>
          <w:color w:val="auto"/>
        </w:rPr>
      </w:pPr>
    </w:p>
    <w:p>
      <w:pPr>
        <w:ind w:right="360" w:firstLine="629"/>
        <w:spacing w:after="0" w:line="289" w:lineRule="auto"/>
        <w:rPr>
          <w:sz w:val="20"/>
          <w:szCs w:val="20"/>
          <w:color w:val="auto"/>
        </w:rPr>
      </w:pPr>
      <w:r>
        <w:rPr>
          <w:rFonts w:ascii="Arial" w:cs="Arial" w:eastAsia="Arial" w:hAnsi="Arial"/>
          <w:sz w:val="17"/>
          <w:szCs w:val="17"/>
          <w:color w:val="auto"/>
        </w:rPr>
        <w:t>This Second Amendment to Amended and Restated Loan and Security Agreement is entered into as of October 28, 2010 (the “Amendment”), by and between APPLIED OPTOELECTRONICS, INC (“Borrower”) and EAST WEST BANK (“Bank”).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Borrower and Bank are parties to that certain Amended and Restated Loan and Security Agreement dated as of June 30, 2009, as amended from time to time including that certain First Amendment to Amended and Restated Loan and Security Agreement dated as of May 3, 2010 (collectively, the “Agreement”). The parties desire to amend the Agreement in accordance with the terms of this Amendment.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the parties agree as follows:</w:t>
      </w:r>
    </w:p>
    <w:p>
      <w:pPr>
        <w:spacing w:after="0" w:line="224" w:lineRule="exact"/>
        <w:rPr>
          <w:sz w:val="20"/>
          <w:szCs w:val="20"/>
          <w:color w:val="auto"/>
        </w:rPr>
      </w:pPr>
    </w:p>
    <w:p>
      <w:pPr>
        <w:ind w:right="140" w:firstLine="5"/>
        <w:spacing w:after="0" w:line="265" w:lineRule="auto"/>
        <w:tabs>
          <w:tab w:leader="none" w:pos="629" w:val="left"/>
        </w:tabs>
        <w:numPr>
          <w:ilvl w:val="0"/>
          <w:numId w:val="670"/>
        </w:numPr>
        <w:rPr>
          <w:rFonts w:ascii="Arial" w:cs="Arial" w:eastAsia="Arial" w:hAnsi="Arial"/>
          <w:sz w:val="17"/>
          <w:szCs w:val="17"/>
          <w:b w:val="1"/>
          <w:bCs w:val="1"/>
          <w:color w:val="auto"/>
        </w:rPr>
      </w:pPr>
      <w:r>
        <w:rPr>
          <w:rFonts w:ascii="Arial" w:cs="Arial" w:eastAsia="Arial" w:hAnsi="Arial"/>
          <w:sz w:val="17"/>
          <w:szCs w:val="17"/>
          <w:color w:val="auto"/>
        </w:rPr>
        <w:t>Bank consents to the incurrence of up to $13,000,000 of Indebtedness by Global Technology, Inc., a wholly owned subsidiary of Prime World International Holdings, Ltd. (which is a wholly owned subsidiary of Borrower), in connection with a credit facility from a bank or financial institution acceptable to Bank (the “GTI Debt”), provided that (i) Borrower is not a co-borrower or guarantor to the GTI Debt, or in any way obligated or liable with respect to the GTI Debt, (ii) none of Bank’s Collateral shall be pledged or used to secure the GTI Debt, and (iii) Borrower shall not make any Investment into Global Technology, Inc. in support of the GTI Debt.</w:t>
      </w:r>
    </w:p>
    <w:p>
      <w:pPr>
        <w:spacing w:after="0" w:line="179" w:lineRule="exact"/>
        <w:rPr>
          <w:rFonts w:ascii="Arial" w:cs="Arial" w:eastAsia="Arial" w:hAnsi="Arial"/>
          <w:sz w:val="17"/>
          <w:szCs w:val="17"/>
          <w:b w:val="1"/>
          <w:bCs w:val="1"/>
          <w:color w:val="auto"/>
        </w:rPr>
      </w:pPr>
    </w:p>
    <w:p>
      <w:pPr>
        <w:ind w:left="640" w:hanging="635"/>
        <w:spacing w:after="0"/>
        <w:tabs>
          <w:tab w:leader="none" w:pos="640" w:val="left"/>
        </w:tabs>
        <w:numPr>
          <w:ilvl w:val="0"/>
          <w:numId w:val="670"/>
        </w:numPr>
        <w:rPr>
          <w:rFonts w:ascii="Arial" w:cs="Arial" w:eastAsia="Arial" w:hAnsi="Arial"/>
          <w:sz w:val="17"/>
          <w:szCs w:val="17"/>
          <w:b w:val="1"/>
          <w:bCs w:val="1"/>
          <w:color w:val="auto"/>
        </w:rPr>
      </w:pPr>
      <w:r>
        <w:rPr>
          <w:rFonts w:ascii="Arial" w:cs="Arial" w:eastAsia="Arial" w:hAnsi="Arial"/>
          <w:sz w:val="17"/>
          <w:szCs w:val="17"/>
          <w:color w:val="auto"/>
        </w:rPr>
        <w:t>Section 2.3(a) of the Agreement is amended in its entirety to read as follows:</w:t>
      </w:r>
    </w:p>
    <w:p>
      <w:pPr>
        <w:spacing w:after="0" w:line="224" w:lineRule="exact"/>
        <w:rPr>
          <w:rFonts w:ascii="Arial" w:cs="Arial" w:eastAsia="Arial" w:hAnsi="Arial"/>
          <w:sz w:val="17"/>
          <w:szCs w:val="17"/>
          <w:b w:val="1"/>
          <w:bCs w:val="1"/>
          <w:color w:val="auto"/>
        </w:rPr>
      </w:pPr>
    </w:p>
    <w:p>
      <w:pPr>
        <w:ind w:left="640" w:right="240" w:hanging="6"/>
        <w:spacing w:after="0" w:line="290" w:lineRule="auto"/>
        <w:tabs>
          <w:tab w:leader="none" w:pos="1266" w:val="left"/>
        </w:tabs>
        <w:numPr>
          <w:ilvl w:val="1"/>
          <w:numId w:val="670"/>
        </w:numPr>
        <w:rPr>
          <w:rFonts w:ascii="Arial" w:cs="Arial" w:eastAsia="Arial" w:hAnsi="Arial"/>
          <w:sz w:val="16"/>
          <w:szCs w:val="16"/>
          <w:color w:val="auto"/>
        </w:rPr>
      </w:pPr>
      <w:r>
        <w:rPr>
          <w:rFonts w:ascii="Arial" w:cs="Arial" w:eastAsia="Arial" w:hAnsi="Arial"/>
          <w:sz w:val="16"/>
          <w:szCs w:val="16"/>
          <w:color w:val="auto"/>
        </w:rPr>
        <w:t>Interest Rates. Except as set forth in Section 2.3(b), the outstanding principal balance of each Revolving Advance, each Equipment Advance, each Real Estate Advance and each EXIM Advance shall bear interest (computed daily on the basis of a 360 day year and actual days elapsed), at a variable rate per annum equal to the Prime Rate plus 2.125%. Notwithstanding the foregoing, at no time shall the interest rate applied to any Credit Extension be less than 5.375% per annum (computed daily on the basis of a 360 day year and actual days elapsed) (the “Floor Rate”).</w:t>
      </w:r>
    </w:p>
    <w:p>
      <w:pPr>
        <w:spacing w:after="0" w:line="159" w:lineRule="exact"/>
        <w:rPr>
          <w:rFonts w:ascii="Arial" w:cs="Arial" w:eastAsia="Arial" w:hAnsi="Arial"/>
          <w:sz w:val="16"/>
          <w:szCs w:val="16"/>
          <w:color w:val="auto"/>
        </w:rPr>
      </w:pPr>
    </w:p>
    <w:p>
      <w:pPr>
        <w:ind w:left="640" w:hanging="635"/>
        <w:spacing w:after="0"/>
        <w:tabs>
          <w:tab w:leader="none" w:pos="640" w:val="left"/>
        </w:tabs>
        <w:numPr>
          <w:ilvl w:val="0"/>
          <w:numId w:val="670"/>
        </w:numPr>
        <w:rPr>
          <w:rFonts w:ascii="Arial" w:cs="Arial" w:eastAsia="Arial" w:hAnsi="Arial"/>
          <w:sz w:val="17"/>
          <w:szCs w:val="17"/>
          <w:b w:val="1"/>
          <w:bCs w:val="1"/>
          <w:color w:val="auto"/>
        </w:rPr>
      </w:pPr>
      <w:r>
        <w:rPr>
          <w:rFonts w:ascii="Arial" w:cs="Arial" w:eastAsia="Arial" w:hAnsi="Arial"/>
          <w:sz w:val="17"/>
          <w:szCs w:val="17"/>
          <w:color w:val="auto"/>
        </w:rPr>
        <w:t>Section 6.2(a)(ii) of the Agreement is amended in its entirety to read as follows:</w:t>
      </w:r>
    </w:p>
    <w:p>
      <w:pPr>
        <w:spacing w:after="0" w:line="224" w:lineRule="exact"/>
        <w:rPr>
          <w:rFonts w:ascii="Arial" w:cs="Arial" w:eastAsia="Arial" w:hAnsi="Arial"/>
          <w:sz w:val="17"/>
          <w:szCs w:val="17"/>
          <w:b w:val="1"/>
          <w:bCs w:val="1"/>
          <w:color w:val="auto"/>
        </w:rPr>
      </w:pPr>
    </w:p>
    <w:p>
      <w:pPr>
        <w:ind w:left="640" w:right="320" w:hanging="6"/>
        <w:spacing w:after="0" w:line="326" w:lineRule="auto"/>
        <w:tabs>
          <w:tab w:leader="none" w:pos="897" w:val="left"/>
        </w:tabs>
        <w:numPr>
          <w:ilvl w:val="1"/>
          <w:numId w:val="671"/>
        </w:numPr>
        <w:rPr>
          <w:rFonts w:ascii="Arial" w:cs="Arial" w:eastAsia="Arial" w:hAnsi="Arial"/>
          <w:sz w:val="15"/>
          <w:szCs w:val="15"/>
          <w:color w:val="auto"/>
        </w:rPr>
      </w:pPr>
      <w:r>
        <w:rPr>
          <w:rFonts w:ascii="Arial" w:cs="Arial" w:eastAsia="Arial" w:hAnsi="Arial"/>
          <w:sz w:val="15"/>
          <w:szCs w:val="15"/>
          <w:color w:val="auto"/>
        </w:rPr>
        <w:t>as soon as available, but in any event no later than on July 30 following the end of Borrower’s fiscal year, audited consolidated and consolidating financial statements of Borrower prepared in accordance with GAAP, consistently applied, together with an opinion which is unqualified or otherwise consented to in writing by Bank on such financial statements of an independent certified public accounting firm reasonably acceptable to Bank;</w:t>
      </w:r>
    </w:p>
    <w:p>
      <w:pPr>
        <w:spacing w:after="0" w:line="136" w:lineRule="exact"/>
        <w:rPr>
          <w:rFonts w:ascii="Arial" w:cs="Arial" w:eastAsia="Arial" w:hAnsi="Arial"/>
          <w:sz w:val="15"/>
          <w:szCs w:val="15"/>
          <w:color w:val="auto"/>
        </w:rPr>
      </w:pPr>
    </w:p>
    <w:p>
      <w:pPr>
        <w:ind w:left="640" w:hanging="635"/>
        <w:spacing w:after="0"/>
        <w:tabs>
          <w:tab w:leader="none" w:pos="640" w:val="left"/>
        </w:tabs>
        <w:numPr>
          <w:ilvl w:val="0"/>
          <w:numId w:val="672"/>
        </w:numPr>
        <w:rPr>
          <w:rFonts w:ascii="Arial" w:cs="Arial" w:eastAsia="Arial" w:hAnsi="Arial"/>
          <w:sz w:val="17"/>
          <w:szCs w:val="17"/>
          <w:b w:val="1"/>
          <w:bCs w:val="1"/>
          <w:color w:val="auto"/>
        </w:rPr>
      </w:pPr>
      <w:r>
        <w:rPr>
          <w:rFonts w:ascii="Arial" w:cs="Arial" w:eastAsia="Arial" w:hAnsi="Arial"/>
          <w:sz w:val="17"/>
          <w:szCs w:val="17"/>
          <w:color w:val="auto"/>
        </w:rPr>
        <w:t>Section 6.5 of the Agreement is amended in its entirety to read as follows:</w:t>
      </w:r>
    </w:p>
    <w:p>
      <w:pPr>
        <w:spacing w:after="0" w:line="224" w:lineRule="exact"/>
        <w:rPr>
          <w:rFonts w:ascii="Arial" w:cs="Arial" w:eastAsia="Arial" w:hAnsi="Arial"/>
          <w:sz w:val="17"/>
          <w:szCs w:val="17"/>
          <w:b w:val="1"/>
          <w:bCs w:val="1"/>
          <w:color w:val="auto"/>
        </w:rPr>
      </w:pPr>
    </w:p>
    <w:p>
      <w:pPr>
        <w:ind w:left="640" w:right="240"/>
        <w:spacing w:after="0" w:line="289" w:lineRule="auto"/>
        <w:rPr>
          <w:rFonts w:ascii="Arial" w:cs="Arial" w:eastAsia="Arial" w:hAnsi="Arial"/>
          <w:sz w:val="17"/>
          <w:szCs w:val="17"/>
          <w:b w:val="1"/>
          <w:bCs w:val="1"/>
          <w:color w:val="auto"/>
        </w:rPr>
      </w:pPr>
      <w:r>
        <w:rPr>
          <w:rFonts w:ascii="Arial" w:cs="Arial" w:eastAsia="Arial" w:hAnsi="Arial"/>
          <w:sz w:val="17"/>
          <w:szCs w:val="17"/>
          <w:color w:val="auto"/>
        </w:rPr>
        <w:t>6.5 Total Liabilities to Tangible Net Worth Ratio. Borrower shall maintain as of the last day of each month, a ratio of Total Liabilities to Tangible Net Worth not greater than 1.50 to 1:00.</w:t>
      </w:r>
    </w:p>
    <w:p>
      <w:pPr>
        <w:spacing w:after="0" w:line="158" w:lineRule="exact"/>
        <w:rPr>
          <w:rFonts w:ascii="Arial" w:cs="Arial" w:eastAsia="Arial" w:hAnsi="Arial"/>
          <w:sz w:val="17"/>
          <w:szCs w:val="17"/>
          <w:b w:val="1"/>
          <w:bCs w:val="1"/>
          <w:color w:val="auto"/>
        </w:rPr>
      </w:pPr>
    </w:p>
    <w:p>
      <w:pPr>
        <w:ind w:left="640" w:hanging="635"/>
        <w:spacing w:after="0"/>
        <w:tabs>
          <w:tab w:leader="none" w:pos="640" w:val="left"/>
        </w:tabs>
        <w:numPr>
          <w:ilvl w:val="0"/>
          <w:numId w:val="672"/>
        </w:numPr>
        <w:rPr>
          <w:rFonts w:ascii="Arial" w:cs="Arial" w:eastAsia="Arial" w:hAnsi="Arial"/>
          <w:sz w:val="17"/>
          <w:szCs w:val="17"/>
          <w:b w:val="1"/>
          <w:bCs w:val="1"/>
          <w:color w:val="auto"/>
        </w:rPr>
      </w:pPr>
      <w:r>
        <w:rPr>
          <w:rFonts w:ascii="Arial" w:cs="Arial" w:eastAsia="Arial" w:hAnsi="Arial"/>
          <w:sz w:val="17"/>
          <w:szCs w:val="17"/>
          <w:color w:val="auto"/>
        </w:rPr>
        <w:t>The following is added as a new Section 6.15 of the Agreement:</w:t>
      </w:r>
    </w:p>
    <w:p>
      <w:pPr>
        <w:spacing w:after="0" w:line="224" w:lineRule="exact"/>
        <w:rPr>
          <w:rFonts w:ascii="Arial" w:cs="Arial" w:eastAsia="Arial" w:hAnsi="Arial"/>
          <w:sz w:val="17"/>
          <w:szCs w:val="17"/>
          <w:b w:val="1"/>
          <w:bCs w:val="1"/>
          <w:color w:val="auto"/>
        </w:rPr>
      </w:pPr>
    </w:p>
    <w:p>
      <w:pPr>
        <w:ind w:left="640" w:right="120"/>
        <w:spacing w:after="0" w:line="289" w:lineRule="auto"/>
        <w:rPr>
          <w:rFonts w:ascii="Arial" w:cs="Arial" w:eastAsia="Arial" w:hAnsi="Arial"/>
          <w:sz w:val="17"/>
          <w:szCs w:val="17"/>
          <w:b w:val="1"/>
          <w:bCs w:val="1"/>
          <w:color w:val="auto"/>
        </w:rPr>
      </w:pPr>
      <w:r>
        <w:rPr>
          <w:rFonts w:ascii="Arial" w:cs="Arial" w:eastAsia="Arial" w:hAnsi="Arial"/>
          <w:sz w:val="17"/>
          <w:szCs w:val="17"/>
          <w:color w:val="auto"/>
        </w:rPr>
        <w:t>6.15 Minimum Debt Service Coverage. Borrower shall maintain a minimum ratio of EBITDASO on a consolidated basis for the trailing two quarter period to the sum of (x) all accrued interest payable in the same two quarter period plus (y) all principal payable in the same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240"/>
        <w:spacing w:after="0" w:line="289" w:lineRule="auto"/>
        <w:rPr>
          <w:sz w:val="20"/>
          <w:szCs w:val="20"/>
          <w:color w:val="auto"/>
        </w:rPr>
      </w:pPr>
      <w:r>
        <w:rPr>
          <w:rFonts w:ascii="Arial" w:cs="Arial" w:eastAsia="Arial" w:hAnsi="Arial"/>
          <w:sz w:val="17"/>
          <w:szCs w:val="17"/>
          <w:color w:val="auto"/>
        </w:rPr>
        <w:t>two quarter period on any Indebtedness (not including principal oustanding on any revolving lines of credit) owing by Borrower and its Subsidiaries to Bank or other financial institutions, of at least 1.35 to 1.00, measured on a quarterly basis.</w:t>
      </w:r>
    </w:p>
    <w:p>
      <w:pPr>
        <w:spacing w:after="0" w:line="158" w:lineRule="exact"/>
        <w:rPr>
          <w:sz w:val="20"/>
          <w:szCs w:val="20"/>
          <w:color w:val="auto"/>
        </w:rPr>
      </w:pPr>
    </w:p>
    <w:p>
      <w:pPr>
        <w:ind w:right="140" w:firstLine="5"/>
        <w:spacing w:after="0" w:line="265" w:lineRule="auto"/>
        <w:tabs>
          <w:tab w:leader="none" w:pos="629" w:val="left"/>
        </w:tabs>
        <w:numPr>
          <w:ilvl w:val="0"/>
          <w:numId w:val="673"/>
        </w:numPr>
        <w:rPr>
          <w:rFonts w:ascii="Arial" w:cs="Arial" w:eastAsia="Arial" w:hAnsi="Arial"/>
          <w:sz w:val="17"/>
          <w:szCs w:val="17"/>
          <w:b w:val="1"/>
          <w:bCs w:val="1"/>
          <w:color w:val="auto"/>
        </w:rPr>
      </w:pPr>
      <w:r>
        <w:rPr>
          <w:rFonts w:ascii="Arial" w:cs="Arial" w:eastAsia="Arial" w:hAnsi="Arial"/>
          <w:sz w:val="17"/>
          <w:szCs w:val="17"/>
          <w:color w:val="auto"/>
        </w:rPr>
        <w:t>Unless otherwise defined, all initially capitalized terms in this Amendment shall be as defined in the Agreement. The Agreement, as amended hereby, shall be and remains in full force and effect in accordance with its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instruments, documents and agreements entered into in connection with the Agreement.</w:t>
      </w:r>
    </w:p>
    <w:p>
      <w:pPr>
        <w:spacing w:after="0" w:line="179" w:lineRule="exact"/>
        <w:rPr>
          <w:rFonts w:ascii="Arial" w:cs="Arial" w:eastAsia="Arial" w:hAnsi="Arial"/>
          <w:sz w:val="17"/>
          <w:szCs w:val="17"/>
          <w:b w:val="1"/>
          <w:bCs w:val="1"/>
          <w:color w:val="auto"/>
        </w:rPr>
      </w:pPr>
    </w:p>
    <w:p>
      <w:pPr>
        <w:ind w:right="860" w:firstLine="5"/>
        <w:spacing w:after="0" w:line="289" w:lineRule="auto"/>
        <w:tabs>
          <w:tab w:leader="none" w:pos="629" w:val="left"/>
        </w:tabs>
        <w:numPr>
          <w:ilvl w:val="0"/>
          <w:numId w:val="673"/>
        </w:numPr>
        <w:rPr>
          <w:rFonts w:ascii="Arial" w:cs="Arial" w:eastAsia="Arial" w:hAnsi="Arial"/>
          <w:sz w:val="17"/>
          <w:szCs w:val="17"/>
          <w:b w:val="1"/>
          <w:bCs w:val="1"/>
          <w:color w:val="auto"/>
        </w:rPr>
      </w:pPr>
      <w:r>
        <w:rPr>
          <w:rFonts w:ascii="Arial" w:cs="Arial" w:eastAsia="Arial" w:hAnsi="Arial"/>
          <w:sz w:val="17"/>
          <w:szCs w:val="17"/>
          <w:color w:val="auto"/>
        </w:rPr>
        <w:t>Borrower represents and warrants that the representations and warranties contained in the Agreement are true and correct as of the date of this Amendment, and that no Event of Default has occurred and is continuing.</w:t>
      </w:r>
    </w:p>
    <w:p>
      <w:pPr>
        <w:spacing w:after="0" w:line="158" w:lineRule="exact"/>
        <w:rPr>
          <w:rFonts w:ascii="Arial" w:cs="Arial" w:eastAsia="Arial" w:hAnsi="Arial"/>
          <w:sz w:val="17"/>
          <w:szCs w:val="17"/>
          <w:b w:val="1"/>
          <w:bCs w:val="1"/>
          <w:color w:val="auto"/>
        </w:rPr>
      </w:pPr>
    </w:p>
    <w:p>
      <w:pPr>
        <w:ind w:right="140" w:firstLine="5"/>
        <w:spacing w:after="0" w:line="289" w:lineRule="auto"/>
        <w:tabs>
          <w:tab w:leader="none" w:pos="629" w:val="left"/>
        </w:tabs>
        <w:numPr>
          <w:ilvl w:val="0"/>
          <w:numId w:val="673"/>
        </w:numPr>
        <w:rPr>
          <w:rFonts w:ascii="Arial" w:cs="Arial" w:eastAsia="Arial" w:hAnsi="Arial"/>
          <w:sz w:val="17"/>
          <w:szCs w:val="17"/>
          <w:b w:val="1"/>
          <w:bCs w:val="1"/>
          <w:color w:val="auto"/>
        </w:rPr>
      </w:pPr>
      <w:r>
        <w:rPr>
          <w:rFonts w:ascii="Arial" w:cs="Arial" w:eastAsia="Arial" w:hAnsi="Arial"/>
          <w:sz w:val="17"/>
          <w:szCs w:val="17"/>
          <w:color w:val="auto"/>
        </w:rPr>
        <w:t>This Amendment may be executed in two or more counterparts, each of which shall be deemed an original, but all of which together shall constitute one instrument.</w:t>
      </w:r>
    </w:p>
    <w:p>
      <w:pPr>
        <w:spacing w:after="0" w:line="158" w:lineRule="exact"/>
        <w:rPr>
          <w:rFonts w:ascii="Arial" w:cs="Arial" w:eastAsia="Arial" w:hAnsi="Arial"/>
          <w:sz w:val="17"/>
          <w:szCs w:val="17"/>
          <w:b w:val="1"/>
          <w:bCs w:val="1"/>
          <w:color w:val="auto"/>
        </w:rPr>
      </w:pPr>
    </w:p>
    <w:p>
      <w:pPr>
        <w:ind w:left="640" w:hanging="635"/>
        <w:spacing w:after="0"/>
        <w:tabs>
          <w:tab w:leader="none" w:pos="640" w:val="left"/>
        </w:tabs>
        <w:numPr>
          <w:ilvl w:val="0"/>
          <w:numId w:val="673"/>
        </w:numPr>
        <w:rPr>
          <w:rFonts w:ascii="Arial" w:cs="Arial" w:eastAsia="Arial" w:hAnsi="Arial"/>
          <w:sz w:val="17"/>
          <w:szCs w:val="17"/>
          <w:b w:val="1"/>
          <w:bCs w:val="1"/>
          <w:color w:val="auto"/>
        </w:rPr>
      </w:pPr>
      <w:r>
        <w:rPr>
          <w:rFonts w:ascii="Arial" w:cs="Arial" w:eastAsia="Arial" w:hAnsi="Arial"/>
          <w:sz w:val="17"/>
          <w:szCs w:val="17"/>
          <w:color w:val="auto"/>
        </w:rPr>
        <w:t>As a condition to the effectiveness of this Amendment, Bank shall have received, in form and substance satisfactory to Bank, the following:</w:t>
      </w:r>
    </w:p>
    <w:p>
      <w:pPr>
        <w:spacing w:after="0" w:line="224" w:lineRule="exact"/>
        <w:rPr>
          <w:rFonts w:ascii="Arial" w:cs="Arial" w:eastAsia="Arial" w:hAnsi="Arial"/>
          <w:sz w:val="17"/>
          <w:szCs w:val="17"/>
          <w:b w:val="1"/>
          <w:bCs w:val="1"/>
          <w:color w:val="auto"/>
        </w:rPr>
      </w:pPr>
    </w:p>
    <w:p>
      <w:pPr>
        <w:ind w:left="1260" w:hanging="626"/>
        <w:spacing w:after="0"/>
        <w:tabs>
          <w:tab w:leader="none" w:pos="1260" w:val="left"/>
        </w:tabs>
        <w:numPr>
          <w:ilvl w:val="1"/>
          <w:numId w:val="673"/>
        </w:numPr>
        <w:rPr>
          <w:rFonts w:ascii="Arial" w:cs="Arial" w:eastAsia="Arial" w:hAnsi="Arial"/>
          <w:sz w:val="17"/>
          <w:szCs w:val="17"/>
          <w:color w:val="auto"/>
        </w:rPr>
      </w:pPr>
      <w:r>
        <w:rPr>
          <w:rFonts w:ascii="Arial" w:cs="Arial" w:eastAsia="Arial" w:hAnsi="Arial"/>
          <w:sz w:val="17"/>
          <w:szCs w:val="17"/>
          <w:color w:val="auto"/>
        </w:rPr>
        <w:t>this Amendment, duly executed by Borrower;</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1"/>
          <w:numId w:val="673"/>
        </w:numPr>
        <w:rPr>
          <w:rFonts w:ascii="Arial" w:cs="Arial" w:eastAsia="Arial" w:hAnsi="Arial"/>
          <w:sz w:val="17"/>
          <w:szCs w:val="17"/>
          <w:color w:val="auto"/>
        </w:rPr>
      </w:pPr>
      <w:r>
        <w:rPr>
          <w:rFonts w:ascii="Arial" w:cs="Arial" w:eastAsia="Arial" w:hAnsi="Arial"/>
          <w:sz w:val="17"/>
          <w:szCs w:val="17"/>
          <w:color w:val="auto"/>
        </w:rPr>
        <w:t>an amendment fee of $2,000 to Bank, plus an amount equal to all Bank Expenses incurred through the date of this Amendment; and</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1"/>
          <w:numId w:val="673"/>
        </w:numPr>
        <w:rPr>
          <w:rFonts w:ascii="Arial" w:cs="Arial" w:eastAsia="Arial" w:hAnsi="Arial"/>
          <w:sz w:val="17"/>
          <w:szCs w:val="17"/>
          <w:color w:val="auto"/>
        </w:rPr>
      </w:pPr>
      <w:r>
        <w:rPr>
          <w:rFonts w:ascii="Arial" w:cs="Arial" w:eastAsia="Arial" w:hAnsi="Arial"/>
          <w:sz w:val="17"/>
          <w:szCs w:val="17"/>
          <w:color w:val="auto"/>
        </w:rPr>
        <w:t>such other documents, and completion of such other matters, as Bank may reasonably deem necessary or appropriate.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undersigned have executed this Amendment as of the first date above written.</w:t>
      </w:r>
    </w:p>
    <w:p>
      <w:pPr>
        <w:sectPr>
          <w:pgSz w:w="11900" w:h="16838" w:orient="portrait"/>
          <w:cols w:equalWidth="0" w:num="1">
            <w:col w:w="11420"/>
          </w:cols>
          <w:pgMar w:left="240" w:top="357" w:right="239" w:bottom="0" w:gutter="0" w:footer="0" w:header="0"/>
        </w:sectPr>
      </w:pPr>
    </w:p>
    <w:bookmarkStart w:id="411" w:name="page412"/>
    <w:bookmarkEnd w:id="411"/>
    <w:p>
      <w:pPr>
        <w:ind w:left="5720"/>
        <w:spacing w:after="0"/>
        <w:rPr>
          <w:sz w:val="20"/>
          <w:szCs w:val="20"/>
          <w:color w:val="auto"/>
        </w:rPr>
      </w:pPr>
      <w:r>
        <w:rPr>
          <w:rFonts w:ascii="Arial" w:cs="Arial" w:eastAsia="Arial" w:hAnsi="Arial"/>
          <w:sz w:val="17"/>
          <w:szCs w:val="17"/>
          <w:color w:val="auto"/>
        </w:rPr>
        <w:t>APPLIED OPTOELECTRONICS, INC.</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340" w:type="dxa"/>
            <w:vAlign w:val="bottom"/>
          </w:tcPr>
          <w:p>
            <w:pPr>
              <w:ind w:left="5720"/>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Chih-Hsiang (Thompson) Lin</w:t>
            </w:r>
          </w:p>
        </w:tc>
        <w:tc>
          <w:tcPr>
            <w:tcW w:w="40" w:type="dxa"/>
            <w:vAlign w:val="bottom"/>
          </w:tcPr>
          <w:p>
            <w:pPr>
              <w:spacing w:after="0"/>
              <w:rPr>
                <w:sz w:val="19"/>
                <w:szCs w:val="19"/>
                <w:color w:val="auto"/>
              </w:rPr>
            </w:pPr>
          </w:p>
        </w:tc>
      </w:tr>
      <w:tr>
        <w:trPr>
          <w:trHeight w:val="412"/>
        </w:trPr>
        <w:tc>
          <w:tcPr>
            <w:tcW w:w="6340" w:type="dxa"/>
            <w:vAlign w:val="bottom"/>
          </w:tcPr>
          <w:p>
            <w:pPr>
              <w:ind w:left="5720"/>
              <w:spacing w:after="0"/>
              <w:rPr>
                <w:sz w:val="20"/>
                <w:szCs w:val="20"/>
                <w:color w:val="auto"/>
              </w:rPr>
            </w:pPr>
            <w:r>
              <w:rPr>
                <w:rFonts w:ascii="Arial" w:cs="Arial" w:eastAsia="Arial" w:hAnsi="Arial"/>
                <w:sz w:val="17"/>
                <w:szCs w:val="17"/>
                <w:color w:val="auto"/>
              </w:rPr>
              <w:t>Title:</w:t>
            </w:r>
          </w:p>
        </w:tc>
        <w:tc>
          <w:tcPr>
            <w:tcW w:w="5080" w:type="dxa"/>
            <w:vAlign w:val="bottom"/>
          </w:tcPr>
          <w:p>
            <w:pPr>
              <w:spacing w:after="0"/>
              <w:rPr>
                <w:sz w:val="20"/>
                <w:szCs w:val="20"/>
                <w:color w:val="auto"/>
              </w:rPr>
            </w:pPr>
            <w:r>
              <w:rPr>
                <w:rFonts w:ascii="Arial" w:cs="Arial" w:eastAsia="Arial" w:hAnsi="Arial"/>
                <w:sz w:val="17"/>
                <w:szCs w:val="17"/>
                <w:color w:val="auto"/>
              </w:rPr>
              <w:t>CEO</w:t>
            </w:r>
          </w:p>
        </w:tc>
        <w:tc>
          <w:tcPr>
            <w:tcW w:w="40" w:type="dxa"/>
            <w:vAlign w:val="bottom"/>
          </w:tcPr>
          <w:p>
            <w:pPr>
              <w:spacing w:after="0"/>
              <w:rPr>
                <w:sz w:val="24"/>
                <w:szCs w:val="24"/>
                <w:color w:val="auto"/>
              </w:rPr>
            </w:pPr>
          </w:p>
        </w:tc>
      </w:tr>
      <w:tr>
        <w:trPr>
          <w:trHeight w:val="629"/>
        </w:trPr>
        <w:tc>
          <w:tcPr>
            <w:tcW w:w="11420" w:type="dxa"/>
            <w:vAlign w:val="bottom"/>
            <w:gridSpan w:val="2"/>
          </w:tcPr>
          <w:p>
            <w:pPr>
              <w:ind w:left="5720"/>
              <w:spacing w:after="0"/>
              <w:rPr>
                <w:sz w:val="20"/>
                <w:szCs w:val="20"/>
                <w:color w:val="auto"/>
              </w:rPr>
            </w:pPr>
            <w:r>
              <w:rPr>
                <w:rFonts w:ascii="Arial" w:cs="Arial" w:eastAsia="Arial" w:hAnsi="Arial"/>
                <w:sz w:val="17"/>
                <w:szCs w:val="17"/>
                <w:color w:val="auto"/>
              </w:rPr>
              <w:t>EAST WEST BANK</w:t>
            </w:r>
          </w:p>
        </w:tc>
        <w:tc>
          <w:tcPr>
            <w:tcW w:w="40" w:type="dxa"/>
            <w:vAlign w:val="bottom"/>
          </w:tcPr>
          <w:p>
            <w:pPr>
              <w:spacing w:after="0"/>
              <w:rPr>
                <w:sz w:val="24"/>
                <w:szCs w:val="24"/>
                <w:color w:val="auto"/>
              </w:rPr>
            </w:pPr>
          </w:p>
        </w:tc>
      </w:tr>
      <w:tr>
        <w:trPr>
          <w:trHeight w:val="629"/>
        </w:trPr>
        <w:tc>
          <w:tcPr>
            <w:tcW w:w="6340" w:type="dxa"/>
            <w:vAlign w:val="bottom"/>
          </w:tcPr>
          <w:p>
            <w:pPr>
              <w:ind w:left="5720"/>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Lisa Chang</w:t>
            </w:r>
          </w:p>
        </w:tc>
        <w:tc>
          <w:tcPr>
            <w:tcW w:w="40" w:type="dxa"/>
            <w:vAlign w:val="bottom"/>
          </w:tcPr>
          <w:p>
            <w:pPr>
              <w:spacing w:after="0"/>
              <w:rPr>
                <w:sz w:val="24"/>
                <w:szCs w:val="24"/>
                <w:color w:val="auto"/>
              </w:rPr>
            </w:pPr>
          </w:p>
        </w:tc>
      </w:tr>
      <w:tr>
        <w:trPr>
          <w:trHeight w:val="412"/>
        </w:trPr>
        <w:tc>
          <w:tcPr>
            <w:tcW w:w="6340" w:type="dxa"/>
            <w:vAlign w:val="bottom"/>
          </w:tcPr>
          <w:p>
            <w:pPr>
              <w:ind w:left="5720"/>
              <w:spacing w:after="0"/>
              <w:rPr>
                <w:sz w:val="20"/>
                <w:szCs w:val="20"/>
                <w:color w:val="auto"/>
              </w:rPr>
            </w:pPr>
            <w:r>
              <w:rPr>
                <w:rFonts w:ascii="Arial" w:cs="Arial" w:eastAsia="Arial" w:hAnsi="Arial"/>
                <w:sz w:val="17"/>
                <w:szCs w:val="17"/>
                <w:color w:val="auto"/>
              </w:rPr>
              <w:t>Title:</w:t>
            </w:r>
          </w:p>
        </w:tc>
        <w:tc>
          <w:tcPr>
            <w:tcW w:w="5080" w:type="dxa"/>
            <w:vAlign w:val="bottom"/>
          </w:tcPr>
          <w:p>
            <w:pPr>
              <w:spacing w:after="0"/>
              <w:rPr>
                <w:sz w:val="20"/>
                <w:szCs w:val="20"/>
                <w:color w:val="auto"/>
              </w:rPr>
            </w:pPr>
            <w:r>
              <w:rPr>
                <w:rFonts w:ascii="Arial" w:cs="Arial" w:eastAsia="Arial" w:hAnsi="Arial"/>
                <w:sz w:val="17"/>
                <w:szCs w:val="17"/>
                <w:color w:val="auto"/>
              </w:rPr>
              <w:t>AVP</w:t>
            </w:r>
          </w:p>
        </w:tc>
        <w:tc>
          <w:tcPr>
            <w:tcW w:w="40" w:type="dxa"/>
            <w:vAlign w:val="bottom"/>
          </w:tcPr>
          <w:p>
            <w:pPr>
              <w:spacing w:after="0"/>
              <w:rPr>
                <w:sz w:val="24"/>
                <w:szCs w:val="24"/>
                <w:color w:val="auto"/>
              </w:rPr>
            </w:pPr>
          </w:p>
        </w:tc>
      </w:tr>
      <w:tr>
        <w:trPr>
          <w:trHeight w:val="419"/>
        </w:trPr>
        <w:tc>
          <w:tcPr>
            <w:tcW w:w="6340" w:type="dxa"/>
            <w:vAlign w:val="bottom"/>
          </w:tcPr>
          <w:p>
            <w:pPr>
              <w:ind w:left="5680"/>
              <w:spacing w:after="0"/>
              <w:rPr>
                <w:sz w:val="20"/>
                <w:szCs w:val="20"/>
                <w:color w:val="auto"/>
              </w:rPr>
            </w:pPr>
            <w:r>
              <w:rPr>
                <w:rFonts w:ascii="Arial" w:cs="Arial" w:eastAsia="Arial" w:hAnsi="Arial"/>
                <w:sz w:val="17"/>
                <w:szCs w:val="17"/>
                <w:color w:val="auto"/>
              </w:rPr>
              <w:t>2</w:t>
            </w:r>
          </w:p>
        </w:tc>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6340" w:type="dxa"/>
            <w:vAlign w:val="bottom"/>
            <w:tcBorders>
              <w:bottom w:val="single" w:sz="8" w:color="010101"/>
            </w:tcBorders>
          </w:tcPr>
          <w:p>
            <w:pPr>
              <w:spacing w:after="0"/>
              <w:rPr>
                <w:sz w:val="11"/>
                <w:szCs w:val="11"/>
                <w:color w:val="auto"/>
              </w:rPr>
            </w:pPr>
          </w:p>
        </w:tc>
        <w:tc>
          <w:tcPr>
            <w:tcW w:w="50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412" w:name="page413"/>
    <w:bookmarkEnd w:id="412"/>
    <w:p>
      <w:pPr>
        <w:jc w:val="right"/>
        <w:spacing w:after="0"/>
        <w:rPr>
          <w:sz w:val="20"/>
          <w:szCs w:val="20"/>
          <w:color w:val="auto"/>
        </w:rPr>
      </w:pPr>
      <w:r>
        <w:rPr>
          <w:rFonts w:ascii="Arial" w:cs="Arial" w:eastAsia="Arial" w:hAnsi="Arial"/>
          <w:sz w:val="17"/>
          <w:szCs w:val="17"/>
          <w:b w:val="1"/>
          <w:bCs w:val="1"/>
          <w:color w:val="auto"/>
        </w:rPr>
        <w:t>Exhibit 10.10.3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THIRD AMENDMENT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AMENDED AND RESTATED LOAN AND SECURITY AGREEMENT</w:t>
      </w:r>
    </w:p>
    <w:p>
      <w:pPr>
        <w:spacing w:after="0" w:line="212"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This Third Amendment to Amended and Restated Loan and Security Agreement is entered into as of December 6, 2010 (the “Amendment”), by and between APPLIED OPTOELECTRONICS, INC (“Borrower”) and EAST WEST BANK (“Bank”).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Borrower and Bank are parties to that certain Amended and Restated Loan and Security Agreement dated as of May 20, 2009, as amended from time to time including that certain First Amendment to Amended and Restated Loan and Security Agreement dated as of May 3, 2010 and that certain Second Amendment to Amended and Restated Loan and Security Agreement dated as of October 28, 2010 (collectively, the “Agreement”). The parties desire to amend the Agreement in accordance with the terms of this Amendment.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the parties agree as follows:</w:t>
      </w:r>
    </w:p>
    <w:p>
      <w:pPr>
        <w:spacing w:after="0" w:line="224" w:lineRule="exact"/>
        <w:rPr>
          <w:sz w:val="20"/>
          <w:szCs w:val="20"/>
          <w:color w:val="auto"/>
        </w:rPr>
      </w:pPr>
    </w:p>
    <w:p>
      <w:pPr>
        <w:ind w:left="640" w:hanging="635"/>
        <w:spacing w:after="0"/>
        <w:tabs>
          <w:tab w:leader="none" w:pos="640" w:val="left"/>
        </w:tabs>
        <w:numPr>
          <w:ilvl w:val="0"/>
          <w:numId w:val="674"/>
        </w:numPr>
        <w:rPr>
          <w:rFonts w:ascii="Arial" w:cs="Arial" w:eastAsia="Arial" w:hAnsi="Arial"/>
          <w:sz w:val="17"/>
          <w:szCs w:val="17"/>
          <w:b w:val="1"/>
          <w:bCs w:val="1"/>
          <w:color w:val="auto"/>
        </w:rPr>
      </w:pPr>
      <w:r>
        <w:rPr>
          <w:rFonts w:ascii="Arial" w:cs="Arial" w:eastAsia="Arial" w:hAnsi="Arial"/>
          <w:sz w:val="17"/>
          <w:szCs w:val="17"/>
          <w:color w:val="auto"/>
        </w:rPr>
        <w:t>The following defined terms set forth in Section 1.1 of the Agreement are added or amended in their entirety to read as follows:</w:t>
      </w:r>
    </w:p>
    <w:p>
      <w:pPr>
        <w:spacing w:after="0" w:line="224" w:lineRule="exact"/>
        <w:rPr>
          <w:sz w:val="20"/>
          <w:szCs w:val="20"/>
          <w:color w:val="auto"/>
        </w:rPr>
      </w:pPr>
    </w:p>
    <w:p>
      <w:pPr>
        <w:ind w:left="1260" w:right="20"/>
        <w:spacing w:after="0" w:line="289" w:lineRule="auto"/>
        <w:rPr>
          <w:sz w:val="20"/>
          <w:szCs w:val="20"/>
          <w:color w:val="auto"/>
        </w:rPr>
      </w:pPr>
      <w:r>
        <w:rPr>
          <w:rFonts w:ascii="Arial" w:cs="Arial" w:eastAsia="Arial" w:hAnsi="Arial"/>
          <w:sz w:val="17"/>
          <w:szCs w:val="17"/>
          <w:color w:val="auto"/>
        </w:rPr>
        <w:t>“Credit Extension” means each Advance, Equipment Advance, Real Estate Advance, EXIM Advance, Line II Advance or any other extension of credit by Bank to or for the benefit of Borrower hereunder.</w:t>
      </w:r>
    </w:p>
    <w:p>
      <w:pPr>
        <w:spacing w:after="0" w:line="158" w:lineRule="exact"/>
        <w:rPr>
          <w:sz w:val="20"/>
          <w:szCs w:val="20"/>
          <w:color w:val="auto"/>
        </w:rPr>
      </w:pPr>
    </w:p>
    <w:p>
      <w:pPr>
        <w:ind w:left="1260" w:right="280"/>
        <w:spacing w:after="0" w:line="265" w:lineRule="auto"/>
        <w:rPr>
          <w:sz w:val="20"/>
          <w:szCs w:val="20"/>
          <w:color w:val="auto"/>
        </w:rPr>
      </w:pPr>
      <w:r>
        <w:rPr>
          <w:rFonts w:ascii="Arial" w:cs="Arial" w:eastAsia="Arial" w:hAnsi="Arial"/>
          <w:sz w:val="17"/>
          <w:szCs w:val="17"/>
          <w:color w:val="auto"/>
        </w:rPr>
        <w:t>“Domestic Borrowing Base” means an amount equal to (i) 80% of Eligible Accounts plus (ii) the lesser of 30% of Eligible Inventory or $1,000,000, plus (iii) the lesser of the Maximum OLV or 50% of the Orderly Liquidation Value of domestic Equipment (as set forth in the appraisal completed in April 2009 and in the form previously provided to Bank), as determined by Bank with reference to the most recent Domestic Borrowing Base Certificate delivered by Borrower. Notwithstanding the foregoing, Eligible Inventory shall not exceed 50% of the total Domestic Borrowing Base.</w:t>
      </w:r>
    </w:p>
    <w:p>
      <w:pPr>
        <w:spacing w:after="0" w:line="179" w:lineRule="exact"/>
        <w:rPr>
          <w:sz w:val="20"/>
          <w:szCs w:val="20"/>
          <w:color w:val="auto"/>
        </w:rPr>
      </w:pPr>
    </w:p>
    <w:p>
      <w:pPr>
        <w:ind w:left="1260" w:right="340"/>
        <w:spacing w:after="0" w:line="289" w:lineRule="auto"/>
        <w:rPr>
          <w:sz w:val="20"/>
          <w:szCs w:val="20"/>
          <w:color w:val="auto"/>
        </w:rPr>
      </w:pPr>
      <w:r>
        <w:rPr>
          <w:rFonts w:ascii="Arial" w:cs="Arial" w:eastAsia="Arial" w:hAnsi="Arial"/>
          <w:sz w:val="17"/>
          <w:szCs w:val="17"/>
          <w:color w:val="auto"/>
        </w:rPr>
        <w:t>“Maximum OLV” means $1,600,000 minus fifty percent (50%) of the proceeds from the sale, disposal, lease, transfer or other disposition or liquidation of any domestic Equipment occurring on or after May 3, 2010.</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“Line II Advance” or “Line II Advances” means a cash advance or cash advances under the Revolving Line II.</w:t>
      </w:r>
    </w:p>
    <w:p>
      <w:pPr>
        <w:spacing w:after="0" w:line="224" w:lineRule="exact"/>
        <w:rPr>
          <w:sz w:val="20"/>
          <w:szCs w:val="20"/>
          <w:color w:val="auto"/>
        </w:rPr>
      </w:pPr>
    </w:p>
    <w:p>
      <w:pPr>
        <w:ind w:left="1260"/>
        <w:spacing w:after="0" w:line="263" w:lineRule="auto"/>
        <w:rPr>
          <w:sz w:val="20"/>
          <w:szCs w:val="20"/>
          <w:color w:val="auto"/>
        </w:rPr>
      </w:pPr>
      <w:r>
        <w:rPr>
          <w:rFonts w:ascii="Arial" w:cs="Arial" w:eastAsia="Arial" w:hAnsi="Arial"/>
          <w:sz w:val="17"/>
          <w:szCs w:val="17"/>
          <w:color w:val="auto"/>
        </w:rPr>
        <w:t>“Line II Borrowing Base” means an amount equal to up to $1,500,000 in excess of the available Domestic Borrowing Base, derived from the following: (i) 80% of Eligible Accounts plus (ii) the lesser of 30% of Eligible Inventory or $1,000,000, plus (iii) the lesser of the Maximum OLV or 50% of the Orderly Liquidation Value of domestic Equipment (as set forth in the appraisal completed in April 2009 and in the form previously provided to Bank), as determined by Bank with reference to the most recent Domestic Borrowing Base Certificate delivered by Borrower (without duplication of any Accounts included in the Domestic Borrowing Base). Notwithstanding the foregoing, Eligible Inventory shall not exceed 50% of the total Line II Borrowing Base.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“Revolving Line II” means a Credit Extension of up to one million five hundred thousand dollars ($1,500,000).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“Revolving Line II Maturity Date” means May 3, 2011.</w:t>
      </w:r>
    </w:p>
    <w:p>
      <w:pPr>
        <w:spacing w:after="0" w:line="224" w:lineRule="exact"/>
        <w:rPr>
          <w:sz w:val="20"/>
          <w:szCs w:val="20"/>
          <w:color w:val="auto"/>
        </w:rPr>
      </w:pPr>
    </w:p>
    <w:p>
      <w:pPr>
        <w:ind w:left="640" w:hanging="635"/>
        <w:spacing w:after="0"/>
        <w:tabs>
          <w:tab w:leader="none" w:pos="640" w:val="left"/>
        </w:tabs>
        <w:numPr>
          <w:ilvl w:val="0"/>
          <w:numId w:val="675"/>
        </w:numPr>
        <w:rPr>
          <w:rFonts w:ascii="Arial" w:cs="Arial" w:eastAsia="Arial" w:hAnsi="Arial"/>
          <w:sz w:val="17"/>
          <w:szCs w:val="17"/>
          <w:b w:val="1"/>
          <w:bCs w:val="1"/>
          <w:color w:val="auto"/>
        </w:rPr>
      </w:pPr>
      <w:r>
        <w:rPr>
          <w:rFonts w:ascii="Arial" w:cs="Arial" w:eastAsia="Arial" w:hAnsi="Arial"/>
          <w:sz w:val="17"/>
          <w:szCs w:val="17"/>
          <w:color w:val="auto"/>
        </w:rPr>
        <w:t>The following is added as a new section 2.1(f) of the Agreement as follows:</w:t>
      </w:r>
    </w:p>
    <w:p>
      <w:pPr>
        <w:spacing w:after="0" w:line="224" w:lineRule="exact"/>
        <w:rPr>
          <w:rFonts w:ascii="Arial" w:cs="Arial" w:eastAsia="Arial" w:hAnsi="Arial"/>
          <w:sz w:val="17"/>
          <w:szCs w:val="17"/>
          <w:b w:val="1"/>
          <w:bCs w:val="1"/>
          <w:color w:val="auto"/>
        </w:rPr>
      </w:pPr>
    </w:p>
    <w:p>
      <w:pPr>
        <w:ind w:left="1900" w:hanging="637"/>
        <w:spacing w:after="0"/>
        <w:tabs>
          <w:tab w:leader="none" w:pos="1900" w:val="left"/>
        </w:tabs>
        <w:numPr>
          <w:ilvl w:val="1"/>
          <w:numId w:val="675"/>
        </w:numPr>
        <w:rPr>
          <w:rFonts w:ascii="Arial" w:cs="Arial" w:eastAsia="Arial" w:hAnsi="Arial"/>
          <w:sz w:val="17"/>
          <w:szCs w:val="17"/>
          <w:color w:val="auto"/>
        </w:rPr>
      </w:pPr>
      <w:r>
        <w:rPr>
          <w:rFonts w:ascii="Arial" w:cs="Arial" w:eastAsia="Arial" w:hAnsi="Arial"/>
          <w:sz w:val="17"/>
          <w:szCs w:val="17"/>
          <w:color w:val="auto"/>
        </w:rPr>
        <w:t>Line II Advances Under Revolving Line II.</w:t>
      </w:r>
    </w:p>
    <w:p>
      <w:pPr>
        <w:spacing w:after="0" w:line="224" w:lineRule="exact"/>
        <w:rPr>
          <w:rFonts w:ascii="Arial" w:cs="Arial" w:eastAsia="Arial" w:hAnsi="Arial"/>
          <w:sz w:val="17"/>
          <w:szCs w:val="17"/>
          <w:color w:val="auto"/>
        </w:rPr>
      </w:pPr>
    </w:p>
    <w:p>
      <w:pPr>
        <w:ind w:left="1260" w:right="100" w:firstLine="633"/>
        <w:spacing w:after="0" w:line="263" w:lineRule="auto"/>
        <w:tabs>
          <w:tab w:leader="none" w:pos="2088" w:val="left"/>
        </w:tabs>
        <w:numPr>
          <w:ilvl w:val="2"/>
          <w:numId w:val="675"/>
        </w:numPr>
        <w:rPr>
          <w:rFonts w:ascii="Arial" w:cs="Arial" w:eastAsia="Arial" w:hAnsi="Arial"/>
          <w:sz w:val="17"/>
          <w:szCs w:val="17"/>
          <w:color w:val="auto"/>
        </w:rPr>
      </w:pPr>
      <w:r>
        <w:rPr>
          <w:rFonts w:ascii="Arial" w:cs="Arial" w:eastAsia="Arial" w:hAnsi="Arial"/>
          <w:sz w:val="17"/>
          <w:szCs w:val="17"/>
          <w:color w:val="auto"/>
        </w:rPr>
        <w:t>Amount. Subject to and upon the terms and conditions of this Agreement and only when an aggregate of $3,500,000 in Advances are outstanding, Borrower may request Line II Advances in an aggregate outstanding amount not to exceed the lesser of (A) the Revolving Line II or (B) the Line II Borrowing Base. Amounts borrowed pursuant to this Section 2.1(f) may be repaid and reborrowed at any time prior to the Revolving Line II Maturity Date without penalty or premium. Borrower shall deliver to Bank a promissory note for the Line II Advances in substantially the form attached hereto as Exhibit B-5. Bank may enforce its rights in respect of the Line II Advances under this Agreement without such note.</w:t>
      </w:r>
    </w:p>
    <w:p>
      <w:pPr>
        <w:spacing w:after="0" w:line="183" w:lineRule="exact"/>
        <w:rPr>
          <w:rFonts w:ascii="Arial" w:cs="Arial" w:eastAsia="Arial" w:hAnsi="Arial"/>
          <w:sz w:val="17"/>
          <w:szCs w:val="17"/>
          <w:color w:val="auto"/>
        </w:rPr>
      </w:pPr>
    </w:p>
    <w:p>
      <w:pPr>
        <w:jc w:val="both"/>
        <w:ind w:left="1260" w:right="60" w:firstLine="633"/>
        <w:spacing w:after="0" w:line="265" w:lineRule="auto"/>
        <w:tabs>
          <w:tab w:leader="none" w:pos="2146" w:val="left"/>
        </w:tabs>
        <w:numPr>
          <w:ilvl w:val="2"/>
          <w:numId w:val="675"/>
        </w:numPr>
        <w:rPr>
          <w:rFonts w:ascii="Arial" w:cs="Arial" w:eastAsia="Arial" w:hAnsi="Arial"/>
          <w:sz w:val="17"/>
          <w:szCs w:val="17"/>
          <w:color w:val="auto"/>
        </w:rPr>
      </w:pPr>
      <w:r>
        <w:rPr>
          <w:rFonts w:ascii="Arial" w:cs="Arial" w:eastAsia="Arial" w:hAnsi="Arial"/>
          <w:sz w:val="17"/>
          <w:szCs w:val="17"/>
          <w:color w:val="auto"/>
        </w:rPr>
        <w:t>Borrowing Procedure. Whenever Borrower desires a Line II Advance, Borrower will notify Bank by facsimile transmission of an advance request in substantially the form of Exhibit C hereto no later than noon Pacific Time on the Business Day that is one (1) Business Day prior to the Business Day on which a Line II Advance is made. Bank is authorized to make Line II Advances under this Agreement, based upon instructions received from a Responsible Officer or a designee of a Responsible Officer. Bank will credit the amount of Line II Advances made under this Section 2.1(f) to a Borrower’s deposit account, as specified by Borrower.</w:t>
      </w:r>
    </w:p>
    <w:p>
      <w:pPr>
        <w:spacing w:after="0" w:line="179" w:lineRule="exact"/>
        <w:rPr>
          <w:sz w:val="20"/>
          <w:szCs w:val="20"/>
          <w:color w:val="auto"/>
        </w:rPr>
      </w:pPr>
    </w:p>
    <w:p>
      <w:pPr>
        <w:ind w:left="1260" w:right="220" w:firstLine="633"/>
        <w:spacing w:after="0" w:line="273" w:lineRule="auto"/>
        <w:tabs>
          <w:tab w:leader="none" w:pos="2185" w:val="left"/>
        </w:tabs>
        <w:numPr>
          <w:ilvl w:val="2"/>
          <w:numId w:val="676"/>
        </w:numPr>
        <w:rPr>
          <w:rFonts w:ascii="Arial" w:cs="Arial" w:eastAsia="Arial" w:hAnsi="Arial"/>
          <w:sz w:val="17"/>
          <w:szCs w:val="17"/>
          <w:color w:val="auto"/>
        </w:rPr>
      </w:pPr>
      <w:r>
        <w:rPr>
          <w:rFonts w:ascii="Arial" w:cs="Arial" w:eastAsia="Arial" w:hAnsi="Arial"/>
          <w:sz w:val="17"/>
          <w:szCs w:val="17"/>
          <w:color w:val="auto"/>
        </w:rPr>
        <w:t>Payments. Borrower shall pay interest on the aggregate outstanding principal amount of the Line II Advances on the fifth day of each month for so long as any Line II Advances are outstanding. All Line II Advances shall be due and payable on the Revolving Line II Maturity Date.</w:t>
      </w:r>
    </w:p>
    <w:p>
      <w:pPr>
        <w:spacing w:after="0" w:line="171" w:lineRule="exact"/>
        <w:rPr>
          <w:rFonts w:ascii="Arial" w:cs="Arial" w:eastAsia="Arial" w:hAnsi="Arial"/>
          <w:sz w:val="17"/>
          <w:szCs w:val="17"/>
          <w:color w:val="auto"/>
        </w:rPr>
      </w:pPr>
    </w:p>
    <w:p>
      <w:pPr>
        <w:ind w:left="640" w:hanging="635"/>
        <w:spacing w:after="0"/>
        <w:tabs>
          <w:tab w:leader="none" w:pos="640" w:val="left"/>
        </w:tabs>
        <w:numPr>
          <w:ilvl w:val="0"/>
          <w:numId w:val="677"/>
        </w:numPr>
        <w:rPr>
          <w:rFonts w:ascii="Arial" w:cs="Arial" w:eastAsia="Arial" w:hAnsi="Arial"/>
          <w:sz w:val="17"/>
          <w:szCs w:val="17"/>
          <w:b w:val="1"/>
          <w:bCs w:val="1"/>
          <w:color w:val="auto"/>
        </w:rPr>
      </w:pPr>
      <w:r>
        <w:rPr>
          <w:rFonts w:ascii="Arial" w:cs="Arial" w:eastAsia="Arial" w:hAnsi="Arial"/>
          <w:sz w:val="17"/>
          <w:szCs w:val="17"/>
          <w:color w:val="auto"/>
        </w:rPr>
        <w:t>The following is added as a new subsection (g) to Section 2.1 of the Agreement as follows:</w:t>
      </w:r>
    </w:p>
    <w:p>
      <w:pPr>
        <w:spacing w:after="0" w:line="224" w:lineRule="exact"/>
        <w:rPr>
          <w:rFonts w:ascii="Arial" w:cs="Arial" w:eastAsia="Arial" w:hAnsi="Arial"/>
          <w:sz w:val="17"/>
          <w:szCs w:val="17"/>
          <w:b w:val="1"/>
          <w:bCs w:val="1"/>
          <w:color w:val="auto"/>
        </w:rPr>
      </w:pPr>
    </w:p>
    <w:p>
      <w:pPr>
        <w:ind w:left="1260" w:right="380" w:firstLine="3"/>
        <w:spacing w:after="0" w:line="289" w:lineRule="auto"/>
        <w:tabs>
          <w:tab w:leader="none" w:pos="1909" w:val="left"/>
        </w:tabs>
        <w:numPr>
          <w:ilvl w:val="1"/>
          <w:numId w:val="677"/>
        </w:numPr>
        <w:rPr>
          <w:rFonts w:ascii="Arial" w:cs="Arial" w:eastAsia="Arial" w:hAnsi="Arial"/>
          <w:sz w:val="17"/>
          <w:szCs w:val="17"/>
          <w:color w:val="auto"/>
        </w:rPr>
      </w:pPr>
      <w:r>
        <w:rPr>
          <w:rFonts w:ascii="Arial" w:cs="Arial" w:eastAsia="Arial" w:hAnsi="Arial"/>
          <w:sz w:val="17"/>
          <w:szCs w:val="17"/>
          <w:color w:val="auto"/>
        </w:rPr>
        <w:t>Priority. Notwithstanding the foregoing provisions, any payments by Borrower to Bank following an Event of Default shall not be applied to any Line II Advance or any interest accrued thereon until all other Credit Extensions are fully repaid.</w:t>
      </w:r>
    </w:p>
    <w:p>
      <w:pPr>
        <w:sectPr>
          <w:pgSz w:w="11900" w:h="16838" w:orient="portrait"/>
          <w:cols w:equalWidth="0" w:num="1">
            <w:col w:w="11420"/>
          </w:cols>
          <w:pgMar w:left="240" w:top="357" w:right="239" w:bottom="0" w:gutter="0" w:footer="0" w:header="0"/>
        </w:sectPr>
      </w:pPr>
    </w:p>
    <w:bookmarkStart w:id="413" w:name="page414"/>
    <w:bookmarkEnd w:id="413"/>
    <w:p>
      <w:pPr>
        <w:ind w:left="635" w:hanging="635"/>
        <w:spacing w:after="0"/>
        <w:tabs>
          <w:tab w:leader="none" w:pos="635" w:val="left"/>
        </w:tabs>
        <w:numPr>
          <w:ilvl w:val="0"/>
          <w:numId w:val="678"/>
        </w:numPr>
        <w:rPr>
          <w:rFonts w:ascii="Arial" w:cs="Arial" w:eastAsia="Arial" w:hAnsi="Arial"/>
          <w:sz w:val="17"/>
          <w:szCs w:val="17"/>
          <w:b w:val="1"/>
          <w:bCs w:val="1"/>
          <w:color w:val="auto"/>
        </w:rPr>
      </w:pPr>
      <w:r>
        <w:rPr>
          <w:rFonts w:ascii="Arial" w:cs="Arial" w:eastAsia="Arial" w:hAnsi="Arial"/>
          <w:sz w:val="17"/>
          <w:szCs w:val="17"/>
          <w:color w:val="auto"/>
        </w:rPr>
        <w:t>Section 2.2 of the Agreement is amended to read as follows:</w:t>
      </w:r>
    </w:p>
    <w:p>
      <w:pPr>
        <w:spacing w:after="0" w:line="224" w:lineRule="exact"/>
        <w:rPr>
          <w:sz w:val="20"/>
          <w:szCs w:val="20"/>
          <w:color w:val="auto"/>
        </w:rPr>
      </w:pPr>
    </w:p>
    <w:p>
      <w:pPr>
        <w:ind w:left="1255"/>
        <w:spacing w:after="0" w:line="268"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Overadvances</w:t>
      </w:r>
      <w:r>
        <w:rPr>
          <w:rFonts w:ascii="Arial" w:cs="Arial" w:eastAsia="Arial" w:hAnsi="Arial"/>
          <w:sz w:val="17"/>
          <w:szCs w:val="17"/>
          <w:color w:val="auto"/>
        </w:rPr>
        <w:t>. If the aggregate amount of the outstanding Advances exceeds the lesser of the Revolving Line or the Domestic Borrowing Base at any time, Borrower shall immediately pay to Bank, in cash, the amount of such excess. If the aggregate amount of the outstanding Line II Advances exceeds the lesser of the Revolving Line II or the Line II Borrowing Base at any time, Borrower shall immediately pay to Bank, in cash, the amount of such excess.</w:t>
      </w:r>
    </w:p>
    <w:p>
      <w:pPr>
        <w:spacing w:after="0" w:line="176" w:lineRule="exact"/>
        <w:rPr>
          <w:sz w:val="20"/>
          <w:szCs w:val="20"/>
          <w:color w:val="auto"/>
        </w:rPr>
      </w:pPr>
    </w:p>
    <w:p>
      <w:pPr>
        <w:ind w:left="635" w:hanging="635"/>
        <w:spacing w:after="0"/>
        <w:tabs>
          <w:tab w:leader="none" w:pos="635" w:val="left"/>
        </w:tabs>
        <w:numPr>
          <w:ilvl w:val="0"/>
          <w:numId w:val="679"/>
        </w:numPr>
        <w:rPr>
          <w:rFonts w:ascii="Arial" w:cs="Arial" w:eastAsia="Arial" w:hAnsi="Arial"/>
          <w:sz w:val="17"/>
          <w:szCs w:val="17"/>
          <w:b w:val="1"/>
          <w:bCs w:val="1"/>
          <w:color w:val="auto"/>
        </w:rPr>
      </w:pPr>
      <w:r>
        <w:rPr>
          <w:rFonts w:ascii="Arial" w:cs="Arial" w:eastAsia="Arial" w:hAnsi="Arial"/>
          <w:sz w:val="17"/>
          <w:szCs w:val="17"/>
          <w:color w:val="auto"/>
        </w:rPr>
        <w:t>The following is added as a new subsection (h) to Section 6.2 of the Agreement as follows:</w:t>
      </w:r>
    </w:p>
    <w:p>
      <w:pPr>
        <w:spacing w:after="0" w:line="224" w:lineRule="exact"/>
        <w:rPr>
          <w:rFonts w:ascii="Arial" w:cs="Arial" w:eastAsia="Arial" w:hAnsi="Arial"/>
          <w:sz w:val="17"/>
          <w:szCs w:val="17"/>
          <w:b w:val="1"/>
          <w:bCs w:val="1"/>
          <w:color w:val="auto"/>
        </w:rPr>
      </w:pPr>
    </w:p>
    <w:p>
      <w:pPr>
        <w:ind w:left="1895" w:hanging="637"/>
        <w:spacing w:after="0"/>
        <w:tabs>
          <w:tab w:leader="none" w:pos="1895" w:val="left"/>
        </w:tabs>
        <w:numPr>
          <w:ilvl w:val="1"/>
          <w:numId w:val="679"/>
        </w:numPr>
        <w:rPr>
          <w:rFonts w:ascii="Arial" w:cs="Arial" w:eastAsia="Arial" w:hAnsi="Arial"/>
          <w:sz w:val="16"/>
          <w:szCs w:val="16"/>
          <w:color w:val="auto"/>
        </w:rPr>
      </w:pPr>
      <w:r>
        <w:rPr>
          <w:rFonts w:ascii="Arial" w:cs="Arial" w:eastAsia="Arial" w:hAnsi="Arial"/>
          <w:sz w:val="16"/>
          <w:szCs w:val="16"/>
          <w:color w:val="auto"/>
        </w:rPr>
        <w:t>With respect to Accounts permitted in the Domestic Borrowing Base or the Line II Borrowing Base pursuant to subsections (a) and</w:t>
      </w:r>
    </w:p>
    <w:p>
      <w:pPr>
        <w:spacing w:after="0" w:line="37" w:lineRule="exact"/>
        <w:rPr>
          <w:rFonts w:ascii="Arial" w:cs="Arial" w:eastAsia="Arial" w:hAnsi="Arial"/>
          <w:sz w:val="16"/>
          <w:szCs w:val="16"/>
          <w:color w:val="auto"/>
        </w:rPr>
      </w:pPr>
    </w:p>
    <w:p>
      <w:pPr>
        <w:ind w:left="1255" w:right="100" w:firstLine="3"/>
        <w:spacing w:after="0" w:line="275" w:lineRule="auto"/>
        <w:tabs>
          <w:tab w:leader="none" w:pos="1503" w:val="left"/>
        </w:tabs>
        <w:numPr>
          <w:ilvl w:val="1"/>
          <w:numId w:val="680"/>
        </w:numPr>
        <w:rPr>
          <w:rFonts w:ascii="Arial" w:cs="Arial" w:eastAsia="Arial" w:hAnsi="Arial"/>
          <w:sz w:val="17"/>
          <w:szCs w:val="17"/>
          <w:color w:val="auto"/>
        </w:rPr>
      </w:pPr>
      <w:r>
        <w:rPr>
          <w:rFonts w:ascii="Arial" w:cs="Arial" w:eastAsia="Arial" w:hAnsi="Arial"/>
          <w:sz w:val="17"/>
          <w:szCs w:val="17"/>
          <w:color w:val="auto"/>
        </w:rPr>
        <w:t>of the defined term “Domestic Eligible Accounts” as set forth in Section 1.1 of the Agreement, upon Bank’s reasonable request, evidence of credit insurance claim compliance and all supporting documents with respect to such Accounts.</w:t>
      </w:r>
    </w:p>
    <w:p>
      <w:pPr>
        <w:spacing w:after="0" w:line="169"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35" w:hanging="635"/>
        <w:spacing w:after="0"/>
        <w:tabs>
          <w:tab w:leader="none" w:pos="635" w:val="left"/>
        </w:tabs>
        <w:numPr>
          <w:ilvl w:val="0"/>
          <w:numId w:val="681"/>
        </w:numPr>
        <w:rPr>
          <w:rFonts w:ascii="Arial" w:cs="Arial" w:eastAsia="Arial" w:hAnsi="Arial"/>
          <w:sz w:val="17"/>
          <w:szCs w:val="17"/>
          <w:b w:val="1"/>
          <w:bCs w:val="1"/>
          <w:color w:val="auto"/>
        </w:rPr>
      </w:pPr>
      <w:r>
        <w:rPr>
          <w:rFonts w:ascii="Arial" w:cs="Arial" w:eastAsia="Arial" w:hAnsi="Arial"/>
          <w:sz w:val="17"/>
          <w:szCs w:val="17"/>
          <w:color w:val="auto"/>
        </w:rPr>
        <w:t>Section 2.3(a) of the Agreement is amended in its entirety to read as follows:</w:t>
      </w:r>
    </w:p>
    <w:p>
      <w:pPr>
        <w:spacing w:after="0" w:line="224" w:lineRule="exact"/>
        <w:rPr>
          <w:rFonts w:ascii="Arial" w:cs="Arial" w:eastAsia="Arial" w:hAnsi="Arial"/>
          <w:sz w:val="17"/>
          <w:szCs w:val="17"/>
          <w:b w:val="1"/>
          <w:bCs w:val="1"/>
          <w:color w:val="auto"/>
        </w:rPr>
      </w:pPr>
    </w:p>
    <w:p>
      <w:pPr>
        <w:ind w:left="1255" w:right="40" w:firstLine="3"/>
        <w:spacing w:after="0" w:line="268" w:lineRule="auto"/>
        <w:tabs>
          <w:tab w:leader="none" w:pos="1882" w:val="left"/>
        </w:tabs>
        <w:numPr>
          <w:ilvl w:val="2"/>
          <w:numId w:val="681"/>
        </w:numPr>
        <w:rPr>
          <w:rFonts w:ascii="Arial" w:cs="Arial" w:eastAsia="Arial" w:hAnsi="Arial"/>
          <w:sz w:val="17"/>
          <w:szCs w:val="17"/>
          <w:color w:val="auto"/>
        </w:rPr>
      </w:pPr>
      <w:r>
        <w:rPr>
          <w:rFonts w:ascii="Arial" w:cs="Arial" w:eastAsia="Arial" w:hAnsi="Arial"/>
          <w:sz w:val="17"/>
          <w:szCs w:val="17"/>
          <w:color w:val="auto"/>
        </w:rPr>
        <w:t>Interest Rates. Except as set forth in Section 2.3(b), the outstanding principal balance of each Credit Extension shall bear interest (computed daily on the basis of a 360 day year and actual days elapsed), at a variable rate per annum equal to the Prime Rate plus 2.25%. Notwithstanding the foregoing, at no time shall the interest rate applied to any Credit Extension be less than 5.375% per annum (computed daily on the basis of a 360 day year and actual days elapsed) (the “Floor Rate”).</w:t>
      </w:r>
    </w:p>
    <w:p>
      <w:pPr>
        <w:spacing w:after="0" w:line="175" w:lineRule="exact"/>
        <w:rPr>
          <w:rFonts w:ascii="Arial" w:cs="Arial" w:eastAsia="Arial" w:hAnsi="Arial"/>
          <w:sz w:val="17"/>
          <w:szCs w:val="17"/>
          <w:color w:val="auto"/>
        </w:rPr>
      </w:pPr>
    </w:p>
    <w:p>
      <w:pPr>
        <w:ind w:left="635" w:hanging="635"/>
        <w:spacing w:after="0"/>
        <w:tabs>
          <w:tab w:leader="none" w:pos="635" w:val="left"/>
        </w:tabs>
        <w:numPr>
          <w:ilvl w:val="0"/>
          <w:numId w:val="681"/>
        </w:numPr>
        <w:rPr>
          <w:rFonts w:ascii="Arial" w:cs="Arial" w:eastAsia="Arial" w:hAnsi="Arial"/>
          <w:sz w:val="17"/>
          <w:szCs w:val="17"/>
          <w:b w:val="1"/>
          <w:bCs w:val="1"/>
          <w:color w:val="auto"/>
        </w:rPr>
      </w:pPr>
      <w:r>
        <w:rPr>
          <w:rFonts w:ascii="Arial" w:cs="Arial" w:eastAsia="Arial" w:hAnsi="Arial"/>
          <w:sz w:val="17"/>
          <w:szCs w:val="17"/>
          <w:color w:val="auto"/>
        </w:rPr>
        <w:t>Exhibit B-5 attached hereto is incorporated in its entirety as Exhibit B-5 to the Agreement.</w:t>
      </w:r>
    </w:p>
    <w:p>
      <w:pPr>
        <w:spacing w:after="0" w:line="224" w:lineRule="exact"/>
        <w:rPr>
          <w:rFonts w:ascii="Arial" w:cs="Arial" w:eastAsia="Arial" w:hAnsi="Arial"/>
          <w:sz w:val="17"/>
          <w:szCs w:val="17"/>
          <w:b w:val="1"/>
          <w:bCs w:val="1"/>
          <w:color w:val="auto"/>
        </w:rPr>
      </w:pPr>
    </w:p>
    <w:p>
      <w:pPr>
        <w:ind w:left="635" w:hanging="635"/>
        <w:spacing w:after="0"/>
        <w:tabs>
          <w:tab w:leader="none" w:pos="635" w:val="left"/>
        </w:tabs>
        <w:numPr>
          <w:ilvl w:val="0"/>
          <w:numId w:val="681"/>
        </w:numPr>
        <w:rPr>
          <w:rFonts w:ascii="Arial" w:cs="Arial" w:eastAsia="Arial" w:hAnsi="Arial"/>
          <w:sz w:val="17"/>
          <w:szCs w:val="17"/>
          <w:b w:val="1"/>
          <w:bCs w:val="1"/>
          <w:color w:val="auto"/>
        </w:rPr>
      </w:pPr>
      <w:r>
        <w:rPr>
          <w:rFonts w:ascii="Arial" w:cs="Arial" w:eastAsia="Arial" w:hAnsi="Arial"/>
          <w:sz w:val="17"/>
          <w:szCs w:val="17"/>
          <w:color w:val="auto"/>
        </w:rPr>
        <w:t>Exhibit D-1 to the Agreement is replaced in its entirety with the Domestic Borrowing Base Certificate provided by Bank to Borrower.</w:t>
      </w:r>
    </w:p>
    <w:p>
      <w:pPr>
        <w:spacing w:after="0" w:line="224" w:lineRule="exact"/>
        <w:rPr>
          <w:rFonts w:ascii="Arial" w:cs="Arial" w:eastAsia="Arial" w:hAnsi="Arial"/>
          <w:sz w:val="17"/>
          <w:szCs w:val="17"/>
          <w:b w:val="1"/>
          <w:bCs w:val="1"/>
          <w:color w:val="auto"/>
        </w:rPr>
      </w:pPr>
    </w:p>
    <w:p>
      <w:pPr>
        <w:ind w:left="-5" w:right="120" w:firstLine="5"/>
        <w:spacing w:after="0" w:line="265" w:lineRule="auto"/>
        <w:tabs>
          <w:tab w:leader="none" w:pos="624" w:val="left"/>
        </w:tabs>
        <w:numPr>
          <w:ilvl w:val="0"/>
          <w:numId w:val="681"/>
        </w:numPr>
        <w:rPr>
          <w:rFonts w:ascii="Arial" w:cs="Arial" w:eastAsia="Arial" w:hAnsi="Arial"/>
          <w:sz w:val="17"/>
          <w:szCs w:val="17"/>
          <w:b w:val="1"/>
          <w:bCs w:val="1"/>
          <w:color w:val="auto"/>
        </w:rPr>
      </w:pPr>
      <w:r>
        <w:rPr>
          <w:rFonts w:ascii="Arial" w:cs="Arial" w:eastAsia="Arial" w:hAnsi="Arial"/>
          <w:sz w:val="17"/>
          <w:szCs w:val="17"/>
          <w:color w:val="auto"/>
        </w:rPr>
        <w:t>Unless otherwise defined, all initially capitalized terms in this Amendment shall be as defined in the Agreement. The Agreement, as amended hereby, shall be and remains in full force and effect in accordance with its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instruments, documents and agreements entered into in connection with the Agreement.</w:t>
      </w:r>
    </w:p>
    <w:p>
      <w:pPr>
        <w:spacing w:after="0" w:line="179" w:lineRule="exact"/>
        <w:rPr>
          <w:rFonts w:ascii="Arial" w:cs="Arial" w:eastAsia="Arial" w:hAnsi="Arial"/>
          <w:sz w:val="17"/>
          <w:szCs w:val="17"/>
          <w:b w:val="1"/>
          <w:bCs w:val="1"/>
          <w:color w:val="auto"/>
        </w:rPr>
      </w:pPr>
    </w:p>
    <w:p>
      <w:pPr>
        <w:ind w:left="-5" w:right="840" w:firstLine="5"/>
        <w:spacing w:after="0" w:line="289" w:lineRule="auto"/>
        <w:tabs>
          <w:tab w:leader="none" w:pos="620" w:val="left"/>
        </w:tabs>
        <w:numPr>
          <w:ilvl w:val="0"/>
          <w:numId w:val="681"/>
        </w:numPr>
        <w:rPr>
          <w:rFonts w:ascii="Arial" w:cs="Arial" w:eastAsia="Arial" w:hAnsi="Arial"/>
          <w:sz w:val="17"/>
          <w:szCs w:val="17"/>
          <w:b w:val="1"/>
          <w:bCs w:val="1"/>
          <w:color w:val="auto"/>
        </w:rPr>
      </w:pPr>
      <w:r>
        <w:rPr>
          <w:rFonts w:ascii="Arial" w:cs="Arial" w:eastAsia="Arial" w:hAnsi="Arial"/>
          <w:sz w:val="17"/>
          <w:szCs w:val="17"/>
          <w:color w:val="auto"/>
        </w:rPr>
        <w:t>Borrower represents and warrants that the representations and warranties contained in the Agreement are true and correct as of the date of this Amendment, and that no Event of Default has occurred and is continuing.</w:t>
      </w:r>
    </w:p>
    <w:p>
      <w:pPr>
        <w:spacing w:after="0" w:line="158" w:lineRule="exact"/>
        <w:rPr>
          <w:rFonts w:ascii="Arial" w:cs="Arial" w:eastAsia="Arial" w:hAnsi="Arial"/>
          <w:sz w:val="17"/>
          <w:szCs w:val="17"/>
          <w:b w:val="1"/>
          <w:bCs w:val="1"/>
          <w:color w:val="auto"/>
        </w:rPr>
      </w:pPr>
    </w:p>
    <w:p>
      <w:pPr>
        <w:ind w:left="-5" w:right="120" w:firstLine="5"/>
        <w:spacing w:after="0" w:line="289" w:lineRule="auto"/>
        <w:tabs>
          <w:tab w:leader="none" w:pos="610" w:val="left"/>
        </w:tabs>
        <w:numPr>
          <w:ilvl w:val="0"/>
          <w:numId w:val="681"/>
        </w:numPr>
        <w:rPr>
          <w:rFonts w:ascii="Arial" w:cs="Arial" w:eastAsia="Arial" w:hAnsi="Arial"/>
          <w:sz w:val="17"/>
          <w:szCs w:val="17"/>
          <w:b w:val="1"/>
          <w:bCs w:val="1"/>
          <w:color w:val="auto"/>
        </w:rPr>
      </w:pPr>
      <w:r>
        <w:rPr>
          <w:rFonts w:ascii="Arial" w:cs="Arial" w:eastAsia="Arial" w:hAnsi="Arial"/>
          <w:sz w:val="17"/>
          <w:szCs w:val="17"/>
          <w:color w:val="auto"/>
        </w:rPr>
        <w:t>This Amendment may be executed in two or more counterparts, each of which shall be deemed an original, but all of which together shall constitute one instrument.</w:t>
      </w:r>
    </w:p>
    <w:p>
      <w:pPr>
        <w:spacing w:after="0" w:line="158" w:lineRule="exact"/>
        <w:rPr>
          <w:rFonts w:ascii="Arial" w:cs="Arial" w:eastAsia="Arial" w:hAnsi="Arial"/>
          <w:sz w:val="17"/>
          <w:szCs w:val="17"/>
          <w:b w:val="1"/>
          <w:bCs w:val="1"/>
          <w:color w:val="auto"/>
        </w:rPr>
      </w:pPr>
    </w:p>
    <w:p>
      <w:pPr>
        <w:ind w:left="615" w:hanging="615"/>
        <w:spacing w:after="0"/>
        <w:tabs>
          <w:tab w:leader="none" w:pos="615" w:val="left"/>
        </w:tabs>
        <w:numPr>
          <w:ilvl w:val="0"/>
          <w:numId w:val="681"/>
        </w:numPr>
        <w:rPr>
          <w:rFonts w:ascii="Arial" w:cs="Arial" w:eastAsia="Arial" w:hAnsi="Arial"/>
          <w:sz w:val="17"/>
          <w:szCs w:val="17"/>
          <w:b w:val="1"/>
          <w:bCs w:val="1"/>
          <w:color w:val="auto"/>
        </w:rPr>
      </w:pPr>
      <w:r>
        <w:rPr>
          <w:rFonts w:ascii="Arial" w:cs="Arial" w:eastAsia="Arial" w:hAnsi="Arial"/>
          <w:sz w:val="17"/>
          <w:szCs w:val="17"/>
          <w:color w:val="auto"/>
        </w:rPr>
        <w:t>As a condition to the effectiveness of this Amendment, Bank shall have received, in form and substance satisfactory to Bank, the following:</w:t>
      </w:r>
    </w:p>
    <w:p>
      <w:pPr>
        <w:spacing w:after="0" w:line="224" w:lineRule="exact"/>
        <w:rPr>
          <w:rFonts w:ascii="Arial" w:cs="Arial" w:eastAsia="Arial" w:hAnsi="Arial"/>
          <w:sz w:val="17"/>
          <w:szCs w:val="17"/>
          <w:b w:val="1"/>
          <w:bCs w:val="1"/>
          <w:color w:val="auto"/>
        </w:rPr>
      </w:pPr>
    </w:p>
    <w:p>
      <w:pPr>
        <w:ind w:left="1255" w:hanging="626"/>
        <w:spacing w:after="0"/>
        <w:tabs>
          <w:tab w:leader="none" w:pos="1255" w:val="left"/>
        </w:tabs>
        <w:numPr>
          <w:ilvl w:val="1"/>
          <w:numId w:val="681"/>
        </w:numPr>
        <w:rPr>
          <w:rFonts w:ascii="Arial" w:cs="Arial" w:eastAsia="Arial" w:hAnsi="Arial"/>
          <w:sz w:val="17"/>
          <w:szCs w:val="17"/>
          <w:color w:val="auto"/>
        </w:rPr>
      </w:pPr>
      <w:r>
        <w:rPr>
          <w:rFonts w:ascii="Arial" w:cs="Arial" w:eastAsia="Arial" w:hAnsi="Arial"/>
          <w:sz w:val="17"/>
          <w:szCs w:val="17"/>
          <w:color w:val="auto"/>
        </w:rPr>
        <w:t>this Amendment, duly executed by Borrower;</w:t>
      </w:r>
    </w:p>
    <w:p>
      <w:pPr>
        <w:spacing w:after="0" w:line="224" w:lineRule="exact"/>
        <w:rPr>
          <w:sz w:val="20"/>
          <w:szCs w:val="20"/>
          <w:color w:val="auto"/>
        </w:rPr>
      </w:pPr>
    </w:p>
    <w:p>
      <w:pPr>
        <w:ind w:left="1255" w:hanging="626"/>
        <w:spacing w:after="0"/>
        <w:tabs>
          <w:tab w:leader="none" w:pos="1255" w:val="left"/>
        </w:tabs>
        <w:numPr>
          <w:ilvl w:val="0"/>
          <w:numId w:val="682"/>
        </w:numPr>
        <w:rPr>
          <w:rFonts w:ascii="Arial" w:cs="Arial" w:eastAsia="Arial" w:hAnsi="Arial"/>
          <w:sz w:val="17"/>
          <w:szCs w:val="17"/>
          <w:color w:val="auto"/>
        </w:rPr>
      </w:pPr>
      <w:r>
        <w:rPr>
          <w:rFonts w:ascii="Arial" w:cs="Arial" w:eastAsia="Arial" w:hAnsi="Arial"/>
          <w:sz w:val="17"/>
          <w:szCs w:val="17"/>
          <w:color w:val="auto"/>
        </w:rPr>
        <w:t>Corporate Resolutions and Incumbency Certification, duly executed by Borrower;</w:t>
      </w:r>
    </w:p>
    <w:p>
      <w:pPr>
        <w:spacing w:after="0" w:line="224" w:lineRule="exact"/>
        <w:rPr>
          <w:rFonts w:ascii="Arial" w:cs="Arial" w:eastAsia="Arial" w:hAnsi="Arial"/>
          <w:sz w:val="17"/>
          <w:szCs w:val="17"/>
          <w:color w:val="auto"/>
        </w:rPr>
      </w:pPr>
    </w:p>
    <w:p>
      <w:pPr>
        <w:ind w:left="1275" w:hanging="646"/>
        <w:spacing w:after="0"/>
        <w:tabs>
          <w:tab w:leader="none" w:pos="1275" w:val="left"/>
        </w:tabs>
        <w:numPr>
          <w:ilvl w:val="0"/>
          <w:numId w:val="682"/>
        </w:numPr>
        <w:rPr>
          <w:rFonts w:ascii="Arial" w:cs="Arial" w:eastAsia="Arial" w:hAnsi="Arial"/>
          <w:sz w:val="17"/>
          <w:szCs w:val="17"/>
          <w:color w:val="auto"/>
        </w:rPr>
      </w:pPr>
      <w:r>
        <w:rPr>
          <w:rFonts w:ascii="Arial" w:cs="Arial" w:eastAsia="Arial" w:hAnsi="Arial"/>
          <w:sz w:val="17"/>
          <w:szCs w:val="17"/>
          <w:color w:val="auto"/>
        </w:rPr>
        <w:t>Line II Promissory Note, duly executed by Borrower;</w:t>
      </w:r>
    </w:p>
    <w:p>
      <w:pPr>
        <w:spacing w:after="0" w:line="224" w:lineRule="exact"/>
        <w:rPr>
          <w:rFonts w:ascii="Arial" w:cs="Arial" w:eastAsia="Arial" w:hAnsi="Arial"/>
          <w:sz w:val="17"/>
          <w:szCs w:val="17"/>
          <w:color w:val="auto"/>
        </w:rPr>
      </w:pPr>
    </w:p>
    <w:p>
      <w:pPr>
        <w:ind w:left="1275" w:hanging="646"/>
        <w:spacing w:after="0"/>
        <w:tabs>
          <w:tab w:leader="none" w:pos="1275" w:val="left"/>
        </w:tabs>
        <w:numPr>
          <w:ilvl w:val="0"/>
          <w:numId w:val="682"/>
        </w:numPr>
        <w:rPr>
          <w:rFonts w:ascii="Arial" w:cs="Arial" w:eastAsia="Arial" w:hAnsi="Arial"/>
          <w:sz w:val="17"/>
          <w:szCs w:val="17"/>
          <w:color w:val="auto"/>
        </w:rPr>
      </w:pPr>
      <w:r>
        <w:rPr>
          <w:rFonts w:ascii="Arial" w:cs="Arial" w:eastAsia="Arial" w:hAnsi="Arial"/>
          <w:sz w:val="17"/>
          <w:szCs w:val="17"/>
          <w:color w:val="auto"/>
        </w:rPr>
        <w:t>an amendment fee of $1,875 to Bank, plus an amount equal to all Bank Expenses incurred through the date of this Amendment; and</w:t>
      </w:r>
    </w:p>
    <w:p>
      <w:pPr>
        <w:spacing w:after="0" w:line="224" w:lineRule="exact"/>
        <w:rPr>
          <w:rFonts w:ascii="Arial" w:cs="Arial" w:eastAsia="Arial" w:hAnsi="Arial"/>
          <w:sz w:val="17"/>
          <w:szCs w:val="17"/>
          <w:color w:val="auto"/>
        </w:rPr>
      </w:pPr>
    </w:p>
    <w:p>
      <w:pPr>
        <w:ind w:left="1275" w:hanging="646"/>
        <w:spacing w:after="0"/>
        <w:tabs>
          <w:tab w:leader="none" w:pos="1275" w:val="left"/>
        </w:tabs>
        <w:numPr>
          <w:ilvl w:val="0"/>
          <w:numId w:val="682"/>
        </w:numPr>
        <w:rPr>
          <w:rFonts w:ascii="Arial" w:cs="Arial" w:eastAsia="Arial" w:hAnsi="Arial"/>
          <w:sz w:val="17"/>
          <w:szCs w:val="17"/>
          <w:color w:val="auto"/>
        </w:rPr>
      </w:pPr>
      <w:r>
        <w:rPr>
          <w:rFonts w:ascii="Arial" w:cs="Arial" w:eastAsia="Arial" w:hAnsi="Arial"/>
          <w:sz w:val="17"/>
          <w:szCs w:val="17"/>
          <w:color w:val="auto"/>
        </w:rPr>
        <w:t>such other documents, and completion of such other matters, as Bank may reasonably deem necessary or appropriate.</w:t>
      </w:r>
    </w:p>
    <w:p>
      <w:pPr>
        <w:spacing w:after="0" w:line="224" w:lineRule="exact"/>
        <w:rPr>
          <w:rFonts w:ascii="Arial" w:cs="Arial" w:eastAsia="Arial" w:hAnsi="Arial"/>
          <w:sz w:val="17"/>
          <w:szCs w:val="17"/>
          <w:color w:val="auto"/>
        </w:rPr>
      </w:pPr>
    </w:p>
    <w:p>
      <w:pPr>
        <w:ind w:left="3275"/>
        <w:spacing w:after="0"/>
        <w:rPr>
          <w:rFonts w:ascii="Arial" w:cs="Arial" w:eastAsia="Arial" w:hAnsi="Arial"/>
          <w:sz w:val="17"/>
          <w:szCs w:val="17"/>
          <w:color w:val="auto"/>
        </w:rPr>
      </w:pPr>
      <w:r>
        <w:rPr>
          <w:rFonts w:ascii="Arial" w:cs="Arial" w:eastAsia="Arial" w:hAnsi="Arial"/>
          <w:sz w:val="17"/>
          <w:szCs w:val="17"/>
          <w:color w:val="auto"/>
        </w:rPr>
        <w:t>[REMAINDER OF THIS PAGE INTENTIONALLY LEFT BLANK]</w:t>
      </w:r>
    </w:p>
    <w:p>
      <w:pPr>
        <w:spacing w:after="0" w:line="224"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35"/>
        <w:spacing w:after="0"/>
        <w:rPr>
          <w:sz w:val="20"/>
          <w:szCs w:val="20"/>
          <w:color w:val="auto"/>
        </w:rPr>
      </w:pPr>
      <w:r>
        <w:rPr>
          <w:rFonts w:ascii="Arial" w:cs="Arial" w:eastAsia="Arial" w:hAnsi="Arial"/>
          <w:sz w:val="17"/>
          <w:szCs w:val="17"/>
          <w:color w:val="auto"/>
        </w:rPr>
        <w:t>IN WITNESS WHEREOF, the undersigned have executed this Amendment as of the first date above written.</w:t>
      </w:r>
    </w:p>
    <w:p>
      <w:pPr>
        <w:spacing w:after="0" w:line="224" w:lineRule="exact"/>
        <w:rPr>
          <w:sz w:val="20"/>
          <w:szCs w:val="20"/>
          <w:color w:val="auto"/>
        </w:rPr>
      </w:pPr>
    </w:p>
    <w:p>
      <w:pPr>
        <w:ind w:left="5715"/>
        <w:spacing w:after="0"/>
        <w:rPr>
          <w:sz w:val="20"/>
          <w:szCs w:val="20"/>
          <w:color w:val="auto"/>
        </w:rPr>
      </w:pPr>
      <w:r>
        <w:rPr>
          <w:rFonts w:ascii="Arial" w:cs="Arial" w:eastAsia="Arial" w:hAnsi="Arial"/>
          <w:sz w:val="17"/>
          <w:szCs w:val="17"/>
          <w:color w:val="auto"/>
        </w:rPr>
        <w:t>APPLIED OPTOELECTRONICS, INC.</w:t>
      </w:r>
    </w:p>
    <w:p>
      <w:pPr>
        <w:spacing w:after="0" w:line="200" w:lineRule="exact"/>
        <w:rPr>
          <w:sz w:val="20"/>
          <w:szCs w:val="20"/>
          <w:color w:val="auto"/>
        </w:rPr>
      </w:pPr>
    </w:p>
    <w:p>
      <w:pPr>
        <w:spacing w:after="0" w:line="234" w:lineRule="exact"/>
        <w:rPr>
          <w:sz w:val="20"/>
          <w:szCs w:val="20"/>
          <w:color w:val="auto"/>
        </w:rPr>
      </w:pPr>
    </w:p>
    <w:p>
      <w:pPr>
        <w:ind w:left="5715"/>
        <w:spacing w:after="0"/>
        <w:tabs>
          <w:tab w:leader="none" w:pos="6335"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4037330</wp:posOffset>
            </wp:positionH>
            <wp:positionV relativeFrom="paragraph">
              <wp:posOffset>17145</wp:posOffset>
            </wp:positionV>
            <wp:extent cx="321310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3213100" cy="8255"/>
                    </a:xfrm>
                    <a:prstGeom prst="rect">
                      <a:avLst/>
                    </a:prstGeom>
                    <a:noFill/>
                  </pic:spPr>
                </pic:pic>
              </a:graphicData>
            </a:graphic>
          </wp:anchor>
        </w:drawing>
      </w:r>
    </w:p>
    <w:p>
      <w:pPr>
        <w:spacing w:after="0" w:line="217" w:lineRule="exact"/>
        <w:rPr>
          <w:sz w:val="20"/>
          <w:szCs w:val="20"/>
          <w:color w:val="auto"/>
        </w:rPr>
      </w:pPr>
    </w:p>
    <w:p>
      <w:pPr>
        <w:ind w:left="5715"/>
        <w:spacing w:after="0"/>
        <w:tabs>
          <w:tab w:leader="none" w:pos="6335" w:val="left"/>
        </w:tabs>
        <w:rPr>
          <w:sz w:val="20"/>
          <w:szCs w:val="20"/>
          <w:color w:val="auto"/>
        </w:rPr>
      </w:pPr>
      <w:r>
        <w:rPr>
          <w:rFonts w:ascii="Arial" w:cs="Arial" w:eastAsia="Arial" w:hAnsi="Arial"/>
          <w:sz w:val="17"/>
          <w:szCs w:val="17"/>
          <w:color w:val="auto"/>
        </w:rPr>
        <w:t>Title:</w:t>
        <w:tab/>
        <w:t>CEO</w:t>
      </w:r>
    </w:p>
    <w:p>
      <w:pPr>
        <w:spacing w:after="0" w:line="200" w:lineRule="exact"/>
        <w:rPr>
          <w:sz w:val="20"/>
          <w:szCs w:val="20"/>
          <w:color w:val="auto"/>
        </w:rPr>
      </w:pPr>
    </w:p>
    <w:p>
      <w:pPr>
        <w:spacing w:after="0" w:line="234" w:lineRule="exact"/>
        <w:rPr>
          <w:sz w:val="20"/>
          <w:szCs w:val="20"/>
          <w:color w:val="auto"/>
        </w:rPr>
      </w:pPr>
    </w:p>
    <w:p>
      <w:pPr>
        <w:ind w:left="5715"/>
        <w:spacing w:after="0"/>
        <w:rPr>
          <w:sz w:val="20"/>
          <w:szCs w:val="20"/>
          <w:color w:val="auto"/>
        </w:rPr>
      </w:pPr>
      <w:r>
        <w:rPr>
          <w:rFonts w:ascii="Arial" w:cs="Arial" w:eastAsia="Arial" w:hAnsi="Arial"/>
          <w:sz w:val="17"/>
          <w:szCs w:val="17"/>
          <w:color w:val="auto"/>
        </w:rPr>
        <w:t>EAST WEST BANK</w:t>
      </w:r>
    </w:p>
    <w:p>
      <w:pPr>
        <w:spacing w:after="0" w:line="200" w:lineRule="exact"/>
        <w:rPr>
          <w:sz w:val="20"/>
          <w:szCs w:val="20"/>
          <w:color w:val="auto"/>
        </w:rPr>
      </w:pPr>
    </w:p>
    <w:p>
      <w:pPr>
        <w:spacing w:after="0" w:line="234" w:lineRule="exact"/>
        <w:rPr>
          <w:sz w:val="20"/>
          <w:szCs w:val="20"/>
          <w:color w:val="auto"/>
        </w:rPr>
      </w:pPr>
    </w:p>
    <w:p>
      <w:pPr>
        <w:ind w:left="5715"/>
        <w:spacing w:after="0"/>
        <w:tabs>
          <w:tab w:leader="none" w:pos="6335"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Lisa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4037330</wp:posOffset>
            </wp:positionH>
            <wp:positionV relativeFrom="paragraph">
              <wp:posOffset>17145</wp:posOffset>
            </wp:positionV>
            <wp:extent cx="321310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3213100" cy="8255"/>
                    </a:xfrm>
                    <a:prstGeom prst="rect">
                      <a:avLst/>
                    </a:prstGeom>
                    <a:noFill/>
                  </pic:spPr>
                </pic:pic>
              </a:graphicData>
            </a:graphic>
          </wp:anchor>
        </w:drawing>
      </w:r>
    </w:p>
    <w:p>
      <w:pPr>
        <w:spacing w:after="0" w:line="217" w:lineRule="exact"/>
        <w:rPr>
          <w:sz w:val="20"/>
          <w:szCs w:val="20"/>
          <w:color w:val="auto"/>
        </w:rPr>
      </w:pPr>
    </w:p>
    <w:p>
      <w:pPr>
        <w:ind w:left="5715"/>
        <w:spacing w:after="0"/>
        <w:tabs>
          <w:tab w:leader="none" w:pos="6335" w:val="left"/>
        </w:tabs>
        <w:rPr>
          <w:sz w:val="20"/>
          <w:szCs w:val="20"/>
          <w:color w:val="auto"/>
        </w:rPr>
      </w:pPr>
      <w:r>
        <w:rPr>
          <w:rFonts w:ascii="Arial" w:cs="Arial" w:eastAsia="Arial" w:hAnsi="Arial"/>
          <w:sz w:val="17"/>
          <w:szCs w:val="17"/>
          <w:color w:val="auto"/>
        </w:rPr>
        <w:t>Title:</w:t>
        <w:tab/>
        <w:t>AVP</w:t>
      </w:r>
    </w:p>
    <w:p>
      <w:pPr>
        <w:sectPr>
          <w:pgSz w:w="11900" w:h="16838" w:orient="portrait"/>
          <w:cols w:equalWidth="0" w:num="1">
            <w:col w:w="11395"/>
          </w:cols>
          <w:pgMar w:left="245" w:top="127" w:right="259" w:bottom="97" w:gutter="0" w:footer="0" w:header="0"/>
        </w:sectPr>
      </w:pPr>
    </w:p>
    <w:p>
      <w:pPr>
        <w:spacing w:after="0" w:line="224" w:lineRule="exact"/>
        <w:rPr>
          <w:sz w:val="20"/>
          <w:szCs w:val="20"/>
          <w:color w:val="auto"/>
        </w:rPr>
      </w:pPr>
    </w:p>
    <w:p>
      <w:pPr>
        <w:jc w:val="center"/>
        <w:ind w:right="-34"/>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103505</wp:posOffset>
            </wp:positionV>
            <wp:extent cx="7271385" cy="2921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95"/>
          </w:cols>
          <w:pgMar w:left="245" w:top="127" w:right="259" w:bottom="97" w:gutter="0" w:footer="0" w:header="0"/>
          <w:type w:val="continuous"/>
        </w:sectPr>
      </w:pPr>
    </w:p>
    <w:bookmarkStart w:id="414" w:name="page415"/>
    <w:bookmarkEnd w:id="414"/>
    <w:tbl>
      <w:tblPr>
        <w:tblLayout w:type="fixed"/>
        <w:tblInd w:w="0" w:type="dxa"/>
        <w:tblCellMar>
          <w:top w:w="0" w:type="dxa"/>
          <w:left w:w="0" w:type="dxa"/>
          <w:bottom w:w="0" w:type="dxa"/>
          <w:right w:w="0" w:type="dxa"/>
        </w:tblCellMar>
      </w:tblPr>
      <w:tr>
        <w:trPr>
          <w:trHeight w:val="228"/>
        </w:trPr>
        <w:tc>
          <w:tcPr>
            <w:tcW w:w="2660" w:type="dxa"/>
            <w:vAlign w:val="bottom"/>
          </w:tcPr>
          <w:p>
            <w:pPr>
              <w:spacing w:after="0"/>
              <w:rPr>
                <w:sz w:val="19"/>
                <w:szCs w:val="19"/>
                <w:color w:val="auto"/>
              </w:rPr>
            </w:pPr>
          </w:p>
        </w:tc>
        <w:tc>
          <w:tcPr>
            <w:tcW w:w="8760" w:type="dxa"/>
            <w:vAlign w:val="bottom"/>
          </w:tcPr>
          <w:p>
            <w:pPr>
              <w:jc w:val="right"/>
              <w:ind w:right="5093"/>
              <w:spacing w:after="0"/>
              <w:rPr>
                <w:sz w:val="20"/>
                <w:szCs w:val="20"/>
                <w:color w:val="auto"/>
              </w:rPr>
            </w:pPr>
            <w:r>
              <w:rPr>
                <w:rFonts w:ascii="Arial" w:cs="Arial" w:eastAsia="Arial" w:hAnsi="Arial"/>
                <w:sz w:val="17"/>
                <w:szCs w:val="17"/>
                <w:b w:val="1"/>
                <w:bCs w:val="1"/>
                <w:color w:val="auto"/>
              </w:rPr>
              <w:t>EXHIBIT B-5</w:t>
            </w:r>
          </w:p>
        </w:tc>
      </w:tr>
      <w:tr>
        <w:trPr>
          <w:trHeight w:val="419"/>
        </w:trPr>
        <w:tc>
          <w:tcPr>
            <w:tcW w:w="2660" w:type="dxa"/>
            <w:vAlign w:val="bottom"/>
          </w:tcPr>
          <w:p>
            <w:pPr>
              <w:spacing w:after="0"/>
              <w:rPr>
                <w:sz w:val="24"/>
                <w:szCs w:val="24"/>
                <w:color w:val="auto"/>
              </w:rPr>
            </w:pPr>
          </w:p>
        </w:tc>
        <w:tc>
          <w:tcPr>
            <w:tcW w:w="8760" w:type="dxa"/>
            <w:vAlign w:val="bottom"/>
          </w:tcPr>
          <w:p>
            <w:pPr>
              <w:jc w:val="right"/>
              <w:ind w:right="4433"/>
              <w:spacing w:after="0"/>
              <w:rPr>
                <w:sz w:val="20"/>
                <w:szCs w:val="20"/>
                <w:color w:val="auto"/>
              </w:rPr>
            </w:pPr>
            <w:r>
              <w:rPr>
                <w:rFonts w:ascii="Arial" w:cs="Arial" w:eastAsia="Arial" w:hAnsi="Arial"/>
                <w:sz w:val="17"/>
                <w:szCs w:val="17"/>
                <w:b w:val="1"/>
                <w:bCs w:val="1"/>
                <w:color w:val="auto"/>
              </w:rPr>
              <w:t>LINE II PROMISSORY NOTE</w:t>
            </w:r>
          </w:p>
        </w:tc>
      </w:tr>
      <w:tr>
        <w:trPr>
          <w:trHeight w:val="408"/>
        </w:trPr>
        <w:tc>
          <w:tcPr>
            <w:tcW w:w="2660" w:type="dxa"/>
            <w:vAlign w:val="bottom"/>
          </w:tcPr>
          <w:p>
            <w:pPr>
              <w:jc w:val="right"/>
              <w:ind w:right="1773"/>
              <w:spacing w:after="0"/>
              <w:rPr>
                <w:sz w:val="20"/>
                <w:szCs w:val="20"/>
                <w:color w:val="auto"/>
              </w:rPr>
            </w:pPr>
            <w:r>
              <w:rPr>
                <w:rFonts w:ascii="Arial" w:cs="Arial" w:eastAsia="Arial" w:hAnsi="Arial"/>
                <w:sz w:val="17"/>
                <w:szCs w:val="17"/>
                <w:color w:val="auto"/>
                <w:w w:val="91"/>
              </w:rPr>
              <w:t>$1,500,000</w:t>
            </w:r>
          </w:p>
        </w:tc>
        <w:tc>
          <w:tcPr>
            <w:tcW w:w="8760" w:type="dxa"/>
            <w:vAlign w:val="bottom"/>
          </w:tcPr>
          <w:p>
            <w:pPr>
              <w:jc w:val="right"/>
              <w:spacing w:after="0"/>
              <w:rPr>
                <w:sz w:val="20"/>
                <w:szCs w:val="20"/>
                <w:color w:val="auto"/>
              </w:rPr>
            </w:pPr>
            <w:r>
              <w:rPr>
                <w:rFonts w:ascii="Arial" w:cs="Arial" w:eastAsia="Arial" w:hAnsi="Arial"/>
                <w:sz w:val="17"/>
                <w:szCs w:val="17"/>
                <w:color w:val="auto"/>
              </w:rPr>
              <w:t>December 6, 2010</w:t>
            </w:r>
          </w:p>
        </w:tc>
      </w:tr>
      <w:tr>
        <w:trPr>
          <w:trHeight w:val="222"/>
        </w:trPr>
        <w:tc>
          <w:tcPr>
            <w:tcW w:w="2660" w:type="dxa"/>
            <w:vAlign w:val="bottom"/>
          </w:tcPr>
          <w:p>
            <w:pPr>
              <w:spacing w:after="0"/>
              <w:rPr>
                <w:sz w:val="19"/>
                <w:szCs w:val="19"/>
                <w:color w:val="auto"/>
              </w:rPr>
            </w:pPr>
          </w:p>
        </w:tc>
        <w:tc>
          <w:tcPr>
            <w:tcW w:w="8760" w:type="dxa"/>
            <w:vAlign w:val="bottom"/>
          </w:tcPr>
          <w:p>
            <w:pPr>
              <w:jc w:val="right"/>
              <w:spacing w:after="0"/>
              <w:rPr>
                <w:sz w:val="20"/>
                <w:szCs w:val="20"/>
                <w:color w:val="auto"/>
              </w:rPr>
            </w:pPr>
            <w:r>
              <w:rPr>
                <w:rFonts w:ascii="Arial" w:cs="Arial" w:eastAsia="Arial" w:hAnsi="Arial"/>
                <w:sz w:val="17"/>
                <w:szCs w:val="17"/>
                <w:color w:val="auto"/>
              </w:rPr>
              <w:t>Santa Clara, California</w:t>
            </w:r>
          </w:p>
        </w:tc>
      </w:tr>
    </w:tbl>
    <w:p>
      <w:pPr>
        <w:spacing w:after="0" w:line="192"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b w:val="1"/>
          <w:bCs w:val="1"/>
          <w:color w:val="auto"/>
        </w:rPr>
        <w:t>FOR VALUE RECEIVED</w:t>
      </w:r>
      <w:r>
        <w:rPr>
          <w:rFonts w:ascii="Arial" w:cs="Arial" w:eastAsia="Arial" w:hAnsi="Arial"/>
          <w:sz w:val="17"/>
          <w:szCs w:val="17"/>
          <w:color w:val="auto"/>
        </w:rPr>
        <w:t>, the undersigned, Applied Optoelectronics, Inc. (the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w:t>
      </w:r>
      <w:r>
        <w:rPr>
          <w:rFonts w:ascii="Arial" w:cs="Arial" w:eastAsia="Arial" w:hAnsi="Arial"/>
          <w:sz w:val="17"/>
          <w:szCs w:val="17"/>
          <w:b w:val="1"/>
          <w:bCs w:val="1"/>
          <w:color w:val="auto"/>
        </w:rPr>
        <w:t xml:space="preserve"> HEREBY PROMISES TO PAY </w:t>
      </w:r>
      <w:r>
        <w:rPr>
          <w:rFonts w:ascii="Arial" w:cs="Arial" w:eastAsia="Arial" w:hAnsi="Arial"/>
          <w:sz w:val="17"/>
          <w:szCs w:val="17"/>
          <w:color w:val="auto"/>
        </w:rPr>
        <w:t>to the order of East</w:t>
      </w:r>
      <w:r>
        <w:rPr>
          <w:rFonts w:ascii="Arial" w:cs="Arial" w:eastAsia="Arial" w:hAnsi="Arial"/>
          <w:sz w:val="17"/>
          <w:szCs w:val="17"/>
          <w:b w:val="1"/>
          <w:bCs w:val="1"/>
          <w:color w:val="auto"/>
        </w:rPr>
        <w:t xml:space="preserve"> </w:t>
      </w:r>
      <w:r>
        <w:rPr>
          <w:rFonts w:ascii="Arial" w:cs="Arial" w:eastAsia="Arial" w:hAnsi="Arial"/>
          <w:sz w:val="17"/>
          <w:szCs w:val="17"/>
          <w:color w:val="auto"/>
        </w:rPr>
        <w:t>West Bank (the “</w:t>
      </w:r>
      <w:r>
        <w:rPr>
          <w:rFonts w:ascii="Arial" w:cs="Arial" w:eastAsia="Arial" w:hAnsi="Arial"/>
          <w:sz w:val="17"/>
          <w:szCs w:val="17"/>
          <w:b w:val="1"/>
          <w:bCs w:val="1"/>
          <w:i w:val="1"/>
          <w:iCs w:val="1"/>
          <w:color w:val="auto"/>
        </w:rPr>
        <w:t>Bank”</w:t>
      </w:r>
      <w:r>
        <w:rPr>
          <w:rFonts w:ascii="Arial" w:cs="Arial" w:eastAsia="Arial" w:hAnsi="Arial"/>
          <w:sz w:val="17"/>
          <w:szCs w:val="17"/>
          <w:color w:val="auto"/>
        </w:rPr>
        <w:t xml:space="preserve">) at its principal office located at 2350 Mission College Blvd., Suite 988, Santa Clara, California 95054, or at such other place as Bank may from time to time designate in writing, in lawful money of the United States and in immediately available funds, the principal amount of </w:t>
      </w:r>
      <w:r>
        <w:rPr>
          <w:rFonts w:ascii="Arial" w:cs="Arial" w:eastAsia="Arial" w:hAnsi="Arial"/>
          <w:sz w:val="17"/>
          <w:szCs w:val="17"/>
          <w:b w:val="1"/>
          <w:bCs w:val="1"/>
          <w:color w:val="auto"/>
        </w:rPr>
        <w:t>ONE MILLION FIVE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HUNDRED THOUSAND DOLLARS </w:t>
      </w:r>
      <w:r>
        <w:rPr>
          <w:rFonts w:ascii="Arial" w:cs="Arial" w:eastAsia="Arial" w:hAnsi="Arial"/>
          <w:sz w:val="17"/>
          <w:szCs w:val="17"/>
          <w:color w:val="auto"/>
        </w:rPr>
        <w:t>($1,500,000) or so much of the Line II Advances (as defined in the Loan Agreement (defined below)) as may be advanced</w:t>
      </w:r>
      <w:r>
        <w:rPr>
          <w:rFonts w:ascii="Arial" w:cs="Arial" w:eastAsia="Arial" w:hAnsi="Arial"/>
          <w:sz w:val="17"/>
          <w:szCs w:val="17"/>
          <w:b w:val="1"/>
          <w:bCs w:val="1"/>
          <w:color w:val="auto"/>
        </w:rPr>
        <w:t xml:space="preserve"> </w:t>
      </w:r>
      <w:r>
        <w:rPr>
          <w:rFonts w:ascii="Arial" w:cs="Arial" w:eastAsia="Arial" w:hAnsi="Arial"/>
          <w:sz w:val="17"/>
          <w:szCs w:val="17"/>
          <w:color w:val="auto"/>
        </w:rPr>
        <w:t>from time to time, together with interest from the date of disbursement computed on the principal balances hereof from time to time outstanding as set forth in the Amended and Restated Loan and Security Agreement dated as of May 20, 2009 by and between Bank and Borrower (the “</w:t>
      </w:r>
      <w:r>
        <w:rPr>
          <w:rFonts w:ascii="Arial" w:cs="Arial" w:eastAsia="Arial" w:hAnsi="Arial"/>
          <w:sz w:val="17"/>
          <w:szCs w:val="17"/>
          <w:b w:val="1"/>
          <w:bCs w:val="1"/>
          <w:i w:val="1"/>
          <w:iCs w:val="1"/>
          <w:color w:val="auto"/>
        </w:rPr>
        <w:t>Loan Agreement”</w:t>
      </w:r>
      <w:r>
        <w:rPr>
          <w:rFonts w:ascii="Arial" w:cs="Arial" w:eastAsia="Arial" w:hAnsi="Arial"/>
          <w:sz w:val="17"/>
          <w:szCs w:val="17"/>
          <w:color w:val="auto"/>
        </w:rPr>
        <w:t>). The Loan Agreement is incorporated herein by this reference in its entirety. Capitalized terms used but not otherwise defined herein are used in this Line II Promissory Note as defined in the Loan Agreement.</w:t>
      </w:r>
    </w:p>
    <w:p>
      <w:pPr>
        <w:spacing w:after="0" w:line="180"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This Line II Promissory Note is entitled to the benefits of the Loan Agreement. The Loan Agreement, among other things, contains provisions for acceleration of the maturity of this Line II Promissory Note upon the happening of certain stated events and also for prepayments on account of principal hereof prior to the maturity of this Line II Promissory Note upon the terms and conditions specified in the Loan Agreement. This Line II Promissory Note is also secured by the Collateral described in the Loan Agreement, and reference to the Loan Agreement is hereby made for a description of the rights of Borrower and Bank in respect to such Collateral.</w:t>
      </w:r>
    </w:p>
    <w:p>
      <w:pPr>
        <w:spacing w:after="0" w:line="179" w:lineRule="exact"/>
        <w:rPr>
          <w:sz w:val="20"/>
          <w:szCs w:val="20"/>
          <w:color w:val="auto"/>
        </w:rPr>
      </w:pPr>
    </w:p>
    <w:p>
      <w:pPr>
        <w:jc w:val="both"/>
        <w:ind w:right="20" w:firstLine="629"/>
        <w:spacing w:after="0" w:line="273" w:lineRule="auto"/>
        <w:rPr>
          <w:sz w:val="20"/>
          <w:szCs w:val="20"/>
          <w:color w:val="auto"/>
        </w:rPr>
      </w:pPr>
      <w:r>
        <w:rPr>
          <w:rFonts w:ascii="Arial" w:cs="Arial" w:eastAsia="Arial" w:hAnsi="Arial"/>
          <w:sz w:val="17"/>
          <w:szCs w:val="17"/>
          <w:color w:val="auto"/>
        </w:rPr>
        <w:t>Borrower further promises to pay interest on the unpaid principal amount hereof outstanding from time to time from the date hereof until payment in full hereof at the rate (or rates) from time to time applicable to the Advances as determined in accordance with the Loan Agreement. Interest shall be calculated on the basis of a three hundred sixty (360) day year for the actual days elapsed.</w:t>
      </w:r>
    </w:p>
    <w:p>
      <w:pPr>
        <w:spacing w:after="0" w:line="172" w:lineRule="exact"/>
        <w:rPr>
          <w:sz w:val="20"/>
          <w:szCs w:val="20"/>
          <w:color w:val="auto"/>
        </w:rPr>
      </w:pPr>
    </w:p>
    <w:p>
      <w:pPr>
        <w:jc w:val="both"/>
        <w:ind w:right="220" w:firstLine="629"/>
        <w:spacing w:after="0" w:line="298" w:lineRule="auto"/>
        <w:rPr>
          <w:sz w:val="20"/>
          <w:szCs w:val="20"/>
          <w:color w:val="auto"/>
        </w:rPr>
      </w:pPr>
      <w:r>
        <w:rPr>
          <w:rFonts w:ascii="Arial" w:cs="Arial" w:eastAsia="Arial" w:hAnsi="Arial"/>
          <w:sz w:val="16"/>
          <w:szCs w:val="16"/>
          <w:color w:val="auto"/>
        </w:rPr>
        <w:t>Borrower waives demand, presentment and protest, and notice of demand, presentment, protest and nonpayment. Except as otherwise provided in the Loan Agreement or other Loan Documents, Borrower waives all rights to notice and hearing of any kind upon the occurrence of an Event of Default prior to the exercise by Bank of its rights to repossess the Collateral without judicial process or to replevy, attach or levy upon the Collateral without notice or hearing.</w:t>
      </w:r>
    </w:p>
    <w:p>
      <w:pPr>
        <w:spacing w:after="0" w:line="154"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If this Line II Promissory Note is not paid when due, whether at its specified or accelerated maturity date, Borrower promises to pay all costs of collection and enforcement of this Line II Promissory Note, including, but not limited to, reasonable attorneys’ fees and costs, incurred by Bank hereof on account of such collection or enforcement, whether or not suit is filed hereon.</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Line II Promissory Note shall be governed and construed in accordance with the laws of the State of California.</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has executed and delivered this Line II Promissory Note as of the date and year first above written.</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APPLIED OPTOELECTRONICS, INC.</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4006850</wp:posOffset>
            </wp:positionH>
            <wp:positionV relativeFrom="paragraph">
              <wp:posOffset>17145</wp:posOffset>
            </wp:positionV>
            <wp:extent cx="32467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217"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4006850</wp:posOffset>
            </wp:positionH>
            <wp:positionV relativeFrom="paragraph">
              <wp:posOffset>17145</wp:posOffset>
            </wp:positionV>
            <wp:extent cx="32467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32467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222885</wp:posOffset>
            </wp:positionV>
            <wp:extent cx="7271385" cy="2921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415" w:name="page416"/>
    <w:bookmarkEnd w:id="415"/>
    <w:p>
      <w:pPr>
        <w:jc w:val="right"/>
        <w:spacing w:after="0"/>
        <w:rPr>
          <w:sz w:val="20"/>
          <w:szCs w:val="20"/>
          <w:color w:val="auto"/>
        </w:rPr>
      </w:pPr>
      <w:r>
        <w:rPr>
          <w:rFonts w:ascii="Arial" w:cs="Arial" w:eastAsia="Arial" w:hAnsi="Arial"/>
          <w:sz w:val="17"/>
          <w:szCs w:val="17"/>
          <w:b w:val="1"/>
          <w:bCs w:val="1"/>
          <w:color w:val="auto"/>
        </w:rPr>
        <w:t>Exhibit 10.10.4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FOURTH AMENDMENT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AMENDED AND RESTATED LOAN AND SECURITY AGREEMENT</w:t>
      </w:r>
    </w:p>
    <w:p>
      <w:pPr>
        <w:spacing w:after="0" w:line="212" w:lineRule="exact"/>
        <w:rPr>
          <w:sz w:val="20"/>
          <w:szCs w:val="20"/>
          <w:color w:val="auto"/>
        </w:rPr>
      </w:pPr>
    </w:p>
    <w:p>
      <w:pPr>
        <w:ind w:right="600" w:firstLine="629"/>
        <w:spacing w:after="0" w:line="289" w:lineRule="auto"/>
        <w:rPr>
          <w:sz w:val="20"/>
          <w:szCs w:val="20"/>
          <w:color w:val="auto"/>
        </w:rPr>
      </w:pPr>
      <w:r>
        <w:rPr>
          <w:rFonts w:ascii="Arial" w:cs="Arial" w:eastAsia="Arial" w:hAnsi="Arial"/>
          <w:sz w:val="17"/>
          <w:szCs w:val="17"/>
          <w:color w:val="auto"/>
        </w:rPr>
        <w:t>This Fourth Amendment to Amended and Restated Loan and Security Agreement is entered into as of May 5th, 2011 (the “Amendment”), by and between APPLIED OPTOELECTRONICS, INC (“Borrower”) and EAST WEST BANK (“Bank”).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ind w:right="160" w:firstLine="629"/>
        <w:spacing w:after="0" w:line="221" w:lineRule="auto"/>
        <w:rPr>
          <w:sz w:val="20"/>
          <w:szCs w:val="20"/>
          <w:color w:val="auto"/>
        </w:rPr>
      </w:pPr>
      <w:r>
        <w:rPr>
          <w:rFonts w:ascii="Arial" w:cs="Arial" w:eastAsia="Arial" w:hAnsi="Arial"/>
          <w:sz w:val="17"/>
          <w:szCs w:val="17"/>
          <w:color w:val="auto"/>
        </w:rPr>
        <w:t>Borrower and Bank are parties to that certain Amended and Restated Loan and Security Agreement dated as of May 20, 2009, as amended from time to time including that certain First Amendment to Amended and Restated Loan and Security Agreement dated as of May 3</w:t>
      </w:r>
      <w:r>
        <w:rPr>
          <w:rFonts w:ascii="Arial" w:cs="Arial" w:eastAsia="Arial" w:hAnsi="Arial"/>
          <w:sz w:val="22"/>
          <w:szCs w:val="22"/>
          <w:color w:val="auto"/>
          <w:vertAlign w:val="superscript"/>
        </w:rPr>
        <w:t>rd</w:t>
      </w:r>
      <w:r>
        <w:rPr>
          <w:rFonts w:ascii="Arial" w:cs="Arial" w:eastAsia="Arial" w:hAnsi="Arial"/>
          <w:sz w:val="17"/>
          <w:szCs w:val="17"/>
          <w:color w:val="auto"/>
        </w:rPr>
        <w:t>, 2010, that certain Second Amendment to Amended and Restated Loan and Security Agreement dated as of October 28</w:t>
      </w:r>
      <w:r>
        <w:rPr>
          <w:rFonts w:ascii="Arial" w:cs="Arial" w:eastAsia="Arial" w:hAnsi="Arial"/>
          <w:sz w:val="22"/>
          <w:szCs w:val="22"/>
          <w:color w:val="auto"/>
          <w:vertAlign w:val="superscript"/>
        </w:rPr>
        <w:t>th</w:t>
      </w:r>
      <w:r>
        <w:rPr>
          <w:rFonts w:ascii="Arial" w:cs="Arial" w:eastAsia="Arial" w:hAnsi="Arial"/>
          <w:sz w:val="17"/>
          <w:szCs w:val="17"/>
          <w:color w:val="auto"/>
        </w:rPr>
        <w:t>, 2010 and that certain Third Amendment to Amended and Restated Loan and Security Agreement dated as of December 6</w:t>
      </w:r>
      <w:r>
        <w:rPr>
          <w:rFonts w:ascii="Arial" w:cs="Arial" w:eastAsia="Arial" w:hAnsi="Arial"/>
          <w:sz w:val="22"/>
          <w:szCs w:val="22"/>
          <w:color w:val="auto"/>
          <w:vertAlign w:val="superscript"/>
        </w:rPr>
        <w:t>th</w:t>
      </w:r>
      <w:r>
        <w:rPr>
          <w:rFonts w:ascii="Arial" w:cs="Arial" w:eastAsia="Arial" w:hAnsi="Arial"/>
          <w:sz w:val="17"/>
          <w:szCs w:val="17"/>
          <w:color w:val="auto"/>
        </w:rPr>
        <w:t>, 2010 (collectively, the “Agreement”). The parties desire to amend the Agreement in accordance with the terms of this Amendment.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the parties agree as follows:</w:t>
      </w:r>
    </w:p>
    <w:p>
      <w:pPr>
        <w:spacing w:after="0" w:line="224" w:lineRule="exact"/>
        <w:rPr>
          <w:sz w:val="20"/>
          <w:szCs w:val="20"/>
          <w:color w:val="auto"/>
        </w:rPr>
      </w:pPr>
    </w:p>
    <w:p>
      <w:pPr>
        <w:jc w:val="both"/>
        <w:ind w:firstLine="5"/>
        <w:spacing w:after="0" w:line="265" w:lineRule="auto"/>
        <w:tabs>
          <w:tab w:leader="none" w:pos="629" w:val="left"/>
        </w:tabs>
        <w:numPr>
          <w:ilvl w:val="0"/>
          <w:numId w:val="683"/>
        </w:numPr>
        <w:rPr>
          <w:rFonts w:ascii="Arial" w:cs="Arial" w:eastAsia="Arial" w:hAnsi="Arial"/>
          <w:sz w:val="17"/>
          <w:szCs w:val="17"/>
          <w:b w:val="1"/>
          <w:bCs w:val="1"/>
          <w:color w:val="auto"/>
        </w:rPr>
      </w:pPr>
      <w:r>
        <w:rPr>
          <w:rFonts w:ascii="Arial" w:cs="Arial" w:eastAsia="Arial" w:hAnsi="Arial"/>
          <w:sz w:val="17"/>
          <w:szCs w:val="17"/>
          <w:color w:val="auto"/>
        </w:rPr>
        <w:t>Borrower acknowledges that there are existing and uncured Events of Default arising from Borrower’s failure to comply with Sections 6.6 and 6.15 of the Agreement for the quarter ending December 31, 2010 (the “Existing Defaults”). Subject to the conditions contained herein and performance by Borrower of all of the terms of the Agreement after the date hereof, Bank forbears from exercising its remedies arising out of the Existing Defaults until Borrower’s attainment of the Equity Event. Bank does not forbear or waive Borrower’s obligations under such respective Sections for any event other than the Existing Defaults, Bank does not waive any other failure by Borrower to perform its Obligations under the Loan Documents.</w:t>
      </w:r>
    </w:p>
    <w:p>
      <w:pPr>
        <w:spacing w:after="0" w:line="179" w:lineRule="exact"/>
        <w:rPr>
          <w:rFonts w:ascii="Arial" w:cs="Arial" w:eastAsia="Arial" w:hAnsi="Arial"/>
          <w:sz w:val="17"/>
          <w:szCs w:val="17"/>
          <w:b w:val="1"/>
          <w:bCs w:val="1"/>
          <w:color w:val="auto"/>
        </w:rPr>
      </w:pPr>
    </w:p>
    <w:p>
      <w:pPr>
        <w:ind w:left="640" w:hanging="635"/>
        <w:spacing w:after="0"/>
        <w:tabs>
          <w:tab w:leader="none" w:pos="640" w:val="left"/>
        </w:tabs>
        <w:numPr>
          <w:ilvl w:val="0"/>
          <w:numId w:val="683"/>
        </w:numPr>
        <w:rPr>
          <w:rFonts w:ascii="Arial" w:cs="Arial" w:eastAsia="Arial" w:hAnsi="Arial"/>
          <w:sz w:val="17"/>
          <w:szCs w:val="17"/>
          <w:b w:val="1"/>
          <w:bCs w:val="1"/>
          <w:color w:val="auto"/>
        </w:rPr>
      </w:pPr>
      <w:r>
        <w:rPr>
          <w:rFonts w:ascii="Arial" w:cs="Arial" w:eastAsia="Arial" w:hAnsi="Arial"/>
          <w:sz w:val="17"/>
          <w:szCs w:val="17"/>
          <w:color w:val="auto"/>
        </w:rPr>
        <w:t>The following defined terms set forth in Section 1.1 of the Agreement are added or amended in their entirety to read as follows: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“Cash Secured Maturity Date” means May 5</w:t>
      </w:r>
      <w:r>
        <w:rPr>
          <w:rFonts w:ascii="Arial" w:cs="Arial" w:eastAsia="Arial" w:hAnsi="Arial"/>
          <w:sz w:val="22"/>
          <w:szCs w:val="22"/>
          <w:color w:val="auto"/>
          <w:vertAlign w:val="superscript"/>
        </w:rPr>
        <w:t>th</w:t>
      </w:r>
      <w:r>
        <w:rPr>
          <w:rFonts w:ascii="Arial" w:cs="Arial" w:eastAsia="Arial" w:hAnsi="Arial"/>
          <w:sz w:val="17"/>
          <w:szCs w:val="17"/>
          <w:color w:val="auto"/>
        </w:rPr>
        <w:t>, 2013</w:t>
      </w:r>
    </w:p>
    <w:p>
      <w:pPr>
        <w:spacing w:after="0" w:line="167" w:lineRule="exact"/>
        <w:rPr>
          <w:sz w:val="20"/>
          <w:szCs w:val="20"/>
          <w:color w:val="auto"/>
        </w:rPr>
      </w:pPr>
    </w:p>
    <w:p>
      <w:pPr>
        <w:ind w:left="1260" w:right="80"/>
        <w:spacing w:after="0" w:line="289" w:lineRule="auto"/>
        <w:rPr>
          <w:sz w:val="20"/>
          <w:szCs w:val="20"/>
          <w:color w:val="auto"/>
        </w:rPr>
      </w:pPr>
      <w:r>
        <w:rPr>
          <w:rFonts w:ascii="Arial" w:cs="Arial" w:eastAsia="Arial" w:hAnsi="Arial"/>
          <w:sz w:val="17"/>
          <w:szCs w:val="17"/>
          <w:color w:val="auto"/>
        </w:rPr>
        <w:t>“Credit Extension” means each Advance, Equipment Advance, Real Estate Advance, EXIM Advance, Line II Advance, Cash-Secured Advance or any other extension of credit by Bank to or for the benefit of Borrower hereunder.</w:t>
      </w:r>
    </w:p>
    <w:p>
      <w:pPr>
        <w:spacing w:after="0" w:line="158" w:lineRule="exact"/>
        <w:rPr>
          <w:sz w:val="20"/>
          <w:szCs w:val="20"/>
          <w:color w:val="auto"/>
        </w:rPr>
      </w:pPr>
    </w:p>
    <w:p>
      <w:pPr>
        <w:ind w:left="1260" w:right="900"/>
        <w:spacing w:after="0" w:line="289" w:lineRule="auto"/>
        <w:rPr>
          <w:sz w:val="20"/>
          <w:szCs w:val="20"/>
          <w:color w:val="auto"/>
        </w:rPr>
      </w:pPr>
      <w:r>
        <w:rPr>
          <w:rFonts w:ascii="Arial" w:cs="Arial" w:eastAsia="Arial" w:hAnsi="Arial"/>
          <w:sz w:val="17"/>
          <w:szCs w:val="17"/>
          <w:color w:val="auto"/>
        </w:rPr>
        <w:t>“Equity Event” means Borrower’s receipt of at least $5,000,000 in cash proceeds from the sale and issuance of Borrower’s equity or Subordinated Debt securities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“EXIM Maturity Date” means September 30, 2011.</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“Revolving Line Maturity Date” means September 30, 2012.</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“Revolving Line II Maturity Date” means September 30, 2012.</w:t>
      </w:r>
    </w:p>
    <w:p>
      <w:pPr>
        <w:spacing w:after="0" w:line="224" w:lineRule="exact"/>
        <w:rPr>
          <w:sz w:val="20"/>
          <w:szCs w:val="20"/>
          <w:color w:val="auto"/>
        </w:rPr>
      </w:pPr>
    </w:p>
    <w:p>
      <w:pPr>
        <w:ind w:left="640" w:hanging="635"/>
        <w:spacing w:after="0"/>
        <w:tabs>
          <w:tab w:leader="none" w:pos="640" w:val="left"/>
        </w:tabs>
        <w:numPr>
          <w:ilvl w:val="0"/>
          <w:numId w:val="684"/>
        </w:numPr>
        <w:rPr>
          <w:rFonts w:ascii="Arial" w:cs="Arial" w:eastAsia="Arial" w:hAnsi="Arial"/>
          <w:sz w:val="17"/>
          <w:szCs w:val="17"/>
          <w:b w:val="1"/>
          <w:bCs w:val="1"/>
          <w:color w:val="auto"/>
        </w:rPr>
      </w:pPr>
      <w:r>
        <w:rPr>
          <w:rFonts w:ascii="Arial" w:cs="Arial" w:eastAsia="Arial" w:hAnsi="Arial"/>
          <w:sz w:val="17"/>
          <w:szCs w:val="17"/>
          <w:color w:val="auto"/>
        </w:rPr>
        <w:t>Section 2.1(d)(ii) is amended in its entirety to read as follows:</w:t>
      </w:r>
    </w:p>
    <w:p>
      <w:pPr>
        <w:spacing w:after="0" w:line="224" w:lineRule="exact"/>
        <w:rPr>
          <w:rFonts w:ascii="Arial" w:cs="Arial" w:eastAsia="Arial" w:hAnsi="Arial"/>
          <w:sz w:val="17"/>
          <w:szCs w:val="17"/>
          <w:b w:val="1"/>
          <w:bCs w:val="1"/>
          <w:color w:val="auto"/>
        </w:rPr>
      </w:pPr>
    </w:p>
    <w:p>
      <w:pPr>
        <w:jc w:val="both"/>
        <w:ind w:left="1260" w:right="40" w:firstLine="3"/>
        <w:spacing w:after="0" w:line="273" w:lineRule="auto"/>
        <w:tabs>
          <w:tab w:leader="none" w:pos="1919" w:val="left"/>
        </w:tabs>
        <w:numPr>
          <w:ilvl w:val="1"/>
          <w:numId w:val="684"/>
        </w:numPr>
        <w:rPr>
          <w:rFonts w:ascii="Arial" w:cs="Arial" w:eastAsia="Arial" w:hAnsi="Arial"/>
          <w:sz w:val="17"/>
          <w:szCs w:val="17"/>
          <w:color w:val="auto"/>
        </w:rPr>
      </w:pPr>
      <w:r>
        <w:rPr>
          <w:rFonts w:ascii="Arial" w:cs="Arial" w:eastAsia="Arial" w:hAnsi="Arial"/>
          <w:sz w:val="17"/>
          <w:szCs w:val="17"/>
          <w:color w:val="auto"/>
        </w:rPr>
        <w:t>Payment. Borrower shall repay the Real Estate Advance as follows: on the fifth day of each month until the Real Estate Maturity Date, Borrower shall pay $8,750 in fixed principal payments for each month, plus all accrued interest. The entire principal balance and all accrued but unpaid interest on the Real Estate Advance shall be due and payable on the Real Estate Maturity Date.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6" w:lineRule="exact"/>
        <w:rPr>
          <w:rFonts w:ascii="Arial" w:cs="Arial" w:eastAsia="Arial" w:hAnsi="Arial"/>
          <w:sz w:val="17"/>
          <w:szCs w:val="17"/>
          <w:color w:val="auto"/>
        </w:rPr>
      </w:pPr>
    </w:p>
    <w:p>
      <w:pPr>
        <w:ind w:left="640" w:hanging="635"/>
        <w:spacing w:after="0"/>
        <w:tabs>
          <w:tab w:leader="none" w:pos="640" w:val="left"/>
        </w:tabs>
        <w:numPr>
          <w:ilvl w:val="0"/>
          <w:numId w:val="684"/>
        </w:numPr>
        <w:rPr>
          <w:rFonts w:ascii="Arial" w:cs="Arial" w:eastAsia="Arial" w:hAnsi="Arial"/>
          <w:sz w:val="17"/>
          <w:szCs w:val="17"/>
          <w:b w:val="1"/>
          <w:bCs w:val="1"/>
          <w:color w:val="auto"/>
        </w:rPr>
      </w:pPr>
      <w:r>
        <w:rPr>
          <w:rFonts w:ascii="Arial" w:cs="Arial" w:eastAsia="Arial" w:hAnsi="Arial"/>
          <w:sz w:val="17"/>
          <w:szCs w:val="17"/>
          <w:color w:val="auto"/>
        </w:rPr>
        <w:t>The following is added as a new Section 2.1(g) of the Agreement as follows:</w:t>
      </w:r>
    </w:p>
    <w:p>
      <w:pPr>
        <w:spacing w:after="0" w:line="224" w:lineRule="exact"/>
        <w:rPr>
          <w:rFonts w:ascii="Arial" w:cs="Arial" w:eastAsia="Arial" w:hAnsi="Arial"/>
          <w:sz w:val="17"/>
          <w:szCs w:val="17"/>
          <w:b w:val="1"/>
          <w:bCs w:val="1"/>
          <w:color w:val="auto"/>
        </w:rPr>
      </w:pPr>
    </w:p>
    <w:p>
      <w:pPr>
        <w:ind w:left="1920" w:hanging="657"/>
        <w:spacing w:after="0"/>
        <w:tabs>
          <w:tab w:leader="none" w:pos="1920" w:val="left"/>
        </w:tabs>
        <w:numPr>
          <w:ilvl w:val="1"/>
          <w:numId w:val="685"/>
        </w:numPr>
        <w:rPr>
          <w:rFonts w:ascii="Arial" w:cs="Arial" w:eastAsia="Arial" w:hAnsi="Arial"/>
          <w:sz w:val="17"/>
          <w:szCs w:val="17"/>
          <w:color w:val="auto"/>
        </w:rPr>
      </w:pPr>
      <w:r>
        <w:rPr>
          <w:rFonts w:ascii="Arial" w:cs="Arial" w:eastAsia="Arial" w:hAnsi="Arial"/>
          <w:sz w:val="17"/>
          <w:szCs w:val="17"/>
          <w:color w:val="auto"/>
        </w:rPr>
        <w:t>Cash-Secured Advances.</w:t>
      </w:r>
    </w:p>
    <w:p>
      <w:pPr>
        <w:spacing w:after="0" w:line="224" w:lineRule="exact"/>
        <w:rPr>
          <w:rFonts w:ascii="Arial" w:cs="Arial" w:eastAsia="Arial" w:hAnsi="Arial"/>
          <w:sz w:val="17"/>
          <w:szCs w:val="17"/>
          <w:color w:val="auto"/>
        </w:rPr>
      </w:pPr>
    </w:p>
    <w:p>
      <w:pPr>
        <w:ind w:left="1260" w:right="20" w:firstLine="633"/>
        <w:spacing w:after="0" w:line="314" w:lineRule="auto"/>
        <w:tabs>
          <w:tab w:leader="none" w:pos="2461" w:val="left"/>
        </w:tabs>
        <w:numPr>
          <w:ilvl w:val="2"/>
          <w:numId w:val="685"/>
        </w:numPr>
        <w:rPr>
          <w:rFonts w:ascii="Arial" w:cs="Arial" w:eastAsia="Arial" w:hAnsi="Arial"/>
          <w:sz w:val="15"/>
          <w:szCs w:val="15"/>
          <w:color w:val="auto"/>
        </w:rPr>
      </w:pPr>
      <w:r>
        <w:rPr>
          <w:rFonts w:ascii="Arial" w:cs="Arial" w:eastAsia="Arial" w:hAnsi="Arial"/>
          <w:sz w:val="15"/>
          <w:szCs w:val="15"/>
          <w:color w:val="auto"/>
        </w:rPr>
        <w:t>Amount. Subject to and upon the terms and conditions of this Agreement, Borrower may request advances pursuant to this Section 2.1(g) (each, a “Cash Secured Advance”) in an aggregate outstanding principal amount not to exceed $60,000. Amounts borrowed pursuant to this Section 2.1(g) may be repaid and reborrowed at any time prior to the Cash Secured Maturity Date, at which time all Obligations under this Section 2.1(g) shall be immediately due and payable. Borrower may prepay any Cash Secured Advances without penalty or premium.</w:t>
      </w:r>
    </w:p>
    <w:p>
      <w:pPr>
        <w:spacing w:after="0" w:line="146" w:lineRule="exact"/>
        <w:rPr>
          <w:rFonts w:ascii="Arial" w:cs="Arial" w:eastAsia="Arial" w:hAnsi="Arial"/>
          <w:sz w:val="15"/>
          <w:szCs w:val="15"/>
          <w:color w:val="auto"/>
        </w:rPr>
      </w:pPr>
    </w:p>
    <w:p>
      <w:pPr>
        <w:ind w:left="1260" w:firstLine="633"/>
        <w:spacing w:after="0" w:line="300" w:lineRule="auto"/>
        <w:tabs>
          <w:tab w:leader="none" w:pos="2470" w:val="left"/>
        </w:tabs>
        <w:numPr>
          <w:ilvl w:val="2"/>
          <w:numId w:val="685"/>
        </w:numPr>
        <w:rPr>
          <w:rFonts w:ascii="Arial" w:cs="Arial" w:eastAsia="Arial" w:hAnsi="Arial"/>
          <w:sz w:val="15"/>
          <w:szCs w:val="15"/>
          <w:color w:val="auto"/>
        </w:rPr>
      </w:pPr>
      <w:r>
        <w:rPr>
          <w:rFonts w:ascii="Arial" w:cs="Arial" w:eastAsia="Arial" w:hAnsi="Arial"/>
          <w:sz w:val="15"/>
          <w:szCs w:val="15"/>
          <w:color w:val="auto"/>
        </w:rPr>
        <w:t>Borrowing Procedure. Whenever Borrower desires a Cash-Secured Advance, Borrower will notify Bank by facsimile transmission of an advance request in substantially the form of Exhibit C hereto no later than noon Pacific Time on the Business Day that is three</w:t>
      </w:r>
    </w:p>
    <w:p>
      <w:pPr>
        <w:jc w:val="both"/>
        <w:ind w:left="1260" w:right="100"/>
        <w:spacing w:after="0" w:line="290" w:lineRule="auto"/>
        <w:rPr>
          <w:rFonts w:ascii="Arial" w:cs="Arial" w:eastAsia="Arial" w:hAnsi="Arial"/>
          <w:sz w:val="15"/>
          <w:szCs w:val="15"/>
          <w:color w:val="auto"/>
        </w:rPr>
      </w:pPr>
      <w:r>
        <w:rPr>
          <w:rFonts w:ascii="Arial" w:cs="Arial" w:eastAsia="Arial" w:hAnsi="Arial"/>
          <w:sz w:val="16"/>
          <w:szCs w:val="16"/>
          <w:color w:val="auto"/>
        </w:rPr>
        <w:t>(3) Business Days prior to the Business Day on which an Cash Secured Advance is made. Bank is authorized to make Cash Secured Advances under this Agreement, based upon instructions received from a Responsible Officer or a designee of a Responsible Officer. Bank will credit the amount of Cash Secured Advances made under this Section 2.1(g) to Borrower’s deposit account, as specified by Borrower.</w:t>
      </w:r>
    </w:p>
    <w:p>
      <w:pPr>
        <w:spacing w:after="0" w:line="160" w:lineRule="exact"/>
        <w:rPr>
          <w:rFonts w:ascii="Arial" w:cs="Arial" w:eastAsia="Arial" w:hAnsi="Arial"/>
          <w:sz w:val="15"/>
          <w:szCs w:val="15"/>
          <w:color w:val="auto"/>
        </w:rPr>
      </w:pPr>
    </w:p>
    <w:p>
      <w:pPr>
        <w:ind w:left="1260" w:right="280" w:firstLine="633"/>
        <w:spacing w:after="0" w:line="290" w:lineRule="auto"/>
        <w:tabs>
          <w:tab w:leader="none" w:pos="2479" w:val="left"/>
        </w:tabs>
        <w:numPr>
          <w:ilvl w:val="2"/>
          <w:numId w:val="685"/>
        </w:numPr>
        <w:rPr>
          <w:rFonts w:ascii="Arial" w:cs="Arial" w:eastAsia="Arial" w:hAnsi="Arial"/>
          <w:sz w:val="16"/>
          <w:szCs w:val="16"/>
          <w:color w:val="auto"/>
        </w:rPr>
      </w:pPr>
      <w:r>
        <w:rPr>
          <w:rFonts w:ascii="Arial" w:cs="Arial" w:eastAsia="Arial" w:hAnsi="Arial"/>
          <w:sz w:val="16"/>
          <w:szCs w:val="16"/>
          <w:color w:val="auto"/>
        </w:rPr>
        <w:t>Payments. Borrower shall pay interest on the aggregate outstanding principal amount of the Cash Secured Advances on the fifth day of each month for so long as any Cash Secured Advances are outstanding. The entire principal balance and all accrued but unpaid interest on the Cash Secured Advances shall be due and payable on the Revolving Maturity Date; and Borrower authorizes Bank to apply the Cash Collateral towards the repayment of the Obligations under this Section 2.1(g) on the Revolving Maturity Date.</w:t>
      </w:r>
    </w:p>
    <w:p>
      <w:pPr>
        <w:spacing w:after="0" w:line="159" w:lineRule="exact"/>
        <w:rPr>
          <w:rFonts w:ascii="Arial" w:cs="Arial" w:eastAsia="Arial" w:hAnsi="Arial"/>
          <w:sz w:val="16"/>
          <w:szCs w:val="16"/>
          <w:color w:val="auto"/>
        </w:rPr>
      </w:pPr>
    </w:p>
    <w:p>
      <w:pPr>
        <w:ind w:left="1260" w:right="360" w:firstLine="633"/>
        <w:spacing w:after="0" w:line="273" w:lineRule="auto"/>
        <w:tabs>
          <w:tab w:leader="none" w:pos="2456" w:val="left"/>
        </w:tabs>
        <w:numPr>
          <w:ilvl w:val="2"/>
          <w:numId w:val="685"/>
        </w:numPr>
        <w:rPr>
          <w:rFonts w:ascii="Arial" w:cs="Arial" w:eastAsia="Arial" w:hAnsi="Arial"/>
          <w:sz w:val="17"/>
          <w:szCs w:val="17"/>
          <w:color w:val="auto"/>
        </w:rPr>
      </w:pPr>
      <w:r>
        <w:rPr>
          <w:rFonts w:ascii="Arial" w:cs="Arial" w:eastAsia="Arial" w:hAnsi="Arial"/>
          <w:sz w:val="17"/>
          <w:szCs w:val="17"/>
          <w:color w:val="auto"/>
        </w:rPr>
        <w:t>Security. Borrower shall provide to Bank cash collateral in an amount equal to all outstanding Cash Secured Advances (the “Cash Collateral”) to secure all of the Obligations relating to such Cash Secured Advances. Borrower agrees to execute any further documentation in connection with the Cash Secured Advances as Bank may reasonably request.</w:t>
      </w:r>
    </w:p>
    <w:p>
      <w:pPr>
        <w:spacing w:after="0" w:line="171" w:lineRule="exact"/>
        <w:rPr>
          <w:rFonts w:ascii="Arial" w:cs="Arial" w:eastAsia="Arial" w:hAnsi="Arial"/>
          <w:sz w:val="17"/>
          <w:szCs w:val="17"/>
          <w:color w:val="auto"/>
        </w:rPr>
      </w:pPr>
    </w:p>
    <w:p>
      <w:pPr>
        <w:ind w:left="640" w:hanging="635"/>
        <w:spacing w:after="0"/>
        <w:tabs>
          <w:tab w:leader="none" w:pos="640" w:val="left"/>
        </w:tabs>
        <w:numPr>
          <w:ilvl w:val="0"/>
          <w:numId w:val="686"/>
        </w:numPr>
        <w:rPr>
          <w:rFonts w:ascii="Arial" w:cs="Arial" w:eastAsia="Arial" w:hAnsi="Arial"/>
          <w:sz w:val="17"/>
          <w:szCs w:val="17"/>
          <w:b w:val="1"/>
          <w:bCs w:val="1"/>
          <w:color w:val="auto"/>
        </w:rPr>
      </w:pPr>
      <w:r>
        <w:rPr>
          <w:rFonts w:ascii="Arial" w:cs="Arial" w:eastAsia="Arial" w:hAnsi="Arial"/>
          <w:sz w:val="17"/>
          <w:szCs w:val="17"/>
          <w:color w:val="auto"/>
        </w:rPr>
        <w:t>Section 2.3(a) of the Agreement is amended in its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-3688715</wp:posOffset>
            </wp:positionV>
            <wp:extent cx="7271385" cy="2921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0" w:gutter="0" w:footer="0" w:header="0"/>
        </w:sectPr>
      </w:pPr>
    </w:p>
    <w:bookmarkStart w:id="416" w:name="page417"/>
    <w:bookmarkEnd w:id="416"/>
    <w:p>
      <w:pPr>
        <w:ind w:left="1255" w:right="120" w:firstLine="3"/>
        <w:spacing w:after="0" w:line="261" w:lineRule="auto"/>
        <w:tabs>
          <w:tab w:leader="none" w:pos="1882" w:val="left"/>
        </w:tabs>
        <w:numPr>
          <w:ilvl w:val="1"/>
          <w:numId w:val="687"/>
        </w:numPr>
        <w:rPr>
          <w:rFonts w:ascii="Arial" w:cs="Arial" w:eastAsia="Arial" w:hAnsi="Arial"/>
          <w:sz w:val="17"/>
          <w:szCs w:val="17"/>
          <w:color w:val="auto"/>
        </w:rPr>
      </w:pPr>
      <w:r>
        <w:rPr>
          <w:rFonts w:ascii="Arial" w:cs="Arial" w:eastAsia="Arial" w:hAnsi="Arial"/>
          <w:sz w:val="17"/>
          <w:szCs w:val="17"/>
          <w:color w:val="auto"/>
        </w:rPr>
        <w:t>Interest Rates. Except as set forth in Section 2.3(b), the outstanding principal balance of each Revolving Advance, Equipment Advance, EXIM Advance and Line II Advance shall bear interest at a variable rate per annum equal to the Prime Rate plus 1.75%, provided however, that at no time shall the interest rate applied to any such Credit Extension be less than 5.0% per annum. Except as set forth in Section 2.3(b), the outstanding principal balance of each Cash Secured Advance shall bear interest at a variable rate per annum equal to the Prime Rate minus 2.0%. Except as set forth in Section 2.3(b), the outstanding principal balance of each Real Estate Advance, shall bear interest at a variable rate per annum equal to the Prime Rate plus 0.90%, provided however, that at no time shall the interest rate applied to any Real Estate Advance be less than 5.375% per annum (the “Floor Rate”) unless Borrower has entered into an interest rate swap contract in form and substance satisfactory to Bank, upon which time the Floor Rate shall not apply. Interest shall be computed daily on the basis of a 360 day year and actual days elapsed.</w:t>
      </w:r>
    </w:p>
    <w:p>
      <w:pPr>
        <w:spacing w:after="0" w:line="184" w:lineRule="exact"/>
        <w:rPr>
          <w:rFonts w:ascii="Arial" w:cs="Arial" w:eastAsia="Arial" w:hAnsi="Arial"/>
          <w:sz w:val="17"/>
          <w:szCs w:val="17"/>
          <w:color w:val="auto"/>
        </w:rPr>
      </w:pPr>
    </w:p>
    <w:p>
      <w:pPr>
        <w:ind w:left="635" w:hanging="635"/>
        <w:spacing w:after="0"/>
        <w:tabs>
          <w:tab w:leader="none" w:pos="635" w:val="left"/>
        </w:tabs>
        <w:numPr>
          <w:ilvl w:val="0"/>
          <w:numId w:val="688"/>
        </w:numPr>
        <w:rPr>
          <w:rFonts w:ascii="Arial" w:cs="Arial" w:eastAsia="Arial" w:hAnsi="Arial"/>
          <w:sz w:val="17"/>
          <w:szCs w:val="17"/>
          <w:b w:val="1"/>
          <w:bCs w:val="1"/>
          <w:color w:val="auto"/>
        </w:rPr>
      </w:pPr>
      <w:r>
        <w:rPr>
          <w:rFonts w:ascii="Arial" w:cs="Arial" w:eastAsia="Arial" w:hAnsi="Arial"/>
          <w:sz w:val="17"/>
          <w:szCs w:val="17"/>
          <w:color w:val="auto"/>
        </w:rPr>
        <w:t>Section 6.6 of the Agreement is amended in its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214630</wp:posOffset>
            </wp:positionV>
            <wp:extent cx="7271385" cy="2921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55" w:right="260"/>
        <w:spacing w:after="0" w:line="265" w:lineRule="auto"/>
        <w:rPr>
          <w:sz w:val="20"/>
          <w:szCs w:val="20"/>
          <w:color w:val="auto"/>
        </w:rPr>
      </w:pPr>
      <w:r>
        <w:rPr>
          <w:rFonts w:ascii="Arial" w:cs="Arial" w:eastAsia="Arial" w:hAnsi="Arial"/>
          <w:sz w:val="17"/>
          <w:szCs w:val="17"/>
          <w:color w:val="auto"/>
        </w:rPr>
        <w:t>6.6 Minimum EBITDASO. Borrower shall maintain a minimum quarterly EBITDASO of at least $275,000, measured on a rolling four quarter basis. Notwithstanding the foregoing, Borrower’s failure to maintain the minimum quarterly EBITDASO set forth in the preceding sentence shall not constitute an Event of Default if, within 60 days after the reporting period of such failure, Borrower receives cash proceeds from the sale and issuance of its equity and/or Subordinated Debt securities in an amount no less than the shortfall amount that caused Borrower’s failure to attain such minimum EBITDASO amount.</w:t>
      </w:r>
    </w:p>
    <w:p>
      <w:pPr>
        <w:spacing w:after="0" w:line="179" w:lineRule="exact"/>
        <w:rPr>
          <w:sz w:val="20"/>
          <w:szCs w:val="20"/>
          <w:color w:val="auto"/>
        </w:rPr>
      </w:pPr>
    </w:p>
    <w:p>
      <w:pPr>
        <w:ind w:left="635" w:hanging="635"/>
        <w:spacing w:after="0"/>
        <w:tabs>
          <w:tab w:leader="none" w:pos="635" w:val="left"/>
        </w:tabs>
        <w:numPr>
          <w:ilvl w:val="0"/>
          <w:numId w:val="689"/>
        </w:numPr>
        <w:rPr>
          <w:rFonts w:ascii="Arial" w:cs="Arial" w:eastAsia="Arial" w:hAnsi="Arial"/>
          <w:sz w:val="17"/>
          <w:szCs w:val="17"/>
          <w:b w:val="1"/>
          <w:bCs w:val="1"/>
          <w:color w:val="auto"/>
        </w:rPr>
      </w:pPr>
      <w:r>
        <w:rPr>
          <w:rFonts w:ascii="Arial" w:cs="Arial" w:eastAsia="Arial" w:hAnsi="Arial"/>
          <w:sz w:val="17"/>
          <w:szCs w:val="17"/>
          <w:color w:val="auto"/>
        </w:rPr>
        <w:t>Section 6.15 of the Agreement is amended in its entirety to read as follows:</w:t>
      </w:r>
    </w:p>
    <w:p>
      <w:pPr>
        <w:spacing w:after="0" w:line="224" w:lineRule="exact"/>
        <w:rPr>
          <w:sz w:val="20"/>
          <w:szCs w:val="20"/>
          <w:color w:val="auto"/>
        </w:rPr>
      </w:pPr>
    </w:p>
    <w:p>
      <w:pPr>
        <w:ind w:left="1255" w:right="20"/>
        <w:spacing w:after="0" w:line="262" w:lineRule="auto"/>
        <w:rPr>
          <w:sz w:val="20"/>
          <w:szCs w:val="20"/>
          <w:color w:val="auto"/>
        </w:rPr>
      </w:pPr>
      <w:r>
        <w:rPr>
          <w:rFonts w:ascii="Arial" w:cs="Arial" w:eastAsia="Arial" w:hAnsi="Arial"/>
          <w:sz w:val="17"/>
          <w:szCs w:val="17"/>
          <w:color w:val="auto"/>
        </w:rPr>
        <w:t>6.15 Minimum Debt Service Coverage. Borrower shall maintain a minimum ratio of EBITDASO on a consolidated basis for the trailing four quarter period to the sum of (x) all accrued interest payable in the same four quarter period plus (y) all principal payable in the same four quarter period on any Indebtedness (not including principal oustanding on any revolving lines of credit) owing by Borrower and its Subsidiaries to Bank or other financial institutions, of at least 1.35 to 1.00 (the “DSC Ratio”), measured on a quarterly basis. Notwithstanding the foregoing, Borrower’s failure to maintain the DSC Ratio shall not constitute an Event of Default if, within 60 days after the reporting period of such failure, Borrower receives cash proceeds from the sale and issuance of its equity and/or Subordinated Debt securities in an amount no less than the shortfall amount that caused Borrower’s failure to maintain the DSC Ratio.</w:t>
      </w:r>
    </w:p>
    <w:p>
      <w:pPr>
        <w:spacing w:after="0" w:line="184" w:lineRule="exact"/>
        <w:rPr>
          <w:sz w:val="20"/>
          <w:szCs w:val="20"/>
          <w:color w:val="auto"/>
        </w:rPr>
      </w:pPr>
    </w:p>
    <w:p>
      <w:pPr>
        <w:ind w:left="635" w:hanging="635"/>
        <w:spacing w:after="0"/>
        <w:tabs>
          <w:tab w:leader="none" w:pos="635" w:val="left"/>
        </w:tabs>
        <w:numPr>
          <w:ilvl w:val="0"/>
          <w:numId w:val="690"/>
        </w:numPr>
        <w:rPr>
          <w:rFonts w:ascii="Arial" w:cs="Arial" w:eastAsia="Arial" w:hAnsi="Arial"/>
          <w:sz w:val="17"/>
          <w:szCs w:val="17"/>
          <w:b w:val="1"/>
          <w:bCs w:val="1"/>
          <w:color w:val="auto"/>
        </w:rPr>
      </w:pPr>
      <w:r>
        <w:rPr>
          <w:rFonts w:ascii="Arial" w:cs="Arial" w:eastAsia="Arial" w:hAnsi="Arial"/>
          <w:sz w:val="17"/>
          <w:szCs w:val="17"/>
          <w:color w:val="auto"/>
        </w:rPr>
        <w:t>The following is added to the end of Section 7.9 of the Agreement:</w:t>
      </w:r>
    </w:p>
    <w:p>
      <w:pPr>
        <w:spacing w:after="0" w:line="224" w:lineRule="exact"/>
        <w:rPr>
          <w:sz w:val="20"/>
          <w:szCs w:val="20"/>
          <w:color w:val="auto"/>
        </w:rPr>
      </w:pPr>
    </w:p>
    <w:p>
      <w:pPr>
        <w:ind w:left="1255" w:right="300"/>
        <w:spacing w:after="0" w:line="305" w:lineRule="auto"/>
        <w:rPr>
          <w:sz w:val="20"/>
          <w:szCs w:val="20"/>
          <w:color w:val="auto"/>
        </w:rPr>
      </w:pPr>
      <w:r>
        <w:rPr>
          <w:rFonts w:ascii="Arial" w:cs="Arial" w:eastAsia="Arial" w:hAnsi="Arial"/>
          <w:sz w:val="15"/>
          <w:szCs w:val="15"/>
          <w:color w:val="auto"/>
        </w:rPr>
        <w:t>Notwithstanding the foregoing, Borrower may pay to each of its shareholders who are holders of Subordinated Debt and who are party to a subordination agreement with Bank, in form and substance satisfactory to Bank (the “Subordination Agreement”), payments of principal and accrued interest on the Subordinated Debt, provided that (a) said payments are made using funds raised from the initial public offering or a private equity fundraising of Borrower, (b) no Event of Default has occurred under the Agreement which is continuing or would exist immediately after giving effect to such payment, (c) Borrower’s Cash maintained at Bank is at least equal to the amount as of the date hereof after each such payment, and (d) such payments are subject to the rights, if any, of Bank under any applicable Subordination Agreement.</w:t>
      </w:r>
    </w:p>
    <w:p>
      <w:pPr>
        <w:spacing w:after="0" w:line="153" w:lineRule="exact"/>
        <w:rPr>
          <w:sz w:val="20"/>
          <w:szCs w:val="20"/>
          <w:color w:val="auto"/>
        </w:rPr>
      </w:pPr>
    </w:p>
    <w:p>
      <w:pPr>
        <w:ind w:left="-5" w:right="140" w:firstLine="5"/>
        <w:spacing w:after="0" w:line="265" w:lineRule="auto"/>
        <w:tabs>
          <w:tab w:leader="none" w:pos="624" w:val="left"/>
        </w:tabs>
        <w:numPr>
          <w:ilvl w:val="0"/>
          <w:numId w:val="691"/>
        </w:numPr>
        <w:rPr>
          <w:rFonts w:ascii="Arial" w:cs="Arial" w:eastAsia="Arial" w:hAnsi="Arial"/>
          <w:sz w:val="17"/>
          <w:szCs w:val="17"/>
          <w:b w:val="1"/>
          <w:bCs w:val="1"/>
          <w:color w:val="auto"/>
        </w:rPr>
      </w:pPr>
      <w:r>
        <w:rPr>
          <w:rFonts w:ascii="Arial" w:cs="Arial" w:eastAsia="Arial" w:hAnsi="Arial"/>
          <w:sz w:val="17"/>
          <w:szCs w:val="17"/>
          <w:color w:val="auto"/>
        </w:rPr>
        <w:t>Unless otherwise defined, all initially capitalized terms in this Amendment shall be as defined in the Agreement. The Agreement, as amended hereby, shall be and remains in full force and effect in accordance with its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instruments, documents and agreements entered into in connection with the Agreement.</w:t>
      </w:r>
    </w:p>
    <w:p>
      <w:pPr>
        <w:spacing w:after="0" w:line="179" w:lineRule="exact"/>
        <w:rPr>
          <w:rFonts w:ascii="Arial" w:cs="Arial" w:eastAsia="Arial" w:hAnsi="Arial"/>
          <w:sz w:val="17"/>
          <w:szCs w:val="17"/>
          <w:b w:val="1"/>
          <w:bCs w:val="1"/>
          <w:color w:val="auto"/>
        </w:rPr>
      </w:pPr>
    </w:p>
    <w:p>
      <w:pPr>
        <w:ind w:left="-5" w:right="860" w:firstLine="5"/>
        <w:spacing w:after="0" w:line="289" w:lineRule="auto"/>
        <w:tabs>
          <w:tab w:leader="none" w:pos="620" w:val="left"/>
        </w:tabs>
        <w:numPr>
          <w:ilvl w:val="0"/>
          <w:numId w:val="691"/>
        </w:numPr>
        <w:rPr>
          <w:rFonts w:ascii="Arial" w:cs="Arial" w:eastAsia="Arial" w:hAnsi="Arial"/>
          <w:sz w:val="17"/>
          <w:szCs w:val="17"/>
          <w:b w:val="1"/>
          <w:bCs w:val="1"/>
          <w:color w:val="auto"/>
        </w:rPr>
      </w:pPr>
      <w:r>
        <w:rPr>
          <w:rFonts w:ascii="Arial" w:cs="Arial" w:eastAsia="Arial" w:hAnsi="Arial"/>
          <w:sz w:val="17"/>
          <w:szCs w:val="17"/>
          <w:color w:val="auto"/>
        </w:rPr>
        <w:t>Borrower represents and warrants that the representations and warranties contained in the Agreement are true and correct as of the date of this Amendment, and that no Event of Default has occurred and is continuing.</w:t>
      </w:r>
    </w:p>
    <w:p>
      <w:pPr>
        <w:spacing w:after="0" w:line="158" w:lineRule="exact"/>
        <w:rPr>
          <w:rFonts w:ascii="Arial" w:cs="Arial" w:eastAsia="Arial" w:hAnsi="Arial"/>
          <w:sz w:val="17"/>
          <w:szCs w:val="17"/>
          <w:b w:val="1"/>
          <w:bCs w:val="1"/>
          <w:color w:val="auto"/>
        </w:rPr>
      </w:pPr>
    </w:p>
    <w:p>
      <w:pPr>
        <w:ind w:left="-5" w:right="140" w:firstLine="5"/>
        <w:spacing w:after="0" w:line="289" w:lineRule="auto"/>
        <w:tabs>
          <w:tab w:leader="none" w:pos="610" w:val="left"/>
        </w:tabs>
        <w:numPr>
          <w:ilvl w:val="0"/>
          <w:numId w:val="691"/>
        </w:numPr>
        <w:rPr>
          <w:rFonts w:ascii="Arial" w:cs="Arial" w:eastAsia="Arial" w:hAnsi="Arial"/>
          <w:sz w:val="17"/>
          <w:szCs w:val="17"/>
          <w:b w:val="1"/>
          <w:bCs w:val="1"/>
          <w:color w:val="auto"/>
        </w:rPr>
      </w:pPr>
      <w:r>
        <w:rPr>
          <w:rFonts w:ascii="Arial" w:cs="Arial" w:eastAsia="Arial" w:hAnsi="Arial"/>
          <w:sz w:val="17"/>
          <w:szCs w:val="17"/>
          <w:color w:val="auto"/>
        </w:rPr>
        <w:t>This Amendment may be executed in two or more counterparts, each of which shall be deemed an original, but all of which together shall constitute one instrument.</w:t>
      </w:r>
    </w:p>
    <w:p>
      <w:pPr>
        <w:spacing w:after="0" w:line="158" w:lineRule="exact"/>
        <w:rPr>
          <w:rFonts w:ascii="Arial" w:cs="Arial" w:eastAsia="Arial" w:hAnsi="Arial"/>
          <w:sz w:val="17"/>
          <w:szCs w:val="17"/>
          <w:b w:val="1"/>
          <w:bCs w:val="1"/>
          <w:color w:val="auto"/>
        </w:rPr>
      </w:pPr>
    </w:p>
    <w:p>
      <w:pPr>
        <w:ind w:left="615" w:hanging="615"/>
        <w:spacing w:after="0"/>
        <w:tabs>
          <w:tab w:leader="none" w:pos="615" w:val="left"/>
        </w:tabs>
        <w:numPr>
          <w:ilvl w:val="0"/>
          <w:numId w:val="691"/>
        </w:numPr>
        <w:rPr>
          <w:rFonts w:ascii="Arial" w:cs="Arial" w:eastAsia="Arial" w:hAnsi="Arial"/>
          <w:sz w:val="17"/>
          <w:szCs w:val="17"/>
          <w:b w:val="1"/>
          <w:bCs w:val="1"/>
          <w:color w:val="auto"/>
        </w:rPr>
      </w:pPr>
      <w:r>
        <w:rPr>
          <w:rFonts w:ascii="Arial" w:cs="Arial" w:eastAsia="Arial" w:hAnsi="Arial"/>
          <w:sz w:val="17"/>
          <w:szCs w:val="17"/>
          <w:color w:val="auto"/>
        </w:rPr>
        <w:t>As a condition to the effectiveness of this Amendment, Bank shall have received, in form and substance satisfactory to Bank, the following:</w:t>
      </w:r>
    </w:p>
    <w:p>
      <w:pPr>
        <w:spacing w:after="0" w:line="224" w:lineRule="exact"/>
        <w:rPr>
          <w:rFonts w:ascii="Arial" w:cs="Arial" w:eastAsia="Arial" w:hAnsi="Arial"/>
          <w:sz w:val="17"/>
          <w:szCs w:val="17"/>
          <w:b w:val="1"/>
          <w:bCs w:val="1"/>
          <w:color w:val="auto"/>
        </w:rPr>
      </w:pPr>
    </w:p>
    <w:p>
      <w:pPr>
        <w:ind w:left="1255" w:hanging="626"/>
        <w:spacing w:after="0"/>
        <w:tabs>
          <w:tab w:leader="none" w:pos="1255" w:val="left"/>
        </w:tabs>
        <w:numPr>
          <w:ilvl w:val="1"/>
          <w:numId w:val="691"/>
        </w:numPr>
        <w:rPr>
          <w:rFonts w:ascii="Arial" w:cs="Arial" w:eastAsia="Arial" w:hAnsi="Arial"/>
          <w:sz w:val="17"/>
          <w:szCs w:val="17"/>
          <w:color w:val="auto"/>
        </w:rPr>
      </w:pPr>
      <w:r>
        <w:rPr>
          <w:rFonts w:ascii="Arial" w:cs="Arial" w:eastAsia="Arial" w:hAnsi="Arial"/>
          <w:sz w:val="17"/>
          <w:szCs w:val="17"/>
          <w:color w:val="auto"/>
        </w:rPr>
        <w:t>this Amendment, duly executed by Borrower;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8" w:lineRule="exact"/>
        <w:rPr>
          <w:rFonts w:ascii="Arial" w:cs="Arial" w:eastAsia="Arial" w:hAnsi="Arial"/>
          <w:sz w:val="17"/>
          <w:szCs w:val="17"/>
          <w:color w:val="auto"/>
        </w:rPr>
      </w:pPr>
    </w:p>
    <w:p>
      <w:pPr>
        <w:ind w:left="1275" w:hanging="646"/>
        <w:spacing w:after="0"/>
        <w:tabs>
          <w:tab w:leader="none" w:pos="1275" w:val="left"/>
        </w:tabs>
        <w:numPr>
          <w:ilvl w:val="1"/>
          <w:numId w:val="691"/>
        </w:numPr>
        <w:rPr>
          <w:rFonts w:ascii="Arial" w:cs="Arial" w:eastAsia="Arial" w:hAnsi="Arial"/>
          <w:sz w:val="17"/>
          <w:szCs w:val="17"/>
          <w:color w:val="auto"/>
        </w:rPr>
      </w:pPr>
      <w:r>
        <w:rPr>
          <w:rFonts w:ascii="Arial" w:cs="Arial" w:eastAsia="Arial" w:hAnsi="Arial"/>
          <w:sz w:val="17"/>
          <w:szCs w:val="17"/>
          <w:color w:val="auto"/>
        </w:rPr>
        <w:t>Corporate Resolutions and Incumbency Certification, duly executed by Borrower;</w:t>
      </w:r>
    </w:p>
    <w:p>
      <w:pPr>
        <w:spacing w:after="0" w:line="224" w:lineRule="exact"/>
        <w:rPr>
          <w:rFonts w:ascii="Arial" w:cs="Arial" w:eastAsia="Arial" w:hAnsi="Arial"/>
          <w:sz w:val="17"/>
          <w:szCs w:val="17"/>
          <w:color w:val="auto"/>
        </w:rPr>
      </w:pPr>
    </w:p>
    <w:p>
      <w:pPr>
        <w:ind w:left="1275" w:hanging="646"/>
        <w:spacing w:after="0"/>
        <w:tabs>
          <w:tab w:leader="none" w:pos="1275" w:val="left"/>
        </w:tabs>
        <w:numPr>
          <w:ilvl w:val="1"/>
          <w:numId w:val="691"/>
        </w:numPr>
        <w:rPr>
          <w:rFonts w:ascii="Arial" w:cs="Arial" w:eastAsia="Arial" w:hAnsi="Arial"/>
          <w:sz w:val="17"/>
          <w:szCs w:val="17"/>
          <w:color w:val="auto"/>
        </w:rPr>
      </w:pPr>
      <w:r>
        <w:rPr>
          <w:rFonts w:ascii="Arial" w:cs="Arial" w:eastAsia="Arial" w:hAnsi="Arial"/>
          <w:sz w:val="17"/>
          <w:szCs w:val="17"/>
          <w:color w:val="auto"/>
        </w:rPr>
        <w:t>an amendment fee of $10,600 to Bank, plus an amount equal to all Bank Expenses incurred through the date of this Amendment; and</w:t>
      </w:r>
    </w:p>
    <w:p>
      <w:pPr>
        <w:spacing w:after="0" w:line="224" w:lineRule="exact"/>
        <w:rPr>
          <w:rFonts w:ascii="Arial" w:cs="Arial" w:eastAsia="Arial" w:hAnsi="Arial"/>
          <w:sz w:val="17"/>
          <w:szCs w:val="17"/>
          <w:color w:val="auto"/>
        </w:rPr>
      </w:pPr>
    </w:p>
    <w:p>
      <w:pPr>
        <w:ind w:left="1275" w:hanging="646"/>
        <w:spacing w:after="0"/>
        <w:tabs>
          <w:tab w:leader="none" w:pos="1275" w:val="left"/>
        </w:tabs>
        <w:numPr>
          <w:ilvl w:val="1"/>
          <w:numId w:val="691"/>
        </w:numPr>
        <w:rPr>
          <w:rFonts w:ascii="Arial" w:cs="Arial" w:eastAsia="Arial" w:hAnsi="Arial"/>
          <w:sz w:val="17"/>
          <w:szCs w:val="17"/>
          <w:color w:val="auto"/>
        </w:rPr>
      </w:pPr>
      <w:r>
        <w:rPr>
          <w:rFonts w:ascii="Arial" w:cs="Arial" w:eastAsia="Arial" w:hAnsi="Arial"/>
          <w:sz w:val="17"/>
          <w:szCs w:val="17"/>
          <w:color w:val="auto"/>
        </w:rPr>
        <w:t>such other documents, and completion of such other matters, as Bank may reasonably deem necessary or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-1024890</wp:posOffset>
            </wp:positionV>
            <wp:extent cx="7271385" cy="2921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4" w:lineRule="exact"/>
        <w:rPr>
          <w:sz w:val="20"/>
          <w:szCs w:val="20"/>
          <w:color w:val="auto"/>
        </w:rPr>
      </w:pPr>
    </w:p>
    <w:p>
      <w:pPr>
        <w:ind w:left="635"/>
        <w:spacing w:after="0"/>
        <w:rPr>
          <w:sz w:val="20"/>
          <w:szCs w:val="20"/>
          <w:color w:val="auto"/>
        </w:rPr>
      </w:pPr>
      <w:r>
        <w:rPr>
          <w:rFonts w:ascii="Arial" w:cs="Arial" w:eastAsia="Arial" w:hAnsi="Arial"/>
          <w:sz w:val="17"/>
          <w:szCs w:val="17"/>
          <w:color w:val="auto"/>
        </w:rPr>
        <w:t>IN WITNESS WHEREOF, the undersigned have executed this Amendment as of the first date above written.</w:t>
      </w:r>
    </w:p>
    <w:p>
      <w:pPr>
        <w:spacing w:after="0" w:line="224" w:lineRule="exact"/>
        <w:rPr>
          <w:sz w:val="20"/>
          <w:szCs w:val="20"/>
          <w:color w:val="auto"/>
        </w:rPr>
      </w:pPr>
    </w:p>
    <w:p>
      <w:pPr>
        <w:ind w:left="5335"/>
        <w:spacing w:after="0"/>
        <w:rPr>
          <w:sz w:val="20"/>
          <w:szCs w:val="20"/>
          <w:color w:val="auto"/>
        </w:rPr>
      </w:pPr>
      <w:r>
        <w:rPr>
          <w:rFonts w:ascii="Arial" w:cs="Arial" w:eastAsia="Arial" w:hAnsi="Arial"/>
          <w:sz w:val="17"/>
          <w:szCs w:val="17"/>
          <w:color w:val="auto"/>
        </w:rPr>
        <w:t>APPLIED OPTOELECTRONICS, INC.</w:t>
      </w:r>
    </w:p>
    <w:p>
      <w:pPr>
        <w:spacing w:after="0" w:line="200" w:lineRule="exact"/>
        <w:rPr>
          <w:sz w:val="20"/>
          <w:szCs w:val="20"/>
          <w:color w:val="auto"/>
        </w:rPr>
      </w:pPr>
    </w:p>
    <w:p>
      <w:pPr>
        <w:spacing w:after="0" w:line="234" w:lineRule="exact"/>
        <w:rPr>
          <w:sz w:val="20"/>
          <w:szCs w:val="20"/>
          <w:color w:val="auto"/>
        </w:rPr>
      </w:pPr>
    </w:p>
    <w:tbl>
      <w:tblPr>
        <w:tblLayout w:type="fixed"/>
        <w:tblInd w:w="5335"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7"/>
                <w:szCs w:val="17"/>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Chih-Hsiang (Thompson) Lin</w:t>
            </w:r>
          </w:p>
        </w:tc>
      </w:tr>
      <w:tr>
        <w:trPr>
          <w:trHeight w:val="412"/>
        </w:trPr>
        <w:tc>
          <w:tcPr>
            <w:tcW w:w="920" w:type="dxa"/>
            <w:vAlign w:val="bottom"/>
          </w:tcPr>
          <w:p>
            <w:pPr>
              <w:spacing w:after="0"/>
              <w:rPr>
                <w:sz w:val="20"/>
                <w:szCs w:val="20"/>
                <w:color w:val="auto"/>
              </w:rPr>
            </w:pPr>
            <w:r>
              <w:rPr>
                <w:rFonts w:ascii="Arial" w:cs="Arial" w:eastAsia="Arial" w:hAnsi="Arial"/>
                <w:sz w:val="17"/>
                <w:szCs w:val="17"/>
                <w:color w:val="auto"/>
              </w:rPr>
              <w:t>Title:</w:t>
            </w:r>
          </w:p>
        </w:tc>
        <w:tc>
          <w:tcPr>
            <w:tcW w:w="5160" w:type="dxa"/>
            <w:vAlign w:val="bottom"/>
          </w:tcPr>
          <w:p>
            <w:pPr>
              <w:spacing w:after="0"/>
              <w:rPr>
                <w:sz w:val="20"/>
                <w:szCs w:val="20"/>
                <w:color w:val="auto"/>
              </w:rPr>
            </w:pPr>
            <w:r>
              <w:rPr>
                <w:rFonts w:ascii="Arial" w:cs="Arial" w:eastAsia="Arial" w:hAnsi="Arial"/>
                <w:sz w:val="17"/>
                <w:szCs w:val="17"/>
                <w:color w:val="auto"/>
              </w:rPr>
              <w:t>CEO, President</w:t>
            </w:r>
          </w:p>
        </w:tc>
      </w:tr>
    </w:tbl>
    <w:p>
      <w:pPr>
        <w:spacing w:after="0" w:line="200" w:lineRule="exact"/>
        <w:rPr>
          <w:sz w:val="20"/>
          <w:szCs w:val="20"/>
          <w:color w:val="auto"/>
        </w:rPr>
      </w:pPr>
    </w:p>
    <w:p>
      <w:pPr>
        <w:spacing w:after="0" w:line="208" w:lineRule="exact"/>
        <w:rPr>
          <w:sz w:val="20"/>
          <w:szCs w:val="20"/>
          <w:color w:val="auto"/>
        </w:rPr>
      </w:pPr>
    </w:p>
    <w:p>
      <w:pPr>
        <w:ind w:left="5335"/>
        <w:spacing w:after="0"/>
        <w:rPr>
          <w:sz w:val="20"/>
          <w:szCs w:val="20"/>
          <w:color w:val="auto"/>
        </w:rPr>
      </w:pPr>
      <w:r>
        <w:rPr>
          <w:rFonts w:ascii="Arial" w:cs="Arial" w:eastAsia="Arial" w:hAnsi="Arial"/>
          <w:sz w:val="17"/>
          <w:szCs w:val="17"/>
          <w:color w:val="auto"/>
        </w:rPr>
        <w:t>EAST WEST BANK</w:t>
      </w:r>
    </w:p>
    <w:p>
      <w:pPr>
        <w:sectPr>
          <w:pgSz w:w="11900" w:h="16838" w:orient="portrait"/>
          <w:cols w:equalWidth="0" w:num="1">
            <w:col w:w="11415"/>
          </w:cols>
          <w:pgMar w:left="245" w:top="337" w:right="239" w:bottom="0" w:gutter="0" w:footer="0" w:header="0"/>
        </w:sectPr>
      </w:pPr>
    </w:p>
    <w:bookmarkStart w:id="417" w:name="page418"/>
    <w:bookmarkEnd w:id="417"/>
    <w:p>
      <w:pPr>
        <w:ind w:left="4140"/>
        <w:spacing w:after="0"/>
        <w:tabs>
          <w:tab w:leader="none" w:pos="50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Lisa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31750</wp:posOffset>
            </wp:positionV>
            <wp:extent cx="327977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240" w:lineRule="exact"/>
        <w:rPr>
          <w:sz w:val="20"/>
          <w:szCs w:val="20"/>
          <w:color w:val="auto"/>
        </w:rPr>
      </w:pPr>
    </w:p>
    <w:p>
      <w:pPr>
        <w:ind w:left="4140"/>
        <w:spacing w:after="0"/>
        <w:tabs>
          <w:tab w:leader="none" w:pos="50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214630</wp:posOffset>
            </wp:positionV>
            <wp:extent cx="7271385" cy="2921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18" w:name="page419"/>
    <w:bookmarkEnd w:id="418"/>
    <w:p>
      <w:pPr>
        <w:jc w:val="right"/>
        <w:spacing w:after="0"/>
        <w:rPr>
          <w:sz w:val="20"/>
          <w:szCs w:val="20"/>
          <w:color w:val="auto"/>
        </w:rPr>
      </w:pPr>
      <w:r>
        <w:rPr>
          <w:rFonts w:ascii="Arial" w:cs="Arial" w:eastAsia="Arial" w:hAnsi="Arial"/>
          <w:sz w:val="17"/>
          <w:szCs w:val="17"/>
          <w:b w:val="1"/>
          <w:bCs w:val="1"/>
          <w:color w:val="auto"/>
        </w:rPr>
        <w:t>Exhibit 10.10.5</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FIFTH AMENDMENT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AMENDED AND RESTATED LOAN AND SECURITY AGREEMENT</w:t>
      </w:r>
    </w:p>
    <w:p>
      <w:pPr>
        <w:spacing w:after="0" w:line="212" w:lineRule="exact"/>
        <w:rPr>
          <w:sz w:val="20"/>
          <w:szCs w:val="20"/>
          <w:color w:val="auto"/>
        </w:rPr>
      </w:pPr>
    </w:p>
    <w:p>
      <w:pPr>
        <w:ind w:right="360" w:firstLine="629"/>
        <w:spacing w:after="0" w:line="289" w:lineRule="auto"/>
        <w:rPr>
          <w:sz w:val="20"/>
          <w:szCs w:val="20"/>
          <w:color w:val="auto"/>
        </w:rPr>
      </w:pPr>
      <w:r>
        <w:rPr>
          <w:rFonts w:ascii="Arial" w:cs="Arial" w:eastAsia="Arial" w:hAnsi="Arial"/>
          <w:sz w:val="17"/>
          <w:szCs w:val="17"/>
          <w:color w:val="auto"/>
        </w:rPr>
        <w:t>This Fifth Amendment to Amended and Restated Loan and Security Agreement is entered into as of November 30, 2011 (the “Amendment”), by and between APPLIED OPTOELECTRONICS, INC (“Borrower”) and EAST WEST BANK (“Bank”).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ind w:right="20" w:firstLine="629"/>
        <w:spacing w:after="0" w:line="217" w:lineRule="auto"/>
        <w:rPr>
          <w:sz w:val="20"/>
          <w:szCs w:val="20"/>
          <w:color w:val="auto"/>
        </w:rPr>
      </w:pPr>
      <w:r>
        <w:rPr>
          <w:rFonts w:ascii="Arial" w:cs="Arial" w:eastAsia="Arial" w:hAnsi="Arial"/>
          <w:sz w:val="17"/>
          <w:szCs w:val="17"/>
          <w:color w:val="auto"/>
        </w:rPr>
        <w:t>Borrower and Bank are parties to that certain Amended and Restated Loan and Security Agreement dated as of May 20, 2009, as amended from time to time including that certain First Amendment to Amended and Restated Loan and Security Agreement dated as of May 3</w:t>
      </w:r>
      <w:r>
        <w:rPr>
          <w:rFonts w:ascii="Arial" w:cs="Arial" w:eastAsia="Arial" w:hAnsi="Arial"/>
          <w:sz w:val="22"/>
          <w:szCs w:val="22"/>
          <w:color w:val="auto"/>
          <w:vertAlign w:val="superscript"/>
        </w:rPr>
        <w:t>rd</w:t>
      </w:r>
      <w:r>
        <w:rPr>
          <w:rFonts w:ascii="Arial" w:cs="Arial" w:eastAsia="Arial" w:hAnsi="Arial"/>
          <w:sz w:val="17"/>
          <w:szCs w:val="17"/>
          <w:color w:val="auto"/>
        </w:rPr>
        <w:t>, 2010, that certain Second Amendment to Amended and Restated Loan and Security Agreement dated as of October 28</w:t>
      </w:r>
      <w:r>
        <w:rPr>
          <w:rFonts w:ascii="Arial" w:cs="Arial" w:eastAsia="Arial" w:hAnsi="Arial"/>
          <w:sz w:val="22"/>
          <w:szCs w:val="22"/>
          <w:color w:val="auto"/>
          <w:vertAlign w:val="superscript"/>
        </w:rPr>
        <w:t>th</w:t>
      </w:r>
      <w:r>
        <w:rPr>
          <w:rFonts w:ascii="Arial" w:cs="Arial" w:eastAsia="Arial" w:hAnsi="Arial"/>
          <w:sz w:val="17"/>
          <w:szCs w:val="17"/>
          <w:color w:val="auto"/>
        </w:rPr>
        <w:t>, 2010, that certain Third Amendment to Amended and Restated Loan and Security Agreement dated as of December 6</w:t>
      </w:r>
      <w:r>
        <w:rPr>
          <w:rFonts w:ascii="Arial" w:cs="Arial" w:eastAsia="Arial" w:hAnsi="Arial"/>
          <w:sz w:val="22"/>
          <w:szCs w:val="22"/>
          <w:color w:val="auto"/>
          <w:vertAlign w:val="superscript"/>
        </w:rPr>
        <w:t>th</w:t>
      </w:r>
      <w:r>
        <w:rPr>
          <w:rFonts w:ascii="Arial" w:cs="Arial" w:eastAsia="Arial" w:hAnsi="Arial"/>
          <w:sz w:val="17"/>
          <w:szCs w:val="17"/>
          <w:color w:val="auto"/>
        </w:rPr>
        <w:t>, 2010, that certain Fourth Amendment to Amended and Restated Loan and Security Agreement dated as of May 5</w:t>
      </w:r>
      <w:r>
        <w:rPr>
          <w:rFonts w:ascii="Arial" w:cs="Arial" w:eastAsia="Arial" w:hAnsi="Arial"/>
          <w:sz w:val="22"/>
          <w:szCs w:val="22"/>
          <w:color w:val="auto"/>
          <w:vertAlign w:val="superscript"/>
        </w:rPr>
        <w:t>th</w:t>
      </w:r>
      <w:r>
        <w:rPr>
          <w:rFonts w:ascii="Arial" w:cs="Arial" w:eastAsia="Arial" w:hAnsi="Arial"/>
          <w:sz w:val="17"/>
          <w:szCs w:val="17"/>
          <w:color w:val="auto"/>
        </w:rPr>
        <w:t>, 2011, and that certain letter dated September 30, 2011 (collectively, the “Agreement”). The parties desire to amend the Agreement in accordance with the terms of this Amendment.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the parties agree as follows:</w:t>
      </w:r>
    </w:p>
    <w:p>
      <w:pPr>
        <w:spacing w:after="0" w:line="224" w:lineRule="exact"/>
        <w:rPr>
          <w:sz w:val="20"/>
          <w:szCs w:val="20"/>
          <w:color w:val="auto"/>
        </w:rPr>
      </w:pPr>
    </w:p>
    <w:p>
      <w:pPr>
        <w:ind w:right="20" w:firstLine="5"/>
        <w:spacing w:after="0" w:line="268" w:lineRule="auto"/>
        <w:tabs>
          <w:tab w:leader="none" w:pos="629" w:val="left"/>
        </w:tabs>
        <w:numPr>
          <w:ilvl w:val="0"/>
          <w:numId w:val="692"/>
        </w:numPr>
        <w:rPr>
          <w:rFonts w:ascii="Arial" w:cs="Arial" w:eastAsia="Arial" w:hAnsi="Arial"/>
          <w:sz w:val="17"/>
          <w:szCs w:val="17"/>
          <w:b w:val="1"/>
          <w:bCs w:val="1"/>
          <w:color w:val="auto"/>
        </w:rPr>
      </w:pPr>
      <w:r>
        <w:rPr>
          <w:rFonts w:ascii="Arial" w:cs="Arial" w:eastAsia="Arial" w:hAnsi="Arial"/>
          <w:sz w:val="17"/>
          <w:szCs w:val="17"/>
          <w:color w:val="auto"/>
        </w:rPr>
        <w:t>Borrower acknowledges that there are existing and uncured Events of Default arising from Borrower’s failure to comply with Sections 6.6 and 6.15 of the Agreement for the quarter ended September 30, 2011 (the “Existing Defaults”). Subject to the conditions contained herein and performance by Borrower of all of the terms of the Agreement after the date hereof, Bank waives the Existing Defaults. Bank does not waive Borrower’s obligations under such sections after the date hereof, and Bank does not waive any other failure by Borrower to perform its Obligations under the Loan Documents.</w:t>
      </w:r>
    </w:p>
    <w:p>
      <w:pPr>
        <w:spacing w:after="0" w:line="175" w:lineRule="exact"/>
        <w:rPr>
          <w:rFonts w:ascii="Arial" w:cs="Arial" w:eastAsia="Arial" w:hAnsi="Arial"/>
          <w:sz w:val="17"/>
          <w:szCs w:val="17"/>
          <w:b w:val="1"/>
          <w:bCs w:val="1"/>
          <w:color w:val="auto"/>
        </w:rPr>
      </w:pPr>
    </w:p>
    <w:p>
      <w:pPr>
        <w:ind w:left="640" w:hanging="635"/>
        <w:spacing w:after="0"/>
        <w:tabs>
          <w:tab w:leader="none" w:pos="640" w:val="left"/>
        </w:tabs>
        <w:numPr>
          <w:ilvl w:val="0"/>
          <w:numId w:val="692"/>
        </w:numPr>
        <w:rPr>
          <w:rFonts w:ascii="Arial" w:cs="Arial" w:eastAsia="Arial" w:hAnsi="Arial"/>
          <w:sz w:val="17"/>
          <w:szCs w:val="17"/>
          <w:b w:val="1"/>
          <w:bCs w:val="1"/>
          <w:color w:val="auto"/>
        </w:rPr>
      </w:pPr>
      <w:r>
        <w:rPr>
          <w:rFonts w:ascii="Arial" w:cs="Arial" w:eastAsia="Arial" w:hAnsi="Arial"/>
          <w:sz w:val="17"/>
          <w:szCs w:val="17"/>
          <w:color w:val="auto"/>
        </w:rPr>
        <w:t>The following defined term set forth in Section 1.1 of the Agreement is amended in its entirety to read as follows: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“EXIM Maturity Date” means March 31, 2012.</w:t>
      </w:r>
    </w:p>
    <w:p>
      <w:pPr>
        <w:spacing w:after="0" w:line="224" w:lineRule="exact"/>
        <w:rPr>
          <w:sz w:val="20"/>
          <w:szCs w:val="20"/>
          <w:color w:val="auto"/>
        </w:rPr>
      </w:pPr>
    </w:p>
    <w:p>
      <w:pPr>
        <w:ind w:right="140" w:firstLine="5"/>
        <w:spacing w:after="0" w:line="265" w:lineRule="auto"/>
        <w:tabs>
          <w:tab w:leader="none" w:pos="629" w:val="left"/>
        </w:tabs>
        <w:numPr>
          <w:ilvl w:val="0"/>
          <w:numId w:val="693"/>
        </w:numPr>
        <w:rPr>
          <w:rFonts w:ascii="Arial" w:cs="Arial" w:eastAsia="Arial" w:hAnsi="Arial"/>
          <w:sz w:val="17"/>
          <w:szCs w:val="17"/>
          <w:b w:val="1"/>
          <w:bCs w:val="1"/>
          <w:color w:val="auto"/>
        </w:rPr>
      </w:pPr>
      <w:r>
        <w:rPr>
          <w:rFonts w:ascii="Arial" w:cs="Arial" w:eastAsia="Arial" w:hAnsi="Arial"/>
          <w:sz w:val="17"/>
          <w:szCs w:val="17"/>
          <w:color w:val="auto"/>
        </w:rPr>
        <w:t>Unless otherwise defined, all initially capitalized terms in this Amendment shall be as defined in the Agreement. The Agreement, as amended hereby, shall be and remains in full force and effect in accordance with its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instruments, documents and agreements entered into in connection with the Agreement.</w:t>
      </w:r>
    </w:p>
    <w:p>
      <w:pPr>
        <w:spacing w:after="0" w:line="179" w:lineRule="exact"/>
        <w:rPr>
          <w:rFonts w:ascii="Arial" w:cs="Arial" w:eastAsia="Arial" w:hAnsi="Arial"/>
          <w:sz w:val="17"/>
          <w:szCs w:val="17"/>
          <w:b w:val="1"/>
          <w:bCs w:val="1"/>
          <w:color w:val="auto"/>
        </w:rPr>
      </w:pPr>
    </w:p>
    <w:p>
      <w:pPr>
        <w:ind w:right="860" w:firstLine="5"/>
        <w:spacing w:after="0" w:line="289" w:lineRule="auto"/>
        <w:tabs>
          <w:tab w:leader="none" w:pos="629" w:val="left"/>
        </w:tabs>
        <w:numPr>
          <w:ilvl w:val="0"/>
          <w:numId w:val="693"/>
        </w:numPr>
        <w:rPr>
          <w:rFonts w:ascii="Arial" w:cs="Arial" w:eastAsia="Arial" w:hAnsi="Arial"/>
          <w:sz w:val="17"/>
          <w:szCs w:val="17"/>
          <w:b w:val="1"/>
          <w:bCs w:val="1"/>
          <w:color w:val="auto"/>
        </w:rPr>
      </w:pPr>
      <w:r>
        <w:rPr>
          <w:rFonts w:ascii="Arial" w:cs="Arial" w:eastAsia="Arial" w:hAnsi="Arial"/>
          <w:sz w:val="17"/>
          <w:szCs w:val="17"/>
          <w:color w:val="auto"/>
        </w:rPr>
        <w:t>Borrower represents and warrants that the representations and warranties contained in the Agreement are true and correct as of the date of this Amendment, and that no Event of Default has occurred and is continuing.</w:t>
      </w:r>
    </w:p>
    <w:p>
      <w:pPr>
        <w:spacing w:after="0" w:line="158" w:lineRule="exact"/>
        <w:rPr>
          <w:rFonts w:ascii="Arial" w:cs="Arial" w:eastAsia="Arial" w:hAnsi="Arial"/>
          <w:sz w:val="17"/>
          <w:szCs w:val="17"/>
          <w:b w:val="1"/>
          <w:bCs w:val="1"/>
          <w:color w:val="auto"/>
        </w:rPr>
      </w:pPr>
    </w:p>
    <w:p>
      <w:pPr>
        <w:ind w:right="140" w:firstLine="5"/>
        <w:spacing w:after="0" w:line="289" w:lineRule="auto"/>
        <w:tabs>
          <w:tab w:leader="none" w:pos="629" w:val="left"/>
        </w:tabs>
        <w:numPr>
          <w:ilvl w:val="0"/>
          <w:numId w:val="693"/>
        </w:numPr>
        <w:rPr>
          <w:rFonts w:ascii="Arial" w:cs="Arial" w:eastAsia="Arial" w:hAnsi="Arial"/>
          <w:sz w:val="17"/>
          <w:szCs w:val="17"/>
          <w:b w:val="1"/>
          <w:bCs w:val="1"/>
          <w:color w:val="auto"/>
        </w:rPr>
      </w:pPr>
      <w:r>
        <w:rPr>
          <w:rFonts w:ascii="Arial" w:cs="Arial" w:eastAsia="Arial" w:hAnsi="Arial"/>
          <w:sz w:val="17"/>
          <w:szCs w:val="17"/>
          <w:color w:val="auto"/>
        </w:rPr>
        <w:t>This Amendment may be executed in two or more counterparts, each of which shall be deemed an original, but all of which together shall constitute one instrument.</w:t>
      </w:r>
    </w:p>
    <w:p>
      <w:pPr>
        <w:spacing w:after="0" w:line="158" w:lineRule="exact"/>
        <w:rPr>
          <w:rFonts w:ascii="Arial" w:cs="Arial" w:eastAsia="Arial" w:hAnsi="Arial"/>
          <w:sz w:val="17"/>
          <w:szCs w:val="17"/>
          <w:b w:val="1"/>
          <w:bCs w:val="1"/>
          <w:color w:val="auto"/>
        </w:rPr>
      </w:pPr>
    </w:p>
    <w:p>
      <w:pPr>
        <w:ind w:left="640" w:hanging="635"/>
        <w:spacing w:after="0"/>
        <w:tabs>
          <w:tab w:leader="none" w:pos="640" w:val="left"/>
        </w:tabs>
        <w:numPr>
          <w:ilvl w:val="0"/>
          <w:numId w:val="693"/>
        </w:numPr>
        <w:rPr>
          <w:rFonts w:ascii="Arial" w:cs="Arial" w:eastAsia="Arial" w:hAnsi="Arial"/>
          <w:sz w:val="17"/>
          <w:szCs w:val="17"/>
          <w:b w:val="1"/>
          <w:bCs w:val="1"/>
          <w:color w:val="auto"/>
        </w:rPr>
      </w:pPr>
      <w:r>
        <w:rPr>
          <w:rFonts w:ascii="Arial" w:cs="Arial" w:eastAsia="Arial" w:hAnsi="Arial"/>
          <w:sz w:val="17"/>
          <w:szCs w:val="17"/>
          <w:color w:val="auto"/>
        </w:rPr>
        <w:t>As a condition to the effectiveness of this Amendment, Bank shall have received, in form and substance satisfactory to Bank, the following:</w:t>
      </w:r>
    </w:p>
    <w:p>
      <w:pPr>
        <w:spacing w:after="0" w:line="224" w:lineRule="exact"/>
        <w:rPr>
          <w:rFonts w:ascii="Arial" w:cs="Arial" w:eastAsia="Arial" w:hAnsi="Arial"/>
          <w:sz w:val="17"/>
          <w:szCs w:val="17"/>
          <w:b w:val="1"/>
          <w:bCs w:val="1"/>
          <w:color w:val="auto"/>
        </w:rPr>
      </w:pPr>
    </w:p>
    <w:p>
      <w:pPr>
        <w:ind w:left="1260" w:hanging="626"/>
        <w:spacing w:after="0"/>
        <w:tabs>
          <w:tab w:leader="none" w:pos="1260" w:val="left"/>
        </w:tabs>
        <w:numPr>
          <w:ilvl w:val="1"/>
          <w:numId w:val="693"/>
        </w:numPr>
        <w:rPr>
          <w:rFonts w:ascii="Arial" w:cs="Arial" w:eastAsia="Arial" w:hAnsi="Arial"/>
          <w:sz w:val="17"/>
          <w:szCs w:val="17"/>
          <w:color w:val="auto"/>
        </w:rPr>
      </w:pPr>
      <w:r>
        <w:rPr>
          <w:rFonts w:ascii="Arial" w:cs="Arial" w:eastAsia="Arial" w:hAnsi="Arial"/>
          <w:sz w:val="17"/>
          <w:szCs w:val="17"/>
          <w:color w:val="auto"/>
        </w:rPr>
        <w:t>this Amendment, duly executed by Borrower;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8" w:lineRule="exact"/>
        <w:rPr>
          <w:rFonts w:ascii="Arial" w:cs="Arial" w:eastAsia="Arial" w:hAnsi="Arial"/>
          <w:sz w:val="17"/>
          <w:szCs w:val="17"/>
          <w:color w:val="auto"/>
        </w:rPr>
      </w:pPr>
    </w:p>
    <w:p>
      <w:pPr>
        <w:ind w:left="1280" w:hanging="646"/>
        <w:spacing w:after="0"/>
        <w:tabs>
          <w:tab w:leader="none" w:pos="1280" w:val="left"/>
        </w:tabs>
        <w:numPr>
          <w:ilvl w:val="1"/>
          <w:numId w:val="693"/>
        </w:numPr>
        <w:rPr>
          <w:rFonts w:ascii="Arial" w:cs="Arial" w:eastAsia="Arial" w:hAnsi="Arial"/>
          <w:sz w:val="17"/>
          <w:szCs w:val="17"/>
          <w:color w:val="auto"/>
        </w:rPr>
      </w:pPr>
      <w:r>
        <w:rPr>
          <w:rFonts w:ascii="Arial" w:cs="Arial" w:eastAsia="Arial" w:hAnsi="Arial"/>
          <w:sz w:val="17"/>
          <w:szCs w:val="17"/>
          <w:color w:val="auto"/>
        </w:rPr>
        <w:t>an amendment fee of $1,000 to Bank, plus an amount equal to all Bank Expenses incurred through the date of this Amendment; and</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1"/>
          <w:numId w:val="693"/>
        </w:numPr>
        <w:rPr>
          <w:rFonts w:ascii="Arial" w:cs="Arial" w:eastAsia="Arial" w:hAnsi="Arial"/>
          <w:sz w:val="17"/>
          <w:szCs w:val="17"/>
          <w:color w:val="auto"/>
        </w:rPr>
      </w:pPr>
      <w:r>
        <w:rPr>
          <w:rFonts w:ascii="Arial" w:cs="Arial" w:eastAsia="Arial" w:hAnsi="Arial"/>
          <w:sz w:val="17"/>
          <w:szCs w:val="17"/>
          <w:color w:val="auto"/>
        </w:rPr>
        <w:t>such other documents, and completion of such other matters, as Bank may reasonably deem necessary or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-758825</wp:posOffset>
            </wp:positionV>
            <wp:extent cx="7271385" cy="2921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undersigned have executed this Amendment as of the first date above written.</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APPLIED OPTOELECTRONICS, INC.</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17145</wp:posOffset>
            </wp:positionV>
            <wp:extent cx="337947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3379470" cy="8255"/>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 CEO</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EAST WEST BANK</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/s/ Lisa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17145</wp:posOffset>
            </wp:positionV>
            <wp:extent cx="337947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337947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 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419" w:name="page420"/>
    <w:bookmarkEnd w:id="419"/>
    <w:p>
      <w:pPr>
        <w:jc w:val="right"/>
        <w:spacing w:after="0"/>
        <w:rPr>
          <w:sz w:val="20"/>
          <w:szCs w:val="20"/>
          <w:color w:val="auto"/>
        </w:rPr>
      </w:pPr>
      <w:r>
        <w:rPr>
          <w:rFonts w:ascii="Arial" w:cs="Arial" w:eastAsia="Arial" w:hAnsi="Arial"/>
          <w:sz w:val="17"/>
          <w:szCs w:val="17"/>
          <w:b w:val="1"/>
          <w:bCs w:val="1"/>
          <w:color w:val="auto"/>
        </w:rPr>
        <w:t>Exhibit 10.10.6</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SIXTH AMENDMENT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AMENDED AND RESTATED LOAN AND SECURITY AGREEMENT</w:t>
      </w:r>
    </w:p>
    <w:p>
      <w:pPr>
        <w:spacing w:after="0" w:line="212" w:lineRule="exact"/>
        <w:rPr>
          <w:sz w:val="20"/>
          <w:szCs w:val="20"/>
          <w:color w:val="auto"/>
        </w:rPr>
      </w:pPr>
    </w:p>
    <w:p>
      <w:pPr>
        <w:ind w:right="600" w:firstLine="629"/>
        <w:spacing w:after="0" w:line="289" w:lineRule="auto"/>
        <w:rPr>
          <w:sz w:val="20"/>
          <w:szCs w:val="20"/>
          <w:color w:val="auto"/>
        </w:rPr>
      </w:pPr>
      <w:r>
        <w:rPr>
          <w:rFonts w:ascii="Arial" w:cs="Arial" w:eastAsia="Arial" w:hAnsi="Arial"/>
          <w:sz w:val="17"/>
          <w:szCs w:val="17"/>
          <w:color w:val="auto"/>
        </w:rPr>
        <w:t>This Sixth Amendment to Amended and Restated Loan and Security Agreement is entered into as of March 29, 2012 (the “Amendment”), by and between APPLIED OPTOELECTRONICS, INC (“Borrower”) and EAST WEST BANK (“Bank”).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ind w:right="100" w:firstLine="629"/>
        <w:spacing w:after="0" w:line="243" w:lineRule="auto"/>
        <w:rPr>
          <w:sz w:val="20"/>
          <w:szCs w:val="20"/>
          <w:color w:val="auto"/>
        </w:rPr>
      </w:pPr>
      <w:r>
        <w:rPr>
          <w:rFonts w:ascii="Arial" w:cs="Arial" w:eastAsia="Arial" w:hAnsi="Arial"/>
          <w:sz w:val="16"/>
          <w:szCs w:val="16"/>
          <w:color w:val="auto"/>
        </w:rPr>
        <w:t>Borrower and Bank are parties to that certain Amended and Restated Loan and Security Agreement dated as of May 20, 2009, as amended from time to time including that certain First Amendment to Amended and Restated Loan and Security Agreement dated as of May 3</w:t>
      </w:r>
      <w:r>
        <w:rPr>
          <w:rFonts w:ascii="Arial" w:cs="Arial" w:eastAsia="Arial" w:hAnsi="Arial"/>
          <w:sz w:val="20"/>
          <w:szCs w:val="20"/>
          <w:color w:val="auto"/>
          <w:vertAlign w:val="superscript"/>
        </w:rPr>
        <w:t>rd</w:t>
      </w:r>
      <w:r>
        <w:rPr>
          <w:rFonts w:ascii="Arial" w:cs="Arial" w:eastAsia="Arial" w:hAnsi="Arial"/>
          <w:sz w:val="16"/>
          <w:szCs w:val="16"/>
          <w:color w:val="auto"/>
        </w:rPr>
        <w:t>, 2010, that certain Second Amendment to Amended and Restated Loan and Security Agreement dated as of October 28</w:t>
      </w:r>
      <w:r>
        <w:rPr>
          <w:rFonts w:ascii="Arial" w:cs="Arial" w:eastAsia="Arial" w:hAnsi="Arial"/>
          <w:sz w:val="20"/>
          <w:szCs w:val="20"/>
          <w:color w:val="auto"/>
          <w:vertAlign w:val="superscript"/>
        </w:rPr>
        <w:t>th</w:t>
      </w:r>
      <w:r>
        <w:rPr>
          <w:rFonts w:ascii="Arial" w:cs="Arial" w:eastAsia="Arial" w:hAnsi="Arial"/>
          <w:sz w:val="16"/>
          <w:szCs w:val="16"/>
          <w:color w:val="auto"/>
        </w:rPr>
        <w:t>, 2010, that certain Third Amendment to Amended and Restated Loan and Security Agreement dated as of December 6</w:t>
      </w:r>
      <w:r>
        <w:rPr>
          <w:rFonts w:ascii="Arial" w:cs="Arial" w:eastAsia="Arial" w:hAnsi="Arial"/>
          <w:sz w:val="20"/>
          <w:szCs w:val="20"/>
          <w:color w:val="auto"/>
          <w:vertAlign w:val="superscript"/>
        </w:rPr>
        <w:t>th</w:t>
      </w:r>
      <w:r>
        <w:rPr>
          <w:rFonts w:ascii="Arial" w:cs="Arial" w:eastAsia="Arial" w:hAnsi="Arial"/>
          <w:sz w:val="16"/>
          <w:szCs w:val="16"/>
          <w:color w:val="auto"/>
        </w:rPr>
        <w:t>, 2010, that certain Fourth Amendment to Amended and Restated Loan and Security Agreement dated as of May 5</w:t>
      </w:r>
      <w:r>
        <w:rPr>
          <w:rFonts w:ascii="Arial" w:cs="Arial" w:eastAsia="Arial" w:hAnsi="Arial"/>
          <w:sz w:val="20"/>
          <w:szCs w:val="20"/>
          <w:color w:val="auto"/>
          <w:vertAlign w:val="superscript"/>
        </w:rPr>
        <w:t>th</w:t>
      </w:r>
      <w:r>
        <w:rPr>
          <w:rFonts w:ascii="Arial" w:cs="Arial" w:eastAsia="Arial" w:hAnsi="Arial"/>
          <w:sz w:val="16"/>
          <w:szCs w:val="16"/>
          <w:color w:val="auto"/>
        </w:rPr>
        <w:t>, 2011, that certain letter dated September 30, 2011 and that certain Fifth Amendment to Amended and Restated Loan and Security Agreement dated as of November 30</w:t>
      </w:r>
      <w:r>
        <w:rPr>
          <w:rFonts w:ascii="Arial" w:cs="Arial" w:eastAsia="Arial" w:hAnsi="Arial"/>
          <w:sz w:val="20"/>
          <w:szCs w:val="20"/>
          <w:color w:val="auto"/>
          <w:vertAlign w:val="superscript"/>
        </w:rPr>
        <w:t>th</w:t>
      </w:r>
      <w:r>
        <w:rPr>
          <w:rFonts w:ascii="Arial" w:cs="Arial" w:eastAsia="Arial" w:hAnsi="Arial"/>
          <w:sz w:val="16"/>
          <w:szCs w:val="16"/>
          <w:color w:val="auto"/>
        </w:rPr>
        <w:t>, 2011 (collectively, the “Agreement”). The parties desire to amend the Agreement in accordance with the terms of this Amendment.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the parties agree as follows:</w:t>
      </w:r>
    </w:p>
    <w:p>
      <w:pPr>
        <w:spacing w:after="0" w:line="224" w:lineRule="exact"/>
        <w:rPr>
          <w:sz w:val="20"/>
          <w:szCs w:val="20"/>
          <w:color w:val="auto"/>
        </w:rPr>
      </w:pPr>
    </w:p>
    <w:p>
      <w:pPr>
        <w:ind w:right="20" w:firstLine="5"/>
        <w:spacing w:after="0" w:line="278" w:lineRule="auto"/>
        <w:tabs>
          <w:tab w:leader="none" w:pos="629" w:val="left"/>
        </w:tabs>
        <w:numPr>
          <w:ilvl w:val="0"/>
          <w:numId w:val="694"/>
        </w:numPr>
        <w:rPr>
          <w:rFonts w:ascii="Arial" w:cs="Arial" w:eastAsia="Arial" w:hAnsi="Arial"/>
          <w:sz w:val="16"/>
          <w:szCs w:val="16"/>
          <w:b w:val="1"/>
          <w:bCs w:val="1"/>
          <w:color w:val="auto"/>
        </w:rPr>
      </w:pPr>
      <w:r>
        <w:rPr>
          <w:rFonts w:ascii="Arial" w:cs="Arial" w:eastAsia="Arial" w:hAnsi="Arial"/>
          <w:sz w:val="16"/>
          <w:szCs w:val="16"/>
          <w:color w:val="auto"/>
        </w:rPr>
        <w:t>Borrower acknowledges that there are existing and uncured Events of Default arising from Borrower’s failure to comply with Sections 6.6 and 6.15 of the Agreement for the quarter ended December 31, 2011 (the “Existing Defaults”). Subject to the conditions contained herein and performance by Borrower of all of the terms of the Agreement after the date hereof, Bank forbears from exercising its remedies arising out of the Existing Defaults until the earlier to occur of</w:t>
      </w:r>
    </w:p>
    <w:p>
      <w:pPr>
        <w:spacing w:after="0" w:line="1" w:lineRule="exact"/>
        <w:rPr>
          <w:rFonts w:ascii="Arial" w:cs="Arial" w:eastAsia="Arial" w:hAnsi="Arial"/>
          <w:sz w:val="16"/>
          <w:szCs w:val="16"/>
          <w:b w:val="1"/>
          <w:bCs w:val="1"/>
          <w:color w:val="auto"/>
        </w:rPr>
      </w:pPr>
    </w:p>
    <w:p>
      <w:pPr>
        <w:ind w:right="100"/>
        <w:spacing w:after="0" w:line="263" w:lineRule="auto"/>
        <w:rPr>
          <w:rFonts w:ascii="Arial" w:cs="Arial" w:eastAsia="Arial" w:hAnsi="Arial"/>
          <w:sz w:val="16"/>
          <w:szCs w:val="16"/>
          <w:b w:val="1"/>
          <w:bCs w:val="1"/>
          <w:color w:val="auto"/>
        </w:rPr>
      </w:pPr>
      <w:r>
        <w:rPr>
          <w:rFonts w:ascii="Arial" w:cs="Arial" w:eastAsia="Arial" w:hAnsi="Arial"/>
          <w:sz w:val="17"/>
          <w:szCs w:val="17"/>
          <w:color w:val="auto"/>
        </w:rPr>
        <w:t>(i) Borrower’s attainment of the Equity Milestone 1 or (ii) April 30, 2012 (the “Forbearance Period”). On Borrower’s timely attainment of the Equity Milestone I, the Forbearance Period shall be extended until the earlier to occur of (x) Borrower’s timely attainment of the Equity Milestone II or (y) May 31, 2012. Bank does not forbear or waive Borrower’s obligations under such respective sections for any event other than the Existing Defaults, Bank does not waive any other failure by Borrower to perform its Obligations under the Loan Documents.</w:t>
      </w:r>
    </w:p>
    <w:p>
      <w:pPr>
        <w:spacing w:after="0" w:line="179" w:lineRule="exact"/>
        <w:rPr>
          <w:rFonts w:ascii="Arial" w:cs="Arial" w:eastAsia="Arial" w:hAnsi="Arial"/>
          <w:sz w:val="16"/>
          <w:szCs w:val="16"/>
          <w:b w:val="1"/>
          <w:bCs w:val="1"/>
          <w:color w:val="auto"/>
        </w:rPr>
      </w:pPr>
    </w:p>
    <w:p>
      <w:pPr>
        <w:ind w:left="640" w:hanging="635"/>
        <w:spacing w:after="0"/>
        <w:tabs>
          <w:tab w:leader="none" w:pos="640" w:val="left"/>
        </w:tabs>
        <w:numPr>
          <w:ilvl w:val="0"/>
          <w:numId w:val="694"/>
        </w:numPr>
        <w:rPr>
          <w:rFonts w:ascii="Arial" w:cs="Arial" w:eastAsia="Arial" w:hAnsi="Arial"/>
          <w:sz w:val="17"/>
          <w:szCs w:val="17"/>
          <w:b w:val="1"/>
          <w:bCs w:val="1"/>
          <w:color w:val="auto"/>
        </w:rPr>
      </w:pPr>
      <w:r>
        <w:rPr>
          <w:rFonts w:ascii="Arial" w:cs="Arial" w:eastAsia="Arial" w:hAnsi="Arial"/>
          <w:sz w:val="17"/>
          <w:szCs w:val="17"/>
          <w:color w:val="auto"/>
        </w:rPr>
        <w:t>The following defined term set forth in Section 1.1 of the Agreement is amended in its entirety to read as follows: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“EXIM Maturity Date” means May 31, 2012.</w:t>
      </w:r>
    </w:p>
    <w:p>
      <w:pPr>
        <w:spacing w:after="0" w:line="224" w:lineRule="exact"/>
        <w:rPr>
          <w:sz w:val="20"/>
          <w:szCs w:val="20"/>
          <w:color w:val="auto"/>
        </w:rPr>
      </w:pPr>
    </w:p>
    <w:p>
      <w:pPr>
        <w:ind w:left="1260" w:right="6300" w:hanging="1255"/>
        <w:spacing w:after="0" w:line="515" w:lineRule="auto"/>
        <w:tabs>
          <w:tab w:leader="none" w:pos="631" w:val="left"/>
        </w:tabs>
        <w:numPr>
          <w:ilvl w:val="0"/>
          <w:numId w:val="695"/>
        </w:numPr>
        <w:rPr>
          <w:rFonts w:ascii="Arial" w:cs="Arial" w:eastAsia="Arial" w:hAnsi="Arial"/>
          <w:sz w:val="17"/>
          <w:szCs w:val="17"/>
          <w:b w:val="1"/>
          <w:bCs w:val="1"/>
          <w:color w:val="auto"/>
        </w:rPr>
      </w:pPr>
      <w:r>
        <w:rPr>
          <w:rFonts w:ascii="Arial" w:cs="Arial" w:eastAsia="Arial" w:hAnsi="Arial"/>
          <w:sz w:val="17"/>
          <w:szCs w:val="17"/>
          <w:color w:val="auto"/>
        </w:rPr>
        <w:t>The following is added as a new Section 6.16 to the Agreement: 6.16 Equity Milestones.</w:t>
      </w:r>
    </w:p>
    <w:p>
      <w:pPr>
        <w:ind w:left="640" w:right="120" w:firstLine="1253"/>
        <w:spacing w:after="0" w:line="268" w:lineRule="auto"/>
        <w:tabs>
          <w:tab w:leader="none" w:pos="2525" w:val="left"/>
        </w:tabs>
        <w:numPr>
          <w:ilvl w:val="1"/>
          <w:numId w:val="695"/>
        </w:numPr>
        <w:rPr>
          <w:rFonts w:ascii="Arial" w:cs="Arial" w:eastAsia="Arial" w:hAnsi="Arial"/>
          <w:sz w:val="17"/>
          <w:szCs w:val="17"/>
          <w:color w:val="auto"/>
        </w:rPr>
      </w:pPr>
      <w:r>
        <w:rPr>
          <w:rFonts w:ascii="Arial" w:cs="Arial" w:eastAsia="Arial" w:hAnsi="Arial"/>
          <w:sz w:val="17"/>
          <w:szCs w:val="17"/>
          <w:color w:val="auto"/>
        </w:rPr>
        <w:t>On or before April 30, 2012, Borrower shall deliver to Bank a fully executed term sheet evidencing a commitment for at least $10,000,000 of new cash proceeds (excluding the conversion of any convertible debt securities outstanding as of February 29, 2012) to be received by Borrower from the sale and issuance of its equity securities or Subordinated Debt securities to the investors named therein, in form and substance satisfactory to Bank (the “Equity Milestone I”).</w:t>
      </w:r>
    </w:p>
    <w:p>
      <w:pPr>
        <w:spacing w:after="0" w:line="175" w:lineRule="exact"/>
        <w:rPr>
          <w:rFonts w:ascii="Arial" w:cs="Arial" w:eastAsia="Arial" w:hAnsi="Arial"/>
          <w:sz w:val="17"/>
          <w:szCs w:val="17"/>
          <w:color w:val="auto"/>
        </w:rPr>
      </w:pPr>
    </w:p>
    <w:p>
      <w:pPr>
        <w:ind w:left="640" w:right="640" w:firstLine="1253"/>
        <w:spacing w:after="0" w:line="289" w:lineRule="auto"/>
        <w:tabs>
          <w:tab w:leader="none" w:pos="2535" w:val="left"/>
        </w:tabs>
        <w:numPr>
          <w:ilvl w:val="1"/>
          <w:numId w:val="695"/>
        </w:numPr>
        <w:rPr>
          <w:rFonts w:ascii="Arial" w:cs="Arial" w:eastAsia="Arial" w:hAnsi="Arial"/>
          <w:sz w:val="17"/>
          <w:szCs w:val="17"/>
          <w:color w:val="auto"/>
        </w:rPr>
      </w:pPr>
      <w:r>
        <w:rPr>
          <w:rFonts w:ascii="Arial" w:cs="Arial" w:eastAsia="Arial" w:hAnsi="Arial"/>
          <w:sz w:val="17"/>
          <w:szCs w:val="17"/>
          <w:color w:val="auto"/>
        </w:rPr>
        <w:t>On or before May 31, 2012, Borrower shall deliver to Bank evidence, in form and substance satisfactory to Bank, that Borrower has received at least $10,000,000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40" w:right="340"/>
        <w:spacing w:after="0" w:line="289" w:lineRule="auto"/>
        <w:rPr>
          <w:sz w:val="20"/>
          <w:szCs w:val="20"/>
          <w:color w:val="auto"/>
        </w:rPr>
      </w:pPr>
      <w:r>
        <w:rPr>
          <w:rFonts w:ascii="Arial" w:cs="Arial" w:eastAsia="Arial" w:hAnsi="Arial"/>
          <w:sz w:val="17"/>
          <w:szCs w:val="17"/>
          <w:color w:val="auto"/>
        </w:rPr>
        <w:t>new cash proceeds (excluding the conversion of any convertible debt securities outstanding as of February 29, 2012) from the sale and issuance of its equity securities or Subordinated Debt securities (the “Equity Milestone II”).</w:t>
      </w:r>
    </w:p>
    <w:p>
      <w:pPr>
        <w:spacing w:after="0" w:line="158" w:lineRule="exact"/>
        <w:rPr>
          <w:sz w:val="20"/>
          <w:szCs w:val="20"/>
          <w:color w:val="auto"/>
        </w:rPr>
      </w:pPr>
    </w:p>
    <w:p>
      <w:pPr>
        <w:ind w:right="140" w:firstLine="5"/>
        <w:spacing w:after="0" w:line="265" w:lineRule="auto"/>
        <w:tabs>
          <w:tab w:leader="none" w:pos="629" w:val="left"/>
        </w:tabs>
        <w:numPr>
          <w:ilvl w:val="0"/>
          <w:numId w:val="696"/>
        </w:numPr>
        <w:rPr>
          <w:rFonts w:ascii="Arial" w:cs="Arial" w:eastAsia="Arial" w:hAnsi="Arial"/>
          <w:sz w:val="17"/>
          <w:szCs w:val="17"/>
          <w:b w:val="1"/>
          <w:bCs w:val="1"/>
          <w:color w:val="auto"/>
        </w:rPr>
      </w:pPr>
      <w:r>
        <w:rPr>
          <w:rFonts w:ascii="Arial" w:cs="Arial" w:eastAsia="Arial" w:hAnsi="Arial"/>
          <w:sz w:val="17"/>
          <w:szCs w:val="17"/>
          <w:color w:val="auto"/>
        </w:rPr>
        <w:t>Unless otherwise defined, all initially capitalized terms in this Amendment shall be as defined in the Agreement. The Agreement, as amended hereby, shall be and remains in full force and effect in accordance with its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instruments, documents and agreements entered into in connection with the Agreement.</w:t>
      </w:r>
    </w:p>
    <w:p>
      <w:pPr>
        <w:spacing w:after="0" w:line="179" w:lineRule="exact"/>
        <w:rPr>
          <w:rFonts w:ascii="Arial" w:cs="Arial" w:eastAsia="Arial" w:hAnsi="Arial"/>
          <w:sz w:val="17"/>
          <w:szCs w:val="17"/>
          <w:b w:val="1"/>
          <w:bCs w:val="1"/>
          <w:color w:val="auto"/>
        </w:rPr>
      </w:pPr>
    </w:p>
    <w:p>
      <w:pPr>
        <w:ind w:right="860" w:firstLine="5"/>
        <w:spacing w:after="0" w:line="289" w:lineRule="auto"/>
        <w:tabs>
          <w:tab w:leader="none" w:pos="629" w:val="left"/>
        </w:tabs>
        <w:numPr>
          <w:ilvl w:val="0"/>
          <w:numId w:val="696"/>
        </w:numPr>
        <w:rPr>
          <w:rFonts w:ascii="Arial" w:cs="Arial" w:eastAsia="Arial" w:hAnsi="Arial"/>
          <w:sz w:val="17"/>
          <w:szCs w:val="17"/>
          <w:b w:val="1"/>
          <w:bCs w:val="1"/>
          <w:color w:val="auto"/>
        </w:rPr>
      </w:pPr>
      <w:r>
        <w:rPr>
          <w:rFonts w:ascii="Arial" w:cs="Arial" w:eastAsia="Arial" w:hAnsi="Arial"/>
          <w:sz w:val="17"/>
          <w:szCs w:val="17"/>
          <w:color w:val="auto"/>
        </w:rPr>
        <w:t>Borrower represents and warrants that the representations and warranties contained in the Agreement are true and correct as of the date of this Amendment, and that no Event of Default has occurred and is continuing other than the Existing Defaults.</w:t>
      </w:r>
    </w:p>
    <w:p>
      <w:pPr>
        <w:spacing w:after="0" w:line="158" w:lineRule="exact"/>
        <w:rPr>
          <w:rFonts w:ascii="Arial" w:cs="Arial" w:eastAsia="Arial" w:hAnsi="Arial"/>
          <w:sz w:val="17"/>
          <w:szCs w:val="17"/>
          <w:b w:val="1"/>
          <w:bCs w:val="1"/>
          <w:color w:val="auto"/>
        </w:rPr>
      </w:pPr>
    </w:p>
    <w:p>
      <w:pPr>
        <w:ind w:right="140" w:firstLine="5"/>
        <w:spacing w:after="0" w:line="289" w:lineRule="auto"/>
        <w:tabs>
          <w:tab w:leader="none" w:pos="629" w:val="left"/>
        </w:tabs>
        <w:numPr>
          <w:ilvl w:val="0"/>
          <w:numId w:val="696"/>
        </w:numPr>
        <w:rPr>
          <w:rFonts w:ascii="Arial" w:cs="Arial" w:eastAsia="Arial" w:hAnsi="Arial"/>
          <w:sz w:val="17"/>
          <w:szCs w:val="17"/>
          <w:b w:val="1"/>
          <w:bCs w:val="1"/>
          <w:color w:val="auto"/>
        </w:rPr>
      </w:pPr>
      <w:r>
        <w:rPr>
          <w:rFonts w:ascii="Arial" w:cs="Arial" w:eastAsia="Arial" w:hAnsi="Arial"/>
          <w:sz w:val="17"/>
          <w:szCs w:val="17"/>
          <w:color w:val="auto"/>
        </w:rPr>
        <w:t>This Amendment may be executed in two or more counterparts, each of which shall be deemed an original, but all of which together shall constitute one instrument.</w:t>
      </w:r>
    </w:p>
    <w:p>
      <w:pPr>
        <w:spacing w:after="0" w:line="158" w:lineRule="exact"/>
        <w:rPr>
          <w:rFonts w:ascii="Arial" w:cs="Arial" w:eastAsia="Arial" w:hAnsi="Arial"/>
          <w:sz w:val="17"/>
          <w:szCs w:val="17"/>
          <w:b w:val="1"/>
          <w:bCs w:val="1"/>
          <w:color w:val="auto"/>
        </w:rPr>
      </w:pPr>
    </w:p>
    <w:p>
      <w:pPr>
        <w:ind w:left="640" w:hanging="635"/>
        <w:spacing w:after="0"/>
        <w:tabs>
          <w:tab w:leader="none" w:pos="640" w:val="left"/>
        </w:tabs>
        <w:numPr>
          <w:ilvl w:val="0"/>
          <w:numId w:val="696"/>
        </w:numPr>
        <w:rPr>
          <w:rFonts w:ascii="Arial" w:cs="Arial" w:eastAsia="Arial" w:hAnsi="Arial"/>
          <w:sz w:val="17"/>
          <w:szCs w:val="17"/>
          <w:b w:val="1"/>
          <w:bCs w:val="1"/>
          <w:color w:val="auto"/>
        </w:rPr>
      </w:pPr>
      <w:r>
        <w:rPr>
          <w:rFonts w:ascii="Arial" w:cs="Arial" w:eastAsia="Arial" w:hAnsi="Arial"/>
          <w:sz w:val="17"/>
          <w:szCs w:val="17"/>
          <w:color w:val="auto"/>
        </w:rPr>
        <w:t>As a condition to the effectiveness of this Amendment, Bank shall have received, in form and substance satisfactory to Bank, the following:</w:t>
      </w:r>
    </w:p>
    <w:p>
      <w:pPr>
        <w:spacing w:after="0" w:line="224" w:lineRule="exact"/>
        <w:rPr>
          <w:rFonts w:ascii="Arial" w:cs="Arial" w:eastAsia="Arial" w:hAnsi="Arial"/>
          <w:sz w:val="17"/>
          <w:szCs w:val="17"/>
          <w:b w:val="1"/>
          <w:bCs w:val="1"/>
          <w:color w:val="auto"/>
        </w:rPr>
      </w:pPr>
    </w:p>
    <w:p>
      <w:pPr>
        <w:ind w:left="1260" w:hanging="626"/>
        <w:spacing w:after="0"/>
        <w:tabs>
          <w:tab w:leader="none" w:pos="1260" w:val="left"/>
        </w:tabs>
        <w:numPr>
          <w:ilvl w:val="1"/>
          <w:numId w:val="696"/>
        </w:numPr>
        <w:rPr>
          <w:rFonts w:ascii="Arial" w:cs="Arial" w:eastAsia="Arial" w:hAnsi="Arial"/>
          <w:sz w:val="17"/>
          <w:szCs w:val="17"/>
          <w:color w:val="auto"/>
        </w:rPr>
      </w:pPr>
      <w:r>
        <w:rPr>
          <w:rFonts w:ascii="Arial" w:cs="Arial" w:eastAsia="Arial" w:hAnsi="Arial"/>
          <w:sz w:val="17"/>
          <w:szCs w:val="17"/>
          <w:color w:val="auto"/>
        </w:rPr>
        <w:t>this Amendment, duly executed by Borrower;</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1"/>
          <w:numId w:val="696"/>
        </w:numPr>
        <w:rPr>
          <w:rFonts w:ascii="Arial" w:cs="Arial" w:eastAsia="Arial" w:hAnsi="Arial"/>
          <w:sz w:val="16"/>
          <w:szCs w:val="16"/>
          <w:color w:val="auto"/>
        </w:rPr>
      </w:pPr>
      <w:r>
        <w:rPr>
          <w:rFonts w:ascii="Arial" w:cs="Arial" w:eastAsia="Arial" w:hAnsi="Arial"/>
          <w:sz w:val="16"/>
          <w:szCs w:val="16"/>
          <w:color w:val="auto"/>
        </w:rPr>
        <w:t>payment of an amendment fee of $2,000, plus an amount equal to all Bank Expenses incurred through the date of this Amendment; and</w:t>
      </w:r>
    </w:p>
    <w:p>
      <w:pPr>
        <w:spacing w:after="0" w:line="235" w:lineRule="exact"/>
        <w:rPr>
          <w:rFonts w:ascii="Arial" w:cs="Arial" w:eastAsia="Arial" w:hAnsi="Arial"/>
          <w:sz w:val="16"/>
          <w:szCs w:val="16"/>
          <w:color w:val="auto"/>
        </w:rPr>
      </w:pPr>
    </w:p>
    <w:p>
      <w:pPr>
        <w:ind w:left="1280" w:hanging="646"/>
        <w:spacing w:after="0"/>
        <w:tabs>
          <w:tab w:leader="none" w:pos="1280" w:val="left"/>
        </w:tabs>
        <w:numPr>
          <w:ilvl w:val="1"/>
          <w:numId w:val="696"/>
        </w:numPr>
        <w:rPr>
          <w:rFonts w:ascii="Arial" w:cs="Arial" w:eastAsia="Arial" w:hAnsi="Arial"/>
          <w:sz w:val="17"/>
          <w:szCs w:val="17"/>
          <w:color w:val="auto"/>
        </w:rPr>
      </w:pPr>
      <w:r>
        <w:rPr>
          <w:rFonts w:ascii="Arial" w:cs="Arial" w:eastAsia="Arial" w:hAnsi="Arial"/>
          <w:sz w:val="17"/>
          <w:szCs w:val="17"/>
          <w:color w:val="auto"/>
        </w:rPr>
        <w:t>such other documents, and completion of such other matters, as Bank may reasonably deem necessary or appropriate.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undersigned have executed this Amendment as of the first date above written.</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APPLIED OPTOELECTRONICS, INC.</w:t>
      </w:r>
    </w:p>
    <w:p>
      <w:pPr>
        <w:sectPr>
          <w:pgSz w:w="11900" w:h="16838" w:orient="portrait"/>
          <w:cols w:equalWidth="0" w:num="1">
            <w:col w:w="11420"/>
          </w:cols>
          <w:pgMar w:left="240" w:top="357" w:right="239" w:bottom="128" w:gutter="0" w:footer="0" w:header="0"/>
        </w:sectPr>
      </w:pPr>
    </w:p>
    <w:bookmarkStart w:id="420" w:name="page421"/>
    <w:bookmarkEnd w:id="420"/>
    <w:p>
      <w:pPr>
        <w:ind w:left="4520"/>
        <w:spacing w:after="0"/>
        <w:rPr>
          <w:sz w:val="20"/>
          <w:szCs w:val="20"/>
          <w:color w:val="auto"/>
        </w:rPr>
      </w:pPr>
      <w:r>
        <w:rPr>
          <w:rFonts w:ascii="Arial" w:cs="Arial" w:eastAsia="Arial" w:hAnsi="Arial"/>
          <w:sz w:val="16"/>
          <w:szCs w:val="16"/>
          <w:color w:val="auto"/>
        </w:rPr>
        <w:t>By:  /s/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3112135</wp:posOffset>
            </wp:positionH>
            <wp:positionV relativeFrom="paragraph">
              <wp:posOffset>24130</wp:posOffset>
            </wp:positionV>
            <wp:extent cx="337947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3379470" cy="8255"/>
                    </a:xfrm>
                    <a:prstGeom prst="rect">
                      <a:avLst/>
                    </a:prstGeom>
                    <a:noFill/>
                  </pic:spPr>
                </pic:pic>
              </a:graphicData>
            </a:graphic>
          </wp:anchor>
        </w:drawing>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Title: CEO</w:t>
      </w:r>
    </w:p>
    <w:p>
      <w:pPr>
        <w:spacing w:after="0" w:line="200" w:lineRule="exact"/>
        <w:rPr>
          <w:sz w:val="20"/>
          <w:szCs w:val="20"/>
          <w:color w:val="auto"/>
        </w:rPr>
      </w:pP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EAST WEST BANK</w:t>
      </w:r>
    </w:p>
    <w:p>
      <w:pPr>
        <w:spacing w:after="0" w:line="200" w:lineRule="exact"/>
        <w:rPr>
          <w:sz w:val="20"/>
          <w:szCs w:val="20"/>
          <w:color w:val="auto"/>
        </w:rPr>
      </w:pP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Lisa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3112135</wp:posOffset>
            </wp:positionH>
            <wp:positionV relativeFrom="paragraph">
              <wp:posOffset>17145</wp:posOffset>
            </wp:positionV>
            <wp:extent cx="337947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3379470" cy="8255"/>
                    </a:xfrm>
                    <a:prstGeom prst="rect">
                      <a:avLst/>
                    </a:prstGeom>
                    <a:noFill/>
                  </pic:spPr>
                </pic:pic>
              </a:graphicData>
            </a:graphic>
          </wp:anchor>
        </w:drawing>
      </w:r>
    </w:p>
    <w:p>
      <w:pPr>
        <w:spacing w:after="0" w:line="21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Title: 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214630</wp:posOffset>
            </wp:positionV>
            <wp:extent cx="7271385" cy="2921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421" w:name="page422"/>
    <w:bookmarkEnd w:id="421"/>
    <w:p>
      <w:pPr>
        <w:jc w:val="right"/>
        <w:spacing w:after="0"/>
        <w:rPr>
          <w:sz w:val="20"/>
          <w:szCs w:val="20"/>
          <w:color w:val="auto"/>
        </w:rPr>
      </w:pPr>
      <w:r>
        <w:rPr>
          <w:rFonts w:ascii="Arial" w:cs="Arial" w:eastAsia="Arial" w:hAnsi="Arial"/>
          <w:sz w:val="17"/>
          <w:szCs w:val="17"/>
          <w:b w:val="1"/>
          <w:bCs w:val="1"/>
          <w:color w:val="auto"/>
        </w:rPr>
        <w:t>Exhibit 10.10.7</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SEVENTH AMENDMENT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AMENDED AND RESTATED LOAN AND SECURITY AGREEMENT</w:t>
      </w:r>
    </w:p>
    <w:p>
      <w:pPr>
        <w:spacing w:after="0" w:line="212" w:lineRule="exact"/>
        <w:rPr>
          <w:sz w:val="20"/>
          <w:szCs w:val="20"/>
          <w:color w:val="auto"/>
        </w:rPr>
      </w:pPr>
    </w:p>
    <w:p>
      <w:pPr>
        <w:ind w:right="540" w:firstLine="629"/>
        <w:spacing w:after="0" w:line="289" w:lineRule="auto"/>
        <w:rPr>
          <w:sz w:val="20"/>
          <w:szCs w:val="20"/>
          <w:color w:val="auto"/>
        </w:rPr>
      </w:pPr>
      <w:r>
        <w:rPr>
          <w:rFonts w:ascii="Arial" w:cs="Arial" w:eastAsia="Arial" w:hAnsi="Arial"/>
          <w:sz w:val="17"/>
          <w:szCs w:val="17"/>
          <w:color w:val="auto"/>
        </w:rPr>
        <w:t>This Seventh Amendment to Amended and Restated Loan and Security Agreement is entered into as of June 29, 2012 (the “Amendment”), by and between APPLIED OPTOELECTRONICS, INC (“Borrower”) and EAST WEST BANK (“Bank”).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ind w:right="100" w:firstLine="629"/>
        <w:spacing w:after="0" w:line="241" w:lineRule="auto"/>
        <w:rPr>
          <w:sz w:val="20"/>
          <w:szCs w:val="20"/>
          <w:color w:val="auto"/>
        </w:rPr>
      </w:pPr>
      <w:r>
        <w:rPr>
          <w:rFonts w:ascii="Arial" w:cs="Arial" w:eastAsia="Arial" w:hAnsi="Arial"/>
          <w:sz w:val="16"/>
          <w:szCs w:val="16"/>
          <w:color w:val="auto"/>
        </w:rPr>
        <w:t>Borrower and Bank are parties to that certain Amended and Restated Loan and Security Agreement dated as of May 20, 2009, as amended from time to time including that certain First Amendment to Amended and Restated Loan and Security Agreement dated as of May 3rd, 2010, that certain Second Amendment to Amended and Restated Loan and Security Agreement dated as of October 28</w:t>
      </w:r>
      <w:r>
        <w:rPr>
          <w:rFonts w:ascii="Arial" w:cs="Arial" w:eastAsia="Arial" w:hAnsi="Arial"/>
          <w:sz w:val="20"/>
          <w:szCs w:val="20"/>
          <w:color w:val="auto"/>
          <w:vertAlign w:val="superscript"/>
        </w:rPr>
        <w:t>th</w:t>
      </w:r>
      <w:r>
        <w:rPr>
          <w:rFonts w:ascii="Arial" w:cs="Arial" w:eastAsia="Arial" w:hAnsi="Arial"/>
          <w:sz w:val="16"/>
          <w:szCs w:val="16"/>
          <w:color w:val="auto"/>
        </w:rPr>
        <w:t>, 2010, that certain Third Amendment to Amended and Restated Loan and Security Agreement dated as of December 6</w:t>
      </w:r>
      <w:r>
        <w:rPr>
          <w:rFonts w:ascii="Arial" w:cs="Arial" w:eastAsia="Arial" w:hAnsi="Arial"/>
          <w:sz w:val="20"/>
          <w:szCs w:val="20"/>
          <w:color w:val="auto"/>
          <w:vertAlign w:val="superscript"/>
        </w:rPr>
        <w:t>th</w:t>
      </w:r>
      <w:r>
        <w:rPr>
          <w:rFonts w:ascii="Arial" w:cs="Arial" w:eastAsia="Arial" w:hAnsi="Arial"/>
          <w:sz w:val="16"/>
          <w:szCs w:val="16"/>
          <w:color w:val="auto"/>
        </w:rPr>
        <w:t>, 2010, that certain Fourth Amendment to Amended and Restated Loan and Security Agreement dated as of May 5</w:t>
      </w:r>
      <w:r>
        <w:rPr>
          <w:rFonts w:ascii="Arial" w:cs="Arial" w:eastAsia="Arial" w:hAnsi="Arial"/>
          <w:sz w:val="20"/>
          <w:szCs w:val="20"/>
          <w:color w:val="auto"/>
          <w:vertAlign w:val="superscript"/>
        </w:rPr>
        <w:t>th</w:t>
      </w:r>
      <w:r>
        <w:rPr>
          <w:rFonts w:ascii="Arial" w:cs="Arial" w:eastAsia="Arial" w:hAnsi="Arial"/>
          <w:sz w:val="16"/>
          <w:szCs w:val="16"/>
          <w:color w:val="auto"/>
        </w:rPr>
        <w:t>, 2011, that certain letter dated September 30, 2011, that certain Fifth Amendment to Amended and Restated Loan and Security Agreement dated as of November 30</w:t>
      </w:r>
      <w:r>
        <w:rPr>
          <w:rFonts w:ascii="Arial" w:cs="Arial" w:eastAsia="Arial" w:hAnsi="Arial"/>
          <w:sz w:val="20"/>
          <w:szCs w:val="20"/>
          <w:color w:val="auto"/>
          <w:vertAlign w:val="superscript"/>
        </w:rPr>
        <w:t>th</w:t>
      </w:r>
      <w:r>
        <w:rPr>
          <w:rFonts w:ascii="Arial" w:cs="Arial" w:eastAsia="Arial" w:hAnsi="Arial"/>
          <w:sz w:val="16"/>
          <w:szCs w:val="16"/>
          <w:color w:val="auto"/>
        </w:rPr>
        <w:t>, 2011 and that certain Sixth Amendment to Amended and Restated Loan and Security Agreement dated as of March 29</w:t>
      </w:r>
      <w:r>
        <w:rPr>
          <w:rFonts w:ascii="Arial" w:cs="Arial" w:eastAsia="Arial" w:hAnsi="Arial"/>
          <w:sz w:val="20"/>
          <w:szCs w:val="20"/>
          <w:color w:val="auto"/>
          <w:vertAlign w:val="superscript"/>
        </w:rPr>
        <w:t>th</w:t>
      </w:r>
      <w:r>
        <w:rPr>
          <w:rFonts w:ascii="Arial" w:cs="Arial" w:eastAsia="Arial" w:hAnsi="Arial"/>
          <w:sz w:val="16"/>
          <w:szCs w:val="16"/>
          <w:color w:val="auto"/>
        </w:rPr>
        <w:t>, 2012 (collectively, the “Agreement”). The parties desire to amend the Agreement in accordance with the terms of this Amendment.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the parties agree as follows:</w:t>
      </w:r>
    </w:p>
    <w:p>
      <w:pPr>
        <w:spacing w:after="0" w:line="224" w:lineRule="exact"/>
        <w:rPr>
          <w:sz w:val="20"/>
          <w:szCs w:val="20"/>
          <w:color w:val="auto"/>
        </w:rPr>
      </w:pPr>
    </w:p>
    <w:p>
      <w:pPr>
        <w:ind w:right="40" w:firstLine="5"/>
        <w:spacing w:after="0" w:line="281" w:lineRule="auto"/>
        <w:tabs>
          <w:tab w:leader="none" w:pos="629" w:val="left"/>
        </w:tabs>
        <w:numPr>
          <w:ilvl w:val="0"/>
          <w:numId w:val="697"/>
        </w:numPr>
        <w:rPr>
          <w:rFonts w:ascii="Arial" w:cs="Arial" w:eastAsia="Arial" w:hAnsi="Arial"/>
          <w:sz w:val="16"/>
          <w:szCs w:val="16"/>
          <w:b w:val="1"/>
          <w:bCs w:val="1"/>
          <w:color w:val="auto"/>
        </w:rPr>
      </w:pPr>
      <w:r>
        <w:rPr>
          <w:rFonts w:ascii="Arial" w:cs="Arial" w:eastAsia="Arial" w:hAnsi="Arial"/>
          <w:sz w:val="16"/>
          <w:szCs w:val="16"/>
          <w:color w:val="auto"/>
        </w:rPr>
        <w:t>Borrower acknowledges that there are existing and uncured Events of Default arising from Borrower’s failure to comply with Section 6.16 of the Agreement (the “Equity Milestone Default”). Subject to the conditions contained herein and performance by Borrower of all of the terms of the Agreement after the date hereof, Bank forbears from exercising its remedies arising out of the Equity Milestone Default until the earlier to occur of (i) Borrower’s attainment of the equity milestone set forth in Section 6.16 as amended herein or (ii) July 6, 2012. On Borrower’s timely compliance with Section 6.16, Bank shall waive the Equity Milestone Default. Upon Borrower’s failure to timely comply with Section 6.16, all outstanding Obligations shall begin accruing interest at the default rate set forth in Section 2.3(b) of the Agreement. Bank does not forbear or waive Borrower’s obligations under such respective section for any event other than the Equity Milestone Default; and Bank does not waive any other failure by Borrower to perform its Obligations under the Loan Documents.</w:t>
      </w:r>
    </w:p>
    <w:p>
      <w:pPr>
        <w:spacing w:after="0" w:line="170" w:lineRule="exact"/>
        <w:rPr>
          <w:rFonts w:ascii="Arial" w:cs="Arial" w:eastAsia="Arial" w:hAnsi="Arial"/>
          <w:sz w:val="16"/>
          <w:szCs w:val="16"/>
          <w:b w:val="1"/>
          <w:bCs w:val="1"/>
          <w:color w:val="auto"/>
        </w:rPr>
      </w:pPr>
    </w:p>
    <w:p>
      <w:pPr>
        <w:ind w:right="140" w:firstLine="5"/>
        <w:spacing w:after="0" w:line="263" w:lineRule="auto"/>
        <w:tabs>
          <w:tab w:leader="none" w:pos="629" w:val="left"/>
        </w:tabs>
        <w:numPr>
          <w:ilvl w:val="0"/>
          <w:numId w:val="697"/>
        </w:numPr>
        <w:rPr>
          <w:rFonts w:ascii="Arial" w:cs="Arial" w:eastAsia="Arial" w:hAnsi="Arial"/>
          <w:sz w:val="17"/>
          <w:szCs w:val="17"/>
          <w:b w:val="1"/>
          <w:bCs w:val="1"/>
          <w:color w:val="auto"/>
        </w:rPr>
      </w:pPr>
      <w:r>
        <w:rPr>
          <w:rFonts w:ascii="Arial" w:cs="Arial" w:eastAsia="Arial" w:hAnsi="Arial"/>
          <w:sz w:val="17"/>
          <w:szCs w:val="17"/>
          <w:color w:val="auto"/>
        </w:rPr>
        <w:t>Borrower acknowledges that there are also existing and uncured Events of Default arising from Borrower’s failure to comply with Sections 6.6 and 6.15 for the quarter ended December 31, 2011 and Borrower’s failure to comply with Section 6.16 for quarter ended March 31, 2012 (collectively, the “Financial Covenant Defaults”). Subject to the conditions contained herein and performance by Borrower of all of the terms of the Agreement after the date hereof, Bank forbears from exercising its remedies arising out of the Financial Covenant Defaults until September 30, 2012. Bank does not forbear or waive Borrower’s obligations under such respective sections for any event other than the Financial Covenant Defaults; and Bank does not waive any other failure by Borrower to perform its Obligations under the Loan Documents.</w:t>
      </w:r>
    </w:p>
    <w:p>
      <w:pPr>
        <w:spacing w:after="0" w:line="183" w:lineRule="exact"/>
        <w:rPr>
          <w:rFonts w:ascii="Arial" w:cs="Arial" w:eastAsia="Arial" w:hAnsi="Arial"/>
          <w:sz w:val="17"/>
          <w:szCs w:val="17"/>
          <w:b w:val="1"/>
          <w:bCs w:val="1"/>
          <w:color w:val="auto"/>
        </w:rPr>
      </w:pPr>
    </w:p>
    <w:p>
      <w:pPr>
        <w:ind w:left="640" w:hanging="635"/>
        <w:spacing w:after="0"/>
        <w:tabs>
          <w:tab w:leader="none" w:pos="640" w:val="left"/>
        </w:tabs>
        <w:numPr>
          <w:ilvl w:val="0"/>
          <w:numId w:val="697"/>
        </w:numPr>
        <w:rPr>
          <w:rFonts w:ascii="Arial" w:cs="Arial" w:eastAsia="Arial" w:hAnsi="Arial"/>
          <w:sz w:val="17"/>
          <w:szCs w:val="17"/>
          <w:b w:val="1"/>
          <w:bCs w:val="1"/>
          <w:color w:val="auto"/>
        </w:rPr>
      </w:pPr>
      <w:r>
        <w:rPr>
          <w:rFonts w:ascii="Arial" w:cs="Arial" w:eastAsia="Arial" w:hAnsi="Arial"/>
          <w:sz w:val="17"/>
          <w:szCs w:val="17"/>
          <w:color w:val="auto"/>
        </w:rPr>
        <w:t>The following defined term set forth in Section 1.1 of the Agreement is amended in its entirety to read as follows: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“EXIM Maturity Date” means September 30, 2012.</w:t>
      </w:r>
    </w:p>
    <w:p>
      <w:pPr>
        <w:spacing w:after="0" w:line="224" w:lineRule="exact"/>
        <w:rPr>
          <w:sz w:val="20"/>
          <w:szCs w:val="20"/>
          <w:color w:val="auto"/>
        </w:rPr>
      </w:pPr>
    </w:p>
    <w:p>
      <w:pPr>
        <w:ind w:left="640" w:hanging="635"/>
        <w:spacing w:after="0"/>
        <w:tabs>
          <w:tab w:leader="none" w:pos="640" w:val="left"/>
        </w:tabs>
        <w:numPr>
          <w:ilvl w:val="0"/>
          <w:numId w:val="698"/>
        </w:numPr>
        <w:rPr>
          <w:rFonts w:ascii="Arial" w:cs="Arial" w:eastAsia="Arial" w:hAnsi="Arial"/>
          <w:sz w:val="17"/>
          <w:szCs w:val="17"/>
          <w:b w:val="1"/>
          <w:bCs w:val="1"/>
          <w:color w:val="auto"/>
        </w:rPr>
      </w:pPr>
      <w:r>
        <w:rPr>
          <w:rFonts w:ascii="Arial" w:cs="Arial" w:eastAsia="Arial" w:hAnsi="Arial"/>
          <w:sz w:val="17"/>
          <w:szCs w:val="17"/>
          <w:color w:val="auto"/>
        </w:rPr>
        <w:t>Section 6.16 of the Agreement is amended in its entirety to read as follows:</w:t>
      </w:r>
    </w:p>
    <w:p>
      <w:pPr>
        <w:spacing w:after="0" w:line="224" w:lineRule="exact"/>
        <w:rPr>
          <w:sz w:val="20"/>
          <w:szCs w:val="20"/>
          <w:color w:val="auto"/>
        </w:rPr>
      </w:pPr>
    </w:p>
    <w:p>
      <w:pPr>
        <w:ind w:left="640" w:right="60" w:firstLine="629"/>
        <w:spacing w:after="0" w:line="322" w:lineRule="auto"/>
        <w:rPr>
          <w:sz w:val="20"/>
          <w:szCs w:val="20"/>
          <w:color w:val="auto"/>
        </w:rPr>
      </w:pPr>
      <w:r>
        <w:rPr>
          <w:rFonts w:ascii="Arial" w:cs="Arial" w:eastAsia="Arial" w:hAnsi="Arial"/>
          <w:sz w:val="16"/>
          <w:szCs w:val="16"/>
          <w:color w:val="auto"/>
        </w:rPr>
        <w:t>6.16 Equity Milestone. On or before July 6, 2012, Borrower shall deliver to Bank evidence, in form and substance satisfactory to Bank, that Borrower has received, between May 1, 2012 and July 6, 2012, at least $4,000,000 in new cash proceeds (excluding the conversion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158115</wp:posOffset>
            </wp:positionV>
            <wp:extent cx="7271385" cy="2921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convertible debt securities outstanding as of April 30, 2012) from the sale and issuance of its equity securities or Subordinated Debt securities.</w:t>
      </w:r>
    </w:p>
    <w:p>
      <w:pPr>
        <w:spacing w:after="0" w:line="224" w:lineRule="exact"/>
        <w:rPr>
          <w:sz w:val="20"/>
          <w:szCs w:val="20"/>
          <w:color w:val="auto"/>
        </w:rPr>
      </w:pPr>
    </w:p>
    <w:p>
      <w:pPr>
        <w:ind w:right="340" w:firstLine="5"/>
        <w:spacing w:after="0" w:line="289" w:lineRule="auto"/>
        <w:tabs>
          <w:tab w:leader="none" w:pos="629" w:val="left"/>
        </w:tabs>
        <w:numPr>
          <w:ilvl w:val="0"/>
          <w:numId w:val="699"/>
        </w:numPr>
        <w:rPr>
          <w:rFonts w:ascii="Arial" w:cs="Arial" w:eastAsia="Arial" w:hAnsi="Arial"/>
          <w:sz w:val="17"/>
          <w:szCs w:val="17"/>
          <w:b w:val="1"/>
          <w:bCs w:val="1"/>
          <w:color w:val="auto"/>
        </w:rPr>
      </w:pPr>
      <w:r>
        <w:rPr>
          <w:rFonts w:ascii="Arial" w:cs="Arial" w:eastAsia="Arial" w:hAnsi="Arial"/>
          <w:sz w:val="17"/>
          <w:szCs w:val="17"/>
          <w:color w:val="auto"/>
        </w:rPr>
        <w:t>Concurrently upon the execution of this Amendment, Borrower shall make a cash payment to Bank of $500,000 on account of the outstanding EXIM Advances.</w:t>
      </w:r>
    </w:p>
    <w:p>
      <w:pPr>
        <w:spacing w:after="0" w:line="158" w:lineRule="exact"/>
        <w:rPr>
          <w:rFonts w:ascii="Arial" w:cs="Arial" w:eastAsia="Arial" w:hAnsi="Arial"/>
          <w:sz w:val="17"/>
          <w:szCs w:val="17"/>
          <w:b w:val="1"/>
          <w:bCs w:val="1"/>
          <w:color w:val="auto"/>
        </w:rPr>
      </w:pPr>
    </w:p>
    <w:p>
      <w:pPr>
        <w:ind w:left="640" w:hanging="635"/>
        <w:spacing w:after="0"/>
        <w:tabs>
          <w:tab w:leader="none" w:pos="640" w:val="left"/>
        </w:tabs>
        <w:numPr>
          <w:ilvl w:val="0"/>
          <w:numId w:val="699"/>
        </w:numPr>
        <w:rPr>
          <w:rFonts w:ascii="Arial" w:cs="Arial" w:eastAsia="Arial" w:hAnsi="Arial"/>
          <w:sz w:val="16"/>
          <w:szCs w:val="16"/>
          <w:b w:val="1"/>
          <w:bCs w:val="1"/>
          <w:color w:val="auto"/>
        </w:rPr>
      </w:pPr>
      <w:r>
        <w:rPr>
          <w:rFonts w:ascii="Arial" w:cs="Arial" w:eastAsia="Arial" w:hAnsi="Arial"/>
          <w:sz w:val="16"/>
          <w:szCs w:val="16"/>
          <w:color w:val="auto"/>
        </w:rPr>
        <w:t>Effective upon Borrower’s compliance with Section 6.16 as amended herein and all other covenants set forth in the Agreement (including Sections 6.5,</w:t>
      </w:r>
    </w:p>
    <w:p>
      <w:pPr>
        <w:spacing w:after="0" w:line="3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6.6 and 6.15 for period ending June 30, 2012), Borrower may resume requesting Advances, Line II Advances or EXIM Advances pursuant and subject to the terms set forth in the Agreement.</w:t>
      </w:r>
    </w:p>
    <w:p>
      <w:pPr>
        <w:spacing w:after="0" w:line="169" w:lineRule="exact"/>
        <w:rPr>
          <w:sz w:val="20"/>
          <w:szCs w:val="20"/>
          <w:color w:val="auto"/>
        </w:rPr>
      </w:pPr>
    </w:p>
    <w:p>
      <w:pPr>
        <w:ind w:right="400" w:firstLine="5"/>
        <w:spacing w:after="0" w:line="289" w:lineRule="auto"/>
        <w:tabs>
          <w:tab w:leader="none" w:pos="629" w:val="left"/>
        </w:tabs>
        <w:numPr>
          <w:ilvl w:val="0"/>
          <w:numId w:val="700"/>
        </w:numPr>
        <w:rPr>
          <w:rFonts w:ascii="Arial" w:cs="Arial" w:eastAsia="Arial" w:hAnsi="Arial"/>
          <w:sz w:val="17"/>
          <w:szCs w:val="17"/>
          <w:b w:val="1"/>
          <w:bCs w:val="1"/>
          <w:color w:val="auto"/>
        </w:rPr>
      </w:pPr>
      <w:r>
        <w:rPr>
          <w:rFonts w:ascii="Arial" w:cs="Arial" w:eastAsia="Arial" w:hAnsi="Arial"/>
          <w:sz w:val="17"/>
          <w:szCs w:val="17"/>
          <w:color w:val="auto"/>
        </w:rPr>
        <w:t>Bank consents to Borrower’s use of a storage unit located at 9870 Hwy 90A, #1701, Sugar Land, Texas to hold certain of Borrower’s equipment and other collateral, and no consent or waiver shall be required to be obtained by the landlord of such location.</w:t>
      </w:r>
    </w:p>
    <w:p>
      <w:pPr>
        <w:spacing w:after="0" w:line="158" w:lineRule="exact"/>
        <w:rPr>
          <w:rFonts w:ascii="Arial" w:cs="Arial" w:eastAsia="Arial" w:hAnsi="Arial"/>
          <w:sz w:val="17"/>
          <w:szCs w:val="17"/>
          <w:b w:val="1"/>
          <w:bCs w:val="1"/>
          <w:color w:val="auto"/>
        </w:rPr>
      </w:pPr>
    </w:p>
    <w:p>
      <w:pPr>
        <w:ind w:right="140" w:firstLine="5"/>
        <w:spacing w:after="0" w:line="265" w:lineRule="auto"/>
        <w:tabs>
          <w:tab w:leader="none" w:pos="629" w:val="left"/>
        </w:tabs>
        <w:numPr>
          <w:ilvl w:val="0"/>
          <w:numId w:val="700"/>
        </w:numPr>
        <w:rPr>
          <w:rFonts w:ascii="Arial" w:cs="Arial" w:eastAsia="Arial" w:hAnsi="Arial"/>
          <w:sz w:val="17"/>
          <w:szCs w:val="17"/>
          <w:b w:val="1"/>
          <w:bCs w:val="1"/>
          <w:color w:val="auto"/>
        </w:rPr>
      </w:pPr>
      <w:r>
        <w:rPr>
          <w:rFonts w:ascii="Arial" w:cs="Arial" w:eastAsia="Arial" w:hAnsi="Arial"/>
          <w:sz w:val="17"/>
          <w:szCs w:val="17"/>
          <w:color w:val="auto"/>
        </w:rPr>
        <w:t>Unless otherwise defined, all initially capitalized terms in this Amendment shall be as defined in the Agreement. The Agreement, as amended hereby, shall be and remains in full force and effect in accordance with its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instruments, documents and agreements entered into in connection with the Agreement.</w:t>
      </w:r>
    </w:p>
    <w:p>
      <w:pPr>
        <w:spacing w:after="0" w:line="179" w:lineRule="exact"/>
        <w:rPr>
          <w:rFonts w:ascii="Arial" w:cs="Arial" w:eastAsia="Arial" w:hAnsi="Arial"/>
          <w:sz w:val="17"/>
          <w:szCs w:val="17"/>
          <w:b w:val="1"/>
          <w:bCs w:val="1"/>
          <w:color w:val="auto"/>
        </w:rPr>
      </w:pPr>
    </w:p>
    <w:p>
      <w:pPr>
        <w:ind w:right="860" w:firstLine="5"/>
        <w:spacing w:after="0" w:line="289" w:lineRule="auto"/>
        <w:tabs>
          <w:tab w:leader="none" w:pos="629" w:val="left"/>
        </w:tabs>
        <w:numPr>
          <w:ilvl w:val="0"/>
          <w:numId w:val="700"/>
        </w:numPr>
        <w:rPr>
          <w:rFonts w:ascii="Arial" w:cs="Arial" w:eastAsia="Arial" w:hAnsi="Arial"/>
          <w:sz w:val="17"/>
          <w:szCs w:val="17"/>
          <w:b w:val="1"/>
          <w:bCs w:val="1"/>
          <w:color w:val="auto"/>
        </w:rPr>
      </w:pPr>
      <w:r>
        <w:rPr>
          <w:rFonts w:ascii="Arial" w:cs="Arial" w:eastAsia="Arial" w:hAnsi="Arial"/>
          <w:sz w:val="17"/>
          <w:szCs w:val="17"/>
          <w:color w:val="auto"/>
        </w:rPr>
        <w:t>Borrower represents and warrants that the representations and warranties contained in the Agreement are true and correct as of the date of this Amendment, and that no Event of Default has occurred and is continuing other than the Existing Defaults.</w:t>
      </w:r>
    </w:p>
    <w:p>
      <w:pPr>
        <w:spacing w:after="0" w:line="158" w:lineRule="exact"/>
        <w:rPr>
          <w:rFonts w:ascii="Arial" w:cs="Arial" w:eastAsia="Arial" w:hAnsi="Arial"/>
          <w:sz w:val="17"/>
          <w:szCs w:val="17"/>
          <w:b w:val="1"/>
          <w:bCs w:val="1"/>
          <w:color w:val="auto"/>
        </w:rPr>
      </w:pPr>
    </w:p>
    <w:p>
      <w:pPr>
        <w:ind w:right="140" w:firstLine="5"/>
        <w:spacing w:after="0" w:line="289" w:lineRule="auto"/>
        <w:tabs>
          <w:tab w:leader="none" w:pos="625" w:val="left"/>
        </w:tabs>
        <w:numPr>
          <w:ilvl w:val="0"/>
          <w:numId w:val="700"/>
        </w:numPr>
        <w:rPr>
          <w:rFonts w:ascii="Arial" w:cs="Arial" w:eastAsia="Arial" w:hAnsi="Arial"/>
          <w:sz w:val="17"/>
          <w:szCs w:val="17"/>
          <w:b w:val="1"/>
          <w:bCs w:val="1"/>
          <w:color w:val="auto"/>
        </w:rPr>
      </w:pPr>
      <w:r>
        <w:rPr>
          <w:rFonts w:ascii="Arial" w:cs="Arial" w:eastAsia="Arial" w:hAnsi="Arial"/>
          <w:sz w:val="17"/>
          <w:szCs w:val="17"/>
          <w:color w:val="auto"/>
        </w:rPr>
        <w:t>This Amendment may be executed in two or more counterparts, each of which shall be deemed an original, but all of which together shall constitute one instrument.</w:t>
      </w:r>
    </w:p>
    <w:p>
      <w:pPr>
        <w:spacing w:after="0" w:line="158" w:lineRule="exact"/>
        <w:rPr>
          <w:rFonts w:ascii="Arial" w:cs="Arial" w:eastAsia="Arial" w:hAnsi="Arial"/>
          <w:sz w:val="17"/>
          <w:szCs w:val="17"/>
          <w:b w:val="1"/>
          <w:bCs w:val="1"/>
          <w:color w:val="auto"/>
        </w:rPr>
      </w:pPr>
    </w:p>
    <w:p>
      <w:pPr>
        <w:ind w:left="620" w:hanging="615"/>
        <w:spacing w:after="0"/>
        <w:tabs>
          <w:tab w:leader="none" w:pos="620" w:val="left"/>
        </w:tabs>
        <w:numPr>
          <w:ilvl w:val="0"/>
          <w:numId w:val="700"/>
        </w:numPr>
        <w:rPr>
          <w:rFonts w:ascii="Arial" w:cs="Arial" w:eastAsia="Arial" w:hAnsi="Arial"/>
          <w:sz w:val="17"/>
          <w:szCs w:val="17"/>
          <w:b w:val="1"/>
          <w:bCs w:val="1"/>
          <w:color w:val="auto"/>
        </w:rPr>
      </w:pPr>
      <w:r>
        <w:rPr>
          <w:rFonts w:ascii="Arial" w:cs="Arial" w:eastAsia="Arial" w:hAnsi="Arial"/>
          <w:sz w:val="17"/>
          <w:szCs w:val="17"/>
          <w:color w:val="auto"/>
        </w:rPr>
        <w:t>As a condition to the effectiveness of this Amendment, Bank shall have received, in form and substance satisfactory to Bank, the following:</w:t>
      </w:r>
    </w:p>
    <w:p>
      <w:pPr>
        <w:spacing w:after="0" w:line="224" w:lineRule="exact"/>
        <w:rPr>
          <w:rFonts w:ascii="Arial" w:cs="Arial" w:eastAsia="Arial" w:hAnsi="Arial"/>
          <w:sz w:val="17"/>
          <w:szCs w:val="17"/>
          <w:b w:val="1"/>
          <w:bCs w:val="1"/>
          <w:color w:val="auto"/>
        </w:rPr>
      </w:pPr>
    </w:p>
    <w:p>
      <w:pPr>
        <w:ind w:left="1260" w:hanging="626"/>
        <w:spacing w:after="0"/>
        <w:tabs>
          <w:tab w:leader="none" w:pos="1260" w:val="left"/>
        </w:tabs>
        <w:numPr>
          <w:ilvl w:val="1"/>
          <w:numId w:val="700"/>
        </w:numPr>
        <w:rPr>
          <w:rFonts w:ascii="Arial" w:cs="Arial" w:eastAsia="Arial" w:hAnsi="Arial"/>
          <w:sz w:val="17"/>
          <w:szCs w:val="17"/>
          <w:color w:val="auto"/>
        </w:rPr>
      </w:pPr>
      <w:r>
        <w:rPr>
          <w:rFonts w:ascii="Arial" w:cs="Arial" w:eastAsia="Arial" w:hAnsi="Arial"/>
          <w:sz w:val="17"/>
          <w:szCs w:val="17"/>
          <w:color w:val="auto"/>
        </w:rPr>
        <w:t>this Amendment, duly executed by Borrower;</w:t>
      </w:r>
    </w:p>
    <w:p>
      <w:pPr>
        <w:sectPr>
          <w:pgSz w:w="11900" w:h="16838" w:orient="portrait"/>
          <w:cols w:equalWidth="0" w:num="1">
            <w:col w:w="11420"/>
          </w:cols>
          <w:pgMar w:left="240" w:top="357" w:right="239" w:bottom="0" w:gutter="0" w:footer="0" w:header="0"/>
        </w:sectPr>
      </w:pPr>
    </w:p>
    <w:bookmarkStart w:id="422" w:name="page423"/>
    <w:bookmarkEnd w:id="422"/>
    <w:p>
      <w:pPr>
        <w:ind w:left="-100" w:firstLine="634"/>
        <w:spacing w:after="0" w:line="289" w:lineRule="auto"/>
        <w:tabs>
          <w:tab w:leader="none" w:pos="1166" w:val="left"/>
        </w:tabs>
        <w:numPr>
          <w:ilvl w:val="0"/>
          <w:numId w:val="701"/>
        </w:numPr>
        <w:rPr>
          <w:rFonts w:ascii="Arial" w:cs="Arial" w:eastAsia="Arial" w:hAnsi="Arial"/>
          <w:sz w:val="17"/>
          <w:szCs w:val="17"/>
          <w:color w:val="auto"/>
        </w:rPr>
      </w:pPr>
      <w:r>
        <w:rPr>
          <w:rFonts w:ascii="Arial" w:cs="Arial" w:eastAsia="Arial" w:hAnsi="Arial"/>
          <w:sz w:val="17"/>
          <w:szCs w:val="17"/>
          <w:color w:val="auto"/>
        </w:rPr>
        <w:t>payment in accordance with Section 5 above, along with payment an amendment fee of $2,000, any fees as are required by EXIM, and all Bank Expenses incurred through the date of this Amendment; and</w:t>
      </w:r>
    </w:p>
    <w:p>
      <w:pPr>
        <w:spacing w:after="0" w:line="158" w:lineRule="exact"/>
        <w:rPr>
          <w:rFonts w:ascii="Arial" w:cs="Arial" w:eastAsia="Arial" w:hAnsi="Arial"/>
          <w:sz w:val="17"/>
          <w:szCs w:val="17"/>
          <w:color w:val="auto"/>
        </w:rPr>
      </w:pPr>
    </w:p>
    <w:p>
      <w:pPr>
        <w:ind w:left="1180" w:hanging="646"/>
        <w:spacing w:after="0"/>
        <w:tabs>
          <w:tab w:leader="none" w:pos="1180" w:val="left"/>
        </w:tabs>
        <w:numPr>
          <w:ilvl w:val="0"/>
          <w:numId w:val="701"/>
        </w:numPr>
        <w:rPr>
          <w:rFonts w:ascii="Arial" w:cs="Arial" w:eastAsia="Arial" w:hAnsi="Arial"/>
          <w:sz w:val="17"/>
          <w:szCs w:val="17"/>
          <w:color w:val="auto"/>
        </w:rPr>
      </w:pPr>
      <w:r>
        <w:rPr>
          <w:rFonts w:ascii="Arial" w:cs="Arial" w:eastAsia="Arial" w:hAnsi="Arial"/>
          <w:sz w:val="17"/>
          <w:szCs w:val="17"/>
          <w:color w:val="auto"/>
        </w:rPr>
        <w:t>such other documents, and completion of such other matters, as Bank may reasonably deem necessary or appropriate.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214630</wp:posOffset>
            </wp:positionV>
            <wp:extent cx="7271385" cy="2921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IN WITNESS WHEREOF, the undersigned have executed this Amendment as of the first date above written.</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APPLIED OPTOELECTRONICS, INC.</w:t>
      </w:r>
    </w:p>
    <w:p>
      <w:pPr>
        <w:spacing w:after="0" w:line="200" w:lineRule="exact"/>
        <w:rPr>
          <w:sz w:val="20"/>
          <w:szCs w:val="20"/>
          <w:color w:val="auto"/>
        </w:rPr>
      </w:pP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17145</wp:posOffset>
            </wp:positionV>
            <wp:extent cx="337947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3379470" cy="8255"/>
                    </a:xfrm>
                    <a:prstGeom prst="rect">
                      <a:avLst/>
                    </a:prstGeom>
                    <a:noFill/>
                  </pic:spPr>
                </pic:pic>
              </a:graphicData>
            </a:graphic>
          </wp:anchor>
        </w:drawing>
      </w:r>
    </w:p>
    <w:p>
      <w:pPr>
        <w:spacing w:after="0" w:line="21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Title: CEO/President</w:t>
      </w:r>
    </w:p>
    <w:p>
      <w:pPr>
        <w:spacing w:after="0" w:line="200" w:lineRule="exact"/>
        <w:rPr>
          <w:sz w:val="20"/>
          <w:szCs w:val="20"/>
          <w:color w:val="auto"/>
        </w:rPr>
      </w:pP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EAST WEST BANK</w:t>
      </w:r>
    </w:p>
    <w:p>
      <w:pPr>
        <w:spacing w:after="0" w:line="200" w:lineRule="exact"/>
        <w:rPr>
          <w:sz w:val="20"/>
          <w:szCs w:val="20"/>
          <w:color w:val="auto"/>
        </w:rPr>
      </w:pP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Lisa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17145</wp:posOffset>
            </wp:positionV>
            <wp:extent cx="337947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3379470" cy="8255"/>
                    </a:xfrm>
                    <a:prstGeom prst="rect">
                      <a:avLst/>
                    </a:prstGeom>
                    <a:noFill/>
                  </pic:spPr>
                </pic:pic>
              </a:graphicData>
            </a:graphic>
          </wp:anchor>
        </w:drawing>
      </w:r>
    </w:p>
    <w:p>
      <w:pPr>
        <w:spacing w:after="0" w:line="21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Title: 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214630</wp:posOffset>
            </wp:positionV>
            <wp:extent cx="7271385" cy="2921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423" w:name="page424"/>
    <w:bookmarkEnd w:id="423"/>
    <w:p>
      <w:pPr>
        <w:jc w:val="right"/>
        <w:spacing w:after="0"/>
        <w:rPr>
          <w:sz w:val="20"/>
          <w:szCs w:val="20"/>
          <w:color w:val="auto"/>
        </w:rPr>
      </w:pPr>
      <w:r>
        <w:rPr>
          <w:rFonts w:ascii="Arial" w:cs="Arial" w:eastAsia="Arial" w:hAnsi="Arial"/>
          <w:sz w:val="17"/>
          <w:szCs w:val="17"/>
          <w:b w:val="1"/>
          <w:bCs w:val="1"/>
          <w:color w:val="auto"/>
        </w:rPr>
        <w:t>Exhibit 10.10.8</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EIGHTH AMENDMENT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AMENDED AND RESTATED LOAN AND SECURITY AGREEMENT</w:t>
      </w:r>
    </w:p>
    <w:p>
      <w:pPr>
        <w:spacing w:after="0" w:line="212" w:lineRule="exact"/>
        <w:rPr>
          <w:sz w:val="20"/>
          <w:szCs w:val="20"/>
          <w:color w:val="auto"/>
        </w:rPr>
      </w:pPr>
    </w:p>
    <w:p>
      <w:pPr>
        <w:ind w:right="200" w:firstLine="629"/>
        <w:spacing w:after="0" w:line="230" w:lineRule="auto"/>
        <w:rPr>
          <w:sz w:val="20"/>
          <w:szCs w:val="20"/>
          <w:color w:val="auto"/>
        </w:rPr>
      </w:pPr>
      <w:r>
        <w:rPr>
          <w:rFonts w:ascii="Arial" w:cs="Arial" w:eastAsia="Arial" w:hAnsi="Arial"/>
          <w:sz w:val="17"/>
          <w:szCs w:val="17"/>
          <w:color w:val="auto"/>
        </w:rPr>
        <w:t>This Eighth Amendment to Amended and Restated Loan and Security Agreement is entered into as of November 2</w:t>
      </w:r>
      <w:r>
        <w:rPr>
          <w:rFonts w:ascii="Arial" w:cs="Arial" w:eastAsia="Arial" w:hAnsi="Arial"/>
          <w:sz w:val="22"/>
          <w:szCs w:val="22"/>
          <w:color w:val="auto"/>
          <w:vertAlign w:val="superscript"/>
        </w:rPr>
        <w:t>nd</w:t>
      </w:r>
      <w:r>
        <w:rPr>
          <w:rFonts w:ascii="Arial" w:cs="Arial" w:eastAsia="Arial" w:hAnsi="Arial"/>
          <w:sz w:val="17"/>
          <w:szCs w:val="17"/>
          <w:color w:val="auto"/>
        </w:rPr>
        <w:t>, 2012 (the “Amendment”), by and between APPLIED OPTOELECTRONICS, INC. (“Borrower”) and EAST WEST BANK (“Bank”).</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ind w:right="20" w:firstLine="629"/>
        <w:spacing w:after="0" w:line="238" w:lineRule="auto"/>
        <w:rPr>
          <w:sz w:val="20"/>
          <w:szCs w:val="20"/>
          <w:color w:val="auto"/>
        </w:rPr>
      </w:pPr>
      <w:r>
        <w:rPr>
          <w:rFonts w:ascii="Arial" w:cs="Arial" w:eastAsia="Arial" w:hAnsi="Arial"/>
          <w:sz w:val="16"/>
          <w:szCs w:val="16"/>
          <w:color w:val="auto"/>
        </w:rPr>
        <w:t>Borrower and Bank are parties to that certain Amended and Restated Loan and Security Agreement dated as of May 20, 2009 and as amended from time to time including that certain First Amendment to Amended and Restated Loan and Security Agreement dated as of May 3</w:t>
      </w:r>
      <w:r>
        <w:rPr>
          <w:rFonts w:ascii="Arial" w:cs="Arial" w:eastAsia="Arial" w:hAnsi="Arial"/>
          <w:sz w:val="20"/>
          <w:szCs w:val="20"/>
          <w:color w:val="auto"/>
          <w:vertAlign w:val="superscript"/>
        </w:rPr>
        <w:t>rd</w:t>
      </w:r>
      <w:r>
        <w:rPr>
          <w:rFonts w:ascii="Arial" w:cs="Arial" w:eastAsia="Arial" w:hAnsi="Arial"/>
          <w:sz w:val="16"/>
          <w:szCs w:val="16"/>
          <w:color w:val="auto"/>
        </w:rPr>
        <w:t>, 2010, that certain Second Amendment to Amended and Restated Loan and Security Agreement dated as of October 28</w:t>
      </w:r>
      <w:r>
        <w:rPr>
          <w:rFonts w:ascii="Arial" w:cs="Arial" w:eastAsia="Arial" w:hAnsi="Arial"/>
          <w:sz w:val="20"/>
          <w:szCs w:val="20"/>
          <w:color w:val="auto"/>
          <w:vertAlign w:val="superscript"/>
        </w:rPr>
        <w:t>th</w:t>
      </w:r>
      <w:r>
        <w:rPr>
          <w:rFonts w:ascii="Arial" w:cs="Arial" w:eastAsia="Arial" w:hAnsi="Arial"/>
          <w:sz w:val="16"/>
          <w:szCs w:val="16"/>
          <w:color w:val="auto"/>
        </w:rPr>
        <w:t>, 2010, that certain Third Amendment to Amended and Restated Loan and Security Agreement dated as of December 6</w:t>
      </w:r>
      <w:r>
        <w:rPr>
          <w:rFonts w:ascii="Arial" w:cs="Arial" w:eastAsia="Arial" w:hAnsi="Arial"/>
          <w:sz w:val="20"/>
          <w:szCs w:val="20"/>
          <w:color w:val="auto"/>
          <w:vertAlign w:val="superscript"/>
        </w:rPr>
        <w:t>th</w:t>
      </w:r>
      <w:r>
        <w:rPr>
          <w:rFonts w:ascii="Arial" w:cs="Arial" w:eastAsia="Arial" w:hAnsi="Arial"/>
          <w:sz w:val="16"/>
          <w:szCs w:val="16"/>
          <w:color w:val="auto"/>
        </w:rPr>
        <w:t>, 2010, that certain Fourth Amendment to Amended and Restated Loan and Security Agreement dated as of May 5</w:t>
      </w:r>
      <w:r>
        <w:rPr>
          <w:rFonts w:ascii="Arial" w:cs="Arial" w:eastAsia="Arial" w:hAnsi="Arial"/>
          <w:sz w:val="20"/>
          <w:szCs w:val="20"/>
          <w:color w:val="auto"/>
          <w:vertAlign w:val="superscript"/>
        </w:rPr>
        <w:t>th</w:t>
      </w:r>
      <w:r>
        <w:rPr>
          <w:rFonts w:ascii="Arial" w:cs="Arial" w:eastAsia="Arial" w:hAnsi="Arial"/>
          <w:sz w:val="16"/>
          <w:szCs w:val="16"/>
          <w:color w:val="auto"/>
        </w:rPr>
        <w:t>, 2011, that certain letter dated September 30, 2011, that certain Fifth Amendment to Amended and Restated Loan and Security Agreement dated as of November 30</w:t>
      </w:r>
      <w:r>
        <w:rPr>
          <w:rFonts w:ascii="Arial" w:cs="Arial" w:eastAsia="Arial" w:hAnsi="Arial"/>
          <w:sz w:val="20"/>
          <w:szCs w:val="20"/>
          <w:color w:val="auto"/>
          <w:vertAlign w:val="superscript"/>
        </w:rPr>
        <w:t>th</w:t>
      </w:r>
      <w:r>
        <w:rPr>
          <w:rFonts w:ascii="Arial" w:cs="Arial" w:eastAsia="Arial" w:hAnsi="Arial"/>
          <w:sz w:val="16"/>
          <w:szCs w:val="16"/>
          <w:color w:val="auto"/>
        </w:rPr>
        <w:t>, 2011, that certain Sixth Amendment to Amended and Restated Loan and Security Agreement dated as of March 29</w:t>
      </w:r>
      <w:r>
        <w:rPr>
          <w:rFonts w:ascii="Arial" w:cs="Arial" w:eastAsia="Arial" w:hAnsi="Arial"/>
          <w:sz w:val="20"/>
          <w:szCs w:val="20"/>
          <w:color w:val="auto"/>
          <w:vertAlign w:val="superscript"/>
        </w:rPr>
        <w:t>th</w:t>
      </w:r>
      <w:r>
        <w:rPr>
          <w:rFonts w:ascii="Arial" w:cs="Arial" w:eastAsia="Arial" w:hAnsi="Arial"/>
          <w:sz w:val="16"/>
          <w:szCs w:val="16"/>
          <w:color w:val="auto"/>
        </w:rPr>
        <w:t>, 2012 and that certain Seventh Amendment to Amended and Restated Loan and Security Agreement dated as of June 29, 2012 (collectively, the “Agreement”). The parties desire to amend the Agreement in accordance with the terms of this Amendment.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the parties agree as follows:</w:t>
      </w:r>
    </w:p>
    <w:p>
      <w:pPr>
        <w:spacing w:after="0" w:line="224" w:lineRule="exact"/>
        <w:rPr>
          <w:sz w:val="20"/>
          <w:szCs w:val="20"/>
          <w:color w:val="auto"/>
        </w:rPr>
      </w:pPr>
    </w:p>
    <w:p>
      <w:pPr>
        <w:ind w:firstLine="5"/>
        <w:spacing w:after="0" w:line="273" w:lineRule="auto"/>
        <w:tabs>
          <w:tab w:leader="none" w:pos="629" w:val="left"/>
        </w:tabs>
        <w:numPr>
          <w:ilvl w:val="0"/>
          <w:numId w:val="702"/>
        </w:numPr>
        <w:rPr>
          <w:rFonts w:ascii="Arial" w:cs="Arial" w:eastAsia="Arial" w:hAnsi="Arial"/>
          <w:sz w:val="17"/>
          <w:szCs w:val="17"/>
          <w:b w:val="1"/>
          <w:bCs w:val="1"/>
          <w:color w:val="auto"/>
        </w:rPr>
      </w:pPr>
      <w:r>
        <w:rPr>
          <w:rFonts w:ascii="Arial" w:cs="Arial" w:eastAsia="Arial" w:hAnsi="Arial"/>
          <w:sz w:val="17"/>
          <w:szCs w:val="17"/>
          <w:color w:val="auto"/>
        </w:rPr>
        <w:t>Notwithstanding Section 6.2(a)(ii) of the Agreement, Bank waives the requirement that Borrower’s 2011 audited financial statements are delivered with an unqualified opinion from an independent certified public accounting firm, and accepts the 2011 audited financial statements previously delivered to Bank with a qualified opinion in satisfaction of the covenant set forth in Section 6.2(a)(ii) for the fiscal year ended 2011.</w:t>
      </w:r>
    </w:p>
    <w:p>
      <w:pPr>
        <w:spacing w:after="0" w:line="171" w:lineRule="exact"/>
        <w:rPr>
          <w:rFonts w:ascii="Arial" w:cs="Arial" w:eastAsia="Arial" w:hAnsi="Arial"/>
          <w:sz w:val="17"/>
          <w:szCs w:val="17"/>
          <w:b w:val="1"/>
          <w:bCs w:val="1"/>
          <w:color w:val="auto"/>
        </w:rPr>
      </w:pPr>
    </w:p>
    <w:p>
      <w:pPr>
        <w:ind w:right="140" w:firstLine="5"/>
        <w:spacing w:after="0" w:line="268" w:lineRule="auto"/>
        <w:tabs>
          <w:tab w:leader="none" w:pos="629" w:val="left"/>
        </w:tabs>
        <w:numPr>
          <w:ilvl w:val="0"/>
          <w:numId w:val="702"/>
        </w:numPr>
        <w:rPr>
          <w:rFonts w:ascii="Arial" w:cs="Arial" w:eastAsia="Arial" w:hAnsi="Arial"/>
          <w:sz w:val="17"/>
          <w:szCs w:val="17"/>
          <w:b w:val="1"/>
          <w:bCs w:val="1"/>
          <w:color w:val="auto"/>
        </w:rPr>
      </w:pPr>
      <w:r>
        <w:rPr>
          <w:rFonts w:ascii="Arial" w:cs="Arial" w:eastAsia="Arial" w:hAnsi="Arial"/>
          <w:sz w:val="17"/>
          <w:szCs w:val="17"/>
          <w:color w:val="auto"/>
        </w:rPr>
        <w:t>Bank consents to the incurrence of an aggregate of $16,000,000 of Indebtedness by Global Technology, Inc., a wholly owned subsidiary of Prime World International Holdings, Ltd. (which is a wholly owned subsidiary of Borrower), in connection with a credit facility from a bank or financial institution acceptable to Bank (the “GTI Debt”), provided that (i) Borrower is not a co-borrower or guarantor to the GTI Debt, or in any way obligated or liable with respect to the GTI Debt, (ii) none of Borrower’s assets shall be pledged or used to secure the GTI Debt, and (iii) Borrower shall not make any Investment into Global Technology, Inc. in support of the GTI Debt. Such consent is in replacement of (and not in addition to) the consent granted in that certain Second Amendment to Amended and Restated Loan and Security Agreement dated October 28</w:t>
      </w:r>
      <w:r>
        <w:rPr>
          <w:rFonts w:ascii="Arial" w:cs="Arial" w:eastAsia="Arial" w:hAnsi="Arial"/>
          <w:sz w:val="22"/>
          <w:szCs w:val="22"/>
          <w:color w:val="auto"/>
          <w:vertAlign w:val="superscript"/>
        </w:rPr>
        <w:t>th</w:t>
      </w:r>
      <w:r>
        <w:rPr>
          <w:rFonts w:ascii="Arial" w:cs="Arial" w:eastAsia="Arial" w:hAnsi="Arial"/>
          <w:sz w:val="17"/>
          <w:szCs w:val="17"/>
          <w:color w:val="auto"/>
        </w:rPr>
        <w:t>, 2010.</w:t>
      </w:r>
    </w:p>
    <w:p>
      <w:pPr>
        <w:spacing w:after="0" w:line="94" w:lineRule="exact"/>
        <w:rPr>
          <w:rFonts w:ascii="Arial" w:cs="Arial" w:eastAsia="Arial" w:hAnsi="Arial"/>
          <w:sz w:val="17"/>
          <w:szCs w:val="17"/>
          <w:b w:val="1"/>
          <w:bCs w:val="1"/>
          <w:color w:val="auto"/>
        </w:rPr>
      </w:pPr>
    </w:p>
    <w:p>
      <w:pPr>
        <w:ind w:left="640" w:hanging="635"/>
        <w:spacing w:after="0"/>
        <w:tabs>
          <w:tab w:leader="none" w:pos="640" w:val="left"/>
        </w:tabs>
        <w:numPr>
          <w:ilvl w:val="0"/>
          <w:numId w:val="702"/>
        </w:numPr>
        <w:rPr>
          <w:rFonts w:ascii="Arial" w:cs="Arial" w:eastAsia="Arial" w:hAnsi="Arial"/>
          <w:sz w:val="17"/>
          <w:szCs w:val="17"/>
          <w:b w:val="1"/>
          <w:bCs w:val="1"/>
          <w:color w:val="auto"/>
        </w:rPr>
      </w:pPr>
      <w:r>
        <w:rPr>
          <w:rFonts w:ascii="Arial" w:cs="Arial" w:eastAsia="Arial" w:hAnsi="Arial"/>
          <w:sz w:val="17"/>
          <w:szCs w:val="17"/>
          <w:color w:val="auto"/>
        </w:rPr>
        <w:t>The following defined terms set forth in Section 1.1 of the Agreement are amended and restated in their entirety to read as follows: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“EXIM Maturity Date” means November 15, 2013.</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“Revolving Line Maturity Date” means November 15, 2013.</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“Revolving Line II” means a Credit Extension of up to three million five hundred thousand dollars ($3,500,000).</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“Revolving Line II Maturity Date” means November 15, 2013.</w:t>
      </w:r>
    </w:p>
    <w:p>
      <w:pPr>
        <w:spacing w:after="0" w:line="224" w:lineRule="exact"/>
        <w:rPr>
          <w:sz w:val="20"/>
          <w:szCs w:val="20"/>
          <w:color w:val="auto"/>
        </w:rPr>
      </w:pPr>
    </w:p>
    <w:p>
      <w:pPr>
        <w:ind w:left="640" w:hanging="635"/>
        <w:spacing w:after="0"/>
        <w:tabs>
          <w:tab w:leader="none" w:pos="640" w:val="left"/>
        </w:tabs>
        <w:numPr>
          <w:ilvl w:val="0"/>
          <w:numId w:val="703"/>
        </w:numPr>
        <w:rPr>
          <w:rFonts w:ascii="Arial" w:cs="Arial" w:eastAsia="Arial" w:hAnsi="Arial"/>
          <w:sz w:val="16"/>
          <w:szCs w:val="16"/>
          <w:b w:val="1"/>
          <w:bCs w:val="1"/>
          <w:color w:val="auto"/>
        </w:rPr>
      </w:pPr>
      <w:r>
        <w:rPr>
          <w:rFonts w:ascii="Arial" w:cs="Arial" w:eastAsia="Arial" w:hAnsi="Arial"/>
          <w:sz w:val="16"/>
          <w:szCs w:val="16"/>
          <w:color w:val="auto"/>
        </w:rPr>
        <w:t>Clause (c) of the definition of “Eligible Accounts” set forth in Section 1.1 of the Agreement is amended and restated in its entirety to read as follows:</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30" w:lineRule="exact"/>
        <w:rPr>
          <w:rFonts w:ascii="Arial" w:cs="Arial" w:eastAsia="Arial" w:hAnsi="Arial"/>
          <w:sz w:val="16"/>
          <w:szCs w:val="16"/>
          <w:b w:val="1"/>
          <w:bCs w:val="1"/>
          <w:color w:val="auto"/>
        </w:rPr>
      </w:pPr>
    </w:p>
    <w:p>
      <w:pPr>
        <w:ind w:left="1260" w:right="140" w:firstLine="3"/>
        <w:spacing w:after="0" w:line="265" w:lineRule="auto"/>
        <w:tabs>
          <w:tab w:leader="none" w:pos="1899" w:val="left"/>
        </w:tabs>
        <w:numPr>
          <w:ilvl w:val="1"/>
          <w:numId w:val="703"/>
        </w:numPr>
        <w:rPr>
          <w:rFonts w:ascii="Arial" w:cs="Arial" w:eastAsia="Arial" w:hAnsi="Arial"/>
          <w:sz w:val="17"/>
          <w:szCs w:val="17"/>
          <w:color w:val="auto"/>
        </w:rPr>
      </w:pPr>
      <w:r>
        <w:rPr>
          <w:rFonts w:ascii="Arial" w:cs="Arial" w:eastAsia="Arial" w:hAnsi="Arial"/>
          <w:sz w:val="17"/>
          <w:szCs w:val="17"/>
          <w:color w:val="auto"/>
        </w:rPr>
        <w:t>Accounts with respect to an account debtor, including Subsidiaries and Affiliates, whose total obligations to Borrower exceed twenty five percent (25%) of all Accounts (the “Concentration Limit”), to the extent such obligations exceed the aforementioned percentage, except as approved in writing by Bank, provided however that the Concentration Limit for Accounts with respect to which the account debtor is Cisco/Scientific-Atlanta shall be sixty percent (60%) and the Concentration Limit for Accounts with respect to which the account debtor is Google/Motorola shall be forty percent (40%);</w:t>
      </w:r>
    </w:p>
    <w:p>
      <w:pPr>
        <w:spacing w:after="0" w:line="179" w:lineRule="exact"/>
        <w:rPr>
          <w:rFonts w:ascii="Arial" w:cs="Arial" w:eastAsia="Arial" w:hAnsi="Arial"/>
          <w:sz w:val="17"/>
          <w:szCs w:val="17"/>
          <w:color w:val="auto"/>
        </w:rPr>
      </w:pPr>
    </w:p>
    <w:p>
      <w:pPr>
        <w:ind w:left="640" w:hanging="635"/>
        <w:spacing w:after="0"/>
        <w:tabs>
          <w:tab w:leader="none" w:pos="640" w:val="left"/>
        </w:tabs>
        <w:numPr>
          <w:ilvl w:val="0"/>
          <w:numId w:val="703"/>
        </w:numPr>
        <w:rPr>
          <w:rFonts w:ascii="Arial" w:cs="Arial" w:eastAsia="Arial" w:hAnsi="Arial"/>
          <w:sz w:val="16"/>
          <w:szCs w:val="16"/>
          <w:b w:val="1"/>
          <w:bCs w:val="1"/>
          <w:color w:val="auto"/>
        </w:rPr>
      </w:pPr>
      <w:r>
        <w:rPr>
          <w:rFonts w:ascii="Arial" w:cs="Arial" w:eastAsia="Arial" w:hAnsi="Arial"/>
          <w:sz w:val="16"/>
          <w:szCs w:val="16"/>
          <w:color w:val="auto"/>
        </w:rPr>
        <w:t>Clause (c) of the definition of “Permitted Investment” set forth in Section 1.1 of the Agreement is amended and restated in its entirety to read as follows:</w:t>
      </w:r>
    </w:p>
    <w:p>
      <w:pPr>
        <w:spacing w:after="0" w:line="235" w:lineRule="exact"/>
        <w:rPr>
          <w:rFonts w:ascii="Arial" w:cs="Arial" w:eastAsia="Arial" w:hAnsi="Arial"/>
          <w:sz w:val="16"/>
          <w:szCs w:val="16"/>
          <w:b w:val="1"/>
          <w:bCs w:val="1"/>
          <w:color w:val="auto"/>
        </w:rPr>
      </w:pPr>
    </w:p>
    <w:p>
      <w:pPr>
        <w:ind w:left="1900" w:hanging="637"/>
        <w:spacing w:after="0"/>
        <w:tabs>
          <w:tab w:leader="none" w:pos="1900" w:val="left"/>
        </w:tabs>
        <w:numPr>
          <w:ilvl w:val="1"/>
          <w:numId w:val="703"/>
        </w:numPr>
        <w:rPr>
          <w:rFonts w:ascii="Arial" w:cs="Arial" w:eastAsia="Arial" w:hAnsi="Arial"/>
          <w:sz w:val="17"/>
          <w:szCs w:val="17"/>
          <w:color w:val="auto"/>
        </w:rPr>
      </w:pPr>
      <w:r>
        <w:rPr>
          <w:rFonts w:ascii="Arial" w:cs="Arial" w:eastAsia="Arial" w:hAnsi="Arial"/>
          <w:sz w:val="17"/>
          <w:szCs w:val="17"/>
          <w:color w:val="auto"/>
        </w:rPr>
        <w:t>[Intentionally Deleted.]</w:t>
      </w:r>
    </w:p>
    <w:p>
      <w:pPr>
        <w:spacing w:after="0" w:line="224" w:lineRule="exact"/>
        <w:rPr>
          <w:rFonts w:ascii="Arial" w:cs="Arial" w:eastAsia="Arial" w:hAnsi="Arial"/>
          <w:sz w:val="17"/>
          <w:szCs w:val="17"/>
          <w:color w:val="auto"/>
        </w:rPr>
      </w:pPr>
    </w:p>
    <w:p>
      <w:pPr>
        <w:ind w:left="640" w:hanging="635"/>
        <w:spacing w:after="0"/>
        <w:tabs>
          <w:tab w:leader="none" w:pos="640" w:val="left"/>
        </w:tabs>
        <w:numPr>
          <w:ilvl w:val="0"/>
          <w:numId w:val="703"/>
        </w:numPr>
        <w:rPr>
          <w:rFonts w:ascii="Arial" w:cs="Arial" w:eastAsia="Arial" w:hAnsi="Arial"/>
          <w:sz w:val="17"/>
          <w:szCs w:val="17"/>
          <w:b w:val="1"/>
          <w:bCs w:val="1"/>
          <w:color w:val="auto"/>
        </w:rPr>
      </w:pPr>
      <w:r>
        <w:rPr>
          <w:rFonts w:ascii="Arial" w:cs="Arial" w:eastAsia="Arial" w:hAnsi="Arial"/>
          <w:sz w:val="17"/>
          <w:szCs w:val="17"/>
          <w:color w:val="auto"/>
        </w:rPr>
        <w:t>The first sentence in Section 2.3(a) of the Agreement is amended and restated in its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-1824355</wp:posOffset>
            </wp:positionV>
            <wp:extent cx="7271385" cy="2921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4" w:lineRule="exact"/>
        <w:rPr>
          <w:sz w:val="20"/>
          <w:szCs w:val="20"/>
          <w:color w:val="auto"/>
        </w:rPr>
      </w:pPr>
    </w:p>
    <w:p>
      <w:pPr>
        <w:jc w:val="both"/>
        <w:ind w:left="1260" w:right="160"/>
        <w:spacing w:after="0" w:line="273" w:lineRule="auto"/>
        <w:rPr>
          <w:sz w:val="20"/>
          <w:szCs w:val="20"/>
          <w:color w:val="auto"/>
        </w:rPr>
      </w:pPr>
      <w:r>
        <w:rPr>
          <w:rFonts w:ascii="Arial" w:cs="Arial" w:eastAsia="Arial" w:hAnsi="Arial"/>
          <w:sz w:val="17"/>
          <w:szCs w:val="17"/>
          <w:color w:val="auto"/>
        </w:rPr>
        <w:t>Except as set forth in Section 2.3(b), the outstanding principal balance of each Revolving Advance, Equipment Advance, EXIM Advance and Line II Advance shall bear interest at a variable rate per annum equal to the Prime Rate plus 1.25%, provided however, that at no time shall the interest rate applied to any such Credit Extension be less than 4.5% per annum.</w:t>
      </w:r>
    </w:p>
    <w:p>
      <w:pPr>
        <w:spacing w:after="0" w:line="172" w:lineRule="exact"/>
        <w:rPr>
          <w:sz w:val="20"/>
          <w:szCs w:val="20"/>
          <w:color w:val="auto"/>
        </w:rPr>
      </w:pPr>
    </w:p>
    <w:p>
      <w:pPr>
        <w:ind w:left="640" w:hanging="635"/>
        <w:spacing w:after="0"/>
        <w:tabs>
          <w:tab w:leader="none" w:pos="640" w:val="left"/>
        </w:tabs>
        <w:numPr>
          <w:ilvl w:val="0"/>
          <w:numId w:val="704"/>
        </w:numPr>
        <w:rPr>
          <w:rFonts w:ascii="Arial" w:cs="Arial" w:eastAsia="Arial" w:hAnsi="Arial"/>
          <w:sz w:val="17"/>
          <w:szCs w:val="17"/>
          <w:b w:val="1"/>
          <w:bCs w:val="1"/>
          <w:color w:val="auto"/>
        </w:rPr>
      </w:pPr>
      <w:r>
        <w:rPr>
          <w:rFonts w:ascii="Arial" w:cs="Arial" w:eastAsia="Arial" w:hAnsi="Arial"/>
          <w:sz w:val="17"/>
          <w:szCs w:val="17"/>
          <w:color w:val="auto"/>
        </w:rPr>
        <w:t>Section 6.4 of the Agreement is amended and restated in its entirety to read as follows:</w:t>
      </w:r>
    </w:p>
    <w:p>
      <w:pPr>
        <w:spacing w:after="0" w:line="224" w:lineRule="exact"/>
        <w:rPr>
          <w:sz w:val="20"/>
          <w:szCs w:val="20"/>
          <w:color w:val="auto"/>
        </w:rPr>
      </w:pPr>
    </w:p>
    <w:p>
      <w:pPr>
        <w:jc w:val="both"/>
        <w:ind w:left="1260"/>
        <w:spacing w:after="0" w:line="273" w:lineRule="auto"/>
        <w:rPr>
          <w:sz w:val="20"/>
          <w:szCs w:val="20"/>
          <w:color w:val="auto"/>
        </w:rPr>
      </w:pPr>
      <w:r>
        <w:rPr>
          <w:rFonts w:ascii="Arial" w:cs="Arial" w:eastAsia="Arial" w:hAnsi="Arial"/>
          <w:sz w:val="17"/>
          <w:szCs w:val="17"/>
          <w:color w:val="auto"/>
        </w:rPr>
        <w:t>6.4 Adjusted Current Ratio. Borrower shall maintain, as of the last day of each month, a ratio of Borrower’s unrestricted cash maintained at Bank plus Accounts billed in the United States to all Obligations (not including the Real Estate Advance) owing to Bank (the “Adjusted Current Ratio”) equal to or greater than 1.15 to 1.00.</w:t>
      </w:r>
    </w:p>
    <w:p>
      <w:pPr>
        <w:spacing w:after="0" w:line="172" w:lineRule="exact"/>
        <w:rPr>
          <w:sz w:val="20"/>
          <w:szCs w:val="20"/>
          <w:color w:val="auto"/>
        </w:rPr>
      </w:pPr>
    </w:p>
    <w:p>
      <w:pPr>
        <w:ind w:left="640" w:hanging="635"/>
        <w:spacing w:after="0"/>
        <w:tabs>
          <w:tab w:leader="none" w:pos="640" w:val="left"/>
        </w:tabs>
        <w:numPr>
          <w:ilvl w:val="0"/>
          <w:numId w:val="705"/>
        </w:numPr>
        <w:rPr>
          <w:rFonts w:ascii="Arial" w:cs="Arial" w:eastAsia="Arial" w:hAnsi="Arial"/>
          <w:sz w:val="17"/>
          <w:szCs w:val="17"/>
          <w:b w:val="1"/>
          <w:bCs w:val="1"/>
          <w:color w:val="auto"/>
        </w:rPr>
      </w:pPr>
      <w:r>
        <w:rPr>
          <w:rFonts w:ascii="Arial" w:cs="Arial" w:eastAsia="Arial" w:hAnsi="Arial"/>
          <w:sz w:val="17"/>
          <w:szCs w:val="17"/>
          <w:color w:val="auto"/>
        </w:rPr>
        <w:t>Section 6.15 of the Agreement is amended in its entirety to read as follows:</w:t>
      </w:r>
    </w:p>
    <w:p>
      <w:pPr>
        <w:spacing w:after="0" w:line="224" w:lineRule="exact"/>
        <w:rPr>
          <w:sz w:val="20"/>
          <w:szCs w:val="20"/>
          <w:color w:val="auto"/>
        </w:rPr>
      </w:pPr>
    </w:p>
    <w:p>
      <w:pPr>
        <w:ind w:left="1260" w:right="40"/>
        <w:spacing w:after="0" w:line="298" w:lineRule="auto"/>
        <w:rPr>
          <w:sz w:val="20"/>
          <w:szCs w:val="20"/>
          <w:color w:val="auto"/>
        </w:rPr>
      </w:pPr>
      <w:r>
        <w:rPr>
          <w:rFonts w:ascii="Arial" w:cs="Arial" w:eastAsia="Arial" w:hAnsi="Arial"/>
          <w:sz w:val="16"/>
          <w:szCs w:val="16"/>
          <w:color w:val="auto"/>
        </w:rPr>
        <w:t>6.15 Minimum Debt Service Coverage. Borrower shall maintain a minimum ratio of EBITDASO on a consolidated basis for the trailing four quarter period to the sum of (x) all accrued interest payable in the same four quarter period plus (y) all principal payable in the same four quarter period on any Indebtedness (not including principal outstanding on any revolving lines of credit) owing by Borrower and its Subsidiaries</w:t>
      </w:r>
    </w:p>
    <w:p>
      <w:pPr>
        <w:sectPr>
          <w:pgSz w:w="11900" w:h="16838" w:orient="portrait"/>
          <w:cols w:equalWidth="0" w:num="1">
            <w:col w:w="11420"/>
          </w:cols>
          <w:pgMar w:left="240" w:top="357" w:right="239" w:bottom="0" w:gutter="0" w:footer="0" w:header="0"/>
        </w:sectPr>
      </w:pPr>
    </w:p>
    <w:bookmarkStart w:id="424" w:name="page425"/>
    <w:bookmarkEnd w:id="424"/>
    <w:p>
      <w:pPr>
        <w:ind w:left="1260"/>
        <w:spacing w:after="0" w:line="268" w:lineRule="auto"/>
        <w:rPr>
          <w:sz w:val="20"/>
          <w:szCs w:val="20"/>
          <w:color w:val="auto"/>
        </w:rPr>
      </w:pPr>
      <w:r>
        <w:rPr>
          <w:rFonts w:ascii="Arial" w:cs="Arial" w:eastAsia="Arial" w:hAnsi="Arial"/>
          <w:sz w:val="17"/>
          <w:szCs w:val="17"/>
          <w:color w:val="auto"/>
        </w:rPr>
        <w:t>to Bank or other financial institutions, of at least 1.00 to 1.00 (the “DSC Ratio”), measured on a quarterly basis. Notwithstanding the foregoing, Borrower’s failure to maintain the DSC Ratio shall not constitute an Event of Default if, within 60 days after the reporting period of such failure, Borrower receives cash proceeds from the sale and issuance of its equity and/or Subordinated Debt securities in an amount no less than the shortfall amount that caused Borrower’s failure to maintain the DSC Ratio.</w:t>
      </w:r>
    </w:p>
    <w:p>
      <w:pPr>
        <w:spacing w:after="0" w:line="176" w:lineRule="exact"/>
        <w:rPr>
          <w:sz w:val="20"/>
          <w:szCs w:val="20"/>
          <w:color w:val="auto"/>
        </w:rPr>
      </w:pPr>
    </w:p>
    <w:p>
      <w:pPr>
        <w:ind w:left="640" w:hanging="635"/>
        <w:spacing w:after="0"/>
        <w:tabs>
          <w:tab w:leader="none" w:pos="640" w:val="left"/>
        </w:tabs>
        <w:numPr>
          <w:ilvl w:val="0"/>
          <w:numId w:val="706"/>
        </w:numPr>
        <w:rPr>
          <w:rFonts w:ascii="Arial" w:cs="Arial" w:eastAsia="Arial" w:hAnsi="Arial"/>
          <w:sz w:val="17"/>
          <w:szCs w:val="17"/>
          <w:b w:val="1"/>
          <w:bCs w:val="1"/>
          <w:color w:val="auto"/>
        </w:rPr>
      </w:pPr>
      <w:r>
        <w:rPr>
          <w:rFonts w:ascii="Arial" w:cs="Arial" w:eastAsia="Arial" w:hAnsi="Arial"/>
          <w:sz w:val="17"/>
          <w:szCs w:val="17"/>
          <w:color w:val="auto"/>
        </w:rPr>
        <w:t>Section 6.16 of the Agreement is amended and restated in its entirety to read as follows:</w:t>
      </w:r>
    </w:p>
    <w:p>
      <w:pPr>
        <w:spacing w:after="0" w:line="22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6.16</w:t>
      </w:r>
      <w:r>
        <w:rPr>
          <w:sz w:val="20"/>
          <w:szCs w:val="20"/>
          <w:color w:val="auto"/>
        </w:rPr>
        <w:tab/>
      </w:r>
      <w:r>
        <w:rPr>
          <w:rFonts w:ascii="Arial" w:cs="Arial" w:eastAsia="Arial" w:hAnsi="Arial"/>
          <w:sz w:val="16"/>
          <w:szCs w:val="16"/>
          <w:color w:val="auto"/>
        </w:rPr>
        <w:t>Minimum Cash. Borrower shall maintain, at all times, unrestricted cash in accounts at Bank of at least $4,000,000.</w:t>
      </w:r>
    </w:p>
    <w:p>
      <w:pPr>
        <w:spacing w:after="0" w:line="224" w:lineRule="exact"/>
        <w:rPr>
          <w:sz w:val="20"/>
          <w:szCs w:val="20"/>
          <w:color w:val="auto"/>
        </w:rPr>
      </w:pPr>
    </w:p>
    <w:p>
      <w:pPr>
        <w:ind w:right="120" w:firstLine="5"/>
        <w:spacing w:after="0" w:line="268" w:lineRule="auto"/>
        <w:tabs>
          <w:tab w:leader="none" w:pos="625" w:val="left"/>
        </w:tabs>
        <w:numPr>
          <w:ilvl w:val="0"/>
          <w:numId w:val="707"/>
        </w:numPr>
        <w:rPr>
          <w:rFonts w:ascii="Arial" w:cs="Arial" w:eastAsia="Arial" w:hAnsi="Arial"/>
          <w:sz w:val="17"/>
          <w:szCs w:val="17"/>
          <w:b w:val="1"/>
          <w:bCs w:val="1"/>
          <w:color w:val="auto"/>
        </w:rPr>
      </w:pPr>
      <w:r>
        <w:rPr>
          <w:rFonts w:ascii="Arial" w:cs="Arial" w:eastAsia="Arial" w:hAnsi="Arial"/>
          <w:sz w:val="17"/>
          <w:szCs w:val="17"/>
          <w:color w:val="auto"/>
        </w:rPr>
        <w:t>Unless otherwise defined, all initially capitalized terms in this Amendment shall be as defined in the Agreement. The Agreement, as amended hereby, shall be and remains in full force and effect in accordance with its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7271385" cy="2921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continuing effectiveness of all instruments, documents and agreements entered into in connection with the Agreement.</w:t>
      </w:r>
    </w:p>
    <w:p>
      <w:pPr>
        <w:spacing w:after="0" w:line="224" w:lineRule="exact"/>
        <w:rPr>
          <w:sz w:val="20"/>
          <w:szCs w:val="20"/>
          <w:color w:val="auto"/>
        </w:rPr>
      </w:pPr>
    </w:p>
    <w:p>
      <w:pPr>
        <w:ind w:right="860" w:firstLine="5"/>
        <w:spacing w:after="0" w:line="289" w:lineRule="auto"/>
        <w:tabs>
          <w:tab w:leader="none" w:pos="615" w:val="left"/>
        </w:tabs>
        <w:numPr>
          <w:ilvl w:val="0"/>
          <w:numId w:val="708"/>
        </w:numPr>
        <w:rPr>
          <w:rFonts w:ascii="Arial" w:cs="Arial" w:eastAsia="Arial" w:hAnsi="Arial"/>
          <w:sz w:val="17"/>
          <w:szCs w:val="17"/>
          <w:b w:val="1"/>
          <w:bCs w:val="1"/>
          <w:color w:val="auto"/>
        </w:rPr>
      </w:pPr>
      <w:r>
        <w:rPr>
          <w:rFonts w:ascii="Arial" w:cs="Arial" w:eastAsia="Arial" w:hAnsi="Arial"/>
          <w:sz w:val="17"/>
          <w:szCs w:val="17"/>
          <w:color w:val="auto"/>
        </w:rPr>
        <w:t>Borrower represents and warrants that the representations and warranties contained in the Agreement are true and correct as of the date of this Amendment, and that no Event of Default has occurred and is continuing.</w:t>
      </w:r>
    </w:p>
    <w:p>
      <w:pPr>
        <w:spacing w:after="0" w:line="158" w:lineRule="exact"/>
        <w:rPr>
          <w:rFonts w:ascii="Arial" w:cs="Arial" w:eastAsia="Arial" w:hAnsi="Arial"/>
          <w:sz w:val="17"/>
          <w:szCs w:val="17"/>
          <w:b w:val="1"/>
          <w:bCs w:val="1"/>
          <w:color w:val="auto"/>
        </w:rPr>
      </w:pPr>
    </w:p>
    <w:p>
      <w:pPr>
        <w:ind w:right="120" w:firstLine="5"/>
        <w:spacing w:after="0" w:line="289" w:lineRule="auto"/>
        <w:tabs>
          <w:tab w:leader="none" w:pos="625" w:val="left"/>
        </w:tabs>
        <w:numPr>
          <w:ilvl w:val="0"/>
          <w:numId w:val="708"/>
        </w:numPr>
        <w:rPr>
          <w:rFonts w:ascii="Arial" w:cs="Arial" w:eastAsia="Arial" w:hAnsi="Arial"/>
          <w:sz w:val="17"/>
          <w:szCs w:val="17"/>
          <w:b w:val="1"/>
          <w:bCs w:val="1"/>
          <w:color w:val="auto"/>
        </w:rPr>
      </w:pPr>
      <w:r>
        <w:rPr>
          <w:rFonts w:ascii="Arial" w:cs="Arial" w:eastAsia="Arial" w:hAnsi="Arial"/>
          <w:sz w:val="17"/>
          <w:szCs w:val="17"/>
          <w:color w:val="auto"/>
        </w:rPr>
        <w:t>This Amendment may be executed in two or more counterparts, each of which shall be deemed an original, but all of which together shall constitute one instrument.</w:t>
      </w:r>
    </w:p>
    <w:p>
      <w:pPr>
        <w:spacing w:after="0" w:line="158" w:lineRule="exact"/>
        <w:rPr>
          <w:rFonts w:ascii="Arial" w:cs="Arial" w:eastAsia="Arial" w:hAnsi="Arial"/>
          <w:sz w:val="17"/>
          <w:szCs w:val="17"/>
          <w:b w:val="1"/>
          <w:bCs w:val="1"/>
          <w:color w:val="auto"/>
        </w:rPr>
      </w:pPr>
    </w:p>
    <w:p>
      <w:pPr>
        <w:ind w:left="620" w:hanging="615"/>
        <w:spacing w:after="0"/>
        <w:tabs>
          <w:tab w:leader="none" w:pos="620" w:val="left"/>
        </w:tabs>
        <w:numPr>
          <w:ilvl w:val="0"/>
          <w:numId w:val="708"/>
        </w:numPr>
        <w:rPr>
          <w:rFonts w:ascii="Arial" w:cs="Arial" w:eastAsia="Arial" w:hAnsi="Arial"/>
          <w:sz w:val="17"/>
          <w:szCs w:val="17"/>
          <w:b w:val="1"/>
          <w:bCs w:val="1"/>
          <w:color w:val="auto"/>
        </w:rPr>
      </w:pPr>
      <w:r>
        <w:rPr>
          <w:rFonts w:ascii="Arial" w:cs="Arial" w:eastAsia="Arial" w:hAnsi="Arial"/>
          <w:sz w:val="17"/>
          <w:szCs w:val="17"/>
          <w:color w:val="auto"/>
        </w:rPr>
        <w:t>As a condition to the effectiveness of this Amendment, Bank shall have received, in form and substance satisfactory to Bank, the following:</w:t>
      </w:r>
    </w:p>
    <w:p>
      <w:pPr>
        <w:spacing w:after="0" w:line="224" w:lineRule="exact"/>
        <w:rPr>
          <w:rFonts w:ascii="Arial" w:cs="Arial" w:eastAsia="Arial" w:hAnsi="Arial"/>
          <w:sz w:val="17"/>
          <w:szCs w:val="17"/>
          <w:b w:val="1"/>
          <w:bCs w:val="1"/>
          <w:color w:val="auto"/>
        </w:rPr>
      </w:pPr>
    </w:p>
    <w:p>
      <w:pPr>
        <w:ind w:left="1260" w:hanging="626"/>
        <w:spacing w:after="0"/>
        <w:tabs>
          <w:tab w:leader="none" w:pos="1260" w:val="left"/>
        </w:tabs>
        <w:numPr>
          <w:ilvl w:val="1"/>
          <w:numId w:val="708"/>
        </w:numPr>
        <w:rPr>
          <w:rFonts w:ascii="Arial" w:cs="Arial" w:eastAsia="Arial" w:hAnsi="Arial"/>
          <w:sz w:val="17"/>
          <w:szCs w:val="17"/>
          <w:color w:val="auto"/>
        </w:rPr>
      </w:pPr>
      <w:r>
        <w:rPr>
          <w:rFonts w:ascii="Arial" w:cs="Arial" w:eastAsia="Arial" w:hAnsi="Arial"/>
          <w:sz w:val="17"/>
          <w:szCs w:val="17"/>
          <w:color w:val="auto"/>
        </w:rPr>
        <w:t>this Amendment, duly executed by Borrower;</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1"/>
          <w:numId w:val="708"/>
        </w:numPr>
        <w:rPr>
          <w:rFonts w:ascii="Arial" w:cs="Arial" w:eastAsia="Arial" w:hAnsi="Arial"/>
          <w:sz w:val="17"/>
          <w:szCs w:val="17"/>
          <w:color w:val="auto"/>
        </w:rPr>
      </w:pPr>
      <w:r>
        <w:rPr>
          <w:rFonts w:ascii="Arial" w:cs="Arial" w:eastAsia="Arial" w:hAnsi="Arial"/>
          <w:sz w:val="17"/>
          <w:szCs w:val="17"/>
          <w:color w:val="auto"/>
        </w:rPr>
        <w:t>Warrant to Purchase Borrower’s Series G Preferred Stock;</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1"/>
          <w:numId w:val="708"/>
        </w:numPr>
        <w:rPr>
          <w:rFonts w:ascii="Arial" w:cs="Arial" w:eastAsia="Arial" w:hAnsi="Arial"/>
          <w:sz w:val="15"/>
          <w:szCs w:val="15"/>
          <w:color w:val="auto"/>
        </w:rPr>
      </w:pPr>
      <w:r>
        <w:rPr>
          <w:rFonts w:ascii="Arial" w:cs="Arial" w:eastAsia="Arial" w:hAnsi="Arial"/>
          <w:sz w:val="15"/>
          <w:szCs w:val="15"/>
          <w:color w:val="auto"/>
        </w:rPr>
        <w:t>payment an amendment fee of $13,125, any fees as are required by EXIM, and all Bank Expenses incurred through the date of this Amendment;</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and</w:t>
      </w:r>
    </w:p>
    <w:p>
      <w:pPr>
        <w:spacing w:after="0" w:line="212" w:lineRule="exact"/>
        <w:rPr>
          <w:rFonts w:ascii="Arial" w:cs="Arial" w:eastAsia="Arial" w:hAnsi="Arial"/>
          <w:sz w:val="15"/>
          <w:szCs w:val="15"/>
          <w:color w:val="auto"/>
        </w:rPr>
      </w:pPr>
    </w:p>
    <w:p>
      <w:pPr>
        <w:ind w:left="1280" w:hanging="646"/>
        <w:spacing w:after="0"/>
        <w:tabs>
          <w:tab w:leader="none" w:pos="1280" w:val="left"/>
        </w:tabs>
        <w:numPr>
          <w:ilvl w:val="1"/>
          <w:numId w:val="708"/>
        </w:numPr>
        <w:rPr>
          <w:rFonts w:ascii="Arial" w:cs="Arial" w:eastAsia="Arial" w:hAnsi="Arial"/>
          <w:sz w:val="17"/>
          <w:szCs w:val="17"/>
          <w:color w:val="auto"/>
        </w:rPr>
      </w:pPr>
      <w:r>
        <w:rPr>
          <w:rFonts w:ascii="Arial" w:cs="Arial" w:eastAsia="Arial" w:hAnsi="Arial"/>
          <w:sz w:val="17"/>
          <w:szCs w:val="17"/>
          <w:color w:val="auto"/>
        </w:rPr>
        <w:t>such other documents, and completion of such other matters, as Bank may reasonably deem necessary or appropriate.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undersigned have executed this Amendment as of the first date above written.</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APPLIED OPTOELECTRONICS, INC.</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17145</wp:posOffset>
            </wp:positionV>
            <wp:extent cx="337947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337947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 President and CEO</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EAST WEST BANK</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/s/ Lisa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17145</wp:posOffset>
            </wp:positionV>
            <wp:extent cx="337947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337947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25" w:name="page426"/>
    <w:bookmarkEnd w:id="425"/>
    <w:p>
      <w:pPr>
        <w:jc w:val="right"/>
        <w:spacing w:after="0"/>
        <w:rPr>
          <w:sz w:val="20"/>
          <w:szCs w:val="20"/>
          <w:color w:val="auto"/>
        </w:rPr>
      </w:pPr>
      <w:r>
        <w:rPr>
          <w:rFonts w:ascii="Arial" w:cs="Arial" w:eastAsia="Arial" w:hAnsi="Arial"/>
          <w:sz w:val="17"/>
          <w:szCs w:val="17"/>
          <w:b w:val="1"/>
          <w:bCs w:val="1"/>
          <w:color w:val="auto"/>
        </w:rPr>
        <w:t>Exhibit 10.10.9</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NINTH AMENDMENT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AMENDED AND RESTATED LOAN AND SECURITY AGREEMENT</w:t>
      </w:r>
    </w:p>
    <w:p>
      <w:pPr>
        <w:spacing w:after="0" w:line="212" w:lineRule="exact"/>
        <w:rPr>
          <w:sz w:val="20"/>
          <w:szCs w:val="20"/>
          <w:color w:val="auto"/>
        </w:rPr>
      </w:pPr>
    </w:p>
    <w:p>
      <w:pPr>
        <w:ind w:right="580" w:firstLine="629"/>
        <w:spacing w:after="0" w:line="230" w:lineRule="auto"/>
        <w:rPr>
          <w:sz w:val="20"/>
          <w:szCs w:val="20"/>
          <w:color w:val="auto"/>
        </w:rPr>
      </w:pPr>
      <w:r>
        <w:rPr>
          <w:rFonts w:ascii="Arial" w:cs="Arial" w:eastAsia="Arial" w:hAnsi="Arial"/>
          <w:sz w:val="17"/>
          <w:szCs w:val="17"/>
          <w:color w:val="auto"/>
        </w:rPr>
        <w:t>This Ninth Amendment to Amended and Restated Loan and Security Agreement is entered into as of April 11</w:t>
      </w:r>
      <w:r>
        <w:rPr>
          <w:rFonts w:ascii="Arial" w:cs="Arial" w:eastAsia="Arial" w:hAnsi="Arial"/>
          <w:sz w:val="22"/>
          <w:szCs w:val="22"/>
          <w:color w:val="auto"/>
          <w:vertAlign w:val="superscript"/>
        </w:rPr>
        <w:t>th</w:t>
      </w:r>
      <w:r>
        <w:rPr>
          <w:rFonts w:ascii="Arial" w:cs="Arial" w:eastAsia="Arial" w:hAnsi="Arial"/>
          <w:sz w:val="17"/>
          <w:szCs w:val="17"/>
          <w:color w:val="auto"/>
        </w:rPr>
        <w:t>, 2013 (the “Amendment”), by and between APPLIED OPTOELECTRONICS, INC. (“Borrower”) and EAST WEST BANK (“Bank”).</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ind w:right="20" w:firstLine="629"/>
        <w:spacing w:after="0" w:line="250" w:lineRule="auto"/>
        <w:rPr>
          <w:sz w:val="20"/>
          <w:szCs w:val="20"/>
          <w:color w:val="auto"/>
        </w:rPr>
      </w:pPr>
      <w:r>
        <w:rPr>
          <w:rFonts w:ascii="Arial" w:cs="Arial" w:eastAsia="Arial" w:hAnsi="Arial"/>
          <w:sz w:val="15"/>
          <w:szCs w:val="15"/>
          <w:color w:val="auto"/>
        </w:rPr>
        <w:t>Borrower and Bank are parties to that certain Amended and Restated Loan and Security Agreement dated as of May 20, 2009 and as amended from time to time including that certain First Amendment to Amended and Restated Loan and Security Agreement dated as of May 3</w:t>
      </w:r>
      <w:r>
        <w:rPr>
          <w:rFonts w:ascii="Arial" w:cs="Arial" w:eastAsia="Arial" w:hAnsi="Arial"/>
          <w:sz w:val="19"/>
          <w:szCs w:val="19"/>
          <w:color w:val="auto"/>
          <w:vertAlign w:val="superscript"/>
        </w:rPr>
        <w:t>rd</w:t>
      </w:r>
      <w:r>
        <w:rPr>
          <w:rFonts w:ascii="Arial" w:cs="Arial" w:eastAsia="Arial" w:hAnsi="Arial"/>
          <w:sz w:val="15"/>
          <w:szCs w:val="15"/>
          <w:color w:val="auto"/>
        </w:rPr>
        <w:t>, 2010, that certain Second Amendment to Amended and Restated Loan and Security Agreement dated as of October 28</w:t>
      </w:r>
      <w:r>
        <w:rPr>
          <w:rFonts w:ascii="Arial" w:cs="Arial" w:eastAsia="Arial" w:hAnsi="Arial"/>
          <w:sz w:val="19"/>
          <w:szCs w:val="19"/>
          <w:color w:val="auto"/>
          <w:vertAlign w:val="superscript"/>
        </w:rPr>
        <w:t>th</w:t>
      </w:r>
      <w:r>
        <w:rPr>
          <w:rFonts w:ascii="Arial" w:cs="Arial" w:eastAsia="Arial" w:hAnsi="Arial"/>
          <w:sz w:val="15"/>
          <w:szCs w:val="15"/>
          <w:color w:val="auto"/>
        </w:rPr>
        <w:t>, 2010, that certain Third Amendment to Amended and Restated Loan and Security Agreement dated as of December 6</w:t>
      </w:r>
      <w:r>
        <w:rPr>
          <w:rFonts w:ascii="Arial" w:cs="Arial" w:eastAsia="Arial" w:hAnsi="Arial"/>
          <w:sz w:val="19"/>
          <w:szCs w:val="19"/>
          <w:color w:val="auto"/>
          <w:vertAlign w:val="superscript"/>
        </w:rPr>
        <w:t>th</w:t>
      </w:r>
      <w:r>
        <w:rPr>
          <w:rFonts w:ascii="Arial" w:cs="Arial" w:eastAsia="Arial" w:hAnsi="Arial"/>
          <w:sz w:val="15"/>
          <w:szCs w:val="15"/>
          <w:color w:val="auto"/>
        </w:rPr>
        <w:t>, 2010, that certain Fourth Amendment to Amended and Restated Loan and Security Agreement dated as of May 5</w:t>
      </w:r>
      <w:r>
        <w:rPr>
          <w:rFonts w:ascii="Arial" w:cs="Arial" w:eastAsia="Arial" w:hAnsi="Arial"/>
          <w:sz w:val="19"/>
          <w:szCs w:val="19"/>
          <w:color w:val="auto"/>
          <w:vertAlign w:val="superscript"/>
        </w:rPr>
        <w:t>th</w:t>
      </w:r>
      <w:r>
        <w:rPr>
          <w:rFonts w:ascii="Arial" w:cs="Arial" w:eastAsia="Arial" w:hAnsi="Arial"/>
          <w:sz w:val="15"/>
          <w:szCs w:val="15"/>
          <w:color w:val="auto"/>
        </w:rPr>
        <w:t>, 2011, that certain letter dated September 30, 2011, that certain Fifth Amendment to Amended and Restated Loan and Security Agreement dated as of November 30</w:t>
      </w:r>
      <w:r>
        <w:rPr>
          <w:rFonts w:ascii="Arial" w:cs="Arial" w:eastAsia="Arial" w:hAnsi="Arial"/>
          <w:sz w:val="19"/>
          <w:szCs w:val="19"/>
          <w:color w:val="auto"/>
          <w:vertAlign w:val="superscript"/>
        </w:rPr>
        <w:t>th</w:t>
      </w:r>
      <w:r>
        <w:rPr>
          <w:rFonts w:ascii="Arial" w:cs="Arial" w:eastAsia="Arial" w:hAnsi="Arial"/>
          <w:sz w:val="15"/>
          <w:szCs w:val="15"/>
          <w:color w:val="auto"/>
        </w:rPr>
        <w:t>, 2011, that certain Sixth Amendment to Amended and Restated Loan and Security Agreement dated as of March 29</w:t>
      </w:r>
      <w:r>
        <w:rPr>
          <w:rFonts w:ascii="Arial" w:cs="Arial" w:eastAsia="Arial" w:hAnsi="Arial"/>
          <w:sz w:val="19"/>
          <w:szCs w:val="19"/>
          <w:color w:val="auto"/>
          <w:vertAlign w:val="superscript"/>
        </w:rPr>
        <w:t>th</w:t>
      </w:r>
      <w:r>
        <w:rPr>
          <w:rFonts w:ascii="Arial" w:cs="Arial" w:eastAsia="Arial" w:hAnsi="Arial"/>
          <w:sz w:val="15"/>
          <w:szCs w:val="15"/>
          <w:color w:val="auto"/>
        </w:rPr>
        <w:t>, 2012, that certain Seventh Amendment to Amended and Restated Loan and Security Agreement dated as of June 29, 2012, that certain Eighth Amendment to Amended and Restated Loan and Security Agreement dated as of November 2</w:t>
      </w:r>
      <w:r>
        <w:rPr>
          <w:rFonts w:ascii="Arial" w:cs="Arial" w:eastAsia="Arial" w:hAnsi="Arial"/>
          <w:sz w:val="19"/>
          <w:szCs w:val="19"/>
          <w:color w:val="auto"/>
          <w:vertAlign w:val="superscript"/>
        </w:rPr>
        <w:t>nd</w:t>
      </w:r>
      <w:r>
        <w:rPr>
          <w:rFonts w:ascii="Arial" w:cs="Arial" w:eastAsia="Arial" w:hAnsi="Arial"/>
          <w:sz w:val="15"/>
          <w:szCs w:val="15"/>
          <w:color w:val="auto"/>
        </w:rPr>
        <w:t>, 2012 and that certain Assignment, Assumption and Amendment Agreement (this “Agreement”) dated as of March 25, 2013 (collectively, the “Agreement”). The parties desire to amend the Agreement in accordance with the terms of this Amendment.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the parties agree as follows:</w:t>
      </w:r>
    </w:p>
    <w:p>
      <w:pPr>
        <w:spacing w:after="0" w:line="224" w:lineRule="exact"/>
        <w:rPr>
          <w:sz w:val="20"/>
          <w:szCs w:val="20"/>
          <w:color w:val="auto"/>
        </w:rPr>
      </w:pPr>
    </w:p>
    <w:p>
      <w:pPr>
        <w:jc w:val="both"/>
        <w:ind w:right="80" w:firstLine="5"/>
        <w:spacing w:after="0" w:line="268" w:lineRule="auto"/>
        <w:tabs>
          <w:tab w:leader="none" w:pos="629" w:val="left"/>
        </w:tabs>
        <w:numPr>
          <w:ilvl w:val="0"/>
          <w:numId w:val="709"/>
        </w:numPr>
        <w:rPr>
          <w:rFonts w:ascii="Arial" w:cs="Arial" w:eastAsia="Arial" w:hAnsi="Arial"/>
          <w:sz w:val="17"/>
          <w:szCs w:val="17"/>
          <w:b w:val="1"/>
          <w:bCs w:val="1"/>
          <w:color w:val="auto"/>
        </w:rPr>
      </w:pPr>
      <w:r>
        <w:rPr>
          <w:rFonts w:ascii="Arial" w:cs="Arial" w:eastAsia="Arial" w:hAnsi="Arial"/>
          <w:sz w:val="17"/>
          <w:szCs w:val="17"/>
          <w:color w:val="auto"/>
        </w:rPr>
        <w:t>Bank consents to the incurrence of an aggregate of Indebtedness, without limitation as to amount, by Global Technology, Inc. (the “GTI Debt”), a wholly owned subsidiary of Prime World International Holdings, Ltd. (which is a wholly owned subsidiary of Borrower), provided that (i) Borrower is not a co-borrower or guarantor to the GTI Debt, or in any way obligated or liable with respect to the GTI Debt, (ii) none of Borrower’s assets shall be pledged or used to secure the GTI Debt, and (iii) Borrower shall not make any Investment into Global Technology, Inc. in support of the GTI Debt.</w:t>
      </w:r>
    </w:p>
    <w:p>
      <w:pPr>
        <w:spacing w:after="0" w:line="175" w:lineRule="exact"/>
        <w:rPr>
          <w:rFonts w:ascii="Arial" w:cs="Arial" w:eastAsia="Arial" w:hAnsi="Arial"/>
          <w:sz w:val="17"/>
          <w:szCs w:val="17"/>
          <w:b w:val="1"/>
          <w:bCs w:val="1"/>
          <w:color w:val="auto"/>
        </w:rPr>
      </w:pPr>
    </w:p>
    <w:p>
      <w:pPr>
        <w:ind w:left="640" w:hanging="635"/>
        <w:spacing w:after="0"/>
        <w:tabs>
          <w:tab w:leader="none" w:pos="640" w:val="left"/>
        </w:tabs>
        <w:numPr>
          <w:ilvl w:val="0"/>
          <w:numId w:val="709"/>
        </w:numPr>
        <w:rPr>
          <w:rFonts w:ascii="Arial" w:cs="Arial" w:eastAsia="Arial" w:hAnsi="Arial"/>
          <w:sz w:val="17"/>
          <w:szCs w:val="17"/>
          <w:b w:val="1"/>
          <w:bCs w:val="1"/>
          <w:color w:val="auto"/>
        </w:rPr>
      </w:pPr>
      <w:r>
        <w:rPr>
          <w:rFonts w:ascii="Arial" w:cs="Arial" w:eastAsia="Arial" w:hAnsi="Arial"/>
          <w:sz w:val="17"/>
          <w:szCs w:val="17"/>
          <w:color w:val="auto"/>
        </w:rPr>
        <w:t>The following defined terms set forth in Section 1.1 of the Agreement are amended and restated in their entirety to read as follows: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“EXIM Maturity Date” means November 15, 2014.</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“Real Estate Maturity Date” means November 15, 2014.</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“Revolving Line Maturity Date” means November 15, 2014.</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“Revolving Line II Maturity Date” means November 15, 2014.</w:t>
      </w:r>
    </w:p>
    <w:p>
      <w:pPr>
        <w:spacing w:after="0" w:line="224" w:lineRule="exact"/>
        <w:rPr>
          <w:sz w:val="20"/>
          <w:szCs w:val="20"/>
          <w:color w:val="auto"/>
        </w:rPr>
      </w:pPr>
    </w:p>
    <w:p>
      <w:pPr>
        <w:ind w:right="20" w:firstLine="5"/>
        <w:spacing w:after="0" w:line="289" w:lineRule="auto"/>
        <w:tabs>
          <w:tab w:leader="none" w:pos="629" w:val="left"/>
        </w:tabs>
        <w:numPr>
          <w:ilvl w:val="0"/>
          <w:numId w:val="710"/>
        </w:numPr>
        <w:rPr>
          <w:rFonts w:ascii="Arial" w:cs="Arial" w:eastAsia="Arial" w:hAnsi="Arial"/>
          <w:sz w:val="17"/>
          <w:szCs w:val="17"/>
          <w:b w:val="1"/>
          <w:bCs w:val="1"/>
          <w:color w:val="auto"/>
        </w:rPr>
      </w:pPr>
      <w:r>
        <w:rPr>
          <w:rFonts w:ascii="Arial" w:cs="Arial" w:eastAsia="Arial" w:hAnsi="Arial"/>
          <w:sz w:val="17"/>
          <w:szCs w:val="17"/>
          <w:color w:val="auto"/>
        </w:rPr>
        <w:t>Notwithstanding anything to the contrary in Section 2.1(g), the Cash Secured Advance, and all accrued interest, shall be due and payable on May 5, 2013. Once repaid, Cash Secured Advances may not be reborrowed.</w:t>
      </w:r>
    </w:p>
    <w:p>
      <w:pPr>
        <w:spacing w:after="0" w:line="158" w:lineRule="exact"/>
        <w:rPr>
          <w:rFonts w:ascii="Arial" w:cs="Arial" w:eastAsia="Arial" w:hAnsi="Arial"/>
          <w:sz w:val="17"/>
          <w:szCs w:val="17"/>
          <w:b w:val="1"/>
          <w:bCs w:val="1"/>
          <w:color w:val="auto"/>
        </w:rPr>
      </w:pPr>
    </w:p>
    <w:p>
      <w:pPr>
        <w:ind w:left="640" w:hanging="635"/>
        <w:spacing w:after="0"/>
        <w:tabs>
          <w:tab w:leader="none" w:pos="640" w:val="left"/>
        </w:tabs>
        <w:numPr>
          <w:ilvl w:val="0"/>
          <w:numId w:val="710"/>
        </w:numPr>
        <w:rPr>
          <w:rFonts w:ascii="Arial" w:cs="Arial" w:eastAsia="Arial" w:hAnsi="Arial"/>
          <w:sz w:val="17"/>
          <w:szCs w:val="17"/>
          <w:b w:val="1"/>
          <w:bCs w:val="1"/>
          <w:color w:val="auto"/>
        </w:rPr>
      </w:pPr>
      <w:r>
        <w:rPr>
          <w:rFonts w:ascii="Arial" w:cs="Arial" w:eastAsia="Arial" w:hAnsi="Arial"/>
          <w:sz w:val="17"/>
          <w:szCs w:val="17"/>
          <w:color w:val="auto"/>
        </w:rPr>
        <w:t>Section 2.3(a) of the Agreement is amended in its entirety to read as follows:</w:t>
      </w:r>
    </w:p>
    <w:p>
      <w:pPr>
        <w:spacing w:after="0" w:line="224" w:lineRule="exact"/>
        <w:rPr>
          <w:rFonts w:ascii="Arial" w:cs="Arial" w:eastAsia="Arial" w:hAnsi="Arial"/>
          <w:sz w:val="17"/>
          <w:szCs w:val="17"/>
          <w:b w:val="1"/>
          <w:bCs w:val="1"/>
          <w:color w:val="auto"/>
        </w:rPr>
      </w:pPr>
    </w:p>
    <w:p>
      <w:pPr>
        <w:ind w:left="1880" w:hanging="617"/>
        <w:spacing w:after="0"/>
        <w:tabs>
          <w:tab w:leader="none" w:pos="1880" w:val="left"/>
        </w:tabs>
        <w:numPr>
          <w:ilvl w:val="1"/>
          <w:numId w:val="710"/>
        </w:numPr>
        <w:rPr>
          <w:rFonts w:ascii="Arial" w:cs="Arial" w:eastAsia="Arial" w:hAnsi="Arial"/>
          <w:sz w:val="17"/>
          <w:szCs w:val="17"/>
          <w:color w:val="auto"/>
        </w:rPr>
      </w:pPr>
      <w:r>
        <w:rPr>
          <w:rFonts w:ascii="Arial" w:cs="Arial" w:eastAsia="Arial" w:hAnsi="Arial"/>
          <w:sz w:val="17"/>
          <w:szCs w:val="17"/>
          <w:color w:val="auto"/>
        </w:rPr>
        <w:t>Interest Rates.</w:t>
      </w:r>
    </w:p>
    <w:p>
      <w:pPr>
        <w:spacing w:after="0" w:line="224" w:lineRule="exact"/>
        <w:rPr>
          <w:rFonts w:ascii="Arial" w:cs="Arial" w:eastAsia="Arial" w:hAnsi="Arial"/>
          <w:sz w:val="17"/>
          <w:szCs w:val="17"/>
          <w:color w:val="auto"/>
        </w:rPr>
      </w:pPr>
    </w:p>
    <w:p>
      <w:pPr>
        <w:ind w:left="1260" w:right="120" w:firstLine="633"/>
        <w:spacing w:after="0" w:line="289" w:lineRule="auto"/>
        <w:tabs>
          <w:tab w:leader="none" w:pos="2539" w:val="left"/>
        </w:tabs>
        <w:numPr>
          <w:ilvl w:val="2"/>
          <w:numId w:val="710"/>
        </w:numPr>
        <w:rPr>
          <w:rFonts w:ascii="Arial" w:cs="Arial" w:eastAsia="Arial" w:hAnsi="Arial"/>
          <w:sz w:val="17"/>
          <w:szCs w:val="17"/>
          <w:color w:val="auto"/>
        </w:rPr>
      </w:pPr>
      <w:r>
        <w:rPr>
          <w:rFonts w:ascii="Arial" w:cs="Arial" w:eastAsia="Arial" w:hAnsi="Arial"/>
          <w:sz w:val="17"/>
          <w:szCs w:val="17"/>
          <w:color w:val="auto"/>
        </w:rPr>
        <w:t>Except as set forth in Section 2.3(b), (A) the outstanding principal balance of each Revolving Advance, Equipment Advance, EXIM Advance and Line 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line="300" w:lineRule="auto"/>
        <w:rPr>
          <w:sz w:val="20"/>
          <w:szCs w:val="20"/>
          <w:color w:val="auto"/>
        </w:rPr>
      </w:pPr>
      <w:r>
        <w:rPr>
          <w:rFonts w:ascii="Arial" w:cs="Arial" w:eastAsia="Arial" w:hAnsi="Arial"/>
          <w:sz w:val="15"/>
          <w:szCs w:val="15"/>
          <w:color w:val="auto"/>
        </w:rPr>
        <w:t>Advance shall bear interest at a variable rate per annum equal to the Prime Rate plus 1.25%, provided however, that at no time shall the interest rate applied to any such Credit Extension be less than 4.5% per annum; (B) on and after Bank’s receipt of evidence, in form and substance satisfactory to Bank, that Borrower’s EBITDA is not less than ($263,000) for quarter ended March 31, 2013 (the “Q1 Milestone”), the outstanding principal balance of each Revolving Advance, Equipment Advance, EXIM Advance and Line II Advance shall bear interest at a variable rate per annum equal to the Prime Rate plus 1.125%, provided however, that at no time shall the interest rate applied to any such Credit Extension be less than 4.375% per annum; and (C) on and after Borrower’s achievement of the Q1 Milestone and Borrower’s initial underwritten public offering that results in at least $20,000,000 in cash proceeds to Borrower, the outstanding principal balance of each Revolving Advance, Equipment Advance, EXIM Advance and Line II Advance shall bear interest at a variable rate per annum equal to the Prime Rate plus 1.0%, provided however, that at no time shall the interest rate applied to any such Credit Extension be less than 4.25% per annum.</w:t>
      </w:r>
    </w:p>
    <w:p>
      <w:pPr>
        <w:spacing w:after="0" w:line="157" w:lineRule="exact"/>
        <w:rPr>
          <w:sz w:val="20"/>
          <w:szCs w:val="20"/>
          <w:color w:val="auto"/>
        </w:rPr>
      </w:pPr>
    </w:p>
    <w:p>
      <w:pPr>
        <w:ind w:left="1260" w:right="180" w:firstLine="633"/>
        <w:spacing w:after="0" w:line="281" w:lineRule="auto"/>
        <w:tabs>
          <w:tab w:leader="none" w:pos="2548" w:val="left"/>
        </w:tabs>
        <w:numPr>
          <w:ilvl w:val="0"/>
          <w:numId w:val="711"/>
        </w:numPr>
        <w:rPr>
          <w:rFonts w:ascii="Arial" w:cs="Arial" w:eastAsia="Arial" w:hAnsi="Arial"/>
          <w:sz w:val="16"/>
          <w:szCs w:val="16"/>
          <w:color w:val="auto"/>
        </w:rPr>
      </w:pPr>
      <w:r>
        <w:rPr>
          <w:rFonts w:ascii="Arial" w:cs="Arial" w:eastAsia="Arial" w:hAnsi="Arial"/>
          <w:sz w:val="16"/>
          <w:szCs w:val="16"/>
          <w:color w:val="auto"/>
        </w:rPr>
        <w:t>Except as set forth in Section 2.3(b), the outstanding principal balance of each Real Estate Advance, shall bear interest at a variable rate per annum equal to the Prime Rate plus 0.90%, provided however, that at no time shall the interest rate applied to any Real Estate Advance be less than 5.375% per annum (the “Floor Rate”) unless Borrower has entered into an interest rate swap contract in form and substance satisfactory to Bank, upon which time the Floor Rate shall not apply. Notwithstanding the foregoing, on and after Borrower’s initial underwritten public offering that results in at least $20,000,000 in cash proceeds to Borrower, the outstanding principal balance of the Real Estate Advance shall bear interest at a variable rate per annum equal to the Prime Rate plus 0.75%, provided however, that at no time shall the interest rate applied to any Real Estate Advance be less than 4.0% per annum.</w:t>
      </w:r>
    </w:p>
    <w:p>
      <w:pPr>
        <w:spacing w:after="0" w:line="170" w:lineRule="exact"/>
        <w:rPr>
          <w:rFonts w:ascii="Arial" w:cs="Arial" w:eastAsia="Arial" w:hAnsi="Arial"/>
          <w:sz w:val="16"/>
          <w:szCs w:val="16"/>
          <w:color w:val="auto"/>
        </w:rPr>
      </w:pPr>
    </w:p>
    <w:p>
      <w:pPr>
        <w:ind w:left="1260" w:right="160" w:firstLine="633"/>
        <w:spacing w:after="0" w:line="289" w:lineRule="auto"/>
        <w:tabs>
          <w:tab w:leader="none" w:pos="2558" w:val="left"/>
        </w:tabs>
        <w:numPr>
          <w:ilvl w:val="0"/>
          <w:numId w:val="711"/>
        </w:numPr>
        <w:rPr>
          <w:rFonts w:ascii="Arial" w:cs="Arial" w:eastAsia="Arial" w:hAnsi="Arial"/>
          <w:sz w:val="17"/>
          <w:szCs w:val="17"/>
          <w:color w:val="auto"/>
        </w:rPr>
      </w:pPr>
      <w:r>
        <w:rPr>
          <w:rFonts w:ascii="Arial" w:cs="Arial" w:eastAsia="Arial" w:hAnsi="Arial"/>
          <w:sz w:val="17"/>
          <w:szCs w:val="17"/>
          <w:color w:val="auto"/>
        </w:rPr>
        <w:t>Except as set forth in Section 2.3(b), the outstanding principal balance of each Cash Secured Advance shall bear interest at a variable rate per annum equal to the Prime Rate minus 2.0%.</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0"/>
          <w:numId w:val="711"/>
        </w:numPr>
        <w:rPr>
          <w:rFonts w:ascii="Arial" w:cs="Arial" w:eastAsia="Arial" w:hAnsi="Arial"/>
          <w:sz w:val="17"/>
          <w:szCs w:val="17"/>
          <w:color w:val="auto"/>
        </w:rPr>
      </w:pPr>
      <w:r>
        <w:rPr>
          <w:rFonts w:ascii="Arial" w:cs="Arial" w:eastAsia="Arial" w:hAnsi="Arial"/>
          <w:sz w:val="17"/>
          <w:szCs w:val="17"/>
          <w:color w:val="auto"/>
        </w:rPr>
        <w:t>Interest shall be computed daily on the basis of a 360 day year and actual days elapsed.</w:t>
      </w:r>
    </w:p>
    <w:p>
      <w:pPr>
        <w:sectPr>
          <w:pgSz w:w="11900" w:h="16838" w:orient="portrait"/>
          <w:cols w:equalWidth="0" w:num="1">
            <w:col w:w="11420"/>
          </w:cols>
          <w:pgMar w:left="240" w:top="357" w:right="239" w:bottom="0" w:gutter="0" w:footer="0" w:header="0"/>
        </w:sectPr>
      </w:pPr>
    </w:p>
    <w:bookmarkStart w:id="426" w:name="page427"/>
    <w:bookmarkEnd w:id="426"/>
    <w:p>
      <w:pPr>
        <w:ind w:right="20" w:firstLine="5"/>
        <w:spacing w:after="0" w:line="265" w:lineRule="auto"/>
        <w:tabs>
          <w:tab w:leader="none" w:pos="629" w:val="left"/>
        </w:tabs>
        <w:numPr>
          <w:ilvl w:val="0"/>
          <w:numId w:val="712"/>
        </w:numPr>
        <w:rPr>
          <w:rFonts w:ascii="Arial" w:cs="Arial" w:eastAsia="Arial" w:hAnsi="Arial"/>
          <w:sz w:val="17"/>
          <w:szCs w:val="17"/>
          <w:b w:val="1"/>
          <w:bCs w:val="1"/>
          <w:color w:val="auto"/>
        </w:rPr>
      </w:pPr>
      <w:r>
        <w:rPr>
          <w:rFonts w:ascii="Arial" w:cs="Arial" w:eastAsia="Arial" w:hAnsi="Arial"/>
          <w:sz w:val="17"/>
          <w:szCs w:val="17"/>
          <w:color w:val="auto"/>
        </w:rPr>
        <w:t>Unless otherwise defined, all initially capitalized terms in this Amendment shall be as defined in the Agreement. The Agreement, as amended hereby, shall be and remains in full force and effect in accordance with its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instruments, documents and agreements entered into in connection with the Agreement.</w:t>
      </w:r>
    </w:p>
    <w:p>
      <w:pPr>
        <w:spacing w:after="0" w:line="179" w:lineRule="exact"/>
        <w:rPr>
          <w:rFonts w:ascii="Arial" w:cs="Arial" w:eastAsia="Arial" w:hAnsi="Arial"/>
          <w:sz w:val="17"/>
          <w:szCs w:val="17"/>
          <w:b w:val="1"/>
          <w:bCs w:val="1"/>
          <w:color w:val="auto"/>
        </w:rPr>
      </w:pPr>
    </w:p>
    <w:p>
      <w:pPr>
        <w:ind w:right="740" w:firstLine="5"/>
        <w:spacing w:after="0" w:line="289" w:lineRule="auto"/>
        <w:tabs>
          <w:tab w:leader="none" w:pos="629" w:val="left"/>
        </w:tabs>
        <w:numPr>
          <w:ilvl w:val="0"/>
          <w:numId w:val="712"/>
        </w:numPr>
        <w:rPr>
          <w:rFonts w:ascii="Arial" w:cs="Arial" w:eastAsia="Arial" w:hAnsi="Arial"/>
          <w:sz w:val="17"/>
          <w:szCs w:val="17"/>
          <w:b w:val="1"/>
          <w:bCs w:val="1"/>
          <w:color w:val="auto"/>
        </w:rPr>
      </w:pPr>
      <w:r>
        <w:rPr>
          <w:rFonts w:ascii="Arial" w:cs="Arial" w:eastAsia="Arial" w:hAnsi="Arial"/>
          <w:sz w:val="17"/>
          <w:szCs w:val="17"/>
          <w:color w:val="auto"/>
        </w:rPr>
        <w:t>Borrower represents and warrants that the representations and warranties contained in the Agreement are true and correct as of the date of this Amendment, and that no Event of Default has occurred and is continuing.</w:t>
      </w:r>
    </w:p>
    <w:p>
      <w:pPr>
        <w:spacing w:after="0" w:line="158" w:lineRule="exact"/>
        <w:rPr>
          <w:rFonts w:ascii="Arial" w:cs="Arial" w:eastAsia="Arial" w:hAnsi="Arial"/>
          <w:sz w:val="17"/>
          <w:szCs w:val="17"/>
          <w:b w:val="1"/>
          <w:bCs w:val="1"/>
          <w:color w:val="auto"/>
        </w:rPr>
      </w:pPr>
    </w:p>
    <w:p>
      <w:pPr>
        <w:ind w:right="20" w:firstLine="5"/>
        <w:spacing w:after="0" w:line="289" w:lineRule="auto"/>
        <w:tabs>
          <w:tab w:leader="none" w:pos="629" w:val="left"/>
        </w:tabs>
        <w:numPr>
          <w:ilvl w:val="0"/>
          <w:numId w:val="712"/>
        </w:numPr>
        <w:rPr>
          <w:rFonts w:ascii="Arial" w:cs="Arial" w:eastAsia="Arial" w:hAnsi="Arial"/>
          <w:sz w:val="17"/>
          <w:szCs w:val="17"/>
          <w:b w:val="1"/>
          <w:bCs w:val="1"/>
          <w:color w:val="auto"/>
        </w:rPr>
      </w:pPr>
      <w:r>
        <w:rPr>
          <w:rFonts w:ascii="Arial" w:cs="Arial" w:eastAsia="Arial" w:hAnsi="Arial"/>
          <w:sz w:val="17"/>
          <w:szCs w:val="17"/>
          <w:color w:val="auto"/>
        </w:rPr>
        <w:t>This Amendment may be executed in two or more counterparts, each of which shall be deemed an original, but all of which together shall constitute one instrument.</w:t>
      </w:r>
    </w:p>
    <w:p>
      <w:pPr>
        <w:spacing w:after="0" w:line="158" w:lineRule="exact"/>
        <w:rPr>
          <w:rFonts w:ascii="Arial" w:cs="Arial" w:eastAsia="Arial" w:hAnsi="Arial"/>
          <w:sz w:val="17"/>
          <w:szCs w:val="17"/>
          <w:b w:val="1"/>
          <w:bCs w:val="1"/>
          <w:color w:val="auto"/>
        </w:rPr>
      </w:pPr>
    </w:p>
    <w:p>
      <w:pPr>
        <w:ind w:left="640" w:hanging="635"/>
        <w:spacing w:after="0"/>
        <w:tabs>
          <w:tab w:leader="none" w:pos="640" w:val="left"/>
        </w:tabs>
        <w:numPr>
          <w:ilvl w:val="0"/>
          <w:numId w:val="712"/>
        </w:numPr>
        <w:rPr>
          <w:rFonts w:ascii="Arial" w:cs="Arial" w:eastAsia="Arial" w:hAnsi="Arial"/>
          <w:sz w:val="17"/>
          <w:szCs w:val="17"/>
          <w:b w:val="1"/>
          <w:bCs w:val="1"/>
          <w:color w:val="auto"/>
        </w:rPr>
      </w:pPr>
      <w:r>
        <w:rPr>
          <w:rFonts w:ascii="Arial" w:cs="Arial" w:eastAsia="Arial" w:hAnsi="Arial"/>
          <w:sz w:val="17"/>
          <w:szCs w:val="17"/>
          <w:color w:val="auto"/>
        </w:rPr>
        <w:t>As a condition to the effectiveness of this Amendment, Bank shall have received, in form and substance satisfactory to Bank, the following:</w:t>
      </w:r>
    </w:p>
    <w:p>
      <w:pPr>
        <w:spacing w:after="0" w:line="224" w:lineRule="exact"/>
        <w:rPr>
          <w:rFonts w:ascii="Arial" w:cs="Arial" w:eastAsia="Arial" w:hAnsi="Arial"/>
          <w:sz w:val="17"/>
          <w:szCs w:val="17"/>
          <w:b w:val="1"/>
          <w:bCs w:val="1"/>
          <w:color w:val="auto"/>
        </w:rPr>
      </w:pPr>
    </w:p>
    <w:p>
      <w:pPr>
        <w:ind w:left="1260" w:hanging="626"/>
        <w:spacing w:after="0"/>
        <w:tabs>
          <w:tab w:leader="none" w:pos="1260" w:val="left"/>
        </w:tabs>
        <w:numPr>
          <w:ilvl w:val="1"/>
          <w:numId w:val="712"/>
        </w:numPr>
        <w:rPr>
          <w:rFonts w:ascii="Arial" w:cs="Arial" w:eastAsia="Arial" w:hAnsi="Arial"/>
          <w:sz w:val="17"/>
          <w:szCs w:val="17"/>
          <w:color w:val="auto"/>
        </w:rPr>
      </w:pPr>
      <w:r>
        <w:rPr>
          <w:rFonts w:ascii="Arial" w:cs="Arial" w:eastAsia="Arial" w:hAnsi="Arial"/>
          <w:sz w:val="17"/>
          <w:szCs w:val="17"/>
          <w:color w:val="auto"/>
        </w:rPr>
        <w:t>this Amendment, duly executed by Borrower;</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1"/>
          <w:numId w:val="712"/>
        </w:numPr>
        <w:rPr>
          <w:rFonts w:ascii="Arial" w:cs="Arial" w:eastAsia="Arial" w:hAnsi="Arial"/>
          <w:sz w:val="17"/>
          <w:szCs w:val="17"/>
          <w:color w:val="auto"/>
        </w:rPr>
      </w:pPr>
      <w:r>
        <w:rPr>
          <w:rFonts w:ascii="Arial" w:cs="Arial" w:eastAsia="Arial" w:hAnsi="Arial"/>
          <w:sz w:val="17"/>
          <w:szCs w:val="17"/>
          <w:color w:val="auto"/>
        </w:rPr>
        <w:t>Amendment to Warrant;</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hanging="646"/>
        <w:spacing w:after="0"/>
        <w:tabs>
          <w:tab w:leader="none" w:pos="1280" w:val="left"/>
        </w:tabs>
        <w:numPr>
          <w:ilvl w:val="0"/>
          <w:numId w:val="713"/>
        </w:numPr>
        <w:rPr>
          <w:rFonts w:ascii="Arial" w:cs="Arial" w:eastAsia="Arial" w:hAnsi="Arial"/>
          <w:sz w:val="15"/>
          <w:szCs w:val="15"/>
          <w:color w:val="auto"/>
        </w:rPr>
      </w:pPr>
      <w:r>
        <w:rPr>
          <w:rFonts w:ascii="Arial" w:cs="Arial" w:eastAsia="Arial" w:hAnsi="Arial"/>
          <w:sz w:val="15"/>
          <w:szCs w:val="15"/>
          <w:color w:val="auto"/>
        </w:rPr>
        <w:t>payment an amendment fee of $15,095, plus any fees required by EXIM, plus all Bank Expenses incurred through the date of this Amendment;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12" w:lineRule="exact"/>
        <w:rPr>
          <w:sz w:val="20"/>
          <w:szCs w:val="20"/>
          <w:color w:val="auto"/>
        </w:rPr>
      </w:pPr>
    </w:p>
    <w:p>
      <w:pPr>
        <w:ind w:left="640" w:right="1820" w:hanging="6"/>
        <w:spacing w:after="0" w:line="547" w:lineRule="auto"/>
        <w:tabs>
          <w:tab w:leader="none" w:pos="1276" w:val="left"/>
        </w:tabs>
        <w:numPr>
          <w:ilvl w:val="0"/>
          <w:numId w:val="714"/>
        </w:numPr>
        <w:rPr>
          <w:rFonts w:ascii="Arial" w:cs="Arial" w:eastAsia="Arial" w:hAnsi="Arial"/>
          <w:sz w:val="16"/>
          <w:szCs w:val="16"/>
          <w:color w:val="auto"/>
        </w:rPr>
      </w:pPr>
      <w:r>
        <w:rPr>
          <w:rFonts w:ascii="Arial" w:cs="Arial" w:eastAsia="Arial" w:hAnsi="Arial"/>
          <w:sz w:val="16"/>
          <w:szCs w:val="16"/>
          <w:color w:val="auto"/>
        </w:rPr>
        <w:t>such other documents, and completion of such other matters, as Bank may reasonably deem necessary or appropriate. IN WITNESS WHEREOF, the undersigned have executed this Amendment as of the first date above written.</w:t>
      </w:r>
    </w:p>
    <w:p>
      <w:pPr>
        <w:ind w:left="5720"/>
        <w:spacing w:after="0"/>
        <w:rPr>
          <w:sz w:val="20"/>
          <w:szCs w:val="20"/>
          <w:color w:val="auto"/>
        </w:rPr>
      </w:pPr>
      <w:r>
        <w:rPr>
          <w:rFonts w:ascii="Arial" w:cs="Arial" w:eastAsia="Arial" w:hAnsi="Arial"/>
          <w:sz w:val="17"/>
          <w:szCs w:val="17"/>
          <w:color w:val="auto"/>
        </w:rPr>
        <w:t>APPLIED OPTOELECTRONICS, INC.</w:t>
      </w:r>
    </w:p>
    <w:p>
      <w:pPr>
        <w:spacing w:after="0" w:line="224"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7"/>
          <w:szCs w:val="17"/>
          <w:color w:val="auto"/>
        </w:rPr>
        <w:t>By:</w:t>
        <w:tab/>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17145</wp:posOffset>
            </wp:positionV>
            <wp:extent cx="331343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 CEO</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EAST WEST BANK</w:t>
      </w:r>
    </w:p>
    <w:p>
      <w:pPr>
        <w:spacing w:after="0" w:line="224"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7"/>
          <w:szCs w:val="17"/>
          <w:color w:val="auto"/>
        </w:rPr>
        <w:t>By:</w:t>
        <w:tab/>
        <w:t>/s/ Lisa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17145</wp:posOffset>
            </wp:positionV>
            <wp:extent cx="331343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 Vice President</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00"/>
          </w:cols>
          <w:pgMar w:left="240" w:top="127" w:right="359" w:bottom="1440" w:gutter="0" w:footer="0" w:header="0"/>
        </w:sectPr>
      </w:pPr>
    </w:p>
    <w:bookmarkStart w:id="427" w:name="page428"/>
    <w:bookmarkEnd w:id="427"/>
    <w:p>
      <w:pPr>
        <w:spacing w:after="0" w:line="9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10.11</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Contract No.: 1230 ·</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between</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GLOBAL TECHNOLOGY INC.</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Borrower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CHINA CONSTRUCTION BANK - NINGBO YINZHOU BRANCH</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216535</wp:posOffset>
            </wp:positionV>
            <wp:extent cx="182308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RMB WORKING CAPITAL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220345</wp:posOffset>
            </wp:positionV>
            <wp:extent cx="182308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8230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492760</wp:posOffset>
            </wp:positionV>
            <wp:extent cx="7271385" cy="2921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00"/>
        <w:spacing w:after="0" w:line="313"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RMB Loan Agreement</w:t>
      </w:r>
      <w:r>
        <w:rPr>
          <w:rFonts w:ascii="Arial" w:cs="Arial" w:eastAsia="Arial" w:hAnsi="Arial"/>
          <w:sz w:val="17"/>
          <w:szCs w:val="17"/>
          <w:color w:val="auto"/>
        </w:rPr>
        <w:t xml:space="preserve"> (the “</w:t>
      </w:r>
      <w:r>
        <w:rPr>
          <w:rFonts w:ascii="Arial" w:cs="Arial" w:eastAsia="Arial" w:hAnsi="Arial"/>
          <w:sz w:val="17"/>
          <w:szCs w:val="17"/>
          <w:b w:val="1"/>
          <w:bCs w:val="1"/>
          <w:color w:val="auto"/>
        </w:rPr>
        <w:t>Contract</w:t>
      </w:r>
      <w:r>
        <w:rPr>
          <w:rFonts w:ascii="Arial" w:cs="Arial" w:eastAsia="Arial" w:hAnsi="Arial"/>
          <w:sz w:val="17"/>
          <w:szCs w:val="17"/>
          <w:color w:val="auto"/>
        </w:rPr>
        <w:t>”) is entered into in order for the company’s daily operation expense [, including material purchase payment and employee’s salary], by and between:</w:t>
      </w:r>
    </w:p>
    <w:p>
      <w:pPr>
        <w:spacing w:after="0" w:line="119" w:lineRule="exact"/>
        <w:rPr>
          <w:sz w:val="20"/>
          <w:szCs w:val="20"/>
          <w:color w:val="auto"/>
        </w:rPr>
      </w:pPr>
    </w:p>
    <w:p>
      <w:pPr>
        <w:ind w:right="160"/>
        <w:spacing w:after="0" w:line="297" w:lineRule="auto"/>
        <w:rPr>
          <w:sz w:val="20"/>
          <w:szCs w:val="20"/>
          <w:color w:val="auto"/>
        </w:rPr>
      </w:pPr>
      <w:r>
        <w:rPr>
          <w:rFonts w:ascii="Arial" w:cs="Arial" w:eastAsia="Arial" w:hAnsi="Arial"/>
          <w:sz w:val="17"/>
          <w:szCs w:val="17"/>
          <w:b w:val="1"/>
          <w:bCs w:val="1"/>
          <w:color w:val="auto"/>
        </w:rPr>
        <w:t>GLOBAL TECHNOLOGY INC.</w:t>
      </w:r>
      <w:r>
        <w:rPr>
          <w:rFonts w:ascii="Arial" w:cs="Arial" w:eastAsia="Arial" w:hAnsi="Arial"/>
          <w:sz w:val="17"/>
          <w:szCs w:val="17"/>
          <w:color w:val="auto"/>
        </w:rPr>
        <w:t>, located at NO. 88, QIUSHI RD, WANGCHUN INDUSTRIAL PART, NINGBO, CHINA, P.C.315176 with CHIH-HSIANG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LIN as its legal representative and its fax number 88133820 and its telephone number 574-88133818 as borrower </w:t>
      </w:r>
      <w:r>
        <w:rPr>
          <w:rFonts w:ascii="Arial" w:cs="Arial" w:eastAsia="Arial" w:hAnsi="Arial"/>
          <w:sz w:val="17"/>
          <w:szCs w:val="17"/>
          <w:b w:val="1"/>
          <w:bCs w:val="1"/>
          <w:color w:val="auto"/>
        </w:rPr>
        <w:t>(“Party A”)</w:t>
      </w:r>
      <w:r>
        <w:rPr>
          <w:rFonts w:ascii="Arial" w:cs="Arial" w:eastAsia="Arial" w:hAnsi="Arial"/>
          <w:sz w:val="17"/>
          <w:szCs w:val="17"/>
          <w:color w:val="auto"/>
        </w:rPr>
        <w:t>; and</w:t>
      </w:r>
    </w:p>
    <w:p>
      <w:pPr>
        <w:spacing w:after="0" w:line="145" w:lineRule="exact"/>
        <w:rPr>
          <w:sz w:val="20"/>
          <w:szCs w:val="20"/>
          <w:color w:val="auto"/>
        </w:rPr>
      </w:pPr>
    </w:p>
    <w:p>
      <w:pPr>
        <w:ind w:right="20"/>
        <w:spacing w:after="0" w:line="330" w:lineRule="auto"/>
        <w:rPr>
          <w:sz w:val="20"/>
          <w:szCs w:val="20"/>
          <w:color w:val="auto"/>
        </w:rPr>
      </w:pPr>
      <w:r>
        <w:rPr>
          <w:rFonts w:ascii="Arial" w:cs="Arial" w:eastAsia="Arial" w:hAnsi="Arial"/>
          <w:sz w:val="16"/>
          <w:szCs w:val="16"/>
          <w:b w:val="1"/>
          <w:bCs w:val="1"/>
          <w:color w:val="auto"/>
        </w:rPr>
        <w:t>CHINA CONSTRUCTION BANK - NINGBO YINZHOU BRANCH</w:t>
      </w:r>
      <w:r>
        <w:rPr>
          <w:rFonts w:ascii="Arial" w:cs="Arial" w:eastAsia="Arial" w:hAnsi="Arial"/>
          <w:sz w:val="16"/>
          <w:szCs w:val="16"/>
          <w:color w:val="auto"/>
        </w:rPr>
        <w:t>, located at TAIKANG ZHONG RD S. COMMERCIAL AREA 2ND FL, GUOHUA</w:t>
      </w:r>
      <w:r>
        <w:rPr>
          <w:rFonts w:ascii="Arial" w:cs="Arial" w:eastAsia="Arial" w:hAnsi="Arial"/>
          <w:sz w:val="16"/>
          <w:szCs w:val="16"/>
          <w:b w:val="1"/>
          <w:bCs w:val="1"/>
          <w:color w:val="auto"/>
        </w:rPr>
        <w:t xml:space="preserve"> </w:t>
      </w:r>
      <w:r>
        <w:rPr>
          <w:rFonts w:ascii="Arial" w:cs="Arial" w:eastAsia="Arial" w:hAnsi="Arial"/>
          <w:sz w:val="16"/>
          <w:szCs w:val="16"/>
          <w:color w:val="auto"/>
        </w:rPr>
        <w:t>INT’L BLDG NO. 500, 315040 with · as its principal officer and its fax number being 87370029 and its telephone number being 87374267, as lender (“</w:t>
      </w:r>
      <w:r>
        <w:rPr>
          <w:rFonts w:ascii="Arial" w:cs="Arial" w:eastAsia="Arial" w:hAnsi="Arial"/>
          <w:sz w:val="16"/>
          <w:szCs w:val="16"/>
          <w:b w:val="1"/>
          <w:bCs w:val="1"/>
          <w:color w:val="auto"/>
        </w:rPr>
        <w:t>Party B</w:t>
      </w:r>
      <w:r>
        <w:rPr>
          <w:rFonts w:ascii="Arial" w:cs="Arial" w:eastAsia="Arial" w:hAnsi="Arial"/>
          <w:sz w:val="16"/>
          <w:szCs w:val="16"/>
          <w:color w:val="auto"/>
        </w:rPr>
        <w: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230" w:lineRule="exact"/>
        <w:rPr>
          <w:sz w:val="20"/>
          <w:szCs w:val="20"/>
          <w:color w:val="auto"/>
        </w:rPr>
      </w:pPr>
    </w:p>
    <w:p>
      <w:pPr>
        <w:ind w:left="640" w:hanging="635"/>
        <w:spacing w:after="0"/>
        <w:tabs>
          <w:tab w:leader="none" w:pos="640" w:val="left"/>
        </w:tabs>
        <w:numPr>
          <w:ilvl w:val="0"/>
          <w:numId w:val="715"/>
        </w:numPr>
        <w:rPr>
          <w:rFonts w:ascii="Arial" w:cs="Arial" w:eastAsia="Arial" w:hAnsi="Arial"/>
          <w:sz w:val="17"/>
          <w:szCs w:val="17"/>
          <w:color w:val="auto"/>
        </w:rPr>
      </w:pPr>
      <w:r>
        <w:rPr>
          <w:rFonts w:ascii="Arial" w:cs="Arial" w:eastAsia="Arial" w:hAnsi="Arial"/>
          <w:sz w:val="17"/>
          <w:szCs w:val="17"/>
          <w:color w:val="auto"/>
        </w:rPr>
        <w:t>Party A wishes to apply to Party B for a loan, and Party B agrees to extend to Party A such loan.</w:t>
      </w:r>
    </w:p>
    <w:p>
      <w:pPr>
        <w:spacing w:after="0" w:line="224" w:lineRule="exact"/>
        <w:rPr>
          <w:rFonts w:ascii="Arial" w:cs="Arial" w:eastAsia="Arial" w:hAnsi="Arial"/>
          <w:sz w:val="17"/>
          <w:szCs w:val="17"/>
          <w:color w:val="auto"/>
        </w:rPr>
      </w:pPr>
    </w:p>
    <w:p>
      <w:pPr>
        <w:ind w:left="640" w:hanging="635"/>
        <w:spacing w:after="0"/>
        <w:tabs>
          <w:tab w:leader="none" w:pos="640" w:val="left"/>
        </w:tabs>
        <w:numPr>
          <w:ilvl w:val="0"/>
          <w:numId w:val="715"/>
        </w:numPr>
        <w:rPr>
          <w:rFonts w:ascii="Arial" w:cs="Arial" w:eastAsia="Arial" w:hAnsi="Arial"/>
          <w:sz w:val="17"/>
          <w:szCs w:val="17"/>
          <w:color w:val="auto"/>
        </w:rPr>
      </w:pPr>
      <w:r>
        <w:rPr>
          <w:rFonts w:ascii="Arial" w:cs="Arial" w:eastAsia="Arial" w:hAnsi="Arial"/>
          <w:sz w:val="17"/>
          <w:szCs w:val="17"/>
          <w:color w:val="auto"/>
        </w:rPr>
        <w:t>NOW THEREFORE upon consultation in accordance with applicable laws and regulations, both parties hereto agree as follows:</w:t>
      </w:r>
    </w:p>
    <w:p>
      <w:pPr>
        <w:spacing w:after="0" w:line="218" w:lineRule="exact"/>
        <w:rPr>
          <w:sz w:val="20"/>
          <w:szCs w:val="20"/>
          <w:color w:val="auto"/>
        </w:rPr>
      </w:pPr>
    </w:p>
    <w:p>
      <w:pPr>
        <w:ind w:left="320" w:hanging="315"/>
        <w:spacing w:after="0"/>
        <w:tabs>
          <w:tab w:leader="none" w:pos="320" w:val="left"/>
        </w:tabs>
        <w:numPr>
          <w:ilvl w:val="0"/>
          <w:numId w:val="716"/>
        </w:numPr>
        <w:rPr>
          <w:rFonts w:ascii="Arial" w:cs="Arial" w:eastAsia="Arial" w:hAnsi="Arial"/>
          <w:sz w:val="17"/>
          <w:szCs w:val="17"/>
          <w:b w:val="1"/>
          <w:bCs w:val="1"/>
          <w:color w:val="auto"/>
        </w:rPr>
      </w:pPr>
      <w:r>
        <w:rPr>
          <w:rFonts w:ascii="Arial" w:cs="Arial" w:eastAsia="Arial" w:hAnsi="Arial"/>
          <w:sz w:val="17"/>
          <w:szCs w:val="17"/>
          <w:b w:val="1"/>
          <w:bCs w:val="1"/>
          <w:color w:val="auto"/>
        </w:rPr>
        <w:t>LOAN AMOUNT</w:t>
      </w:r>
    </w:p>
    <w:p>
      <w:pPr>
        <w:spacing w:after="0" w:line="224" w:lineRule="exact"/>
        <w:rPr>
          <w:rFonts w:ascii="Arial" w:cs="Arial" w:eastAsia="Arial" w:hAnsi="Arial"/>
          <w:sz w:val="17"/>
          <w:szCs w:val="17"/>
          <w:b w:val="1"/>
          <w:bCs w:val="1"/>
          <w:color w:val="auto"/>
        </w:rPr>
      </w:pPr>
    </w:p>
    <w:p>
      <w:pPr>
        <w:ind w:left="320"/>
        <w:spacing w:after="0"/>
        <w:rPr>
          <w:rFonts w:ascii="Arial" w:cs="Arial" w:eastAsia="Arial" w:hAnsi="Arial"/>
          <w:sz w:val="17"/>
          <w:szCs w:val="17"/>
          <w:b w:val="1"/>
          <w:bCs w:val="1"/>
          <w:color w:val="auto"/>
        </w:rPr>
      </w:pPr>
      <w:r>
        <w:rPr>
          <w:rFonts w:ascii="Arial" w:cs="Arial" w:eastAsia="Arial" w:hAnsi="Arial"/>
          <w:sz w:val="17"/>
          <w:szCs w:val="17"/>
          <w:color w:val="auto"/>
        </w:rPr>
        <w:t xml:space="preserve">The amount of the loan that Party B provides to Party A hereunder shall be RMB </w:t>
      </w:r>
      <w:r>
        <w:rPr>
          <w:rFonts w:ascii="Arial" w:cs="Arial" w:eastAsia="Arial" w:hAnsi="Arial"/>
          <w:sz w:val="17"/>
          <w:szCs w:val="17"/>
          <w:b w:val="1"/>
          <w:bCs w:val="1"/>
          <w:color w:val="auto"/>
        </w:rPr>
        <w:t>[see Schedule A]</w:t>
      </w:r>
      <w:r>
        <w:rPr>
          <w:rFonts w:ascii="Arial" w:cs="Arial" w:eastAsia="Arial" w:hAnsi="Arial"/>
          <w:sz w:val="17"/>
          <w:szCs w:val="17"/>
          <w:color w:val="auto"/>
        </w:rPr>
        <w:t xml:space="preserve"> (the “</w:t>
      </w:r>
      <w:r>
        <w:rPr>
          <w:rFonts w:ascii="Arial" w:cs="Arial" w:eastAsia="Arial" w:hAnsi="Arial"/>
          <w:sz w:val="17"/>
          <w:szCs w:val="17"/>
          <w:b w:val="1"/>
          <w:bCs w:val="1"/>
          <w:color w:val="auto"/>
        </w:rPr>
        <w:t>Loan</w:t>
      </w:r>
      <w:r>
        <w:rPr>
          <w:rFonts w:ascii="Arial" w:cs="Arial" w:eastAsia="Arial" w:hAnsi="Arial"/>
          <w:sz w:val="17"/>
          <w:szCs w:val="17"/>
          <w:color w:val="auto"/>
        </w:rPr>
        <w:t>”).</w:t>
      </w:r>
    </w:p>
    <w:p>
      <w:pPr>
        <w:spacing w:after="0" w:line="224" w:lineRule="exact"/>
        <w:rPr>
          <w:rFonts w:ascii="Arial" w:cs="Arial" w:eastAsia="Arial" w:hAnsi="Arial"/>
          <w:sz w:val="17"/>
          <w:szCs w:val="17"/>
          <w:b w:val="1"/>
          <w:bCs w:val="1"/>
          <w:color w:val="auto"/>
        </w:rPr>
      </w:pPr>
    </w:p>
    <w:p>
      <w:pPr>
        <w:ind w:left="320" w:right="5280" w:hanging="315"/>
        <w:spacing w:after="0" w:line="547" w:lineRule="auto"/>
        <w:tabs>
          <w:tab w:leader="none" w:pos="320" w:val="left"/>
        </w:tabs>
        <w:numPr>
          <w:ilvl w:val="0"/>
          <w:numId w:val="7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PURPOSE OF THE LOAN AND SOURCES OF FUNDS FOR REPAYMENT </w:t>
      </w:r>
      <w:r>
        <w:rPr>
          <w:rFonts w:ascii="Arial" w:cs="Arial" w:eastAsia="Arial" w:hAnsi="Arial"/>
          <w:sz w:val="16"/>
          <w:szCs w:val="16"/>
          <w:color w:val="auto"/>
        </w:rPr>
        <w:t>Party A shall utilize the loan for the purpose of the routine production operation.</w:t>
      </w:r>
    </w:p>
    <w:p>
      <w:pPr>
        <w:ind w:left="320" w:right="280"/>
        <w:spacing w:after="0" w:line="297" w:lineRule="auto"/>
        <w:rPr>
          <w:rFonts w:ascii="Arial" w:cs="Arial" w:eastAsia="Arial" w:hAnsi="Arial"/>
          <w:sz w:val="16"/>
          <w:szCs w:val="16"/>
          <w:b w:val="1"/>
          <w:bCs w:val="1"/>
          <w:color w:val="auto"/>
        </w:rPr>
      </w:pPr>
      <w:r>
        <w:rPr>
          <w:rFonts w:ascii="Arial" w:cs="Arial" w:eastAsia="Arial" w:hAnsi="Arial"/>
          <w:sz w:val="17"/>
          <w:szCs w:val="17"/>
          <w:color w:val="auto"/>
        </w:rPr>
        <w:t>The information relating to specific purposes of such loan under the Contract and sources of funds for repayment shall be determined in Schedule 1 “</w:t>
      </w:r>
      <w:r>
        <w:rPr>
          <w:rFonts w:ascii="Arial" w:cs="Arial" w:eastAsia="Arial" w:hAnsi="Arial"/>
          <w:sz w:val="17"/>
          <w:szCs w:val="17"/>
          <w:b w:val="1"/>
          <w:bCs w:val="1"/>
          <w:color w:val="auto"/>
        </w:rPr>
        <w:t>Loan</w:t>
      </w:r>
      <w:r>
        <w:rPr>
          <w:rFonts w:ascii="Arial" w:cs="Arial" w:eastAsia="Arial" w:hAnsi="Arial"/>
          <w:sz w:val="17"/>
          <w:szCs w:val="17"/>
          <w:color w:val="auto"/>
        </w:rPr>
        <w:t xml:space="preserve"> </w:t>
      </w:r>
      <w:r>
        <w:rPr>
          <w:rFonts w:ascii="Arial" w:cs="Arial" w:eastAsia="Arial" w:hAnsi="Arial"/>
          <w:sz w:val="17"/>
          <w:szCs w:val="17"/>
          <w:b w:val="1"/>
          <w:bCs w:val="1"/>
          <w:color w:val="auto"/>
        </w:rPr>
        <w:t>Information</w:t>
      </w:r>
      <w:r>
        <w:rPr>
          <w:rFonts w:ascii="Arial" w:cs="Arial" w:eastAsia="Arial" w:hAnsi="Arial"/>
          <w:sz w:val="17"/>
          <w:szCs w:val="17"/>
          <w:color w:val="auto"/>
        </w:rPr>
        <w:t>”.</w:t>
      </w:r>
    </w:p>
    <w:p>
      <w:pPr>
        <w:spacing w:after="0" w:line="145" w:lineRule="exact"/>
        <w:rPr>
          <w:rFonts w:ascii="Arial" w:cs="Arial" w:eastAsia="Arial" w:hAnsi="Arial"/>
          <w:sz w:val="16"/>
          <w:szCs w:val="16"/>
          <w:b w:val="1"/>
          <w:bCs w:val="1"/>
          <w:color w:val="auto"/>
        </w:rPr>
      </w:pPr>
    </w:p>
    <w:p>
      <w:pPr>
        <w:ind w:left="320" w:hanging="315"/>
        <w:spacing w:after="0"/>
        <w:tabs>
          <w:tab w:leader="none" w:pos="320" w:val="left"/>
        </w:tabs>
        <w:numPr>
          <w:ilvl w:val="0"/>
          <w:numId w:val="716"/>
        </w:numPr>
        <w:rPr>
          <w:rFonts w:ascii="Arial" w:cs="Arial" w:eastAsia="Arial" w:hAnsi="Arial"/>
          <w:sz w:val="17"/>
          <w:szCs w:val="17"/>
          <w:b w:val="1"/>
          <w:bCs w:val="1"/>
          <w:color w:val="auto"/>
        </w:rPr>
      </w:pPr>
      <w:r>
        <w:rPr>
          <w:rFonts w:ascii="Arial" w:cs="Arial" w:eastAsia="Arial" w:hAnsi="Arial"/>
          <w:sz w:val="17"/>
          <w:szCs w:val="17"/>
          <w:b w:val="1"/>
          <w:bCs w:val="1"/>
          <w:color w:val="auto"/>
        </w:rPr>
        <w:t>TERM OF THE LOAN</w:t>
      </w:r>
    </w:p>
    <w:p>
      <w:pPr>
        <w:spacing w:after="0" w:line="224" w:lineRule="exact"/>
        <w:rPr>
          <w:rFonts w:ascii="Arial" w:cs="Arial" w:eastAsia="Arial" w:hAnsi="Arial"/>
          <w:sz w:val="17"/>
          <w:szCs w:val="17"/>
          <w:b w:val="1"/>
          <w:bCs w:val="1"/>
          <w:color w:val="auto"/>
        </w:rPr>
      </w:pPr>
    </w:p>
    <w:p>
      <w:pPr>
        <w:ind w:left="320"/>
        <w:spacing w:after="0"/>
        <w:rPr>
          <w:rFonts w:ascii="Arial" w:cs="Arial" w:eastAsia="Arial" w:hAnsi="Arial"/>
          <w:sz w:val="17"/>
          <w:szCs w:val="17"/>
          <w:b w:val="1"/>
          <w:bCs w:val="1"/>
          <w:color w:val="auto"/>
        </w:rPr>
      </w:pPr>
      <w:r>
        <w:rPr>
          <w:rFonts w:ascii="Arial" w:cs="Arial" w:eastAsia="Arial" w:hAnsi="Arial"/>
          <w:sz w:val="17"/>
          <w:szCs w:val="17"/>
          <w:color w:val="auto"/>
        </w:rPr>
        <w:t>The term of the Loan shall be 12 months, commencing from [see Schedule A] and expiring on [see Schedule A] (the “</w:t>
      </w:r>
      <w:r>
        <w:rPr>
          <w:rFonts w:ascii="Arial" w:cs="Arial" w:eastAsia="Arial" w:hAnsi="Arial"/>
          <w:sz w:val="17"/>
          <w:szCs w:val="17"/>
          <w:b w:val="1"/>
          <w:bCs w:val="1"/>
          <w:color w:val="auto"/>
        </w:rPr>
        <w:t>Term</w:t>
      </w:r>
      <w:r>
        <w:rPr>
          <w:rFonts w:ascii="Arial" w:cs="Arial" w:eastAsia="Arial" w:hAnsi="Arial"/>
          <w:sz w:val="17"/>
          <w:szCs w:val="17"/>
          <w:color w:val="auto"/>
        </w:rPr>
        <w:t>”).</w:t>
      </w:r>
    </w:p>
    <w:p>
      <w:pPr>
        <w:spacing w:after="0" w:line="224" w:lineRule="exact"/>
        <w:rPr>
          <w:rFonts w:ascii="Arial" w:cs="Arial" w:eastAsia="Arial" w:hAnsi="Arial"/>
          <w:sz w:val="17"/>
          <w:szCs w:val="17"/>
          <w:b w:val="1"/>
          <w:bCs w:val="1"/>
          <w:color w:val="auto"/>
        </w:rPr>
      </w:pPr>
    </w:p>
    <w:p>
      <w:pPr>
        <w:ind w:left="320" w:right="60"/>
        <w:spacing w:after="0" w:line="277" w:lineRule="auto"/>
        <w:rPr>
          <w:rFonts w:ascii="Arial" w:cs="Arial" w:eastAsia="Arial" w:hAnsi="Arial"/>
          <w:sz w:val="17"/>
          <w:szCs w:val="17"/>
          <w:b w:val="1"/>
          <w:bCs w:val="1"/>
          <w:color w:val="auto"/>
        </w:rPr>
      </w:pPr>
      <w:r>
        <w:rPr>
          <w:rFonts w:ascii="Arial" w:cs="Arial" w:eastAsia="Arial" w:hAnsi="Arial"/>
          <w:sz w:val="17"/>
          <w:szCs w:val="17"/>
          <w:color w:val="auto"/>
        </w:rPr>
        <w:t>Where the above commencement date is inconsistent with the date set forth on the loan-to deposit certificate (the “</w:t>
      </w:r>
      <w:r>
        <w:rPr>
          <w:rFonts w:ascii="Arial" w:cs="Arial" w:eastAsia="Arial" w:hAnsi="Arial"/>
          <w:sz w:val="17"/>
          <w:szCs w:val="17"/>
          <w:b w:val="1"/>
          <w:bCs w:val="1"/>
          <w:color w:val="auto"/>
        </w:rPr>
        <w:t>LDC</w:t>
      </w:r>
      <w:r>
        <w:rPr>
          <w:rFonts w:ascii="Arial" w:cs="Arial" w:eastAsia="Arial" w:hAnsi="Arial"/>
          <w:sz w:val="17"/>
          <w:szCs w:val="17"/>
          <w:color w:val="auto"/>
        </w:rPr>
        <w:t>” or “Loan Receipt”, the date set forth on the LDC for the first advance of the Loan shall be the commencement date of the Term and the expiry date of the Term shall be adjusted accordingly. The LDC shall constitute an integral part of the Contract and have the equal legal force as the Contract.</w:t>
      </w:r>
    </w:p>
    <w:p>
      <w:pPr>
        <w:spacing w:after="0" w:line="162" w:lineRule="exact"/>
        <w:rPr>
          <w:rFonts w:ascii="Arial" w:cs="Arial" w:eastAsia="Arial" w:hAnsi="Arial"/>
          <w:sz w:val="17"/>
          <w:szCs w:val="17"/>
          <w:b w:val="1"/>
          <w:bCs w:val="1"/>
          <w:color w:val="auto"/>
        </w:rPr>
      </w:pPr>
    </w:p>
    <w:p>
      <w:pPr>
        <w:ind w:left="320" w:hanging="315"/>
        <w:spacing w:after="0"/>
        <w:tabs>
          <w:tab w:leader="none" w:pos="320" w:val="left"/>
        </w:tabs>
        <w:numPr>
          <w:ilvl w:val="0"/>
          <w:numId w:val="716"/>
        </w:numPr>
        <w:rPr>
          <w:rFonts w:ascii="Arial" w:cs="Arial" w:eastAsia="Arial" w:hAnsi="Arial"/>
          <w:sz w:val="17"/>
          <w:szCs w:val="17"/>
          <w:b w:val="1"/>
          <w:bCs w:val="1"/>
          <w:color w:val="auto"/>
        </w:rPr>
      </w:pPr>
      <w:r>
        <w:rPr>
          <w:rFonts w:ascii="Arial" w:cs="Arial" w:eastAsia="Arial" w:hAnsi="Arial"/>
          <w:sz w:val="17"/>
          <w:szCs w:val="17"/>
          <w:b w:val="1"/>
          <w:bCs w:val="1"/>
          <w:color w:val="auto"/>
        </w:rPr>
        <w:t>INTEREST RATE ON THE LOAN, DEFAULT INTEREST RATE, INTEREST CALCULATION AND SETTLEMENT</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4.1 Interest Rate on the Loan (the “</w:t>
      </w:r>
      <w:r>
        <w:rPr>
          <w:rFonts w:ascii="Arial" w:cs="Arial" w:eastAsia="Arial" w:hAnsi="Arial"/>
          <w:sz w:val="17"/>
          <w:szCs w:val="17"/>
          <w:b w:val="1"/>
          <w:bCs w:val="1"/>
          <w:color w:val="auto"/>
        </w:rPr>
        <w:t>Loan Rate</w:t>
      </w:r>
      <w:r>
        <w:rPr>
          <w:rFonts w:ascii="Arial" w:cs="Arial" w:eastAsia="Arial" w:hAnsi="Arial"/>
          <w:sz w:val="17"/>
          <w:szCs w:val="17"/>
          <w:color w:val="auto"/>
        </w:rPr>
        <w:t>”)</w:t>
      </w:r>
    </w:p>
    <w:p>
      <w:pPr>
        <w:spacing w:after="0" w:line="23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Loan Rate hereunder shall be an annual rate set forth in item (2) below:</w:t>
      </w:r>
    </w:p>
    <w:p>
      <w:pPr>
        <w:spacing w:after="0" w:line="224" w:lineRule="exact"/>
        <w:rPr>
          <w:sz w:val="20"/>
          <w:szCs w:val="20"/>
          <w:color w:val="auto"/>
        </w:rPr>
      </w:pPr>
    </w:p>
    <w:p>
      <w:pPr>
        <w:ind w:left="800"/>
        <w:spacing w:after="0"/>
        <w:tabs>
          <w:tab w:leader="none" w:pos="3580" w:val="left"/>
        </w:tabs>
        <w:rPr>
          <w:sz w:val="20"/>
          <w:szCs w:val="20"/>
          <w:color w:val="auto"/>
        </w:rPr>
      </w:pPr>
      <w:r>
        <w:rPr>
          <w:rFonts w:ascii="Arial" w:cs="Arial" w:eastAsia="Arial" w:hAnsi="Arial"/>
          <w:sz w:val="17"/>
          <w:szCs w:val="17"/>
          <w:color w:val="auto"/>
        </w:rPr>
        <w:t>(1)  a fixed interest rate of</w:t>
      </w:r>
      <w:r>
        <w:rPr>
          <w:sz w:val="20"/>
          <w:szCs w:val="20"/>
          <w:color w:val="auto"/>
        </w:rPr>
        <w:tab/>
      </w:r>
      <w:r>
        <w:rPr>
          <w:rFonts w:ascii="Arial" w:cs="Arial" w:eastAsia="Arial" w:hAnsi="Arial"/>
          <w:sz w:val="15"/>
          <w:szCs w:val="15"/>
          <w:color w:val="auto"/>
        </w:rPr>
        <w:t>% which shall remain the same during the Term;</w:t>
      </w:r>
    </w:p>
    <w:p>
      <w:pPr>
        <w:spacing w:after="0" w:line="218" w:lineRule="exact"/>
        <w:rPr>
          <w:sz w:val="20"/>
          <w:szCs w:val="20"/>
          <w:color w:val="auto"/>
        </w:rPr>
      </w:pPr>
    </w:p>
    <w:p>
      <w:pPr>
        <w:ind w:left="1100" w:right="60" w:hanging="309"/>
        <w:spacing w:after="0" w:line="297" w:lineRule="auto"/>
        <w:tabs>
          <w:tab w:leader="none" w:pos="1107" w:val="left"/>
        </w:tabs>
        <w:numPr>
          <w:ilvl w:val="0"/>
          <w:numId w:val="717"/>
        </w:numPr>
        <w:rPr>
          <w:rFonts w:ascii="Arial" w:cs="Arial" w:eastAsia="Arial" w:hAnsi="Arial"/>
          <w:sz w:val="17"/>
          <w:szCs w:val="17"/>
          <w:color w:val="auto"/>
        </w:rPr>
      </w:pPr>
      <w:r>
        <w:rPr>
          <w:rFonts w:ascii="Arial" w:cs="Arial" w:eastAsia="Arial" w:hAnsi="Arial"/>
          <w:sz w:val="17"/>
          <w:szCs w:val="17"/>
          <w:b w:val="1"/>
          <w:bCs w:val="1"/>
          <w:color w:val="auto"/>
        </w:rPr>
        <w:t xml:space="preserve">[See Schedule A] </w:t>
      </w:r>
      <w:r>
        <w:rPr>
          <w:rFonts w:ascii="Arial" w:cs="Arial" w:eastAsia="Arial" w:hAnsi="Arial"/>
          <w:sz w:val="17"/>
          <w:szCs w:val="17"/>
          <w:color w:val="auto"/>
        </w:rPr>
        <w:t>on the date when interest commences to accrue (the “</w:t>
      </w:r>
      <w:r>
        <w:rPr>
          <w:rFonts w:ascii="Arial" w:cs="Arial" w:eastAsia="Arial" w:hAnsi="Arial"/>
          <w:sz w:val="17"/>
          <w:szCs w:val="17"/>
          <w:b w:val="1"/>
          <w:bCs w:val="1"/>
          <w:color w:val="auto"/>
        </w:rPr>
        <w:t>Interest Commencement Date</w:t>
      </w:r>
      <w:r>
        <w:rPr>
          <w:rFonts w:ascii="Arial" w:cs="Arial" w:eastAsia="Arial" w:hAnsi="Arial"/>
          <w:sz w:val="17"/>
          <w:szCs w:val="17"/>
          <w:color w:val="auto"/>
        </w:rPr>
        <w:t>”). Such interest rate shall remain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or</w:t>
      </w:r>
    </w:p>
    <w:p>
      <w:pPr>
        <w:spacing w:after="0" w:line="145" w:lineRule="exact"/>
        <w:rPr>
          <w:sz w:val="20"/>
          <w:szCs w:val="20"/>
          <w:color w:val="auto"/>
        </w:rPr>
      </w:pPr>
    </w:p>
    <w:p>
      <w:pPr>
        <w:ind w:left="1120" w:right="200" w:hanging="314"/>
        <w:spacing w:after="0" w:line="302" w:lineRule="auto"/>
        <w:rPr>
          <w:sz w:val="20"/>
          <w:szCs w:val="20"/>
          <w:color w:val="auto"/>
        </w:rPr>
      </w:pPr>
      <w:r>
        <w:rPr>
          <w:rFonts w:ascii="Arial" w:cs="Arial" w:eastAsia="Arial" w:hAnsi="Arial"/>
          <w:sz w:val="17"/>
          <w:szCs w:val="17"/>
          <w:color w:val="auto"/>
        </w:rPr>
        <w:t>(3) a floating interest rate equal to</w:t>
      </w:r>
      <w:r>
        <w:rPr>
          <w:sz w:val="20"/>
          <w:szCs w:val="20"/>
          <w:color w:val="auto"/>
        </w:rPr>
        <w:t xml:space="preserve"> </w:t>
      </w:r>
      <w:r>
        <w:rPr>
          <w:rFonts w:ascii="Arial" w:cs="Arial" w:eastAsia="Arial" w:hAnsi="Arial"/>
          <w:sz w:val="16"/>
          <w:szCs w:val="16"/>
          <w:color w:val="auto"/>
        </w:rPr>
        <w:t>(100% a floating percentage of %) (the “</w:t>
      </w:r>
      <w:r>
        <w:rPr>
          <w:rFonts w:ascii="Arial" w:cs="Arial" w:eastAsia="Arial" w:hAnsi="Arial"/>
          <w:sz w:val="16"/>
          <w:szCs w:val="16"/>
          <w:b w:val="1"/>
          <w:bCs w:val="1"/>
          <w:color w:val="auto"/>
        </w:rPr>
        <w:t>Floating Percentage</w:t>
      </w:r>
      <w:r>
        <w:rPr>
          <w:rFonts w:ascii="Arial" w:cs="Arial" w:eastAsia="Arial" w:hAnsi="Arial"/>
          <w:sz w:val="16"/>
          <w:szCs w:val="16"/>
          <w:color w:val="auto"/>
        </w:rPr>
        <w:t>”) of the Base Rate (as defined below) on the date when interest commences to accrue (the “</w:t>
      </w:r>
      <w:r>
        <w:rPr>
          <w:rFonts w:ascii="Arial" w:cs="Arial" w:eastAsia="Arial" w:hAnsi="Arial"/>
          <w:sz w:val="16"/>
          <w:szCs w:val="16"/>
          <w:b w:val="1"/>
          <w:bCs w:val="1"/>
          <w:color w:val="auto"/>
        </w:rPr>
        <w:t>Interest Commencement Date</w:t>
      </w:r>
      <w:r>
        <w:rPr>
          <w:rFonts w:ascii="Arial" w:cs="Arial" w:eastAsia="Arial" w:hAnsi="Arial"/>
          <w:sz w:val="16"/>
          <w:szCs w:val="16"/>
          <w:color w:val="auto"/>
        </w:rPr>
        <w:t>”). The Loan Rate shall, during the period between the Interest Commencement Date and the date when all the principal amount and interest accrued thereon under the Contract have been fully repaid, be</w:t>
      </w:r>
    </w:p>
    <w:p>
      <w:pPr>
        <w:sectPr>
          <w:pgSz w:w="11900" w:h="16931" w:orient="portrait"/>
          <w:cols w:equalWidth="0" w:num="1">
            <w:col w:w="11420"/>
          </w:cols>
          <w:pgMar w:left="240" w:top="357" w:right="239" w:bottom="0" w:gutter="0" w:footer="0" w:header="0"/>
        </w:sectPr>
      </w:pPr>
    </w:p>
    <w:bookmarkStart w:id="428" w:name="page429"/>
    <w:bookmarkEnd w:id="428"/>
    <w:p>
      <w:pPr>
        <w:ind w:left="1115" w:right="280"/>
        <w:spacing w:after="0" w:line="289" w:lineRule="auto"/>
        <w:rPr>
          <w:sz w:val="20"/>
          <w:szCs w:val="20"/>
          <w:color w:val="auto"/>
        </w:rPr>
      </w:pPr>
      <w:r>
        <w:rPr>
          <w:rFonts w:ascii="Arial" w:cs="Arial" w:eastAsia="Arial" w:hAnsi="Arial"/>
          <w:sz w:val="17"/>
          <w:szCs w:val="17"/>
          <w:color w:val="auto"/>
        </w:rPr>
        <w:t>adjusted once every months in accordance with the Base Rate on the interest rate adjustment date and the Floating Percentage. The interest rate adjustment date shall be a date corresponding to the Interest</w:t>
      </w:r>
    </w:p>
    <w:p>
      <w:pPr>
        <w:spacing w:after="0" w:line="158"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15" w:right="120"/>
        <w:spacing w:after="0" w:line="289" w:lineRule="auto"/>
        <w:rPr>
          <w:sz w:val="20"/>
          <w:szCs w:val="20"/>
          <w:color w:val="auto"/>
        </w:rPr>
      </w:pPr>
      <w:r>
        <w:rPr>
          <w:rFonts w:ascii="Arial" w:cs="Arial" w:eastAsia="Arial" w:hAnsi="Arial"/>
          <w:sz w:val="17"/>
          <w:szCs w:val="17"/>
          <w:color w:val="auto"/>
        </w:rPr>
        <w:t>Commencement Date in the month when such interest is adjusted. If there is no such a date corresponding to the Interest Commencement Date in such month, the adjustment date for the interest rate shall be the last day of such month.</w:t>
      </w:r>
    </w:p>
    <w:p>
      <w:pPr>
        <w:spacing w:after="0" w:line="158" w:lineRule="exact"/>
        <w:rPr>
          <w:sz w:val="20"/>
          <w:szCs w:val="20"/>
          <w:color w:val="auto"/>
        </w:rPr>
      </w:pPr>
    </w:p>
    <w:p>
      <w:pPr>
        <w:ind w:left="315"/>
        <w:spacing w:after="0"/>
        <w:tabs>
          <w:tab w:leader="none" w:pos="675"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Default Interest Rate</w:t>
      </w:r>
    </w:p>
    <w:p>
      <w:pPr>
        <w:spacing w:after="0" w:line="218" w:lineRule="exact"/>
        <w:rPr>
          <w:sz w:val="20"/>
          <w:szCs w:val="20"/>
          <w:color w:val="auto"/>
        </w:rPr>
      </w:pPr>
    </w:p>
    <w:p>
      <w:pPr>
        <w:ind w:left="1095" w:right="260" w:hanging="309"/>
        <w:spacing w:after="0" w:line="277" w:lineRule="auto"/>
        <w:tabs>
          <w:tab w:leader="none" w:pos="1102" w:val="left"/>
        </w:tabs>
        <w:numPr>
          <w:ilvl w:val="0"/>
          <w:numId w:val="718"/>
        </w:numPr>
        <w:rPr>
          <w:rFonts w:ascii="Arial" w:cs="Arial" w:eastAsia="Arial" w:hAnsi="Arial"/>
          <w:sz w:val="17"/>
          <w:szCs w:val="17"/>
          <w:color w:val="auto"/>
        </w:rPr>
      </w:pPr>
      <w:r>
        <w:rPr>
          <w:rFonts w:ascii="Arial" w:cs="Arial" w:eastAsia="Arial" w:hAnsi="Arial"/>
          <w:sz w:val="17"/>
          <w:szCs w:val="17"/>
          <w:color w:val="auto"/>
        </w:rPr>
        <w:t>If Party A does not use the Loan hereunder for purposes set forth herein (“</w:t>
      </w:r>
      <w:r>
        <w:rPr>
          <w:rFonts w:ascii="Arial" w:cs="Arial" w:eastAsia="Arial" w:hAnsi="Arial"/>
          <w:sz w:val="17"/>
          <w:szCs w:val="17"/>
          <w:b w:val="1"/>
          <w:bCs w:val="1"/>
          <w:color w:val="auto"/>
        </w:rPr>
        <w:t>Misappropriation</w:t>
      </w:r>
      <w:r>
        <w:rPr>
          <w:rFonts w:ascii="Arial" w:cs="Arial" w:eastAsia="Arial" w:hAnsi="Arial"/>
          <w:sz w:val="17"/>
          <w:szCs w:val="17"/>
          <w:color w:val="auto"/>
        </w:rPr>
        <w:t>”), the default interest rate on such Loan shall be (100% plus 100%) of the Loan Rate. If the Loan Rate is adjusted according to Article 4.1 (3) above, the default interest rate shall be adjusted in accordance with the adjusted Loan Rate and the upward floating percentage set out in this Article 4.2 (1).</w:t>
      </w:r>
    </w:p>
    <w:p>
      <w:pPr>
        <w:spacing w:after="0" w:line="168" w:lineRule="exact"/>
        <w:rPr>
          <w:rFonts w:ascii="Arial" w:cs="Arial" w:eastAsia="Arial" w:hAnsi="Arial"/>
          <w:sz w:val="17"/>
          <w:szCs w:val="17"/>
          <w:color w:val="auto"/>
        </w:rPr>
      </w:pPr>
    </w:p>
    <w:p>
      <w:pPr>
        <w:ind w:left="1115" w:hanging="329"/>
        <w:spacing w:after="0"/>
        <w:tabs>
          <w:tab w:leader="none" w:pos="1115" w:val="left"/>
        </w:tabs>
        <w:numPr>
          <w:ilvl w:val="0"/>
          <w:numId w:val="718"/>
        </w:numPr>
        <w:rPr>
          <w:rFonts w:ascii="Arial" w:cs="Arial" w:eastAsia="Arial" w:hAnsi="Arial"/>
          <w:sz w:val="16"/>
          <w:szCs w:val="16"/>
          <w:color w:val="auto"/>
        </w:rPr>
      </w:pPr>
      <w:r>
        <w:rPr>
          <w:rFonts w:ascii="Arial" w:cs="Arial" w:eastAsia="Arial" w:hAnsi="Arial"/>
          <w:sz w:val="16"/>
          <w:szCs w:val="16"/>
          <w:color w:val="auto"/>
        </w:rPr>
        <w:t>The default interest rate on overdue Loan shall be (100% plus 50 %) of the Loan Rate. If the Loan Rate is adjusted according to Article 4.1</w:t>
      </w:r>
    </w:p>
    <w:p>
      <w:pPr>
        <w:spacing w:after="0" w:line="37" w:lineRule="exact"/>
        <w:rPr>
          <w:rFonts w:ascii="Arial" w:cs="Arial" w:eastAsia="Arial" w:hAnsi="Arial"/>
          <w:sz w:val="16"/>
          <w:szCs w:val="16"/>
          <w:color w:val="auto"/>
        </w:rPr>
      </w:pPr>
    </w:p>
    <w:p>
      <w:pPr>
        <w:ind w:left="1095" w:right="120"/>
        <w:spacing w:after="0" w:line="275" w:lineRule="auto"/>
        <w:rPr>
          <w:rFonts w:ascii="Arial" w:cs="Arial" w:eastAsia="Arial" w:hAnsi="Arial"/>
          <w:sz w:val="16"/>
          <w:szCs w:val="16"/>
          <w:color w:val="auto"/>
        </w:rPr>
      </w:pPr>
      <w:r>
        <w:rPr>
          <w:rFonts w:ascii="Arial" w:cs="Arial" w:eastAsia="Arial" w:hAnsi="Arial"/>
          <w:sz w:val="17"/>
          <w:szCs w:val="17"/>
          <w:color w:val="auto"/>
        </w:rPr>
        <w:t>(3) above, such default interest rate shall be adjusted in accordance with the adjusted Loan Rate and the upward floating percentage set out in this Article 4.2 (2).</w:t>
      </w:r>
    </w:p>
    <w:p>
      <w:pPr>
        <w:spacing w:after="0" w:line="169" w:lineRule="exact"/>
        <w:rPr>
          <w:rFonts w:ascii="Arial" w:cs="Arial" w:eastAsia="Arial" w:hAnsi="Arial"/>
          <w:sz w:val="16"/>
          <w:szCs w:val="16"/>
          <w:color w:val="auto"/>
        </w:rPr>
      </w:pPr>
    </w:p>
    <w:p>
      <w:pPr>
        <w:ind w:left="1095" w:right="440" w:hanging="309"/>
        <w:spacing w:after="0" w:line="289" w:lineRule="auto"/>
        <w:tabs>
          <w:tab w:leader="none" w:pos="1102" w:val="left"/>
        </w:tabs>
        <w:numPr>
          <w:ilvl w:val="0"/>
          <w:numId w:val="718"/>
        </w:numPr>
        <w:rPr>
          <w:rFonts w:ascii="Arial" w:cs="Arial" w:eastAsia="Arial" w:hAnsi="Arial"/>
          <w:sz w:val="17"/>
          <w:szCs w:val="17"/>
          <w:color w:val="auto"/>
        </w:rPr>
      </w:pPr>
      <w:r>
        <w:rPr>
          <w:rFonts w:ascii="Arial" w:cs="Arial" w:eastAsia="Arial" w:hAnsi="Arial"/>
          <w:sz w:val="17"/>
          <w:szCs w:val="17"/>
          <w:color w:val="auto"/>
        </w:rPr>
        <w:t>If Misappropriation and overdue payment occur concurrently, the default interest shall be calculated and compounded in accordance with the higher of the two default interest rates provided for in Articles 4.2(1) and 4.2(2) herein.</w:t>
      </w:r>
    </w:p>
    <w:p>
      <w:pPr>
        <w:spacing w:after="0" w:line="158" w:lineRule="exact"/>
        <w:rPr>
          <w:sz w:val="20"/>
          <w:szCs w:val="20"/>
          <w:color w:val="auto"/>
        </w:rPr>
      </w:pPr>
    </w:p>
    <w:p>
      <w:pPr>
        <w:ind w:left="695" w:right="240" w:hanging="392"/>
        <w:spacing w:after="0" w:line="289" w:lineRule="auto"/>
        <w:tabs>
          <w:tab w:leader="none" w:pos="675" w:val="left"/>
        </w:tabs>
        <w:rPr>
          <w:sz w:val="20"/>
          <w:szCs w:val="20"/>
          <w:color w:val="auto"/>
        </w:rPr>
      </w:pPr>
      <w:r>
        <w:rPr>
          <w:rFonts w:ascii="Arial" w:cs="Arial" w:eastAsia="Arial" w:hAnsi="Arial"/>
          <w:sz w:val="17"/>
          <w:szCs w:val="17"/>
          <w:color w:val="auto"/>
        </w:rPr>
        <w:t>4.3</w:t>
        <w:tab/>
        <w:t>The Interest Commencement Date provided in this Article 4 refers to the date on which the proceeds of the first advance have been deposited into the loan disbursement account designated in Article 6 (the “</w:t>
      </w:r>
      <w:r>
        <w:rPr>
          <w:rFonts w:ascii="Arial" w:cs="Arial" w:eastAsia="Arial" w:hAnsi="Arial"/>
          <w:sz w:val="17"/>
          <w:szCs w:val="17"/>
          <w:b w:val="1"/>
          <w:bCs w:val="1"/>
          <w:color w:val="auto"/>
        </w:rPr>
        <w:t>Loan Disbursement Account</w:t>
      </w:r>
      <w:r>
        <w:rPr>
          <w:rFonts w:ascii="Arial" w:cs="Arial" w:eastAsia="Arial" w:hAnsi="Arial"/>
          <w:sz w:val="17"/>
          <w:szCs w:val="17"/>
          <w:color w:val="auto"/>
        </w:rPr>
        <w:t>”).</w:t>
      </w:r>
    </w:p>
    <w:p>
      <w:pPr>
        <w:spacing w:after="0" w:line="152" w:lineRule="exact"/>
        <w:rPr>
          <w:sz w:val="20"/>
          <w:szCs w:val="20"/>
          <w:color w:val="auto"/>
        </w:rPr>
      </w:pPr>
    </w:p>
    <w:p>
      <w:pPr>
        <w:ind w:left="815" w:right="20" w:firstLine="2"/>
        <w:spacing w:after="0" w:line="285" w:lineRule="auto"/>
        <w:rPr>
          <w:sz w:val="20"/>
          <w:szCs w:val="20"/>
          <w:color w:val="auto"/>
        </w:rPr>
      </w:pPr>
      <w:r>
        <w:rPr>
          <w:rFonts w:ascii="Arial" w:cs="Arial" w:eastAsia="Arial" w:hAnsi="Arial"/>
          <w:sz w:val="16"/>
          <w:szCs w:val="16"/>
          <w:color w:val="auto"/>
        </w:rPr>
        <w:t>For the first advance of the Loan, the Base Rate refers to the lending interest rate quoted by the People’s Bank of China (the “</w:t>
      </w:r>
      <w:r>
        <w:rPr>
          <w:rFonts w:ascii="Arial" w:cs="Arial" w:eastAsia="Arial" w:hAnsi="Arial"/>
          <w:sz w:val="16"/>
          <w:szCs w:val="16"/>
          <w:b w:val="1"/>
          <w:bCs w:val="1"/>
          <w:color w:val="auto"/>
        </w:rPr>
        <w:t>PBOC</w:t>
      </w:r>
      <w:r>
        <w:rPr>
          <w:rFonts w:ascii="Arial" w:cs="Arial" w:eastAsia="Arial" w:hAnsi="Arial"/>
          <w:sz w:val="16"/>
          <w:szCs w:val="16"/>
          <w:color w:val="auto"/>
        </w:rPr>
        <w:t>”) on the Interest Commencement Date for loans with the same tenor and within the same category. If the lending interest rate on other advances of the Loan is adjusted in accordance with Article 4.1 (3), the Base Rate refers to the lending interest rate quoted by the PBOC on the interest rate adjustment date for loans with the same tenor and within the same category. If the PBOC no longer publishes such lending interest rate, the Base Rate shall mean, unless agreed otherwise between the parties, the lending interest rate with the same tenor and within the same category generally accepted by the banking industry on the interest rate adjustment date or an interest rate commonly used for a loan with the same tenor and within the same category.</w:t>
      </w:r>
    </w:p>
    <w:p>
      <w:pPr>
        <w:spacing w:after="0" w:line="163" w:lineRule="exact"/>
        <w:rPr>
          <w:sz w:val="20"/>
          <w:szCs w:val="20"/>
          <w:color w:val="auto"/>
        </w:rPr>
      </w:pPr>
    </w:p>
    <w:p>
      <w:pPr>
        <w:jc w:val="both"/>
        <w:ind w:left="695" w:right="120" w:hanging="392"/>
        <w:spacing w:after="0" w:line="268" w:lineRule="auto"/>
        <w:tabs>
          <w:tab w:leader="none" w:pos="675" w:val="left"/>
        </w:tabs>
        <w:rPr>
          <w:sz w:val="20"/>
          <w:szCs w:val="20"/>
          <w:color w:val="auto"/>
        </w:rPr>
      </w:pPr>
      <w:r>
        <w:rPr>
          <w:rFonts w:ascii="Arial" w:cs="Arial" w:eastAsia="Arial" w:hAnsi="Arial"/>
          <w:sz w:val="17"/>
          <w:szCs w:val="17"/>
          <w:color w:val="auto"/>
        </w:rPr>
        <w:t>4.4</w:t>
        <w:tab/>
        <w:t>The interest on the Loan shall commence to accrue as of the date when such Loan proceeds have been deposited into the Loan Disbursement Account designated by Party A. Interest on the Loan shall be computed daily with the daily interest rate equal to 1/360 of the annual interest rate. If Party A can not pay interest on the interest settlement date as provided herein, the interest shall be compounded as of the date immediately following the applicable interest settlement date.</w:t>
      </w:r>
    </w:p>
    <w:p>
      <w:pPr>
        <w:spacing w:after="0" w:line="176" w:lineRule="exact"/>
        <w:rPr>
          <w:sz w:val="20"/>
          <w:szCs w:val="20"/>
          <w:color w:val="auto"/>
        </w:rPr>
      </w:pPr>
    </w:p>
    <w:p>
      <w:pPr>
        <w:ind w:left="315"/>
        <w:spacing w:after="0"/>
        <w:tabs>
          <w:tab w:leader="none" w:pos="675"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5"/>
          <w:szCs w:val="15"/>
          <w:color w:val="auto"/>
        </w:rPr>
        <w:t>Interest Settlement</w:t>
      </w:r>
    </w:p>
    <w:p>
      <w:pPr>
        <w:spacing w:after="0" w:line="224" w:lineRule="exact"/>
        <w:rPr>
          <w:sz w:val="20"/>
          <w:szCs w:val="20"/>
          <w:color w:val="auto"/>
        </w:rPr>
      </w:pPr>
    </w:p>
    <w:p>
      <w:pPr>
        <w:ind w:left="1375" w:hanging="475"/>
        <w:spacing w:after="0" w:line="273" w:lineRule="auto"/>
        <w:tabs>
          <w:tab w:leader="none" w:pos="1384" w:val="left"/>
        </w:tabs>
        <w:numPr>
          <w:ilvl w:val="0"/>
          <w:numId w:val="719"/>
        </w:numPr>
        <w:rPr>
          <w:rFonts w:ascii="Arial" w:cs="Arial" w:eastAsia="Arial" w:hAnsi="Arial"/>
          <w:sz w:val="17"/>
          <w:szCs w:val="17"/>
          <w:color w:val="auto"/>
        </w:rPr>
      </w:pPr>
      <w:r>
        <w:rPr>
          <w:rFonts w:ascii="Arial" w:cs="Arial" w:eastAsia="Arial" w:hAnsi="Arial"/>
          <w:sz w:val="17"/>
          <w:szCs w:val="17"/>
          <w:color w:val="auto"/>
        </w:rPr>
        <w:t>For a loan subject to a fixed interest rate, the interest accrued thereon shall be calculated in accordance with the agreed fixed interest rate. For a loan subject to a floating interest rate, the interest accrued thereon shall be calculated in accordance with the interest rate determined for each interest rate floating period. If the interest rate has been adjusted more</w:t>
      </w:r>
    </w:p>
    <w:p>
      <w:pPr>
        <w:spacing w:after="0" w:line="172"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55" w:right="100"/>
        <w:spacing w:after="0" w:line="273" w:lineRule="auto"/>
        <w:rPr>
          <w:sz w:val="20"/>
          <w:szCs w:val="20"/>
          <w:color w:val="auto"/>
        </w:rPr>
      </w:pPr>
      <w:r>
        <w:rPr>
          <w:rFonts w:ascii="Arial" w:cs="Arial" w:eastAsia="Arial" w:hAnsi="Arial"/>
          <w:sz w:val="17"/>
          <w:szCs w:val="17"/>
          <w:color w:val="auto"/>
        </w:rPr>
        <w:t>than once during a single interest settlement period, the interest during each interest rate floating period shall be calculated first and the total interest accrued during such interest settlement period shall be the aggregate amount of all the interest accrued during each interest rate floating period within such interest settlement period.</w:t>
      </w:r>
    </w:p>
    <w:p>
      <w:pPr>
        <w:spacing w:after="0" w:line="172" w:lineRule="exact"/>
        <w:rPr>
          <w:sz w:val="20"/>
          <w:szCs w:val="20"/>
          <w:color w:val="auto"/>
        </w:rPr>
      </w:pPr>
    </w:p>
    <w:p>
      <w:pPr>
        <w:ind w:left="1235" w:hanging="335"/>
        <w:spacing w:after="0"/>
        <w:tabs>
          <w:tab w:leader="none" w:pos="1235" w:val="left"/>
        </w:tabs>
        <w:numPr>
          <w:ilvl w:val="0"/>
          <w:numId w:val="720"/>
        </w:numPr>
        <w:rPr>
          <w:rFonts w:ascii="Arial" w:cs="Arial" w:eastAsia="Arial" w:hAnsi="Arial"/>
          <w:sz w:val="17"/>
          <w:szCs w:val="17"/>
          <w:color w:val="auto"/>
        </w:rPr>
      </w:pPr>
      <w:r>
        <w:rPr>
          <w:rFonts w:ascii="Arial" w:cs="Arial" w:eastAsia="Arial" w:hAnsi="Arial"/>
          <w:sz w:val="17"/>
          <w:szCs w:val="17"/>
          <w:color w:val="auto"/>
        </w:rPr>
        <w:t>The interest accrued on the Loan hereunder shall be settled in accordance with (i) of the following:</w:t>
      </w:r>
    </w:p>
    <w:p>
      <w:pPr>
        <w:spacing w:after="0" w:line="224" w:lineRule="exact"/>
        <w:rPr>
          <w:rFonts w:ascii="Arial" w:cs="Arial" w:eastAsia="Arial" w:hAnsi="Arial"/>
          <w:sz w:val="17"/>
          <w:szCs w:val="17"/>
          <w:color w:val="auto"/>
        </w:rPr>
      </w:pPr>
    </w:p>
    <w:p>
      <w:pPr>
        <w:ind w:left="1675" w:hanging="420"/>
        <w:spacing w:after="0"/>
        <w:tabs>
          <w:tab w:leader="none" w:pos="1675" w:val="left"/>
        </w:tabs>
        <w:numPr>
          <w:ilvl w:val="1"/>
          <w:numId w:val="720"/>
        </w:numPr>
        <w:rPr>
          <w:rFonts w:ascii="Arial" w:cs="Arial" w:eastAsia="Arial" w:hAnsi="Arial"/>
          <w:sz w:val="17"/>
          <w:szCs w:val="17"/>
          <w:color w:val="auto"/>
        </w:rPr>
      </w:pPr>
      <w:r>
        <w:rPr>
          <w:rFonts w:ascii="Arial" w:cs="Arial" w:eastAsia="Arial" w:hAnsi="Arial"/>
          <w:sz w:val="17"/>
          <w:szCs w:val="17"/>
          <w:color w:val="auto"/>
        </w:rPr>
        <w:t>on a monthly basis and the interest settlement date shall be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each month;</w:t>
      </w:r>
    </w:p>
    <w:p>
      <w:pPr>
        <w:spacing w:after="0" w:line="166" w:lineRule="exact"/>
        <w:rPr>
          <w:rFonts w:ascii="Arial" w:cs="Arial" w:eastAsia="Arial" w:hAnsi="Arial"/>
          <w:sz w:val="17"/>
          <w:szCs w:val="17"/>
          <w:color w:val="auto"/>
        </w:rPr>
      </w:pPr>
    </w:p>
    <w:p>
      <w:pPr>
        <w:ind w:left="1675" w:hanging="417"/>
        <w:spacing w:after="0"/>
        <w:tabs>
          <w:tab w:leader="none" w:pos="1675" w:val="left"/>
        </w:tabs>
        <w:numPr>
          <w:ilvl w:val="1"/>
          <w:numId w:val="720"/>
        </w:numPr>
        <w:rPr>
          <w:rFonts w:ascii="Arial" w:cs="Arial" w:eastAsia="Arial" w:hAnsi="Arial"/>
          <w:sz w:val="17"/>
          <w:szCs w:val="17"/>
          <w:color w:val="auto"/>
        </w:rPr>
      </w:pPr>
      <w:r>
        <w:rPr>
          <w:rFonts w:ascii="Arial" w:cs="Arial" w:eastAsia="Arial" w:hAnsi="Arial"/>
          <w:sz w:val="17"/>
          <w:szCs w:val="17"/>
          <w:color w:val="auto"/>
        </w:rPr>
        <w:t>on a quarterly basis and the interest settlement date shall be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the last month of the relevant quarter;</w:t>
      </w:r>
    </w:p>
    <w:p>
      <w:pPr>
        <w:spacing w:after="0" w:line="167" w:lineRule="exact"/>
        <w:rPr>
          <w:sz w:val="20"/>
          <w:szCs w:val="20"/>
          <w:color w:val="auto"/>
        </w:rPr>
      </w:pPr>
    </w:p>
    <w:p>
      <w:pPr>
        <w:ind w:left="1255"/>
        <w:spacing w:after="0"/>
        <w:tabs>
          <w:tab w:leader="none" w:pos="1675" w:val="left"/>
          <w:tab w:leader="none" w:pos="4655" w:val="left"/>
        </w:tabs>
        <w:rPr>
          <w:sz w:val="20"/>
          <w:szCs w:val="20"/>
          <w:color w:val="auto"/>
        </w:rPr>
      </w:pPr>
      <w:r>
        <w:rPr>
          <w:rFonts w:ascii="Arial" w:cs="Arial" w:eastAsia="Arial" w:hAnsi="Arial"/>
          <w:sz w:val="17"/>
          <w:szCs w:val="17"/>
          <w:color w:val="auto"/>
        </w:rPr>
        <w:t>(iii)</w:t>
        <w:tab/>
        <w:t>other method:</w:t>
      </w:r>
      <w:r>
        <w:rPr>
          <w:sz w:val="20"/>
          <w:szCs w:val="20"/>
          <w:color w:val="auto"/>
        </w:rPr>
        <w:tab/>
      </w:r>
      <w:r>
        <w:rPr>
          <w:rFonts w:ascii="Arial" w:cs="Arial" w:eastAsia="Arial" w:hAnsi="Arial"/>
          <w:sz w:val="14"/>
          <w:szCs w:val="14"/>
          <w:color w:val="auto"/>
        </w:rPr>
        <w:t>.</w:t>
      </w:r>
    </w:p>
    <w:p>
      <w:pPr>
        <w:spacing w:after="0" w:line="218" w:lineRule="exact"/>
        <w:rPr>
          <w:sz w:val="20"/>
          <w:szCs w:val="20"/>
          <w:color w:val="auto"/>
        </w:rPr>
      </w:pPr>
    </w:p>
    <w:p>
      <w:pPr>
        <w:ind w:left="315" w:hanging="315"/>
        <w:spacing w:after="0"/>
        <w:tabs>
          <w:tab w:leader="none" w:pos="315" w:val="left"/>
        </w:tabs>
        <w:numPr>
          <w:ilvl w:val="0"/>
          <w:numId w:val="721"/>
        </w:numPr>
        <w:rPr>
          <w:rFonts w:ascii="Arial" w:cs="Arial" w:eastAsia="Arial" w:hAnsi="Arial"/>
          <w:sz w:val="17"/>
          <w:szCs w:val="17"/>
          <w:b w:val="1"/>
          <w:bCs w:val="1"/>
          <w:color w:val="auto"/>
        </w:rPr>
      </w:pPr>
      <w:r>
        <w:rPr>
          <w:rFonts w:ascii="Arial" w:cs="Arial" w:eastAsia="Arial" w:hAnsi="Arial"/>
          <w:sz w:val="17"/>
          <w:szCs w:val="17"/>
          <w:b w:val="1"/>
          <w:bCs w:val="1"/>
          <w:color w:val="auto"/>
        </w:rPr>
        <w:t>ADVANCE AND DRAWDOWN</w:t>
      </w:r>
    </w:p>
    <w:p>
      <w:pPr>
        <w:spacing w:after="0" w:line="230" w:lineRule="exact"/>
        <w:rPr>
          <w:sz w:val="20"/>
          <w:szCs w:val="20"/>
          <w:color w:val="auto"/>
        </w:rPr>
      </w:pPr>
    </w:p>
    <w:p>
      <w:pPr>
        <w:ind w:left="315"/>
        <w:spacing w:after="0"/>
        <w:rPr>
          <w:sz w:val="20"/>
          <w:szCs w:val="20"/>
          <w:color w:val="auto"/>
        </w:rPr>
      </w:pPr>
      <w:r>
        <w:rPr>
          <w:rFonts w:ascii="Arial" w:cs="Arial" w:eastAsia="Arial" w:hAnsi="Arial"/>
          <w:sz w:val="17"/>
          <w:szCs w:val="17"/>
          <w:color w:val="auto"/>
        </w:rPr>
        <w:t>5.1 Conditions Precedent to Advance</w:t>
      </w:r>
    </w:p>
    <w:p>
      <w:pPr>
        <w:spacing w:after="0" w:line="224" w:lineRule="exact"/>
        <w:rPr>
          <w:sz w:val="20"/>
          <w:szCs w:val="20"/>
          <w:color w:val="auto"/>
        </w:rPr>
      </w:pPr>
    </w:p>
    <w:p>
      <w:pPr>
        <w:ind w:left="795" w:right="260"/>
        <w:spacing w:after="0" w:line="289" w:lineRule="auto"/>
        <w:rPr>
          <w:sz w:val="20"/>
          <w:szCs w:val="20"/>
          <w:color w:val="auto"/>
        </w:rPr>
      </w:pPr>
      <w:r>
        <w:rPr>
          <w:rFonts w:ascii="Arial" w:cs="Arial" w:eastAsia="Arial" w:hAnsi="Arial"/>
          <w:sz w:val="17"/>
          <w:szCs w:val="17"/>
          <w:color w:val="auto"/>
        </w:rPr>
        <w:t>Unless Party B waives all or part of the following conditions, Party B shall be obligated to advance any amount of the Loan only if all the following conditions continuously remain satisfied:</w:t>
      </w:r>
    </w:p>
    <w:p>
      <w:pPr>
        <w:spacing w:after="0" w:line="158" w:lineRule="exact"/>
        <w:rPr>
          <w:sz w:val="20"/>
          <w:szCs w:val="20"/>
          <w:color w:val="auto"/>
        </w:rPr>
      </w:pPr>
    </w:p>
    <w:p>
      <w:pPr>
        <w:ind w:left="1275" w:hanging="489"/>
        <w:spacing w:after="0"/>
        <w:tabs>
          <w:tab w:leader="none" w:pos="1275" w:val="left"/>
        </w:tabs>
        <w:numPr>
          <w:ilvl w:val="0"/>
          <w:numId w:val="722"/>
        </w:numPr>
        <w:rPr>
          <w:rFonts w:ascii="Arial" w:cs="Arial" w:eastAsia="Arial" w:hAnsi="Arial"/>
          <w:sz w:val="16"/>
          <w:szCs w:val="16"/>
          <w:color w:val="auto"/>
        </w:rPr>
      </w:pPr>
      <w:r>
        <w:rPr>
          <w:rFonts w:ascii="Arial" w:cs="Arial" w:eastAsia="Arial" w:hAnsi="Arial"/>
          <w:sz w:val="16"/>
          <w:szCs w:val="16"/>
          <w:color w:val="auto"/>
        </w:rPr>
        <w:t>Party A has completed all the approval, registration, delivery, insurance and other statutory procedures in relation to the Loan hereunder;</w:t>
      </w:r>
    </w:p>
    <w:p>
      <w:pPr>
        <w:spacing w:after="0" w:line="235" w:lineRule="exact"/>
        <w:rPr>
          <w:rFonts w:ascii="Arial" w:cs="Arial" w:eastAsia="Arial" w:hAnsi="Arial"/>
          <w:sz w:val="16"/>
          <w:szCs w:val="16"/>
          <w:color w:val="auto"/>
        </w:rPr>
      </w:pPr>
    </w:p>
    <w:p>
      <w:pPr>
        <w:ind w:left="1275" w:hanging="489"/>
        <w:spacing w:after="0"/>
        <w:tabs>
          <w:tab w:leader="none" w:pos="1275" w:val="left"/>
        </w:tabs>
        <w:numPr>
          <w:ilvl w:val="0"/>
          <w:numId w:val="722"/>
        </w:numPr>
        <w:rPr>
          <w:rFonts w:ascii="Arial" w:cs="Arial" w:eastAsia="Arial" w:hAnsi="Arial"/>
          <w:sz w:val="17"/>
          <w:szCs w:val="17"/>
          <w:color w:val="auto"/>
        </w:rPr>
      </w:pPr>
      <w:r>
        <w:rPr>
          <w:rFonts w:ascii="Arial" w:cs="Arial" w:eastAsia="Arial" w:hAnsi="Arial"/>
          <w:sz w:val="17"/>
          <w:szCs w:val="17"/>
          <w:color w:val="auto"/>
        </w:rPr>
        <w:t>the security has become and remains effective, if a security is established for the Contract;</w:t>
      </w:r>
    </w:p>
    <w:p>
      <w:pPr>
        <w:spacing w:after="0" w:line="224" w:lineRule="exact"/>
        <w:rPr>
          <w:rFonts w:ascii="Arial" w:cs="Arial" w:eastAsia="Arial" w:hAnsi="Arial"/>
          <w:sz w:val="17"/>
          <w:szCs w:val="17"/>
          <w:color w:val="auto"/>
        </w:rPr>
      </w:pPr>
    </w:p>
    <w:p>
      <w:pPr>
        <w:ind w:left="1275" w:hanging="489"/>
        <w:spacing w:after="0"/>
        <w:tabs>
          <w:tab w:leader="none" w:pos="1275" w:val="left"/>
        </w:tabs>
        <w:numPr>
          <w:ilvl w:val="0"/>
          <w:numId w:val="722"/>
        </w:numPr>
        <w:rPr>
          <w:rFonts w:ascii="Arial" w:cs="Arial" w:eastAsia="Arial" w:hAnsi="Arial"/>
          <w:sz w:val="17"/>
          <w:szCs w:val="17"/>
          <w:color w:val="auto"/>
        </w:rPr>
      </w:pPr>
      <w:r>
        <w:rPr>
          <w:rFonts w:ascii="Arial" w:cs="Arial" w:eastAsia="Arial" w:hAnsi="Arial"/>
          <w:sz w:val="17"/>
          <w:szCs w:val="17"/>
          <w:color w:val="auto"/>
        </w:rPr>
        <w:t>Party A has opened the bank accounts for drawdown and debt service purposes as Party B requests;</w:t>
      </w:r>
    </w:p>
    <w:p>
      <w:pPr>
        <w:spacing w:after="0" w:line="224" w:lineRule="exact"/>
        <w:rPr>
          <w:rFonts w:ascii="Arial" w:cs="Arial" w:eastAsia="Arial" w:hAnsi="Arial"/>
          <w:sz w:val="17"/>
          <w:szCs w:val="17"/>
          <w:color w:val="auto"/>
        </w:rPr>
      </w:pPr>
    </w:p>
    <w:p>
      <w:pPr>
        <w:ind w:left="1275" w:hanging="489"/>
        <w:spacing w:after="0"/>
        <w:tabs>
          <w:tab w:leader="none" w:pos="1275" w:val="left"/>
        </w:tabs>
        <w:numPr>
          <w:ilvl w:val="0"/>
          <w:numId w:val="722"/>
        </w:numPr>
        <w:rPr>
          <w:rFonts w:ascii="Arial" w:cs="Arial" w:eastAsia="Arial" w:hAnsi="Arial"/>
          <w:sz w:val="17"/>
          <w:szCs w:val="17"/>
          <w:color w:val="auto"/>
        </w:rPr>
      </w:pPr>
      <w:r>
        <w:rPr>
          <w:rFonts w:ascii="Arial" w:cs="Arial" w:eastAsia="Arial" w:hAnsi="Arial"/>
          <w:sz w:val="17"/>
          <w:szCs w:val="17"/>
          <w:color w:val="auto"/>
        </w:rPr>
        <w:t>Party A has not triggered any event of default hereunder;</w:t>
      </w:r>
    </w:p>
    <w:p>
      <w:pPr>
        <w:spacing w:after="0" w:line="224" w:lineRule="exact"/>
        <w:rPr>
          <w:rFonts w:ascii="Arial" w:cs="Arial" w:eastAsia="Arial" w:hAnsi="Arial"/>
          <w:sz w:val="17"/>
          <w:szCs w:val="17"/>
          <w:color w:val="auto"/>
        </w:rPr>
      </w:pPr>
    </w:p>
    <w:p>
      <w:pPr>
        <w:ind w:left="1275" w:hanging="489"/>
        <w:spacing w:after="0"/>
        <w:tabs>
          <w:tab w:leader="none" w:pos="1275" w:val="left"/>
        </w:tabs>
        <w:numPr>
          <w:ilvl w:val="0"/>
          <w:numId w:val="722"/>
        </w:numPr>
        <w:rPr>
          <w:rFonts w:ascii="Arial" w:cs="Arial" w:eastAsia="Arial" w:hAnsi="Arial"/>
          <w:sz w:val="17"/>
          <w:szCs w:val="17"/>
          <w:color w:val="auto"/>
        </w:rPr>
      </w:pPr>
      <w:r>
        <w:rPr>
          <w:rFonts w:ascii="Arial" w:cs="Arial" w:eastAsia="Arial" w:hAnsi="Arial"/>
          <w:sz w:val="17"/>
          <w:szCs w:val="17"/>
          <w:color w:val="auto"/>
        </w:rPr>
        <w:t>no event has occurred that may adversely impact Party B’s rights as a creditor;</w:t>
      </w:r>
    </w:p>
    <w:p>
      <w:pPr>
        <w:spacing w:after="0" w:line="224" w:lineRule="exact"/>
        <w:rPr>
          <w:rFonts w:ascii="Arial" w:cs="Arial" w:eastAsia="Arial" w:hAnsi="Arial"/>
          <w:sz w:val="17"/>
          <w:szCs w:val="17"/>
          <w:color w:val="auto"/>
        </w:rPr>
      </w:pPr>
    </w:p>
    <w:p>
      <w:pPr>
        <w:ind w:left="1275" w:hanging="489"/>
        <w:spacing w:after="0"/>
        <w:tabs>
          <w:tab w:leader="none" w:pos="1275" w:val="left"/>
        </w:tabs>
        <w:numPr>
          <w:ilvl w:val="0"/>
          <w:numId w:val="722"/>
        </w:numPr>
        <w:rPr>
          <w:rFonts w:ascii="Arial" w:cs="Arial" w:eastAsia="Arial" w:hAnsi="Arial"/>
          <w:sz w:val="17"/>
          <w:szCs w:val="17"/>
          <w:color w:val="auto"/>
        </w:rPr>
      </w:pPr>
      <w:r>
        <w:rPr>
          <w:rFonts w:ascii="Arial" w:cs="Arial" w:eastAsia="Arial" w:hAnsi="Arial"/>
          <w:sz w:val="17"/>
          <w:szCs w:val="17"/>
          <w:color w:val="auto"/>
        </w:rPr>
        <w:t>the advance to be made by Party B is not prohibited or restricted by any laws, regulations, rules or competent authorities; and</w:t>
      </w:r>
    </w:p>
    <w:p>
      <w:pPr>
        <w:sectPr>
          <w:pgSz w:w="11900" w:h="16838" w:orient="portrait"/>
          <w:cols w:equalWidth="0" w:num="1">
            <w:col w:w="11395"/>
          </w:cols>
          <w:pgMar w:left="245" w:top="127" w:right="259" w:bottom="0" w:gutter="0" w:footer="0" w:header="0"/>
        </w:sectPr>
      </w:pPr>
    </w:p>
    <w:bookmarkStart w:id="429" w:name="page430"/>
    <w:bookmarkEnd w:id="429"/>
    <w:p>
      <w:pPr>
        <w:ind w:left="940" w:right="420" w:hanging="469"/>
        <w:spacing w:after="0" w:line="289" w:lineRule="auto"/>
        <w:tabs>
          <w:tab w:leader="none" w:pos="947" w:val="left"/>
        </w:tabs>
        <w:numPr>
          <w:ilvl w:val="0"/>
          <w:numId w:val="723"/>
        </w:numPr>
        <w:rPr>
          <w:rFonts w:ascii="Arial" w:cs="Arial" w:eastAsia="Arial" w:hAnsi="Arial"/>
          <w:sz w:val="17"/>
          <w:szCs w:val="17"/>
          <w:color w:val="auto"/>
        </w:rPr>
      </w:pPr>
      <w:r>
        <w:rPr>
          <w:rFonts w:ascii="Arial" w:cs="Arial" w:eastAsia="Arial" w:hAnsi="Arial"/>
          <w:sz w:val="17"/>
          <w:szCs w:val="17"/>
          <w:color w:val="auto"/>
        </w:rPr>
        <w:t>the financial indicators of Party A shall, at all time, continue to meet the requirements specified in Schedule 2 Terms relating to Mandatory Financial Indicators;</w:t>
      </w:r>
    </w:p>
    <w:p>
      <w:pPr>
        <w:spacing w:after="0" w:line="158" w:lineRule="exact"/>
        <w:rPr>
          <w:rFonts w:ascii="Arial" w:cs="Arial" w:eastAsia="Arial" w:hAnsi="Arial"/>
          <w:sz w:val="17"/>
          <w:szCs w:val="17"/>
          <w:color w:val="auto"/>
        </w:rPr>
      </w:pPr>
    </w:p>
    <w:p>
      <w:pPr>
        <w:ind w:left="960" w:hanging="489"/>
        <w:spacing w:after="0"/>
        <w:tabs>
          <w:tab w:leader="none" w:pos="960" w:val="left"/>
        </w:tabs>
        <w:numPr>
          <w:ilvl w:val="0"/>
          <w:numId w:val="723"/>
        </w:numPr>
        <w:rPr>
          <w:rFonts w:ascii="Arial" w:cs="Arial" w:eastAsia="Arial" w:hAnsi="Arial"/>
          <w:sz w:val="17"/>
          <w:szCs w:val="17"/>
          <w:color w:val="auto"/>
        </w:rPr>
      </w:pPr>
      <w:r>
        <w:rPr>
          <w:rFonts w:ascii="Arial" w:cs="Arial" w:eastAsia="Arial" w:hAnsi="Arial"/>
          <w:sz w:val="17"/>
          <w:szCs w:val="17"/>
          <w:color w:val="auto"/>
        </w:rPr>
        <w:t>Party A has submitted such materials as required in this Contract before any loan drawdown;</w:t>
      </w:r>
    </w:p>
    <w:p>
      <w:pPr>
        <w:spacing w:after="0" w:line="224" w:lineRule="exact"/>
        <w:rPr>
          <w:rFonts w:ascii="Arial" w:cs="Arial" w:eastAsia="Arial" w:hAnsi="Arial"/>
          <w:sz w:val="17"/>
          <w:szCs w:val="17"/>
          <w:color w:val="auto"/>
        </w:rPr>
      </w:pPr>
    </w:p>
    <w:p>
      <w:pPr>
        <w:ind w:left="960" w:hanging="489"/>
        <w:spacing w:after="0"/>
        <w:tabs>
          <w:tab w:leader="none" w:pos="960" w:val="left"/>
        </w:tabs>
        <w:numPr>
          <w:ilvl w:val="0"/>
          <w:numId w:val="723"/>
        </w:numPr>
        <w:rPr>
          <w:rFonts w:ascii="Arial" w:cs="Arial" w:eastAsia="Arial" w:hAnsi="Arial"/>
          <w:sz w:val="16"/>
          <w:szCs w:val="16"/>
          <w:color w:val="auto"/>
        </w:rPr>
      </w:pPr>
      <w:r>
        <w:rPr>
          <w:rFonts w:ascii="Arial" w:cs="Arial" w:eastAsia="Arial" w:hAnsi="Arial"/>
          <w:sz w:val="16"/>
          <w:szCs w:val="16"/>
          <w:color w:val="auto"/>
        </w:rPr>
        <w:t>the materials submitted by Party A are legal, authenticated, complete, accurate, valid and be in accordance with other requirements of Party B;</w:t>
      </w:r>
    </w:p>
    <w:p>
      <w:pPr>
        <w:spacing w:after="0" w:line="235" w:lineRule="exact"/>
        <w:rPr>
          <w:rFonts w:ascii="Arial" w:cs="Arial" w:eastAsia="Arial" w:hAnsi="Arial"/>
          <w:sz w:val="16"/>
          <w:szCs w:val="16"/>
          <w:color w:val="auto"/>
        </w:rPr>
      </w:pPr>
    </w:p>
    <w:p>
      <w:pPr>
        <w:ind w:left="960" w:hanging="483"/>
        <w:spacing w:after="0"/>
        <w:tabs>
          <w:tab w:leader="none" w:pos="960" w:val="left"/>
        </w:tabs>
        <w:numPr>
          <w:ilvl w:val="0"/>
          <w:numId w:val="723"/>
        </w:numPr>
        <w:rPr>
          <w:rFonts w:ascii="Arial" w:cs="Arial" w:eastAsia="Arial" w:hAnsi="Arial"/>
          <w:sz w:val="17"/>
          <w:szCs w:val="17"/>
          <w:color w:val="auto"/>
        </w:rPr>
      </w:pPr>
      <w:r>
        <w:rPr>
          <w:rFonts w:ascii="Arial" w:cs="Arial" w:eastAsia="Arial" w:hAnsi="Arial"/>
          <w:sz w:val="17"/>
          <w:szCs w:val="17"/>
          <w:color w:val="auto"/>
        </w:rPr>
        <w:t>Other conditions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81280</wp:posOffset>
            </wp:positionV>
            <wp:extent cx="7271385" cy="2921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5"/>
          <w:szCs w:val="15"/>
          <w:color w:val="auto"/>
        </w:rPr>
        <w:t>Drawdown Schedule</w:t>
      </w:r>
    </w:p>
    <w:p>
      <w:pPr>
        <w:spacing w:after="0" w:line="224" w:lineRule="exact"/>
        <w:rPr>
          <w:sz w:val="20"/>
          <w:szCs w:val="20"/>
          <w:color w:val="auto"/>
        </w:rPr>
      </w:pPr>
    </w:p>
    <w:p>
      <w:pPr>
        <w:ind w:left="480"/>
        <w:spacing w:after="0" w:line="289" w:lineRule="auto"/>
        <w:rPr>
          <w:sz w:val="20"/>
          <w:szCs w:val="20"/>
          <w:color w:val="auto"/>
        </w:rPr>
      </w:pPr>
      <w:r>
        <w:rPr>
          <w:rFonts w:ascii="Arial" w:cs="Arial" w:eastAsia="Arial" w:hAnsi="Arial"/>
          <w:sz w:val="17"/>
          <w:szCs w:val="17"/>
          <w:color w:val="auto"/>
        </w:rPr>
        <w:t>“Drawdown” referred to in this Contract shall mean disbursements by Party B of the funds to the Loan Disbursement Account in accordance with Party A’s Application and this Contract.</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The drawdown schedule hereunder shall be item </w:t>
      </w:r>
      <w:r>
        <w:rPr>
          <w:rFonts w:ascii="Arial" w:cs="Arial" w:eastAsia="Arial" w:hAnsi="Arial"/>
          <w:sz w:val="17"/>
          <w:szCs w:val="17"/>
          <w:b w:val="1"/>
          <w:bCs w:val="1"/>
          <w:color w:val="auto"/>
        </w:rPr>
        <w:t>[see Schedule A]</w:t>
      </w:r>
      <w:r>
        <w:rPr>
          <w:rFonts w:ascii="Arial" w:cs="Arial" w:eastAsia="Arial" w:hAnsi="Arial"/>
          <w:sz w:val="17"/>
          <w:szCs w:val="17"/>
          <w:color w:val="auto"/>
        </w:rPr>
        <w:t xml:space="preserve"> of the following:</w:t>
      </w:r>
    </w:p>
    <w:p>
      <w:pPr>
        <w:spacing w:after="0" w:line="230" w:lineRule="exact"/>
        <w:rPr>
          <w:sz w:val="20"/>
          <w:szCs w:val="20"/>
          <w:color w:val="auto"/>
        </w:rPr>
      </w:pPr>
    </w:p>
    <w:p>
      <w:pPr>
        <w:ind w:left="880" w:hanging="409"/>
        <w:spacing w:after="0"/>
        <w:tabs>
          <w:tab w:leader="none" w:pos="880" w:val="left"/>
        </w:tabs>
        <w:numPr>
          <w:ilvl w:val="0"/>
          <w:numId w:val="724"/>
        </w:numPr>
        <w:rPr>
          <w:rFonts w:ascii="Arial" w:cs="Arial" w:eastAsia="Arial" w:hAnsi="Arial"/>
          <w:sz w:val="17"/>
          <w:szCs w:val="17"/>
          <w:color w:val="auto"/>
        </w:rPr>
      </w:pPr>
      <w:r>
        <w:rPr>
          <w:rFonts w:ascii="Arial" w:cs="Arial" w:eastAsia="Arial" w:hAnsi="Arial"/>
          <w:sz w:val="17"/>
          <w:szCs w:val="17"/>
          <w:color w:val="auto"/>
        </w:rPr>
        <w:t>The drawdown schedule shall be as follows:</w:t>
      </w:r>
    </w:p>
    <w:p>
      <w:pPr>
        <w:spacing w:after="0" w:line="224" w:lineRule="exact"/>
        <w:rPr>
          <w:sz w:val="20"/>
          <w:szCs w:val="20"/>
          <w:color w:val="auto"/>
        </w:rPr>
      </w:pPr>
    </w:p>
    <w:p>
      <w:pPr>
        <w:ind w:left="1660"/>
        <w:spacing w:after="0"/>
        <w:tabs>
          <w:tab w:leader="none" w:pos="8100" w:val="left"/>
        </w:tabs>
        <w:rPr>
          <w:sz w:val="20"/>
          <w:szCs w:val="20"/>
          <w:color w:val="auto"/>
        </w:rPr>
      </w:pPr>
      <w:r>
        <w:rPr>
          <w:rFonts w:ascii="Arial" w:cs="Arial" w:eastAsia="Arial" w:hAnsi="Arial"/>
          <w:sz w:val="17"/>
          <w:szCs w:val="17"/>
          <w:color w:val="auto"/>
        </w:rPr>
        <w:t>Drawdown Date (mm/dd/yyyy)</w:t>
      </w:r>
      <w:r>
        <w:rPr>
          <w:sz w:val="20"/>
          <w:szCs w:val="20"/>
          <w:color w:val="auto"/>
        </w:rPr>
        <w:tab/>
      </w:r>
      <w:r>
        <w:rPr>
          <w:rFonts w:ascii="Arial" w:cs="Arial" w:eastAsia="Arial" w:hAnsi="Arial"/>
          <w:sz w:val="16"/>
          <w:szCs w:val="16"/>
          <w:color w:val="auto"/>
        </w:rPr>
        <w:t>Amount</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(ii)</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(iii)</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(iv)</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(v)</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(vi)</w:t>
      </w:r>
    </w:p>
    <w:p>
      <w:pPr>
        <w:spacing w:after="0" w:line="224" w:lineRule="exact"/>
        <w:rPr>
          <w:sz w:val="20"/>
          <w:szCs w:val="20"/>
          <w:color w:val="auto"/>
        </w:rPr>
      </w:pPr>
    </w:p>
    <w:p>
      <w:pPr>
        <w:ind w:left="880" w:hanging="409"/>
        <w:spacing w:after="0"/>
        <w:tabs>
          <w:tab w:leader="none" w:pos="880" w:val="left"/>
        </w:tabs>
        <w:numPr>
          <w:ilvl w:val="0"/>
          <w:numId w:val="725"/>
        </w:numPr>
        <w:rPr>
          <w:rFonts w:ascii="Arial" w:cs="Arial" w:eastAsia="Arial" w:hAnsi="Arial"/>
          <w:sz w:val="17"/>
          <w:szCs w:val="17"/>
          <w:color w:val="auto"/>
        </w:rPr>
      </w:pPr>
      <w:r>
        <w:rPr>
          <w:rFonts w:ascii="Arial" w:cs="Arial" w:eastAsia="Arial" w:hAnsi="Arial"/>
          <w:sz w:val="17"/>
          <w:szCs w:val="17"/>
          <w:color w:val="auto"/>
        </w:rPr>
        <w:t>The drawdown schedule shall be as follows:</w:t>
      </w:r>
    </w:p>
    <w:p>
      <w:pPr>
        <w:spacing w:after="0" w:line="224"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2780" w:type="dxa"/>
            <w:vAlign w:val="bottom"/>
          </w:tcPr>
          <w:p>
            <w:pPr>
              <w:spacing w:after="0"/>
              <w:rPr>
                <w:sz w:val="20"/>
                <w:szCs w:val="20"/>
                <w:color w:val="auto"/>
              </w:rPr>
            </w:pPr>
            <w:r>
              <w:rPr>
                <w:rFonts w:ascii="Arial" w:cs="Arial" w:eastAsia="Arial" w:hAnsi="Arial"/>
                <w:sz w:val="17"/>
                <w:szCs w:val="17"/>
                <w:color w:val="auto"/>
              </w:rPr>
              <w:t>(i) from [</w:t>
            </w:r>
          </w:p>
        </w:tc>
        <w:tc>
          <w:tcPr>
            <w:tcW w:w="7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400" w:type="dxa"/>
            <w:vAlign w:val="bottom"/>
          </w:tcPr>
          <w:p>
            <w:pPr>
              <w:ind w:left="100"/>
              <w:spacing w:after="0"/>
              <w:rPr>
                <w:sz w:val="20"/>
                <w:szCs w:val="20"/>
                <w:color w:val="auto"/>
              </w:rPr>
            </w:pPr>
            <w:r>
              <w:rPr>
                <w:rFonts w:ascii="Arial" w:cs="Arial" w:eastAsia="Arial" w:hAnsi="Arial"/>
                <w:sz w:val="17"/>
                <w:szCs w:val="17"/>
                <w:color w:val="auto"/>
              </w:rPr>
              <w:t>to [</w:t>
            </w:r>
          </w:p>
        </w:tc>
        <w:tc>
          <w:tcPr>
            <w:tcW w:w="27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80" w:type="dxa"/>
            <w:vAlign w:val="bottom"/>
          </w:tcPr>
          <w:p>
            <w:pPr>
              <w:ind w:left="120"/>
              <w:spacing w:after="0"/>
              <w:rPr>
                <w:sz w:val="20"/>
                <w:szCs w:val="20"/>
                <w:color w:val="auto"/>
              </w:rPr>
            </w:pPr>
            <w:r>
              <w:rPr>
                <w:rFonts w:ascii="Arial" w:cs="Arial" w:eastAsia="Arial" w:hAnsi="Arial"/>
                <w:sz w:val="17"/>
                <w:szCs w:val="17"/>
                <w:color w:val="auto"/>
              </w:rPr>
              <w:t>Amount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2780" w:type="dxa"/>
            <w:vAlign w:val="bottom"/>
          </w:tcPr>
          <w:p>
            <w:pPr>
              <w:ind w:left="1180"/>
              <w:spacing w:after="0"/>
              <w:rPr>
                <w:sz w:val="20"/>
                <w:szCs w:val="20"/>
                <w:color w:val="auto"/>
              </w:rPr>
            </w:pPr>
            <w:r>
              <w:rPr>
                <w:rFonts w:ascii="Arial" w:cs="Arial" w:eastAsia="Arial" w:hAnsi="Arial"/>
                <w:sz w:val="17"/>
                <w:szCs w:val="17"/>
                <w:color w:val="auto"/>
              </w:rPr>
              <w:t>(mm/dd/yyyy)</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40" w:type="dxa"/>
            <w:vAlign w:val="bottom"/>
          </w:tcPr>
          <w:p>
            <w:pPr>
              <w:jc w:val="right"/>
              <w:ind w:right="1593"/>
              <w:spacing w:after="0"/>
              <w:rPr>
                <w:sz w:val="20"/>
                <w:szCs w:val="20"/>
                <w:color w:val="auto"/>
              </w:rPr>
            </w:pPr>
            <w:r>
              <w:rPr>
                <w:rFonts w:ascii="Arial" w:cs="Arial" w:eastAsia="Arial" w:hAnsi="Arial"/>
                <w:sz w:val="17"/>
                <w:szCs w:val="17"/>
                <w:color w:val="auto"/>
              </w:rPr>
              <w:t>(mm/dd/yyyy)</w:t>
            </w: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08"/>
        </w:trPr>
        <w:tc>
          <w:tcPr>
            <w:tcW w:w="2780" w:type="dxa"/>
            <w:vAlign w:val="bottom"/>
          </w:tcPr>
          <w:p>
            <w:pPr>
              <w:spacing w:after="0"/>
              <w:rPr>
                <w:sz w:val="20"/>
                <w:szCs w:val="20"/>
                <w:color w:val="auto"/>
              </w:rPr>
            </w:pPr>
            <w:r>
              <w:rPr>
                <w:rFonts w:ascii="Arial" w:cs="Arial" w:eastAsia="Arial" w:hAnsi="Arial"/>
                <w:sz w:val="17"/>
                <w:szCs w:val="17"/>
                <w:color w:val="auto"/>
              </w:rPr>
              <w:t>(ii) from [</w:t>
            </w:r>
          </w:p>
        </w:tc>
        <w:tc>
          <w:tcPr>
            <w:tcW w:w="7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400" w:type="dxa"/>
            <w:vAlign w:val="bottom"/>
          </w:tcPr>
          <w:p>
            <w:pPr>
              <w:ind w:left="100"/>
              <w:spacing w:after="0"/>
              <w:rPr>
                <w:sz w:val="20"/>
                <w:szCs w:val="20"/>
                <w:color w:val="auto"/>
              </w:rPr>
            </w:pPr>
            <w:r>
              <w:rPr>
                <w:rFonts w:ascii="Arial" w:cs="Arial" w:eastAsia="Arial" w:hAnsi="Arial"/>
                <w:sz w:val="17"/>
                <w:szCs w:val="17"/>
                <w:color w:val="auto"/>
              </w:rPr>
              <w:t>to [</w:t>
            </w:r>
          </w:p>
        </w:tc>
        <w:tc>
          <w:tcPr>
            <w:tcW w:w="27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80" w:type="dxa"/>
            <w:vAlign w:val="bottom"/>
          </w:tcPr>
          <w:p>
            <w:pPr>
              <w:ind w:left="120"/>
              <w:spacing w:after="0"/>
              <w:rPr>
                <w:sz w:val="20"/>
                <w:szCs w:val="20"/>
                <w:color w:val="auto"/>
              </w:rPr>
            </w:pPr>
            <w:r>
              <w:rPr>
                <w:rFonts w:ascii="Arial" w:cs="Arial" w:eastAsia="Arial" w:hAnsi="Arial"/>
                <w:sz w:val="17"/>
                <w:szCs w:val="17"/>
                <w:color w:val="auto"/>
              </w:rPr>
              <w:t>Amount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2780" w:type="dxa"/>
            <w:vAlign w:val="bottom"/>
          </w:tcPr>
          <w:p>
            <w:pPr>
              <w:ind w:left="1180"/>
              <w:spacing w:after="0"/>
              <w:rPr>
                <w:sz w:val="20"/>
                <w:szCs w:val="20"/>
                <w:color w:val="auto"/>
              </w:rPr>
            </w:pPr>
            <w:r>
              <w:rPr>
                <w:rFonts w:ascii="Arial" w:cs="Arial" w:eastAsia="Arial" w:hAnsi="Arial"/>
                <w:sz w:val="17"/>
                <w:szCs w:val="17"/>
                <w:color w:val="auto"/>
              </w:rPr>
              <w:t>(mm/dd/yyyy)</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40" w:type="dxa"/>
            <w:vAlign w:val="bottom"/>
          </w:tcPr>
          <w:p>
            <w:pPr>
              <w:jc w:val="right"/>
              <w:ind w:right="1593"/>
              <w:spacing w:after="0"/>
              <w:rPr>
                <w:sz w:val="20"/>
                <w:szCs w:val="20"/>
                <w:color w:val="auto"/>
              </w:rPr>
            </w:pPr>
            <w:r>
              <w:rPr>
                <w:rFonts w:ascii="Arial" w:cs="Arial" w:eastAsia="Arial" w:hAnsi="Arial"/>
                <w:sz w:val="17"/>
                <w:szCs w:val="17"/>
                <w:color w:val="auto"/>
              </w:rPr>
              <w:t>(mm/dd/yyyy)</w:t>
            </w: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08"/>
        </w:trPr>
        <w:tc>
          <w:tcPr>
            <w:tcW w:w="2780" w:type="dxa"/>
            <w:vAlign w:val="bottom"/>
          </w:tcPr>
          <w:p>
            <w:pPr>
              <w:spacing w:after="0"/>
              <w:rPr>
                <w:sz w:val="20"/>
                <w:szCs w:val="20"/>
                <w:color w:val="auto"/>
              </w:rPr>
            </w:pPr>
            <w:r>
              <w:rPr>
                <w:rFonts w:ascii="Arial" w:cs="Arial" w:eastAsia="Arial" w:hAnsi="Arial"/>
                <w:sz w:val="17"/>
                <w:szCs w:val="17"/>
                <w:color w:val="auto"/>
              </w:rPr>
              <w:t>(iii) from [</w:t>
            </w:r>
          </w:p>
        </w:tc>
        <w:tc>
          <w:tcPr>
            <w:tcW w:w="7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400" w:type="dxa"/>
            <w:vAlign w:val="bottom"/>
          </w:tcPr>
          <w:p>
            <w:pPr>
              <w:ind w:left="100"/>
              <w:spacing w:after="0"/>
              <w:rPr>
                <w:sz w:val="20"/>
                <w:szCs w:val="20"/>
                <w:color w:val="auto"/>
              </w:rPr>
            </w:pPr>
            <w:r>
              <w:rPr>
                <w:rFonts w:ascii="Arial" w:cs="Arial" w:eastAsia="Arial" w:hAnsi="Arial"/>
                <w:sz w:val="17"/>
                <w:szCs w:val="17"/>
                <w:color w:val="auto"/>
              </w:rPr>
              <w:t>to [</w:t>
            </w:r>
          </w:p>
        </w:tc>
        <w:tc>
          <w:tcPr>
            <w:tcW w:w="27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80" w:type="dxa"/>
            <w:vAlign w:val="bottom"/>
          </w:tcPr>
          <w:p>
            <w:pPr>
              <w:ind w:left="120"/>
              <w:spacing w:after="0"/>
              <w:rPr>
                <w:sz w:val="20"/>
                <w:szCs w:val="20"/>
                <w:color w:val="auto"/>
              </w:rPr>
            </w:pPr>
            <w:r>
              <w:rPr>
                <w:rFonts w:ascii="Arial" w:cs="Arial" w:eastAsia="Arial" w:hAnsi="Arial"/>
                <w:sz w:val="17"/>
                <w:szCs w:val="17"/>
                <w:color w:val="auto"/>
              </w:rPr>
              <w:t>Amount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2780" w:type="dxa"/>
            <w:vAlign w:val="bottom"/>
          </w:tcPr>
          <w:p>
            <w:pPr>
              <w:ind w:left="1180"/>
              <w:spacing w:after="0"/>
              <w:rPr>
                <w:sz w:val="20"/>
                <w:szCs w:val="20"/>
                <w:color w:val="auto"/>
              </w:rPr>
            </w:pPr>
            <w:r>
              <w:rPr>
                <w:rFonts w:ascii="Arial" w:cs="Arial" w:eastAsia="Arial" w:hAnsi="Arial"/>
                <w:sz w:val="17"/>
                <w:szCs w:val="17"/>
                <w:color w:val="auto"/>
              </w:rPr>
              <w:t>(mm/dd/yyyy)</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40" w:type="dxa"/>
            <w:vAlign w:val="bottom"/>
          </w:tcPr>
          <w:p>
            <w:pPr>
              <w:jc w:val="right"/>
              <w:ind w:right="1593"/>
              <w:spacing w:after="0"/>
              <w:rPr>
                <w:sz w:val="20"/>
                <w:szCs w:val="20"/>
                <w:color w:val="auto"/>
              </w:rPr>
            </w:pPr>
            <w:r>
              <w:rPr>
                <w:rFonts w:ascii="Arial" w:cs="Arial" w:eastAsia="Arial" w:hAnsi="Arial"/>
                <w:sz w:val="17"/>
                <w:szCs w:val="17"/>
                <w:color w:val="auto"/>
              </w:rPr>
              <w:t>(mm/dd/yyyy)</w:t>
            </w: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08"/>
        </w:trPr>
        <w:tc>
          <w:tcPr>
            <w:tcW w:w="2780" w:type="dxa"/>
            <w:vAlign w:val="bottom"/>
          </w:tcPr>
          <w:p>
            <w:pPr>
              <w:spacing w:after="0"/>
              <w:rPr>
                <w:sz w:val="20"/>
                <w:szCs w:val="20"/>
                <w:color w:val="auto"/>
              </w:rPr>
            </w:pPr>
            <w:r>
              <w:rPr>
                <w:rFonts w:ascii="Arial" w:cs="Arial" w:eastAsia="Arial" w:hAnsi="Arial"/>
                <w:sz w:val="17"/>
                <w:szCs w:val="17"/>
                <w:color w:val="auto"/>
              </w:rPr>
              <w:t>(iv) from [</w:t>
            </w:r>
          </w:p>
        </w:tc>
        <w:tc>
          <w:tcPr>
            <w:tcW w:w="7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400" w:type="dxa"/>
            <w:vAlign w:val="bottom"/>
          </w:tcPr>
          <w:p>
            <w:pPr>
              <w:ind w:left="100"/>
              <w:spacing w:after="0"/>
              <w:rPr>
                <w:sz w:val="20"/>
                <w:szCs w:val="20"/>
                <w:color w:val="auto"/>
              </w:rPr>
            </w:pPr>
            <w:r>
              <w:rPr>
                <w:rFonts w:ascii="Arial" w:cs="Arial" w:eastAsia="Arial" w:hAnsi="Arial"/>
                <w:sz w:val="17"/>
                <w:szCs w:val="17"/>
                <w:color w:val="auto"/>
              </w:rPr>
              <w:t>to [</w:t>
            </w:r>
          </w:p>
        </w:tc>
        <w:tc>
          <w:tcPr>
            <w:tcW w:w="27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80" w:type="dxa"/>
            <w:vAlign w:val="bottom"/>
          </w:tcPr>
          <w:p>
            <w:pPr>
              <w:ind w:left="120"/>
              <w:spacing w:after="0"/>
              <w:rPr>
                <w:sz w:val="20"/>
                <w:szCs w:val="20"/>
                <w:color w:val="auto"/>
              </w:rPr>
            </w:pPr>
            <w:r>
              <w:rPr>
                <w:rFonts w:ascii="Arial" w:cs="Arial" w:eastAsia="Arial" w:hAnsi="Arial"/>
                <w:sz w:val="17"/>
                <w:szCs w:val="17"/>
                <w:color w:val="auto"/>
              </w:rPr>
              <w:t>Amount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2780" w:type="dxa"/>
            <w:vAlign w:val="bottom"/>
          </w:tcPr>
          <w:p>
            <w:pPr>
              <w:ind w:left="1180"/>
              <w:spacing w:after="0"/>
              <w:rPr>
                <w:sz w:val="20"/>
                <w:szCs w:val="20"/>
                <w:color w:val="auto"/>
              </w:rPr>
            </w:pPr>
            <w:r>
              <w:rPr>
                <w:rFonts w:ascii="Arial" w:cs="Arial" w:eastAsia="Arial" w:hAnsi="Arial"/>
                <w:sz w:val="17"/>
                <w:szCs w:val="17"/>
                <w:color w:val="auto"/>
              </w:rPr>
              <w:t>(mm/dd/yyyy)</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40" w:type="dxa"/>
            <w:vAlign w:val="bottom"/>
          </w:tcPr>
          <w:p>
            <w:pPr>
              <w:jc w:val="right"/>
              <w:ind w:right="1593"/>
              <w:spacing w:after="0"/>
              <w:rPr>
                <w:sz w:val="20"/>
                <w:szCs w:val="20"/>
                <w:color w:val="auto"/>
              </w:rPr>
            </w:pPr>
            <w:r>
              <w:rPr>
                <w:rFonts w:ascii="Arial" w:cs="Arial" w:eastAsia="Arial" w:hAnsi="Arial"/>
                <w:sz w:val="17"/>
                <w:szCs w:val="17"/>
                <w:color w:val="auto"/>
              </w:rPr>
              <w:t>(mm/dd/yyyy)</w:t>
            </w: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08"/>
        </w:trPr>
        <w:tc>
          <w:tcPr>
            <w:tcW w:w="2780" w:type="dxa"/>
            <w:vAlign w:val="bottom"/>
          </w:tcPr>
          <w:p>
            <w:pPr>
              <w:spacing w:after="0"/>
              <w:rPr>
                <w:sz w:val="20"/>
                <w:szCs w:val="20"/>
                <w:color w:val="auto"/>
              </w:rPr>
            </w:pPr>
            <w:r>
              <w:rPr>
                <w:rFonts w:ascii="Arial" w:cs="Arial" w:eastAsia="Arial" w:hAnsi="Arial"/>
                <w:sz w:val="17"/>
                <w:szCs w:val="17"/>
                <w:color w:val="auto"/>
              </w:rPr>
              <w:t>(v) from [</w:t>
            </w:r>
          </w:p>
        </w:tc>
        <w:tc>
          <w:tcPr>
            <w:tcW w:w="7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400" w:type="dxa"/>
            <w:vAlign w:val="bottom"/>
          </w:tcPr>
          <w:p>
            <w:pPr>
              <w:ind w:left="100"/>
              <w:spacing w:after="0"/>
              <w:rPr>
                <w:sz w:val="20"/>
                <w:szCs w:val="20"/>
                <w:color w:val="auto"/>
              </w:rPr>
            </w:pPr>
            <w:r>
              <w:rPr>
                <w:rFonts w:ascii="Arial" w:cs="Arial" w:eastAsia="Arial" w:hAnsi="Arial"/>
                <w:sz w:val="17"/>
                <w:szCs w:val="17"/>
                <w:color w:val="auto"/>
              </w:rPr>
              <w:t>to [</w:t>
            </w:r>
          </w:p>
        </w:tc>
        <w:tc>
          <w:tcPr>
            <w:tcW w:w="27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80" w:type="dxa"/>
            <w:vAlign w:val="bottom"/>
          </w:tcPr>
          <w:p>
            <w:pPr>
              <w:ind w:left="120"/>
              <w:spacing w:after="0"/>
              <w:rPr>
                <w:sz w:val="20"/>
                <w:szCs w:val="20"/>
                <w:color w:val="auto"/>
              </w:rPr>
            </w:pPr>
            <w:r>
              <w:rPr>
                <w:rFonts w:ascii="Arial" w:cs="Arial" w:eastAsia="Arial" w:hAnsi="Arial"/>
                <w:sz w:val="17"/>
                <w:szCs w:val="17"/>
                <w:color w:val="auto"/>
              </w:rPr>
              <w:t>Amount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2780" w:type="dxa"/>
            <w:vAlign w:val="bottom"/>
          </w:tcPr>
          <w:p>
            <w:pPr>
              <w:ind w:left="1180"/>
              <w:spacing w:after="0"/>
              <w:rPr>
                <w:sz w:val="20"/>
                <w:szCs w:val="20"/>
                <w:color w:val="auto"/>
              </w:rPr>
            </w:pPr>
            <w:r>
              <w:rPr>
                <w:rFonts w:ascii="Arial" w:cs="Arial" w:eastAsia="Arial" w:hAnsi="Arial"/>
                <w:sz w:val="17"/>
                <w:szCs w:val="17"/>
                <w:color w:val="auto"/>
              </w:rPr>
              <w:t>(mm/dd/yyyy)</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40" w:type="dxa"/>
            <w:vAlign w:val="bottom"/>
          </w:tcPr>
          <w:p>
            <w:pPr>
              <w:jc w:val="right"/>
              <w:ind w:right="1593"/>
              <w:spacing w:after="0"/>
              <w:rPr>
                <w:sz w:val="20"/>
                <w:szCs w:val="20"/>
                <w:color w:val="auto"/>
              </w:rPr>
            </w:pPr>
            <w:r>
              <w:rPr>
                <w:rFonts w:ascii="Arial" w:cs="Arial" w:eastAsia="Arial" w:hAnsi="Arial"/>
                <w:sz w:val="17"/>
                <w:szCs w:val="17"/>
                <w:color w:val="auto"/>
              </w:rPr>
              <w:t>(mm/dd/yyyy)</w:t>
            </w: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08"/>
        </w:trPr>
        <w:tc>
          <w:tcPr>
            <w:tcW w:w="2780" w:type="dxa"/>
            <w:vAlign w:val="bottom"/>
          </w:tcPr>
          <w:p>
            <w:pPr>
              <w:spacing w:after="0"/>
              <w:rPr>
                <w:sz w:val="20"/>
                <w:szCs w:val="20"/>
                <w:color w:val="auto"/>
              </w:rPr>
            </w:pPr>
            <w:r>
              <w:rPr>
                <w:rFonts w:ascii="Arial" w:cs="Arial" w:eastAsia="Arial" w:hAnsi="Arial"/>
                <w:sz w:val="17"/>
                <w:szCs w:val="17"/>
                <w:color w:val="auto"/>
              </w:rPr>
              <w:t>(vi) from [</w:t>
            </w:r>
          </w:p>
        </w:tc>
        <w:tc>
          <w:tcPr>
            <w:tcW w:w="7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400" w:type="dxa"/>
            <w:vAlign w:val="bottom"/>
          </w:tcPr>
          <w:p>
            <w:pPr>
              <w:ind w:left="100"/>
              <w:spacing w:after="0"/>
              <w:rPr>
                <w:sz w:val="20"/>
                <w:szCs w:val="20"/>
                <w:color w:val="auto"/>
              </w:rPr>
            </w:pPr>
            <w:r>
              <w:rPr>
                <w:rFonts w:ascii="Arial" w:cs="Arial" w:eastAsia="Arial" w:hAnsi="Arial"/>
                <w:sz w:val="17"/>
                <w:szCs w:val="17"/>
                <w:color w:val="auto"/>
              </w:rPr>
              <w:t>to [</w:t>
            </w:r>
          </w:p>
        </w:tc>
        <w:tc>
          <w:tcPr>
            <w:tcW w:w="27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80" w:type="dxa"/>
            <w:vAlign w:val="bottom"/>
          </w:tcPr>
          <w:p>
            <w:pPr>
              <w:ind w:left="120"/>
              <w:spacing w:after="0"/>
              <w:rPr>
                <w:sz w:val="20"/>
                <w:szCs w:val="20"/>
                <w:color w:val="auto"/>
              </w:rPr>
            </w:pPr>
            <w:r>
              <w:rPr>
                <w:rFonts w:ascii="Arial" w:cs="Arial" w:eastAsia="Arial" w:hAnsi="Arial"/>
                <w:sz w:val="17"/>
                <w:szCs w:val="17"/>
                <w:color w:val="auto"/>
              </w:rPr>
              <w:t>Amount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2780" w:type="dxa"/>
            <w:vAlign w:val="bottom"/>
          </w:tcPr>
          <w:p>
            <w:pPr>
              <w:ind w:left="1180"/>
              <w:spacing w:after="0"/>
              <w:rPr>
                <w:sz w:val="20"/>
                <w:szCs w:val="20"/>
                <w:color w:val="auto"/>
              </w:rPr>
            </w:pPr>
            <w:r>
              <w:rPr>
                <w:rFonts w:ascii="Arial" w:cs="Arial" w:eastAsia="Arial" w:hAnsi="Arial"/>
                <w:sz w:val="17"/>
                <w:szCs w:val="17"/>
                <w:color w:val="auto"/>
              </w:rPr>
              <w:t>(mm/dd/yyyy)</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40" w:type="dxa"/>
            <w:vAlign w:val="bottom"/>
          </w:tcPr>
          <w:p>
            <w:pPr>
              <w:jc w:val="right"/>
              <w:ind w:right="1593"/>
              <w:spacing w:after="0"/>
              <w:rPr>
                <w:sz w:val="20"/>
                <w:szCs w:val="20"/>
                <w:color w:val="auto"/>
              </w:rPr>
            </w:pPr>
            <w:r>
              <w:rPr>
                <w:rFonts w:ascii="Arial" w:cs="Arial" w:eastAsia="Arial" w:hAnsi="Arial"/>
                <w:sz w:val="17"/>
                <w:szCs w:val="17"/>
                <w:color w:val="auto"/>
              </w:rPr>
              <w:t>(mm/dd/yyyy)</w:t>
            </w: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198" w:lineRule="exact"/>
        <w:rPr>
          <w:sz w:val="20"/>
          <w:szCs w:val="20"/>
          <w:color w:val="auto"/>
        </w:rPr>
      </w:pPr>
    </w:p>
    <w:p>
      <w:pPr>
        <w:ind w:left="820" w:hanging="251"/>
        <w:spacing w:after="0"/>
        <w:tabs>
          <w:tab w:leader="none" w:pos="820" w:val="left"/>
        </w:tabs>
        <w:numPr>
          <w:ilvl w:val="0"/>
          <w:numId w:val="726"/>
        </w:numPr>
        <w:rPr>
          <w:rFonts w:ascii="Arial" w:cs="Arial" w:eastAsia="Arial" w:hAnsi="Arial"/>
          <w:sz w:val="17"/>
          <w:szCs w:val="17"/>
          <w:color w:val="auto"/>
        </w:rPr>
      </w:pPr>
      <w:r>
        <w:rPr>
          <w:rFonts w:ascii="Arial" w:cs="Arial" w:eastAsia="Arial" w:hAnsi="Arial"/>
          <w:sz w:val="17"/>
          <w:szCs w:val="17"/>
          <w:color w:val="auto"/>
        </w:rPr>
        <w:t>from time to time, as required by Party A .</w:t>
      </w:r>
    </w:p>
    <w:p>
      <w:pPr>
        <w:spacing w:after="0" w:line="224"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81280</wp:posOffset>
            </wp:positionV>
            <wp:extent cx="7271385" cy="2921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0" w:right="720" w:hanging="392"/>
        <w:spacing w:after="0" w:line="289" w:lineRule="auto"/>
        <w:tabs>
          <w:tab w:leader="none" w:pos="360" w:val="left"/>
        </w:tabs>
        <w:rPr>
          <w:sz w:val="20"/>
          <w:szCs w:val="20"/>
          <w:color w:val="auto"/>
        </w:rPr>
      </w:pPr>
      <w:r>
        <w:rPr>
          <w:rFonts w:ascii="Arial" w:cs="Arial" w:eastAsia="Arial" w:hAnsi="Arial"/>
          <w:sz w:val="17"/>
          <w:szCs w:val="17"/>
          <w:color w:val="auto"/>
        </w:rPr>
        <w:t>5.3</w:t>
        <w:tab/>
        <w:t>Party A shall draw the Loan in accordance with the drawdown schedule under Article 5.2. Without Party B’s written consent, Party A shall not accelerate, postpone or cancel any drawdown of the Loan.</w:t>
      </w:r>
    </w:p>
    <w:p>
      <w:pPr>
        <w:spacing w:after="0" w:line="15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5"/>
          <w:szCs w:val="15"/>
          <w:color w:val="auto"/>
        </w:rPr>
        <w:t>If Party A draws the Loan in installments, the expiration date of the Term shall be determined in accordance with Article 3 hereunder.</w:t>
      </w:r>
    </w:p>
    <w:p>
      <w:pPr>
        <w:spacing w:after="0" w:line="224"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6"/>
          <w:szCs w:val="16"/>
          <w:color w:val="auto"/>
        </w:rPr>
        <w:t>Materials required to be submitted by Party A</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respect of materials required to be submitted by Party A, the Parties agree that Item A applies [choose A or B]:</w:t>
      </w:r>
    </w:p>
    <w:p>
      <w:pPr>
        <w:sectPr>
          <w:pgSz w:w="11900" w:h="16838" w:orient="portrait"/>
          <w:cols w:equalWidth="0" w:num="1">
            <w:col w:w="11080"/>
          </w:cols>
          <w:pgMar w:left="560" w:top="337" w:right="259" w:bottom="0" w:gutter="0" w:footer="0" w:header="0"/>
        </w:sectPr>
      </w:pPr>
    </w:p>
    <w:bookmarkStart w:id="430" w:name="page431"/>
    <w:bookmarkEnd w:id="430"/>
    <w:p>
      <w:pPr>
        <w:ind w:left="400"/>
        <w:spacing w:after="0"/>
        <w:rPr>
          <w:sz w:val="20"/>
          <w:szCs w:val="20"/>
          <w:color w:val="auto"/>
        </w:rPr>
      </w:pPr>
      <w:r>
        <w:rPr>
          <w:rFonts w:ascii="Arial" w:cs="Arial" w:eastAsia="Arial" w:hAnsi="Arial"/>
          <w:sz w:val="17"/>
          <w:szCs w:val="17"/>
          <w:color w:val="auto"/>
        </w:rPr>
        <w:t>A.</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Situation NO. 1</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Where the situation described in Item (1) [choose (1) or (2)] arises:</w:t>
      </w:r>
    </w:p>
    <w:p>
      <w:pPr>
        <w:spacing w:after="0" w:line="224" w:lineRule="exact"/>
        <w:rPr>
          <w:sz w:val="20"/>
          <w:szCs w:val="20"/>
          <w:color w:val="auto"/>
        </w:rPr>
      </w:pPr>
    </w:p>
    <w:p>
      <w:pPr>
        <w:ind w:left="700" w:right="60" w:hanging="311"/>
        <w:spacing w:after="0" w:line="289" w:lineRule="auto"/>
        <w:tabs>
          <w:tab w:leader="none" w:pos="720" w:val="left"/>
        </w:tabs>
        <w:numPr>
          <w:ilvl w:val="0"/>
          <w:numId w:val="727"/>
        </w:numPr>
        <w:rPr>
          <w:rFonts w:ascii="Arial" w:cs="Arial" w:eastAsia="Arial" w:hAnsi="Arial"/>
          <w:sz w:val="17"/>
          <w:szCs w:val="17"/>
          <w:color w:val="auto"/>
        </w:rPr>
      </w:pPr>
      <w:r>
        <w:rPr>
          <w:rFonts w:ascii="Arial" w:cs="Arial" w:eastAsia="Arial" w:hAnsi="Arial"/>
          <w:sz w:val="17"/>
          <w:szCs w:val="17"/>
          <w:color w:val="auto"/>
        </w:rPr>
        <w:t>the amount of any particular drawdown is more than RMB TEN million and the amount of any scheduled payment out of such drawdown is more than RMB TEN million;</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Party A shall submit to Party B the following materials no later than ONE working days before the date of such drawdown:</w:t>
      </w:r>
    </w:p>
    <w:p>
      <w:pPr>
        <w:spacing w:after="0" w:line="224" w:lineRule="exact"/>
        <w:rPr>
          <w:sz w:val="20"/>
          <w:szCs w:val="20"/>
          <w:color w:val="auto"/>
        </w:rPr>
      </w:pPr>
    </w:p>
    <w:p>
      <w:pPr>
        <w:ind w:left="720" w:hanging="331"/>
        <w:spacing w:after="0"/>
        <w:tabs>
          <w:tab w:leader="none" w:pos="720" w:val="left"/>
        </w:tabs>
        <w:numPr>
          <w:ilvl w:val="0"/>
          <w:numId w:val="728"/>
        </w:numPr>
        <w:rPr>
          <w:rFonts w:ascii="Arial" w:cs="Arial" w:eastAsia="Arial" w:hAnsi="Arial"/>
          <w:sz w:val="17"/>
          <w:szCs w:val="17"/>
          <w:color w:val="auto"/>
        </w:rPr>
      </w:pPr>
      <w:r>
        <w:rPr>
          <w:rFonts w:ascii="Arial" w:cs="Arial" w:eastAsia="Arial" w:hAnsi="Arial"/>
          <w:sz w:val="17"/>
          <w:szCs w:val="17"/>
          <w:color w:val="auto"/>
        </w:rPr>
        <w:t>the LDC signed by Party A and payment/settlement certificate(s) signed by Party A;</w:t>
      </w:r>
    </w:p>
    <w:p>
      <w:pPr>
        <w:spacing w:after="0" w:line="224" w:lineRule="exact"/>
        <w:rPr>
          <w:rFonts w:ascii="Arial" w:cs="Arial" w:eastAsia="Arial" w:hAnsi="Arial"/>
          <w:sz w:val="17"/>
          <w:szCs w:val="17"/>
          <w:color w:val="auto"/>
        </w:rPr>
      </w:pPr>
    </w:p>
    <w:p>
      <w:pPr>
        <w:ind w:left="700" w:right="640" w:hanging="311"/>
        <w:spacing w:after="0" w:line="289" w:lineRule="auto"/>
        <w:tabs>
          <w:tab w:leader="none" w:pos="720" w:val="left"/>
        </w:tabs>
        <w:numPr>
          <w:ilvl w:val="0"/>
          <w:numId w:val="728"/>
        </w:numPr>
        <w:rPr>
          <w:rFonts w:ascii="Arial" w:cs="Arial" w:eastAsia="Arial" w:hAnsi="Arial"/>
          <w:sz w:val="17"/>
          <w:szCs w:val="17"/>
          <w:color w:val="auto"/>
        </w:rPr>
      </w:pPr>
      <w:r>
        <w:rPr>
          <w:rFonts w:ascii="Arial" w:cs="Arial" w:eastAsia="Arial" w:hAnsi="Arial"/>
          <w:sz w:val="17"/>
          <w:szCs w:val="17"/>
          <w:color w:val="auto"/>
        </w:rPr>
        <w:t>materials related to the underlying transactions (including without limitation goods/services/monetary contracts and/or invoices and other documents in writing or electronic form that are capable of evidencing the particular purposes of the loan drawdown);</w:t>
      </w:r>
    </w:p>
    <w:p>
      <w:pPr>
        <w:spacing w:after="0" w:line="200" w:lineRule="exact"/>
        <w:rPr>
          <w:sz w:val="20"/>
          <w:szCs w:val="20"/>
          <w:color w:val="auto"/>
        </w:rPr>
      </w:pPr>
    </w:p>
    <w:p>
      <w:pPr>
        <w:spacing w:after="0" w:line="378" w:lineRule="exact"/>
        <w:rPr>
          <w:sz w:val="20"/>
          <w:szCs w:val="20"/>
          <w:color w:val="auto"/>
        </w:rPr>
      </w:pPr>
    </w:p>
    <w:p>
      <w:pPr>
        <w:ind w:left="400" w:right="300"/>
        <w:spacing w:after="0" w:line="289" w:lineRule="auto"/>
        <w:rPr>
          <w:sz w:val="20"/>
          <w:szCs w:val="20"/>
          <w:color w:val="auto"/>
        </w:rPr>
      </w:pPr>
      <w:r>
        <w:rPr>
          <w:rFonts w:ascii="Arial" w:cs="Arial" w:eastAsia="Arial" w:hAnsi="Arial"/>
          <w:sz w:val="17"/>
          <w:szCs w:val="17"/>
          <w:color w:val="auto"/>
        </w:rPr>
        <w:t>And other materials required by Party B (including without limitation business license, letter of authorization, articles of association, resolutions of Shareholders’ meeting /Board of directors of Party A’s counterparty).</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Situation NO. 2</w:t>
      </w:r>
    </w:p>
    <w:p>
      <w:pPr>
        <w:spacing w:after="0" w:line="224" w:lineRule="exact"/>
        <w:rPr>
          <w:sz w:val="20"/>
          <w:szCs w:val="20"/>
          <w:color w:val="auto"/>
        </w:rPr>
      </w:pPr>
    </w:p>
    <w:p>
      <w:pPr>
        <w:ind w:left="400"/>
        <w:spacing w:after="0" w:line="289" w:lineRule="auto"/>
        <w:rPr>
          <w:sz w:val="20"/>
          <w:szCs w:val="20"/>
          <w:color w:val="auto"/>
        </w:rPr>
      </w:pPr>
      <w:r>
        <w:rPr>
          <w:rFonts w:ascii="Arial" w:cs="Arial" w:eastAsia="Arial" w:hAnsi="Arial"/>
          <w:sz w:val="17"/>
          <w:szCs w:val="17"/>
          <w:color w:val="auto"/>
        </w:rPr>
        <w:t>If Party B determines, after reviewing the aforementioned materials, that Party may initiate the payment in accordance with Article 5.7 of this Contract, or a situation other than Situation NO. 1 arises, Party A shall submit to Party B the</w:t>
      </w:r>
    </w:p>
    <w:p>
      <w:pPr>
        <w:spacing w:after="0" w:line="158"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81280</wp:posOffset>
            </wp:positionV>
            <wp:extent cx="7271385" cy="2921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following materials no later than ONE working days before the date of such drawdown:</w:t>
      </w:r>
    </w:p>
    <w:p>
      <w:pPr>
        <w:spacing w:after="0" w:line="224" w:lineRule="exact"/>
        <w:rPr>
          <w:sz w:val="20"/>
          <w:szCs w:val="20"/>
          <w:color w:val="auto"/>
        </w:rPr>
      </w:pPr>
    </w:p>
    <w:p>
      <w:pPr>
        <w:ind w:left="860" w:hanging="471"/>
        <w:spacing w:after="0"/>
        <w:tabs>
          <w:tab w:leader="none" w:pos="860" w:val="left"/>
        </w:tabs>
        <w:numPr>
          <w:ilvl w:val="0"/>
          <w:numId w:val="729"/>
        </w:numPr>
        <w:rPr>
          <w:rFonts w:ascii="Arial" w:cs="Arial" w:eastAsia="Arial" w:hAnsi="Arial"/>
          <w:sz w:val="17"/>
          <w:szCs w:val="17"/>
          <w:color w:val="auto"/>
        </w:rPr>
      </w:pPr>
      <w:r>
        <w:rPr>
          <w:rFonts w:ascii="Arial" w:cs="Arial" w:eastAsia="Arial" w:hAnsi="Arial"/>
          <w:sz w:val="17"/>
          <w:szCs w:val="17"/>
          <w:color w:val="auto"/>
        </w:rPr>
        <w:t>The drawdown schedule corresponding to the proposed loan drawdown(The drawdown schedule being in the form of Schedule 3);</w:t>
      </w:r>
    </w:p>
    <w:p>
      <w:pPr>
        <w:spacing w:after="0" w:line="224" w:lineRule="exact"/>
        <w:rPr>
          <w:rFonts w:ascii="Arial" w:cs="Arial" w:eastAsia="Arial" w:hAnsi="Arial"/>
          <w:sz w:val="17"/>
          <w:szCs w:val="17"/>
          <w:color w:val="auto"/>
        </w:rPr>
      </w:pPr>
    </w:p>
    <w:p>
      <w:pPr>
        <w:ind w:left="860" w:hanging="471"/>
        <w:spacing w:after="0"/>
        <w:tabs>
          <w:tab w:leader="none" w:pos="860" w:val="left"/>
        </w:tabs>
        <w:numPr>
          <w:ilvl w:val="0"/>
          <w:numId w:val="729"/>
        </w:numPr>
        <w:rPr>
          <w:rFonts w:ascii="Arial" w:cs="Arial" w:eastAsia="Arial" w:hAnsi="Arial"/>
          <w:sz w:val="17"/>
          <w:szCs w:val="17"/>
          <w:color w:val="auto"/>
        </w:rPr>
      </w:pPr>
      <w:r>
        <w:rPr>
          <w:rFonts w:ascii="Arial" w:cs="Arial" w:eastAsia="Arial" w:hAnsi="Arial"/>
          <w:sz w:val="17"/>
          <w:szCs w:val="17"/>
          <w:color w:val="auto"/>
        </w:rPr>
        <w:t>LDC signed by Party 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80" w:right="320"/>
        <w:spacing w:after="0" w:line="289" w:lineRule="auto"/>
        <w:rPr>
          <w:sz w:val="20"/>
          <w:szCs w:val="20"/>
          <w:color w:val="auto"/>
        </w:rPr>
      </w:pPr>
      <w:r>
        <w:rPr>
          <w:rFonts w:ascii="Arial" w:cs="Arial" w:eastAsia="Arial" w:hAnsi="Arial"/>
          <w:sz w:val="17"/>
          <w:szCs w:val="17"/>
          <w:color w:val="auto"/>
        </w:rPr>
        <w:t>And other materials required by Party B (including without limitation business license, letter of authorization, articles of association, resolutions of Shareholders’ meeting/Board of directors of Party A ‘s counterparty).</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B.</w:t>
      </w:r>
    </w:p>
    <w:p>
      <w:pPr>
        <w:spacing w:after="0" w:line="224" w:lineRule="exact"/>
        <w:rPr>
          <w:sz w:val="20"/>
          <w:szCs w:val="20"/>
          <w:color w:val="auto"/>
        </w:rPr>
      </w:pPr>
    </w:p>
    <w:p>
      <w:pPr>
        <w:ind w:left="400" w:right="60"/>
        <w:spacing w:after="0" w:line="289" w:lineRule="auto"/>
        <w:rPr>
          <w:sz w:val="20"/>
          <w:szCs w:val="20"/>
          <w:color w:val="auto"/>
        </w:rPr>
      </w:pPr>
      <w:r>
        <w:rPr>
          <w:rFonts w:ascii="Arial" w:cs="Arial" w:eastAsia="Arial" w:hAnsi="Arial"/>
          <w:sz w:val="17"/>
          <w:szCs w:val="17"/>
          <w:color w:val="auto"/>
        </w:rPr>
        <w:t>Party A shall submit to Party B the following materials no later than ONE working days before the date of such drawdown regardless of the amount of any particular drawdown:</w:t>
      </w:r>
    </w:p>
    <w:p>
      <w:pPr>
        <w:spacing w:after="0" w:line="158" w:lineRule="exact"/>
        <w:rPr>
          <w:sz w:val="20"/>
          <w:szCs w:val="20"/>
          <w:color w:val="auto"/>
        </w:rPr>
      </w:pPr>
    </w:p>
    <w:p>
      <w:pPr>
        <w:ind w:left="860" w:hanging="471"/>
        <w:spacing w:after="0"/>
        <w:tabs>
          <w:tab w:leader="none" w:pos="860" w:val="left"/>
        </w:tabs>
        <w:numPr>
          <w:ilvl w:val="0"/>
          <w:numId w:val="730"/>
        </w:numPr>
        <w:rPr>
          <w:rFonts w:ascii="Arial" w:cs="Arial" w:eastAsia="Arial" w:hAnsi="Arial"/>
          <w:sz w:val="17"/>
          <w:szCs w:val="17"/>
          <w:color w:val="auto"/>
        </w:rPr>
      </w:pPr>
      <w:r>
        <w:rPr>
          <w:rFonts w:ascii="Arial" w:cs="Arial" w:eastAsia="Arial" w:hAnsi="Arial"/>
          <w:sz w:val="17"/>
          <w:szCs w:val="17"/>
          <w:color w:val="auto"/>
        </w:rPr>
        <w:t>the LDC signed by Party A and payment/settlement certificate (s) signed by Party A;</w:t>
      </w:r>
    </w:p>
    <w:p>
      <w:pPr>
        <w:spacing w:after="0" w:line="224" w:lineRule="exact"/>
        <w:rPr>
          <w:rFonts w:ascii="Arial" w:cs="Arial" w:eastAsia="Arial" w:hAnsi="Arial"/>
          <w:sz w:val="17"/>
          <w:szCs w:val="17"/>
          <w:color w:val="auto"/>
        </w:rPr>
      </w:pPr>
    </w:p>
    <w:p>
      <w:pPr>
        <w:ind w:left="860" w:right="520" w:hanging="471"/>
        <w:spacing w:after="0" w:line="289" w:lineRule="auto"/>
        <w:tabs>
          <w:tab w:leader="none" w:pos="860" w:val="left"/>
        </w:tabs>
        <w:numPr>
          <w:ilvl w:val="0"/>
          <w:numId w:val="730"/>
        </w:numPr>
        <w:rPr>
          <w:rFonts w:ascii="Arial" w:cs="Arial" w:eastAsia="Arial" w:hAnsi="Arial"/>
          <w:sz w:val="17"/>
          <w:szCs w:val="17"/>
          <w:color w:val="auto"/>
        </w:rPr>
      </w:pPr>
      <w:r>
        <w:rPr>
          <w:rFonts w:ascii="Arial" w:cs="Arial" w:eastAsia="Arial" w:hAnsi="Arial"/>
          <w:sz w:val="17"/>
          <w:szCs w:val="17"/>
          <w:color w:val="auto"/>
        </w:rPr>
        <w:t>materials related to the underlying transactions (including without limitation goods/services/monetary contracts and/or invoices and other documents in writing or electronic form that are capable of evidencing the particular purposes of the loan drawdown);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0" w:right="360"/>
        <w:spacing w:after="0" w:line="289" w:lineRule="auto"/>
        <w:rPr>
          <w:sz w:val="20"/>
          <w:szCs w:val="20"/>
          <w:color w:val="auto"/>
        </w:rPr>
      </w:pPr>
      <w:r>
        <w:rPr>
          <w:rFonts w:ascii="Arial" w:cs="Arial" w:eastAsia="Arial" w:hAnsi="Arial"/>
          <w:sz w:val="17"/>
          <w:szCs w:val="17"/>
          <w:color w:val="auto"/>
        </w:rPr>
        <w:t>And other materials required by Party B(including without limitation business license, letter of authorization, articles of association, resolutions of Shareholders’ meeting/Board of directors of Party A ‘s counterparty).</w:t>
      </w:r>
    </w:p>
    <w:p>
      <w:pPr>
        <w:spacing w:after="0" w:line="15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5"/>
          <w:szCs w:val="15"/>
          <w:color w:val="auto"/>
        </w:rPr>
        <w:t>Entrusted Payment through Party B</w:t>
      </w:r>
    </w:p>
    <w:p>
      <w:pPr>
        <w:spacing w:after="0" w:line="224" w:lineRule="exact"/>
        <w:rPr>
          <w:sz w:val="20"/>
          <w:szCs w:val="20"/>
          <w:color w:val="auto"/>
        </w:rPr>
      </w:pPr>
    </w:p>
    <w:p>
      <w:pPr>
        <w:ind w:left="860" w:hanging="471"/>
        <w:spacing w:after="0"/>
        <w:tabs>
          <w:tab w:leader="none" w:pos="860" w:val="left"/>
        </w:tabs>
        <w:numPr>
          <w:ilvl w:val="0"/>
          <w:numId w:val="731"/>
        </w:numPr>
        <w:rPr>
          <w:rFonts w:ascii="Arial" w:cs="Arial" w:eastAsia="Arial" w:hAnsi="Arial"/>
          <w:sz w:val="17"/>
          <w:szCs w:val="17"/>
          <w:color w:val="auto"/>
        </w:rPr>
      </w:pPr>
      <w:r>
        <w:rPr>
          <w:rFonts w:ascii="Arial" w:cs="Arial" w:eastAsia="Arial" w:hAnsi="Arial"/>
          <w:sz w:val="17"/>
          <w:szCs w:val="17"/>
          <w:color w:val="auto"/>
        </w:rPr>
        <w:t>Situations where Entrusted Payment applies to Party B</w:t>
      </w:r>
    </w:p>
    <w:p>
      <w:pPr>
        <w:spacing w:after="0" w:line="224" w:lineRule="exact"/>
        <w:rPr>
          <w:rFonts w:ascii="Arial" w:cs="Arial" w:eastAsia="Arial" w:hAnsi="Arial"/>
          <w:sz w:val="17"/>
          <w:szCs w:val="17"/>
          <w:color w:val="auto"/>
        </w:rPr>
      </w:pPr>
    </w:p>
    <w:p>
      <w:pPr>
        <w:ind w:left="860" w:right="120"/>
        <w:spacing w:after="0" w:line="322" w:lineRule="auto"/>
        <w:rPr>
          <w:rFonts w:ascii="Arial" w:cs="Arial" w:eastAsia="Arial" w:hAnsi="Arial"/>
          <w:sz w:val="17"/>
          <w:szCs w:val="17"/>
          <w:color w:val="auto"/>
        </w:rPr>
      </w:pPr>
      <w:r>
        <w:rPr>
          <w:rFonts w:ascii="Arial" w:cs="Arial" w:eastAsia="Arial" w:hAnsi="Arial"/>
          <w:sz w:val="16"/>
          <w:szCs w:val="16"/>
          <w:color w:val="auto"/>
        </w:rPr>
        <w:t>If the situation described in (i) arises, , Entrusted Payment shall apply, i.e. Party A hereby irrevocably entrusts Party B to pay the amount of the drawdown to Party A’s counterparty. Party A shall not pay such amount directly to such counterparty or any other third party.</w:t>
      </w:r>
    </w:p>
    <w:p>
      <w:pPr>
        <w:spacing w:after="0" w:line="136" w:lineRule="exact"/>
        <w:rPr>
          <w:sz w:val="20"/>
          <w:szCs w:val="20"/>
          <w:color w:val="auto"/>
        </w:rPr>
      </w:pPr>
    </w:p>
    <w:p>
      <w:pPr>
        <w:ind w:left="1060" w:right="100" w:hanging="205"/>
        <w:spacing w:after="0" w:line="273" w:lineRule="auto"/>
        <w:tabs>
          <w:tab w:leader="none" w:pos="1090" w:val="left"/>
        </w:tabs>
        <w:numPr>
          <w:ilvl w:val="0"/>
          <w:numId w:val="732"/>
        </w:numPr>
        <w:rPr>
          <w:rFonts w:ascii="Arial" w:cs="Arial" w:eastAsia="Arial" w:hAnsi="Arial"/>
          <w:sz w:val="17"/>
          <w:szCs w:val="17"/>
          <w:color w:val="auto"/>
        </w:rPr>
      </w:pPr>
      <w:r>
        <w:rPr>
          <w:rFonts w:ascii="Arial" w:cs="Arial" w:eastAsia="Arial" w:hAnsi="Arial"/>
          <w:sz w:val="17"/>
          <w:szCs w:val="17"/>
          <w:color w:val="auto"/>
        </w:rPr>
        <w:t>the amount of any particular drawdown is more than RMB TEN million and the amount of any scheduled payment out of such drawdown is more than RMB TEN million, and Party B determines, after reviewing the materials submitted by Party A, that recipient of the payment is specific and identifiable;</w:t>
      </w:r>
    </w:p>
    <w:p>
      <w:pPr>
        <w:spacing w:after="0" w:line="17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81280</wp:posOffset>
            </wp:positionV>
            <wp:extent cx="7271385" cy="2921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20" w:hanging="265"/>
        <w:spacing w:after="0"/>
        <w:tabs>
          <w:tab w:leader="none" w:pos="1120" w:val="left"/>
        </w:tabs>
        <w:numPr>
          <w:ilvl w:val="0"/>
          <w:numId w:val="733"/>
        </w:numPr>
        <w:rPr>
          <w:rFonts w:ascii="Arial" w:cs="Arial" w:eastAsia="Arial" w:hAnsi="Arial"/>
          <w:sz w:val="17"/>
          <w:szCs w:val="17"/>
          <w:color w:val="auto"/>
        </w:rPr>
      </w:pPr>
      <w:r>
        <w:rPr>
          <w:rFonts w:ascii="Arial" w:cs="Arial" w:eastAsia="Arial" w:hAnsi="Arial"/>
          <w:sz w:val="17"/>
          <w:szCs w:val="17"/>
          <w:color w:val="auto"/>
        </w:rPr>
        <w:t>Entrusted Payment applies regardless of the amount of any particular drawdown;</w:t>
      </w:r>
    </w:p>
    <w:p>
      <w:pPr>
        <w:spacing w:after="0" w:line="224" w:lineRule="exact"/>
        <w:rPr>
          <w:rFonts w:ascii="Arial" w:cs="Arial" w:eastAsia="Arial" w:hAnsi="Arial"/>
          <w:sz w:val="17"/>
          <w:szCs w:val="17"/>
          <w:color w:val="auto"/>
        </w:rPr>
      </w:pPr>
    </w:p>
    <w:p>
      <w:pPr>
        <w:spacing w:after="0"/>
        <w:tabs>
          <w:tab w:leader="none" w:pos="0" w:val="left"/>
        </w:tabs>
        <w:numPr>
          <w:ilvl w:val="0"/>
          <w:numId w:val="733"/>
        </w:numPr>
        <w:rPr>
          <w:rFonts w:ascii="Arial" w:cs="Arial" w:eastAsia="Arial" w:hAnsi="Arial"/>
          <w:sz w:val="17"/>
          <w:szCs w:val="17"/>
          <w:color w:val="auto"/>
        </w:rPr>
      </w:pPr>
    </w:p>
    <w:p>
      <w:pPr>
        <w:sectPr>
          <w:pgSz w:w="11900" w:h="16838" w:orient="portrait"/>
          <w:cols w:equalWidth="0" w:num="1">
            <w:col w:w="10980"/>
          </w:cols>
          <w:pgMar w:left="560" w:top="127" w:right="359" w:bottom="0" w:gutter="0" w:footer="0" w:header="0"/>
        </w:sectPr>
      </w:pPr>
    </w:p>
    <w:bookmarkStart w:id="431" w:name="page432"/>
    <w:bookmarkEnd w:id="431"/>
    <w:p>
      <w:pPr>
        <w:ind w:left="1175" w:right="120" w:hanging="471"/>
        <w:spacing w:after="0" w:line="273" w:lineRule="auto"/>
        <w:tabs>
          <w:tab w:leader="none" w:pos="1175" w:val="left"/>
        </w:tabs>
        <w:numPr>
          <w:ilvl w:val="0"/>
          <w:numId w:val="734"/>
        </w:numPr>
        <w:rPr>
          <w:rFonts w:ascii="Arial" w:cs="Arial" w:eastAsia="Arial" w:hAnsi="Arial"/>
          <w:sz w:val="17"/>
          <w:szCs w:val="17"/>
          <w:color w:val="auto"/>
        </w:rPr>
      </w:pPr>
      <w:r>
        <w:rPr>
          <w:rFonts w:ascii="Arial" w:cs="Arial" w:eastAsia="Arial" w:hAnsi="Arial"/>
          <w:sz w:val="17"/>
          <w:szCs w:val="17"/>
          <w:color w:val="auto"/>
        </w:rPr>
        <w:t>In the case of entrusted payment, Party B deposits the amount of the loan drawdown in the Loan Disbursement Account and pays such amount through Loan Disbursement Account to the account designated by Party A’s counterparty. Party A shall not dispose of the loan drawdown in any way (including without limitation account transfer or withdrawal of cash).</w:t>
      </w:r>
    </w:p>
    <w:p>
      <w:pPr>
        <w:spacing w:after="0" w:line="171" w:lineRule="exact"/>
        <w:rPr>
          <w:rFonts w:ascii="Arial" w:cs="Arial" w:eastAsia="Arial" w:hAnsi="Arial"/>
          <w:sz w:val="17"/>
          <w:szCs w:val="17"/>
          <w:color w:val="auto"/>
        </w:rPr>
      </w:pPr>
    </w:p>
    <w:p>
      <w:pPr>
        <w:ind w:left="1175" w:right="20" w:hanging="471"/>
        <w:spacing w:after="0" w:line="262" w:lineRule="auto"/>
        <w:tabs>
          <w:tab w:leader="none" w:pos="1175" w:val="left"/>
        </w:tabs>
        <w:numPr>
          <w:ilvl w:val="0"/>
          <w:numId w:val="734"/>
        </w:numPr>
        <w:rPr>
          <w:rFonts w:ascii="Arial" w:cs="Arial" w:eastAsia="Arial" w:hAnsi="Arial"/>
          <w:sz w:val="17"/>
          <w:szCs w:val="17"/>
          <w:color w:val="auto"/>
        </w:rPr>
      </w:pPr>
      <w:r>
        <w:rPr>
          <w:rFonts w:ascii="Arial" w:cs="Arial" w:eastAsia="Arial" w:hAnsi="Arial"/>
          <w:sz w:val="17"/>
          <w:szCs w:val="17"/>
          <w:color w:val="auto"/>
        </w:rPr>
        <w:t>Party B will make prima facie examination of the documents submitted by Party A regarding payment amount, time of payment, recipient of payment, means of payment, and related accounts Party B will pay the drawdown amount to Party A’s counterparty if Party B determines at its discretion that it is satisfied with the abovementioned prima facie examination. The obligations of Party B relating to entrusted payment shall be extinguished once the drawdown amount is paid into the account of Party A’s counterparty (the information of such account shall be provided by Party A). Party A shall check and verify the status of payment within one working day after the date of payment and shall notify Party B in case of failure of payment. Party A shall guarantee that there is consistence between documents/information regarding recipient of payment, utilization of the loan and materials related to underlying documents.</w:t>
      </w:r>
    </w:p>
    <w:p>
      <w:pPr>
        <w:spacing w:after="0" w:line="184" w:lineRule="exact"/>
        <w:rPr>
          <w:rFonts w:ascii="Arial" w:cs="Arial" w:eastAsia="Arial" w:hAnsi="Arial"/>
          <w:sz w:val="17"/>
          <w:szCs w:val="17"/>
          <w:color w:val="auto"/>
        </w:rPr>
      </w:pPr>
    </w:p>
    <w:p>
      <w:pPr>
        <w:ind w:left="1175" w:right="20" w:hanging="471"/>
        <w:spacing w:after="0" w:line="314" w:lineRule="auto"/>
        <w:tabs>
          <w:tab w:leader="none" w:pos="1175" w:val="left"/>
        </w:tabs>
        <w:numPr>
          <w:ilvl w:val="0"/>
          <w:numId w:val="734"/>
        </w:numPr>
        <w:rPr>
          <w:rFonts w:ascii="Arial" w:cs="Arial" w:eastAsia="Arial" w:hAnsi="Arial"/>
          <w:sz w:val="15"/>
          <w:szCs w:val="15"/>
          <w:color w:val="auto"/>
        </w:rPr>
      </w:pPr>
      <w:r>
        <w:rPr>
          <w:rFonts w:ascii="Arial" w:cs="Arial" w:eastAsia="Arial" w:hAnsi="Arial"/>
          <w:sz w:val="15"/>
          <w:szCs w:val="15"/>
          <w:color w:val="auto"/>
        </w:rPr>
        <w:t>There is no warranty or representation by Party B in respect of the truthfulness or legality or compliance with regulations of the underlying transactions although Party B has made the above-mentioned prima facie examination of the payment documents. Nor shall Party B be implicated in any dispute between Party A and Party A’s counterparty or any third party. Nor shall Party B be liable for any obligations or liabilities of Party A. Party A shall compensate Party B for any and all losses incurred by Party B resulting from Party B’s activities relating to Entrusted Payment.</w:t>
      </w:r>
    </w:p>
    <w:p>
      <w:pPr>
        <w:spacing w:after="0" w:line="146" w:lineRule="exact"/>
        <w:rPr>
          <w:rFonts w:ascii="Arial" w:cs="Arial" w:eastAsia="Arial" w:hAnsi="Arial"/>
          <w:sz w:val="15"/>
          <w:szCs w:val="15"/>
          <w:color w:val="auto"/>
        </w:rPr>
      </w:pPr>
    </w:p>
    <w:p>
      <w:pPr>
        <w:ind w:left="1175" w:right="80" w:hanging="471"/>
        <w:spacing w:after="0" w:line="273" w:lineRule="auto"/>
        <w:tabs>
          <w:tab w:leader="none" w:pos="1175" w:val="left"/>
        </w:tabs>
        <w:numPr>
          <w:ilvl w:val="0"/>
          <w:numId w:val="734"/>
        </w:numPr>
        <w:rPr>
          <w:rFonts w:ascii="Arial" w:cs="Arial" w:eastAsia="Arial" w:hAnsi="Arial"/>
          <w:sz w:val="17"/>
          <w:szCs w:val="17"/>
          <w:color w:val="auto"/>
        </w:rPr>
      </w:pPr>
      <w:r>
        <w:rPr>
          <w:rFonts w:ascii="Arial" w:cs="Arial" w:eastAsia="Arial" w:hAnsi="Arial"/>
          <w:sz w:val="17"/>
          <w:szCs w:val="17"/>
          <w:color w:val="auto"/>
        </w:rPr>
        <w:t>Where there is a failure or delay in payment of the drawdown amount to the account of Party A’s counterparty and such failure or delay is caused by incompleteness, untruthfulness or inaccuracy of the documents submitted by Party A, or by violation of permitted utilization of loan or by information discrepancy or by other reasons but not by Party B’s fault, the following applies:</w:t>
      </w:r>
    </w:p>
    <w:p>
      <w:pPr>
        <w:spacing w:after="0" w:line="172" w:lineRule="exact"/>
        <w:rPr>
          <w:sz w:val="20"/>
          <w:szCs w:val="20"/>
          <w:color w:val="auto"/>
        </w:rPr>
      </w:pPr>
    </w:p>
    <w:p>
      <w:pPr>
        <w:ind w:left="1615" w:hanging="445"/>
        <w:spacing w:after="0" w:line="289" w:lineRule="auto"/>
        <w:tabs>
          <w:tab w:leader="none" w:pos="1637" w:val="left"/>
        </w:tabs>
        <w:numPr>
          <w:ilvl w:val="0"/>
          <w:numId w:val="735"/>
        </w:numPr>
        <w:rPr>
          <w:rFonts w:ascii="Arial" w:cs="Arial" w:eastAsia="Arial" w:hAnsi="Arial"/>
          <w:sz w:val="17"/>
          <w:szCs w:val="17"/>
          <w:color w:val="auto"/>
        </w:rPr>
      </w:pPr>
      <w:r>
        <w:rPr>
          <w:rFonts w:ascii="Arial" w:cs="Arial" w:eastAsia="Arial" w:hAnsi="Arial"/>
          <w:sz w:val="17"/>
          <w:szCs w:val="17"/>
          <w:color w:val="auto"/>
        </w:rPr>
        <w:t>Party A shall be liable for all the consequences including without limitation all losses caused by the above mentioned failure or delay. Party B shall not be liable in any way and shall be compensated by Party A for any losses resulting therefrom;</w:t>
      </w:r>
    </w:p>
    <w:p>
      <w:pPr>
        <w:spacing w:after="0" w:line="158" w:lineRule="exact"/>
        <w:rPr>
          <w:rFonts w:ascii="Arial" w:cs="Arial" w:eastAsia="Arial" w:hAnsi="Arial"/>
          <w:sz w:val="17"/>
          <w:szCs w:val="17"/>
          <w:color w:val="auto"/>
        </w:rPr>
      </w:pPr>
    </w:p>
    <w:p>
      <w:pPr>
        <w:ind w:left="1615" w:right="420" w:hanging="445"/>
        <w:spacing w:after="0" w:line="289" w:lineRule="auto"/>
        <w:tabs>
          <w:tab w:leader="none" w:pos="1648" w:val="left"/>
        </w:tabs>
        <w:numPr>
          <w:ilvl w:val="0"/>
          <w:numId w:val="735"/>
        </w:numPr>
        <w:rPr>
          <w:rFonts w:ascii="Arial" w:cs="Arial" w:eastAsia="Arial" w:hAnsi="Arial"/>
          <w:sz w:val="17"/>
          <w:szCs w:val="17"/>
          <w:color w:val="auto"/>
        </w:rPr>
      </w:pPr>
      <w:r>
        <w:rPr>
          <w:rFonts w:ascii="Arial" w:cs="Arial" w:eastAsia="Arial" w:hAnsi="Arial"/>
          <w:sz w:val="17"/>
          <w:szCs w:val="17"/>
          <w:color w:val="auto"/>
        </w:rPr>
        <w:t>Party A shall not dispose of any of such drawdown amount in anyway (including without limitation account transfer or withdrawal of cash);</w:t>
      </w:r>
    </w:p>
    <w:p>
      <w:pPr>
        <w:spacing w:after="0" w:line="158" w:lineRule="exact"/>
        <w:rPr>
          <w:rFonts w:ascii="Arial" w:cs="Arial" w:eastAsia="Arial" w:hAnsi="Arial"/>
          <w:sz w:val="17"/>
          <w:szCs w:val="17"/>
          <w:color w:val="auto"/>
        </w:rPr>
      </w:pPr>
    </w:p>
    <w:p>
      <w:pPr>
        <w:ind w:left="1655" w:hanging="485"/>
        <w:spacing w:after="0"/>
        <w:tabs>
          <w:tab w:leader="none" w:pos="1655" w:val="left"/>
        </w:tabs>
        <w:numPr>
          <w:ilvl w:val="0"/>
          <w:numId w:val="735"/>
        </w:numPr>
        <w:rPr>
          <w:rFonts w:ascii="Arial" w:cs="Arial" w:eastAsia="Arial" w:hAnsi="Arial"/>
          <w:sz w:val="16"/>
          <w:szCs w:val="16"/>
          <w:color w:val="auto"/>
        </w:rPr>
      </w:pPr>
      <w:r>
        <w:rPr>
          <w:rFonts w:ascii="Arial" w:cs="Arial" w:eastAsia="Arial" w:hAnsi="Arial"/>
          <w:sz w:val="16"/>
          <w:szCs w:val="16"/>
          <w:color w:val="auto"/>
        </w:rPr>
        <w:t>Party A shall resubmit materials, make corrections and/or perform other activities as instructed by Party B within ONE working days;</w:t>
      </w:r>
    </w:p>
    <w:p>
      <w:pPr>
        <w:spacing w:after="0" w:line="236"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35"/>
        <w:spacing w:after="0"/>
        <w:rPr>
          <w:sz w:val="20"/>
          <w:szCs w:val="20"/>
          <w:color w:val="auto"/>
        </w:rPr>
      </w:pPr>
      <w:r>
        <w:rPr>
          <w:rFonts w:ascii="Arial" w:cs="Arial" w:eastAsia="Arial" w:hAnsi="Arial"/>
          <w:sz w:val="17"/>
          <w:szCs w:val="17"/>
          <w:color w:val="auto"/>
        </w:rPr>
        <w:t>Party B may accelerate the maturity of such loan drawdown if Party A is in breach of any of the above provisions.</w:t>
      </w:r>
    </w:p>
    <w:p>
      <w:pPr>
        <w:spacing w:after="0" w:line="224" w:lineRule="exact"/>
        <w:rPr>
          <w:sz w:val="20"/>
          <w:szCs w:val="20"/>
          <w:color w:val="auto"/>
        </w:rPr>
      </w:pPr>
    </w:p>
    <w:p>
      <w:pPr>
        <w:ind w:left="1175" w:right="280" w:hanging="471"/>
        <w:spacing w:after="0" w:line="322" w:lineRule="auto"/>
        <w:tabs>
          <w:tab w:leader="none" w:pos="1175" w:val="left"/>
        </w:tabs>
        <w:numPr>
          <w:ilvl w:val="0"/>
          <w:numId w:val="736"/>
        </w:numPr>
        <w:rPr>
          <w:rFonts w:ascii="Arial" w:cs="Arial" w:eastAsia="Arial" w:hAnsi="Arial"/>
          <w:sz w:val="16"/>
          <w:szCs w:val="16"/>
          <w:color w:val="auto"/>
        </w:rPr>
      </w:pPr>
      <w:r>
        <w:rPr>
          <w:rFonts w:ascii="Arial" w:cs="Arial" w:eastAsia="Arial" w:hAnsi="Arial"/>
          <w:sz w:val="16"/>
          <w:szCs w:val="16"/>
          <w:color w:val="auto"/>
        </w:rPr>
        <w:t>Party A shall be liable for any and all risks, liabilities and losses caused by any failure or error or delay in payment which does not result from Party B’s fault. Party B shall not be liable in any way and shall be compensated by Party A for any losses resulting therefrom.</w:t>
      </w:r>
    </w:p>
    <w:p>
      <w:pPr>
        <w:spacing w:after="0" w:line="136" w:lineRule="exact"/>
        <w:rPr>
          <w:sz w:val="20"/>
          <w:szCs w:val="20"/>
          <w:color w:val="auto"/>
        </w:rPr>
      </w:pPr>
    </w:p>
    <w:p>
      <w:pPr>
        <w:ind w:left="315"/>
        <w:spacing w:after="0"/>
        <w:tabs>
          <w:tab w:leader="none" w:pos="675" w:val="left"/>
        </w:tabs>
        <w:rPr>
          <w:sz w:val="20"/>
          <w:szCs w:val="20"/>
          <w:color w:val="auto"/>
        </w:rPr>
      </w:pPr>
      <w:r>
        <w:rPr>
          <w:rFonts w:ascii="Arial" w:cs="Arial" w:eastAsia="Arial" w:hAnsi="Arial"/>
          <w:sz w:val="17"/>
          <w:szCs w:val="17"/>
          <w:color w:val="auto"/>
        </w:rPr>
        <w:t>5.7</w:t>
      </w:r>
      <w:r>
        <w:rPr>
          <w:sz w:val="20"/>
          <w:szCs w:val="20"/>
          <w:color w:val="auto"/>
        </w:rPr>
        <w:tab/>
      </w:r>
      <w:r>
        <w:rPr>
          <w:rFonts w:ascii="Arial" w:cs="Arial" w:eastAsia="Arial" w:hAnsi="Arial"/>
          <w:sz w:val="16"/>
          <w:szCs w:val="16"/>
          <w:color w:val="auto"/>
        </w:rPr>
        <w:t>Payment on Party A’s own initiative</w:t>
      </w:r>
    </w:p>
    <w:p>
      <w:pPr>
        <w:spacing w:after="0" w:line="224" w:lineRule="exact"/>
        <w:rPr>
          <w:sz w:val="20"/>
          <w:szCs w:val="20"/>
          <w:color w:val="auto"/>
        </w:rPr>
      </w:pPr>
    </w:p>
    <w:p>
      <w:pPr>
        <w:jc w:val="both"/>
        <w:ind w:left="715" w:right="260"/>
        <w:spacing w:after="0" w:line="326" w:lineRule="auto"/>
        <w:rPr>
          <w:sz w:val="20"/>
          <w:szCs w:val="20"/>
          <w:color w:val="auto"/>
        </w:rPr>
      </w:pPr>
      <w:r>
        <w:rPr>
          <w:rFonts w:ascii="Arial" w:cs="Arial" w:eastAsia="Arial" w:hAnsi="Arial"/>
          <w:sz w:val="15"/>
          <w:szCs w:val="15"/>
          <w:color w:val="auto"/>
        </w:rPr>
        <w:t>Where situation other than that described in Article 5.6 (1) arises, Party A may initiate the payment at its own discretion. i.e. Party B may deposit the drawdown amount to the Loan Disbursement Account as instructed by Party A’s application for loan drawdown, Party A may then pay such amount directly to the recipient. Party A shall guarantee the conformity between the recipient, utilization of loan and the underlying transaction documents.</w:t>
      </w:r>
    </w:p>
    <w:p>
      <w:pPr>
        <w:spacing w:after="0" w:line="136" w:lineRule="exact"/>
        <w:rPr>
          <w:sz w:val="20"/>
          <w:szCs w:val="20"/>
          <w:color w:val="auto"/>
        </w:rPr>
      </w:pPr>
    </w:p>
    <w:p>
      <w:pPr>
        <w:ind w:left="695" w:right="120" w:hanging="392"/>
        <w:spacing w:after="0" w:line="268" w:lineRule="auto"/>
        <w:tabs>
          <w:tab w:leader="none" w:pos="675" w:val="left"/>
        </w:tabs>
        <w:rPr>
          <w:sz w:val="20"/>
          <w:szCs w:val="20"/>
          <w:color w:val="auto"/>
        </w:rPr>
      </w:pPr>
      <w:r>
        <w:rPr>
          <w:rFonts w:ascii="Arial" w:cs="Arial" w:eastAsia="Arial" w:hAnsi="Arial"/>
          <w:sz w:val="17"/>
          <w:szCs w:val="17"/>
          <w:color w:val="auto"/>
        </w:rPr>
        <w:t>5.8</w:t>
        <w:tab/>
        <w:t>The obligations of Party B to advance loans shall be extinguished once the loan amount is deposited into the Loan Disbursement Account regardless of entrusted payment or not. Party A shall ensure the Loan Disbursement Account remain in normal status (including without limitation not subject to freezing by competent authorities). Party A shall bear all risks, liabilities and losses including without limitation freezing and mandatory transfer by competent authorities. Party A shall compensate Party B for any losses resulting therefrom.</w:t>
      </w:r>
    </w:p>
    <w:p>
      <w:pPr>
        <w:spacing w:after="0" w:line="176" w:lineRule="exact"/>
        <w:rPr>
          <w:sz w:val="20"/>
          <w:szCs w:val="20"/>
          <w:color w:val="auto"/>
        </w:rPr>
      </w:pPr>
    </w:p>
    <w:p>
      <w:pPr>
        <w:ind w:left="315"/>
        <w:spacing w:after="0"/>
        <w:tabs>
          <w:tab w:leader="none" w:pos="675" w:val="left"/>
        </w:tabs>
        <w:rPr>
          <w:sz w:val="20"/>
          <w:szCs w:val="20"/>
          <w:color w:val="auto"/>
        </w:rPr>
      </w:pPr>
      <w:r>
        <w:rPr>
          <w:rFonts w:ascii="Arial" w:cs="Arial" w:eastAsia="Arial" w:hAnsi="Arial"/>
          <w:sz w:val="17"/>
          <w:szCs w:val="17"/>
          <w:color w:val="auto"/>
        </w:rPr>
        <w:t>5.9</w:t>
      </w:r>
      <w:r>
        <w:rPr>
          <w:sz w:val="20"/>
          <w:szCs w:val="20"/>
          <w:color w:val="auto"/>
        </w:rPr>
        <w:tab/>
      </w:r>
      <w:r>
        <w:rPr>
          <w:rFonts w:ascii="Arial" w:cs="Arial" w:eastAsia="Arial" w:hAnsi="Arial"/>
          <w:sz w:val="15"/>
          <w:szCs w:val="15"/>
          <w:color w:val="auto"/>
        </w:rPr>
        <w:t>Change of means of payment</w:t>
      </w:r>
    </w:p>
    <w:p>
      <w:pPr>
        <w:spacing w:after="0" w:line="224" w:lineRule="exact"/>
        <w:rPr>
          <w:sz w:val="20"/>
          <w:szCs w:val="20"/>
          <w:color w:val="auto"/>
        </w:rPr>
      </w:pPr>
    </w:p>
    <w:p>
      <w:pPr>
        <w:ind w:left="715" w:right="120"/>
        <w:spacing w:after="0" w:line="273" w:lineRule="auto"/>
        <w:rPr>
          <w:sz w:val="20"/>
          <w:szCs w:val="20"/>
          <w:color w:val="auto"/>
        </w:rPr>
      </w:pPr>
      <w:r>
        <w:rPr>
          <w:rFonts w:ascii="Arial" w:cs="Arial" w:eastAsia="Arial" w:hAnsi="Arial"/>
          <w:sz w:val="17"/>
          <w:szCs w:val="17"/>
          <w:color w:val="auto"/>
        </w:rPr>
        <w:t>Party B is entitled to change the means of payment if any of the following circumstances arises, including without limitation re-determining the situations where Entrusted Payment applies,(e.g. changing the threshold amount for Entrusted Payment) and changing the means of payment in respect of any particular drawdown:</w:t>
      </w:r>
    </w:p>
    <w:p>
      <w:pPr>
        <w:spacing w:after="0" w:line="172" w:lineRule="exact"/>
        <w:rPr>
          <w:sz w:val="20"/>
          <w:szCs w:val="20"/>
          <w:color w:val="auto"/>
        </w:rPr>
      </w:pPr>
    </w:p>
    <w:p>
      <w:pPr>
        <w:ind w:left="1035" w:hanging="331"/>
        <w:spacing w:after="0"/>
        <w:tabs>
          <w:tab w:leader="none" w:pos="1035" w:val="left"/>
        </w:tabs>
        <w:numPr>
          <w:ilvl w:val="0"/>
          <w:numId w:val="737"/>
        </w:numPr>
        <w:rPr>
          <w:rFonts w:ascii="Arial" w:cs="Arial" w:eastAsia="Arial" w:hAnsi="Arial"/>
          <w:sz w:val="17"/>
          <w:szCs w:val="17"/>
          <w:color w:val="auto"/>
        </w:rPr>
      </w:pPr>
      <w:r>
        <w:rPr>
          <w:rFonts w:ascii="Arial" w:cs="Arial" w:eastAsia="Arial" w:hAnsi="Arial"/>
          <w:sz w:val="17"/>
          <w:szCs w:val="17"/>
          <w:color w:val="auto"/>
        </w:rPr>
        <w:t>Any event of default by Party A arises;</w:t>
      </w:r>
    </w:p>
    <w:p>
      <w:pPr>
        <w:spacing w:after="0" w:line="224" w:lineRule="exact"/>
        <w:rPr>
          <w:rFonts w:ascii="Arial" w:cs="Arial" w:eastAsia="Arial" w:hAnsi="Arial"/>
          <w:sz w:val="17"/>
          <w:szCs w:val="17"/>
          <w:color w:val="auto"/>
        </w:rPr>
      </w:pPr>
    </w:p>
    <w:p>
      <w:pPr>
        <w:ind w:left="1035" w:hanging="331"/>
        <w:spacing w:after="0"/>
        <w:tabs>
          <w:tab w:leader="none" w:pos="1035" w:val="left"/>
        </w:tabs>
        <w:numPr>
          <w:ilvl w:val="0"/>
          <w:numId w:val="737"/>
        </w:numPr>
        <w:rPr>
          <w:rFonts w:ascii="Arial" w:cs="Arial" w:eastAsia="Arial" w:hAnsi="Arial"/>
          <w:sz w:val="17"/>
          <w:szCs w:val="17"/>
          <w:color w:val="auto"/>
        </w:rPr>
      </w:pPr>
      <w:r>
        <w:rPr>
          <w:rFonts w:ascii="Arial" w:cs="Arial" w:eastAsia="Arial" w:hAnsi="Arial"/>
          <w:sz w:val="17"/>
          <w:szCs w:val="17"/>
          <w:color w:val="auto"/>
        </w:rPr>
        <w:t>There arises any event that may adversely impact Party B’s rights as a creditor;</w:t>
      </w:r>
    </w:p>
    <w:p>
      <w:pPr>
        <w:spacing w:after="0" w:line="224" w:lineRule="exact"/>
        <w:rPr>
          <w:rFonts w:ascii="Arial" w:cs="Arial" w:eastAsia="Arial" w:hAnsi="Arial"/>
          <w:sz w:val="17"/>
          <w:szCs w:val="17"/>
          <w:color w:val="auto"/>
        </w:rPr>
      </w:pPr>
    </w:p>
    <w:p>
      <w:pPr>
        <w:ind w:left="1035" w:hanging="331"/>
        <w:spacing w:after="0"/>
        <w:tabs>
          <w:tab w:leader="none" w:pos="1035" w:val="left"/>
        </w:tabs>
        <w:numPr>
          <w:ilvl w:val="0"/>
          <w:numId w:val="737"/>
        </w:numPr>
        <w:rPr>
          <w:rFonts w:ascii="Arial" w:cs="Arial" w:eastAsia="Arial" w:hAnsi="Arial"/>
          <w:sz w:val="17"/>
          <w:szCs w:val="17"/>
          <w:color w:val="auto"/>
        </w:rPr>
      </w:pPr>
      <w:r>
        <w:rPr>
          <w:rFonts w:ascii="Arial" w:cs="Arial" w:eastAsia="Arial" w:hAnsi="Arial"/>
          <w:sz w:val="17"/>
          <w:szCs w:val="17"/>
          <w:color w:val="auto"/>
        </w:rPr>
        <w:t>Other circumstances where Party B deems necessary to change the means of payment.</w:t>
      </w:r>
    </w:p>
    <w:p>
      <w:pPr>
        <w:spacing w:after="0" w:line="224" w:lineRule="exact"/>
        <w:rPr>
          <w:sz w:val="20"/>
          <w:szCs w:val="20"/>
          <w:color w:val="auto"/>
        </w:rPr>
      </w:pPr>
    </w:p>
    <w:p>
      <w:pPr>
        <w:ind w:left="715"/>
        <w:spacing w:after="0"/>
        <w:rPr>
          <w:sz w:val="20"/>
          <w:szCs w:val="20"/>
          <w:color w:val="auto"/>
        </w:rPr>
      </w:pPr>
      <w:r>
        <w:rPr>
          <w:rFonts w:ascii="Arial" w:cs="Arial" w:eastAsia="Arial" w:hAnsi="Arial"/>
          <w:sz w:val="15"/>
          <w:szCs w:val="15"/>
          <w:color w:val="auto"/>
        </w:rPr>
        <w:t>Where Party B changes the means of payment, Party A shall resubmit the materials or perform other activities as required by this Contract and Party B.</w:t>
      </w:r>
    </w:p>
    <w:p>
      <w:pPr>
        <w:spacing w:after="0" w:line="241" w:lineRule="exact"/>
        <w:rPr>
          <w:sz w:val="20"/>
          <w:szCs w:val="20"/>
          <w:color w:val="auto"/>
        </w:rPr>
      </w:pPr>
    </w:p>
    <w:p>
      <w:pPr>
        <w:ind w:left="635" w:hanging="635"/>
        <w:spacing w:after="0"/>
        <w:tabs>
          <w:tab w:leader="none" w:pos="635" w:val="left"/>
        </w:tabs>
        <w:numPr>
          <w:ilvl w:val="0"/>
          <w:numId w:val="738"/>
        </w:numPr>
        <w:rPr>
          <w:rFonts w:ascii="Arial" w:cs="Arial" w:eastAsia="Arial" w:hAnsi="Arial"/>
          <w:sz w:val="17"/>
          <w:szCs w:val="17"/>
          <w:b w:val="1"/>
          <w:bCs w:val="1"/>
          <w:color w:val="auto"/>
        </w:rPr>
      </w:pPr>
      <w:r>
        <w:rPr>
          <w:rFonts w:ascii="Arial" w:cs="Arial" w:eastAsia="Arial" w:hAnsi="Arial"/>
          <w:sz w:val="17"/>
          <w:szCs w:val="17"/>
          <w:b w:val="1"/>
          <w:bCs w:val="1"/>
          <w:color w:val="auto"/>
        </w:rPr>
        <w:t>USE AND SUPERVISION OF ACCOUNTS</w:t>
      </w:r>
    </w:p>
    <w:p>
      <w:pPr>
        <w:spacing w:after="0" w:line="230" w:lineRule="exact"/>
        <w:rPr>
          <w:sz w:val="20"/>
          <w:szCs w:val="20"/>
          <w:color w:val="auto"/>
        </w:rPr>
      </w:pPr>
    </w:p>
    <w:p>
      <w:pPr>
        <w:ind w:left="815"/>
        <w:spacing w:after="0"/>
        <w:tabs>
          <w:tab w:leader="none" w:pos="1235"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6"/>
          <w:szCs w:val="16"/>
          <w:color w:val="auto"/>
        </w:rPr>
        <w:t>Loan Disbursement Account</w:t>
      </w:r>
    </w:p>
    <w:p>
      <w:pPr>
        <w:spacing w:after="0" w:line="224" w:lineRule="exact"/>
        <w:rPr>
          <w:sz w:val="20"/>
          <w:szCs w:val="20"/>
          <w:color w:val="auto"/>
        </w:rPr>
      </w:pPr>
    </w:p>
    <w:p>
      <w:pPr>
        <w:ind w:left="1255"/>
        <w:spacing w:after="0"/>
        <w:rPr>
          <w:sz w:val="20"/>
          <w:szCs w:val="20"/>
          <w:color w:val="auto"/>
        </w:rPr>
      </w:pPr>
      <w:r>
        <w:rPr>
          <w:rFonts w:ascii="Arial" w:cs="Arial" w:eastAsia="Arial" w:hAnsi="Arial"/>
          <w:sz w:val="17"/>
          <w:szCs w:val="17"/>
          <w:color w:val="auto"/>
        </w:rPr>
        <w:t>The Loan Disbursement Account herein shall be determined in accordance with (2):</w:t>
      </w:r>
    </w:p>
    <w:p>
      <w:pPr>
        <w:spacing w:after="0" w:line="224" w:lineRule="exact"/>
        <w:rPr>
          <w:sz w:val="20"/>
          <w:szCs w:val="20"/>
          <w:color w:val="auto"/>
        </w:rPr>
      </w:pPr>
    </w:p>
    <w:p>
      <w:pPr>
        <w:ind w:left="1255"/>
        <w:spacing w:after="0"/>
        <w:tabs>
          <w:tab w:leader="none" w:pos="1695" w:val="left"/>
          <w:tab w:leader="none" w:pos="2495" w:val="left"/>
        </w:tabs>
        <w:rPr>
          <w:sz w:val="20"/>
          <w:szCs w:val="20"/>
          <w:color w:val="auto"/>
        </w:rPr>
      </w:pPr>
      <w:r>
        <w:rPr>
          <w:rFonts w:ascii="Arial" w:cs="Arial" w:eastAsia="Arial" w:hAnsi="Arial"/>
          <w:sz w:val="17"/>
          <w:szCs w:val="17"/>
          <w:color w:val="auto"/>
        </w:rPr>
        <w:t>(1)</w:t>
        <w:tab/>
        <w:t>within</w:t>
      </w:r>
      <w:r>
        <w:rPr>
          <w:sz w:val="20"/>
          <w:szCs w:val="20"/>
          <w:color w:val="auto"/>
        </w:rPr>
        <w:tab/>
      </w:r>
      <w:r>
        <w:rPr>
          <w:rFonts w:ascii="Arial" w:cs="Arial" w:eastAsia="Arial" w:hAnsi="Arial"/>
          <w:sz w:val="16"/>
          <w:szCs w:val="16"/>
          <w:color w:val="auto"/>
        </w:rPr>
        <w:t>working days from the date of coming into effect of</w:t>
      </w:r>
    </w:p>
    <w:p>
      <w:pPr>
        <w:spacing w:after="0" w:line="224"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95"/>
          </w:cols>
          <w:pgMar w:left="245" w:top="757" w:right="259" w:bottom="0" w:gutter="0" w:footer="0" w:header="0"/>
        </w:sectPr>
      </w:pPr>
    </w:p>
    <w:bookmarkStart w:id="432" w:name="page433"/>
    <w:bookmarkEnd w:id="432"/>
    <w:p>
      <w:pPr>
        <w:ind w:left="1700" w:right="60"/>
        <w:spacing w:after="0" w:line="289" w:lineRule="auto"/>
        <w:rPr>
          <w:sz w:val="20"/>
          <w:szCs w:val="20"/>
          <w:color w:val="auto"/>
        </w:rPr>
      </w:pPr>
      <w:r>
        <w:rPr>
          <w:rFonts w:ascii="Arial" w:cs="Arial" w:eastAsia="Arial" w:hAnsi="Arial"/>
          <w:sz w:val="17"/>
          <w:szCs w:val="17"/>
          <w:color w:val="auto"/>
        </w:rPr>
        <w:t>this Contract and before the date of first drawdown, Party A shall open an account within Party B for the sole purpose of the disbursement and payment of all loan amount under this Contract.</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22"/>
        </w:trPr>
        <w:tc>
          <w:tcPr>
            <w:tcW w:w="720" w:type="dxa"/>
            <w:vAlign w:val="bottom"/>
          </w:tcPr>
          <w:p>
            <w:pPr>
              <w:jc w:val="right"/>
              <w:spacing w:after="0"/>
              <w:rPr>
                <w:sz w:val="20"/>
                <w:szCs w:val="20"/>
                <w:color w:val="auto"/>
              </w:rPr>
            </w:pPr>
            <w:r>
              <w:rPr>
                <w:rFonts w:ascii="Arial" w:cs="Arial" w:eastAsia="Arial" w:hAnsi="Arial"/>
                <w:sz w:val="17"/>
                <w:szCs w:val="17"/>
                <w:color w:val="auto"/>
              </w:rPr>
              <w:t>(2)</w:t>
            </w:r>
          </w:p>
        </w:tc>
        <w:tc>
          <w:tcPr>
            <w:tcW w:w="5860" w:type="dxa"/>
            <w:vAlign w:val="bottom"/>
          </w:tcPr>
          <w:p>
            <w:pPr>
              <w:ind w:left="180"/>
              <w:spacing w:after="0"/>
              <w:rPr>
                <w:sz w:val="20"/>
                <w:szCs w:val="20"/>
                <w:color w:val="auto"/>
              </w:rPr>
            </w:pPr>
            <w:r>
              <w:rPr>
                <w:rFonts w:ascii="Arial" w:cs="Arial" w:eastAsia="Arial" w:hAnsi="Arial"/>
                <w:sz w:val="17"/>
                <w:szCs w:val="17"/>
                <w:color w:val="auto"/>
              </w:rPr>
              <w:t>other account opened by Party A within Party B (Account Number:</w:t>
            </w:r>
          </w:p>
        </w:tc>
        <w:tc>
          <w:tcPr>
            <w:tcW w:w="2300" w:type="dxa"/>
            <w:vAlign w:val="bottom"/>
          </w:tcPr>
          <w:p>
            <w:pPr>
              <w:jc w:val="right"/>
              <w:ind w:right="1153"/>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9"/>
                <w:szCs w:val="19"/>
                <w:color w:val="auto"/>
              </w:rPr>
            </w:pPr>
          </w:p>
        </w:tc>
      </w:tr>
      <w:tr>
        <w:trPr>
          <w:trHeight w:val="419"/>
        </w:trPr>
        <w:tc>
          <w:tcPr>
            <w:tcW w:w="6580" w:type="dxa"/>
            <w:vAlign w:val="bottom"/>
            <w:gridSpan w:val="2"/>
          </w:tcPr>
          <w:p>
            <w:pPr>
              <w:spacing w:after="0"/>
              <w:rPr>
                <w:sz w:val="20"/>
                <w:szCs w:val="20"/>
                <w:color w:val="auto"/>
              </w:rPr>
            </w:pPr>
            <w:r>
              <w:rPr>
                <w:rFonts w:ascii="Arial" w:cs="Arial" w:eastAsia="Arial" w:hAnsi="Arial"/>
                <w:sz w:val="17"/>
                <w:szCs w:val="17"/>
                <w:color w:val="auto"/>
              </w:rPr>
              <w:t>6.2   Account to collect sale proceeds</w:t>
            </w:r>
          </w:p>
        </w:tc>
        <w:tc>
          <w:tcPr>
            <w:tcW w:w="23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08"/>
        </w:trPr>
        <w:tc>
          <w:tcPr>
            <w:tcW w:w="720" w:type="dxa"/>
            <w:vAlign w:val="bottom"/>
          </w:tcPr>
          <w:p>
            <w:pPr>
              <w:jc w:val="right"/>
              <w:spacing w:after="0"/>
              <w:rPr>
                <w:sz w:val="20"/>
                <w:szCs w:val="20"/>
                <w:color w:val="auto"/>
              </w:rPr>
            </w:pPr>
            <w:r>
              <w:rPr>
                <w:rFonts w:ascii="Arial" w:cs="Arial" w:eastAsia="Arial" w:hAnsi="Arial"/>
                <w:sz w:val="17"/>
                <w:szCs w:val="17"/>
                <w:color w:val="auto"/>
              </w:rPr>
              <w:t>(1)</w:t>
            </w:r>
          </w:p>
        </w:tc>
        <w:tc>
          <w:tcPr>
            <w:tcW w:w="9880" w:type="dxa"/>
            <w:vAlign w:val="bottom"/>
            <w:gridSpan w:val="3"/>
          </w:tcPr>
          <w:p>
            <w:pPr>
              <w:ind w:left="80"/>
              <w:spacing w:after="0"/>
              <w:rPr>
                <w:sz w:val="20"/>
                <w:szCs w:val="20"/>
                <w:color w:val="auto"/>
              </w:rPr>
            </w:pPr>
            <w:r>
              <w:rPr>
                <w:rFonts w:ascii="Arial" w:cs="Arial" w:eastAsia="Arial" w:hAnsi="Arial"/>
                <w:sz w:val="17"/>
                <w:szCs w:val="17"/>
                <w:color w:val="auto"/>
                <w:w w:val="94"/>
              </w:rPr>
              <w:t>within ONE working days from the date of coming into effect of this Contract, Party A shall open an account within Party B for the purpose</w:t>
            </w:r>
          </w:p>
        </w:tc>
      </w:tr>
      <w:tr>
        <w:trPr>
          <w:trHeight w:val="222"/>
        </w:trPr>
        <w:tc>
          <w:tcPr>
            <w:tcW w:w="720" w:type="dxa"/>
            <w:vAlign w:val="bottom"/>
          </w:tcPr>
          <w:p>
            <w:pPr>
              <w:spacing w:after="0"/>
              <w:rPr>
                <w:sz w:val="19"/>
                <w:szCs w:val="19"/>
                <w:color w:val="auto"/>
              </w:rPr>
            </w:pPr>
          </w:p>
        </w:tc>
        <w:tc>
          <w:tcPr>
            <w:tcW w:w="8160" w:type="dxa"/>
            <w:vAlign w:val="bottom"/>
            <w:gridSpan w:val="2"/>
          </w:tcPr>
          <w:p>
            <w:pPr>
              <w:ind w:left="80"/>
              <w:spacing w:after="0"/>
              <w:rPr>
                <w:sz w:val="20"/>
                <w:szCs w:val="20"/>
                <w:color w:val="auto"/>
              </w:rPr>
            </w:pPr>
            <w:r>
              <w:rPr>
                <w:rFonts w:ascii="Arial" w:cs="Arial" w:eastAsia="Arial" w:hAnsi="Arial"/>
                <w:sz w:val="17"/>
                <w:szCs w:val="17"/>
                <w:color w:val="auto"/>
              </w:rPr>
              <w:t>of collecting sale proceeds or designate an existing account within Party B as such (Account Number:</w:t>
            </w:r>
          </w:p>
        </w:tc>
        <w:tc>
          <w:tcPr>
            <w:tcW w:w="1720" w:type="dxa"/>
            <w:vAlign w:val="bottom"/>
          </w:tcPr>
          <w:p>
            <w:pPr>
              <w:jc w:val="right"/>
              <w:ind w:right="573"/>
              <w:spacing w:after="0"/>
              <w:rPr>
                <w:sz w:val="20"/>
                <w:szCs w:val="20"/>
                <w:color w:val="auto"/>
              </w:rPr>
            </w:pPr>
            <w:r>
              <w:rPr>
                <w:rFonts w:ascii="Arial" w:cs="Arial" w:eastAsia="Arial" w:hAnsi="Arial"/>
                <w:sz w:val="17"/>
                <w:szCs w:val="17"/>
                <w:color w:val="auto"/>
              </w:rPr>
              <w:t>).</w:t>
            </w:r>
          </w:p>
        </w:tc>
      </w:tr>
    </w:tbl>
    <w:p>
      <w:pPr>
        <w:spacing w:after="0" w:line="198" w:lineRule="exact"/>
        <w:rPr>
          <w:sz w:val="20"/>
          <w:szCs w:val="20"/>
          <w:color w:val="auto"/>
        </w:rPr>
      </w:pPr>
    </w:p>
    <w:p>
      <w:pPr>
        <w:jc w:val="both"/>
        <w:ind w:left="1620" w:right="180" w:hanging="357"/>
        <w:spacing w:after="0" w:line="273" w:lineRule="auto"/>
        <w:tabs>
          <w:tab w:leader="none" w:pos="1629" w:val="left"/>
        </w:tabs>
        <w:numPr>
          <w:ilvl w:val="0"/>
          <w:numId w:val="739"/>
        </w:numPr>
        <w:rPr>
          <w:rFonts w:ascii="Arial" w:cs="Arial" w:eastAsia="Arial" w:hAnsi="Arial"/>
          <w:sz w:val="17"/>
          <w:szCs w:val="17"/>
          <w:color w:val="auto"/>
        </w:rPr>
      </w:pPr>
      <w:r>
        <w:rPr>
          <w:rFonts w:ascii="Arial" w:cs="Arial" w:eastAsia="Arial" w:hAnsi="Arial"/>
          <w:sz w:val="17"/>
          <w:szCs w:val="17"/>
          <w:color w:val="auto"/>
        </w:rPr>
        <w:t>Party A shall, on a monthly basis (choose “monthly” or “quarterly”), submit a report to Party B on the incoming and outgoing amounts of such account. Party A shall submit such report for the immediately preceding month or quarter (as the case may be) within the first FIVE working days of each month or quarter.</w:t>
      </w:r>
    </w:p>
    <w:p>
      <w:pPr>
        <w:spacing w:after="0" w:line="171" w:lineRule="exact"/>
        <w:rPr>
          <w:rFonts w:ascii="Arial" w:cs="Arial" w:eastAsia="Arial" w:hAnsi="Arial"/>
          <w:sz w:val="17"/>
          <w:szCs w:val="17"/>
          <w:color w:val="auto"/>
        </w:rPr>
      </w:pPr>
    </w:p>
    <w:p>
      <w:pPr>
        <w:ind w:left="1620" w:right="180" w:hanging="357"/>
        <w:spacing w:after="0" w:line="289" w:lineRule="auto"/>
        <w:tabs>
          <w:tab w:leader="none" w:pos="1629" w:val="left"/>
        </w:tabs>
        <w:numPr>
          <w:ilvl w:val="0"/>
          <w:numId w:val="739"/>
        </w:numPr>
        <w:rPr>
          <w:rFonts w:ascii="Arial" w:cs="Arial" w:eastAsia="Arial" w:hAnsi="Arial"/>
          <w:sz w:val="17"/>
          <w:szCs w:val="17"/>
          <w:color w:val="auto"/>
        </w:rPr>
      </w:pPr>
      <w:r>
        <w:rPr>
          <w:rFonts w:ascii="Arial" w:cs="Arial" w:eastAsia="Arial" w:hAnsi="Arial"/>
          <w:sz w:val="17"/>
          <w:szCs w:val="17"/>
          <w:color w:val="auto"/>
        </w:rPr>
        <w:t>Party B is entitled to manage the incoming and outgoing amounts of such account. In particular, such account shall be in compliance with (vi) (one or more of the following requirements may be selected):</w:t>
      </w:r>
    </w:p>
    <w:p>
      <w:pPr>
        <w:spacing w:after="0" w:line="158" w:lineRule="exact"/>
        <w:rPr>
          <w:sz w:val="20"/>
          <w:szCs w:val="20"/>
          <w:color w:val="auto"/>
        </w:rPr>
      </w:pPr>
    </w:p>
    <w:p>
      <w:pPr>
        <w:ind w:left="2060" w:hanging="445"/>
        <w:spacing w:after="0"/>
        <w:tabs>
          <w:tab w:leader="none" w:pos="2060" w:val="left"/>
        </w:tabs>
        <w:numPr>
          <w:ilvl w:val="0"/>
          <w:numId w:val="740"/>
        </w:numPr>
        <w:rPr>
          <w:rFonts w:ascii="Arial" w:cs="Arial" w:eastAsia="Arial" w:hAnsi="Arial"/>
          <w:sz w:val="17"/>
          <w:szCs w:val="17"/>
          <w:color w:val="auto"/>
        </w:rPr>
      </w:pPr>
      <w:r>
        <w:rPr>
          <w:rFonts w:ascii="Arial" w:cs="Arial" w:eastAsia="Arial" w:hAnsi="Arial"/>
          <w:sz w:val="17"/>
          <w:szCs w:val="17"/>
          <w:color w:val="auto"/>
        </w:rPr>
        <w:t>average balances of such account: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3" w:lineRule="exact"/>
        <w:rPr>
          <w:rFonts w:ascii="Arial" w:cs="Arial" w:eastAsia="Arial" w:hAnsi="Arial"/>
          <w:sz w:val="17"/>
          <w:szCs w:val="17"/>
          <w:color w:val="auto"/>
        </w:rPr>
      </w:pPr>
    </w:p>
    <w:p>
      <w:pPr>
        <w:ind w:left="2080" w:hanging="465"/>
        <w:spacing w:after="0"/>
        <w:tabs>
          <w:tab w:leader="none" w:pos="2080" w:val="left"/>
        </w:tabs>
        <w:numPr>
          <w:ilvl w:val="0"/>
          <w:numId w:val="740"/>
        </w:numPr>
        <w:rPr>
          <w:rFonts w:ascii="Arial" w:cs="Arial" w:eastAsia="Arial" w:hAnsi="Arial"/>
          <w:sz w:val="17"/>
          <w:szCs w:val="17"/>
          <w:color w:val="auto"/>
        </w:rPr>
      </w:pPr>
      <w:r>
        <w:rPr>
          <w:rFonts w:ascii="Arial" w:cs="Arial" w:eastAsia="Arial" w:hAnsi="Arial"/>
          <w:sz w:val="17"/>
          <w:szCs w:val="17"/>
          <w:color w:val="auto"/>
        </w:rPr>
        <w:t>time for incoming payment being deposited into such account: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3" w:lineRule="exact"/>
        <w:rPr>
          <w:rFonts w:ascii="Arial" w:cs="Arial" w:eastAsia="Arial" w:hAnsi="Arial"/>
          <w:sz w:val="17"/>
          <w:szCs w:val="17"/>
          <w:color w:val="auto"/>
        </w:rPr>
      </w:pPr>
    </w:p>
    <w:p>
      <w:pPr>
        <w:ind w:left="2080" w:hanging="465"/>
        <w:spacing w:after="0"/>
        <w:tabs>
          <w:tab w:leader="none" w:pos="2080" w:val="left"/>
        </w:tabs>
        <w:numPr>
          <w:ilvl w:val="0"/>
          <w:numId w:val="740"/>
        </w:numPr>
        <w:rPr>
          <w:rFonts w:ascii="Arial" w:cs="Arial" w:eastAsia="Arial" w:hAnsi="Arial"/>
          <w:sz w:val="17"/>
          <w:szCs w:val="17"/>
          <w:color w:val="auto"/>
        </w:rPr>
      </w:pPr>
      <w:r>
        <w:rPr>
          <w:rFonts w:ascii="Arial" w:cs="Arial" w:eastAsia="Arial" w:hAnsi="Arial"/>
          <w:sz w:val="17"/>
          <w:szCs w:val="17"/>
          <w:color w:val="auto"/>
        </w:rPr>
        <w:t>percentage of the overall sale proceeds of Party A that are to be deposited into such account: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3" w:lineRule="exact"/>
        <w:rPr>
          <w:rFonts w:ascii="Arial" w:cs="Arial" w:eastAsia="Arial" w:hAnsi="Arial"/>
          <w:sz w:val="17"/>
          <w:szCs w:val="17"/>
          <w:color w:val="auto"/>
        </w:rPr>
      </w:pPr>
    </w:p>
    <w:p>
      <w:pPr>
        <w:ind w:left="2060" w:hanging="445"/>
        <w:spacing w:after="0"/>
        <w:tabs>
          <w:tab w:leader="none" w:pos="2060" w:val="left"/>
        </w:tabs>
        <w:numPr>
          <w:ilvl w:val="0"/>
          <w:numId w:val="740"/>
        </w:numPr>
        <w:rPr>
          <w:rFonts w:ascii="Arial" w:cs="Arial" w:eastAsia="Arial" w:hAnsi="Arial"/>
          <w:sz w:val="17"/>
          <w:szCs w:val="17"/>
          <w:color w:val="auto"/>
        </w:rPr>
      </w:pPr>
      <w:r>
        <w:rPr>
          <w:rFonts w:ascii="Arial" w:cs="Arial" w:eastAsia="Arial" w:hAnsi="Arial"/>
          <w:sz w:val="17"/>
          <w:szCs w:val="17"/>
          <w:color w:val="auto"/>
        </w:rPr>
        <w:t>amount limit for any particular outgoing payment of such account: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3" w:lineRule="exact"/>
        <w:rPr>
          <w:rFonts w:ascii="Arial" w:cs="Arial" w:eastAsia="Arial" w:hAnsi="Arial"/>
          <w:sz w:val="17"/>
          <w:szCs w:val="17"/>
          <w:color w:val="auto"/>
        </w:rPr>
      </w:pPr>
    </w:p>
    <w:p>
      <w:pPr>
        <w:ind w:left="2060" w:hanging="445"/>
        <w:spacing w:after="0"/>
        <w:tabs>
          <w:tab w:leader="none" w:pos="2060" w:val="left"/>
        </w:tabs>
        <w:numPr>
          <w:ilvl w:val="0"/>
          <w:numId w:val="740"/>
        </w:numPr>
        <w:rPr>
          <w:rFonts w:ascii="Arial" w:cs="Arial" w:eastAsia="Arial" w:hAnsi="Arial"/>
          <w:sz w:val="17"/>
          <w:szCs w:val="17"/>
          <w:color w:val="auto"/>
        </w:rPr>
      </w:pPr>
      <w:r>
        <w:rPr>
          <w:rFonts w:ascii="Arial" w:cs="Arial" w:eastAsia="Arial" w:hAnsi="Arial"/>
          <w:sz w:val="17"/>
          <w:szCs w:val="17"/>
          <w:color w:val="auto"/>
        </w:rPr>
        <w:t>amount limit for daily outgoing payment (s) of such account: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60" w:hanging="445"/>
        <w:spacing w:after="0"/>
        <w:tabs>
          <w:tab w:leader="none" w:pos="2060" w:val="left"/>
        </w:tabs>
        <w:numPr>
          <w:ilvl w:val="0"/>
          <w:numId w:val="741"/>
        </w:numPr>
        <w:rPr>
          <w:rFonts w:ascii="Arial" w:cs="Arial" w:eastAsia="Arial" w:hAnsi="Arial"/>
          <w:sz w:val="17"/>
          <w:szCs w:val="17"/>
          <w:color w:val="auto"/>
        </w:rPr>
      </w:pPr>
      <w:r>
        <w:rPr>
          <w:rFonts w:ascii="Arial" w:cs="Arial" w:eastAsia="Arial" w:hAnsi="Arial"/>
          <w:sz w:val="17"/>
          <w:szCs w:val="17"/>
          <w:color w:val="auto"/>
        </w:rPr>
        <w:t>restrictions on internet-banking functions of such account: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3" w:lineRule="exact"/>
        <w:rPr>
          <w:rFonts w:ascii="Arial" w:cs="Arial" w:eastAsia="Arial" w:hAnsi="Arial"/>
          <w:sz w:val="17"/>
          <w:szCs w:val="17"/>
          <w:color w:val="auto"/>
        </w:rPr>
      </w:pPr>
    </w:p>
    <w:p>
      <w:pPr>
        <w:ind w:left="2080" w:hanging="465"/>
        <w:spacing w:after="0"/>
        <w:tabs>
          <w:tab w:leader="none" w:pos="2080" w:val="left"/>
        </w:tabs>
        <w:numPr>
          <w:ilvl w:val="0"/>
          <w:numId w:val="741"/>
        </w:numPr>
        <w:rPr>
          <w:rFonts w:ascii="Arial" w:cs="Arial" w:eastAsia="Arial" w:hAnsi="Arial"/>
          <w:sz w:val="17"/>
          <w:szCs w:val="17"/>
          <w:color w:val="auto"/>
        </w:rPr>
      </w:pPr>
      <w:r>
        <w:rPr>
          <w:rFonts w:ascii="Arial" w:cs="Arial" w:eastAsia="Arial" w:hAnsi="Arial"/>
          <w:sz w:val="17"/>
          <w:szCs w:val="17"/>
          <w:color w:val="auto"/>
        </w:rPr>
        <w:t>no outgoing payment shall be made without Party B’s prior consent;</w:t>
      </w:r>
    </w:p>
    <w:p>
      <w:pPr>
        <w:spacing w:after="0" w:line="224" w:lineRule="exact"/>
        <w:rPr>
          <w:rFonts w:ascii="Arial" w:cs="Arial" w:eastAsia="Arial" w:hAnsi="Arial"/>
          <w:sz w:val="17"/>
          <w:szCs w:val="17"/>
          <w:color w:val="auto"/>
        </w:rPr>
      </w:pPr>
    </w:p>
    <w:p>
      <w:pPr>
        <w:ind w:left="2080" w:hanging="465"/>
        <w:spacing w:after="0"/>
        <w:tabs>
          <w:tab w:leader="none" w:pos="2080" w:val="left"/>
        </w:tabs>
        <w:numPr>
          <w:ilvl w:val="0"/>
          <w:numId w:val="741"/>
        </w:numPr>
        <w:rPr>
          <w:rFonts w:ascii="Arial" w:cs="Arial" w:eastAsia="Arial" w:hAnsi="Arial"/>
          <w:sz w:val="16"/>
          <w:szCs w:val="16"/>
          <w:color w:val="auto"/>
        </w:rPr>
      </w:pPr>
      <w:r>
        <w:rPr>
          <w:rFonts w:ascii="Arial" w:cs="Arial" w:eastAsia="Arial" w:hAnsi="Arial"/>
          <w:sz w:val="16"/>
          <w:szCs w:val="16"/>
          <w:color w:val="auto"/>
        </w:rPr>
        <w:t>Such account shall be used only for the purposes of collecting sale proceeds and repaying the loan, and not for any other purpose;</w:t>
      </w:r>
    </w:p>
    <w:p>
      <w:pPr>
        <w:spacing w:after="0" w:line="235" w:lineRule="exact"/>
        <w:rPr>
          <w:rFonts w:ascii="Arial" w:cs="Arial" w:eastAsia="Arial" w:hAnsi="Arial"/>
          <w:sz w:val="16"/>
          <w:szCs w:val="16"/>
          <w:color w:val="auto"/>
        </w:rPr>
      </w:pPr>
    </w:p>
    <w:p>
      <w:pPr>
        <w:spacing w:after="0"/>
        <w:tabs>
          <w:tab w:leader="none" w:pos="0" w:val="left"/>
        </w:tabs>
        <w:numPr>
          <w:ilvl w:val="0"/>
          <w:numId w:val="741"/>
        </w:numPr>
        <w:rPr>
          <w:rFonts w:ascii="Arial" w:cs="Arial" w:eastAsia="Arial" w:hAnsi="Arial"/>
          <w:sz w:val="17"/>
          <w:szCs w:val="17"/>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60" w:hanging="445"/>
        <w:spacing w:after="0"/>
        <w:tabs>
          <w:tab w:leader="none" w:pos="2060" w:val="left"/>
        </w:tabs>
        <w:numPr>
          <w:ilvl w:val="0"/>
          <w:numId w:val="742"/>
        </w:numPr>
        <w:rPr>
          <w:rFonts w:ascii="Arial" w:cs="Arial" w:eastAsia="Arial" w:hAnsi="Arial"/>
          <w:sz w:val="17"/>
          <w:szCs w:val="17"/>
          <w:color w:val="auto"/>
        </w:rPr>
      </w:pPr>
      <w:r>
        <w:rPr>
          <w:rFonts w:ascii="Arial" w:cs="Arial" w:eastAsia="Arial" w:hAnsi="Arial"/>
          <w:sz w:val="17"/>
          <w:szCs w:val="17"/>
          <w:color w:val="auto"/>
        </w:rPr>
        <w:t>other requirements by Party B;</w:t>
      </w:r>
    </w:p>
    <w:p>
      <w:pPr>
        <w:spacing w:after="0" w:line="224" w:lineRule="exact"/>
        <w:rPr>
          <w:rFonts w:ascii="Arial" w:cs="Arial" w:eastAsia="Arial" w:hAnsi="Arial"/>
          <w:sz w:val="17"/>
          <w:szCs w:val="17"/>
          <w:color w:val="auto"/>
        </w:rPr>
      </w:pPr>
    </w:p>
    <w:p>
      <w:pPr>
        <w:ind w:left="2060" w:hanging="445"/>
        <w:spacing w:after="0"/>
        <w:tabs>
          <w:tab w:leader="none" w:pos="2060" w:val="left"/>
        </w:tabs>
        <w:numPr>
          <w:ilvl w:val="0"/>
          <w:numId w:val="742"/>
        </w:numPr>
        <w:rPr>
          <w:rFonts w:ascii="Arial" w:cs="Arial" w:eastAsia="Arial" w:hAnsi="Arial"/>
          <w:sz w:val="17"/>
          <w:szCs w:val="17"/>
          <w:color w:val="auto"/>
        </w:rPr>
      </w:pPr>
      <w:r>
        <w:rPr>
          <w:rFonts w:ascii="Arial" w:cs="Arial" w:eastAsia="Arial" w:hAnsi="Arial"/>
          <w:sz w:val="17"/>
          <w:szCs w:val="17"/>
          <w:color w:val="auto"/>
        </w:rPr>
        <w:t>A separate Account Management Agreement signed by both Parties shall be complied with.</w:t>
      </w:r>
    </w:p>
    <w:p>
      <w:pPr>
        <w:spacing w:after="0" w:line="218" w:lineRule="exact"/>
        <w:rPr>
          <w:sz w:val="20"/>
          <w:szCs w:val="20"/>
          <w:color w:val="auto"/>
        </w:rPr>
      </w:pPr>
    </w:p>
    <w:p>
      <w:pPr>
        <w:ind w:left="640" w:hanging="635"/>
        <w:spacing w:after="0"/>
        <w:tabs>
          <w:tab w:leader="none" w:pos="640" w:val="left"/>
        </w:tabs>
        <w:numPr>
          <w:ilvl w:val="0"/>
          <w:numId w:val="743"/>
        </w:numPr>
        <w:rPr>
          <w:rFonts w:ascii="Arial" w:cs="Arial" w:eastAsia="Arial" w:hAnsi="Arial"/>
          <w:sz w:val="17"/>
          <w:szCs w:val="17"/>
          <w:b w:val="1"/>
          <w:bCs w:val="1"/>
          <w:color w:val="auto"/>
        </w:rPr>
      </w:pPr>
      <w:r>
        <w:rPr>
          <w:rFonts w:ascii="Arial" w:cs="Arial" w:eastAsia="Arial" w:hAnsi="Arial"/>
          <w:sz w:val="17"/>
          <w:szCs w:val="17"/>
          <w:b w:val="1"/>
          <w:bCs w:val="1"/>
          <w:color w:val="auto"/>
        </w:rPr>
        <w:t>REPAYMENT</w:t>
      </w:r>
    </w:p>
    <w:p>
      <w:pPr>
        <w:spacing w:after="0" w:line="230"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7"/>
          <w:szCs w:val="17"/>
          <w:color w:val="auto"/>
        </w:rPr>
        <w:t>7.1 General Principles for Repayment</w:t>
      </w:r>
    </w:p>
    <w:p>
      <w:pPr>
        <w:spacing w:after="0" w:line="224" w:lineRule="exact"/>
        <w:rPr>
          <w:sz w:val="20"/>
          <w:szCs w:val="20"/>
          <w:color w:val="auto"/>
        </w:rPr>
      </w:pPr>
    </w:p>
    <w:p>
      <w:pPr>
        <w:ind w:left="940" w:right="40"/>
        <w:spacing w:after="0" w:line="268" w:lineRule="auto"/>
        <w:rPr>
          <w:sz w:val="20"/>
          <w:szCs w:val="20"/>
          <w:color w:val="auto"/>
        </w:rPr>
      </w:pPr>
      <w:r>
        <w:rPr>
          <w:rFonts w:ascii="Arial" w:cs="Arial" w:eastAsia="Arial" w:hAnsi="Arial"/>
          <w:sz w:val="17"/>
          <w:szCs w:val="17"/>
          <w:color w:val="auto"/>
        </w:rPr>
        <w:t>Party A shall repay the Loan in accordance with the following principles: Party B has the right to apply Party A’s repayment first towards payment of any expense which shall be borne by Party A as provided hereunder but has been advanced by Party B and the expenses incurred by Party B for realizing its creditor’s rights. Party B shall apply the balance of such repayment in the order of interest first and then principal adhering to the principle that the interest shall be fully repaid concurrently with the repayment in full of all the principal amounts.</w:t>
      </w:r>
    </w:p>
    <w:p>
      <w:pPr>
        <w:spacing w:after="0" w:line="176" w:lineRule="exact"/>
        <w:rPr>
          <w:sz w:val="20"/>
          <w:szCs w:val="20"/>
          <w:color w:val="auto"/>
        </w:rPr>
      </w:pPr>
    </w:p>
    <w:p>
      <w:pPr>
        <w:ind w:left="940" w:right="140"/>
        <w:spacing w:after="0" w:line="268" w:lineRule="auto"/>
        <w:rPr>
          <w:sz w:val="20"/>
          <w:szCs w:val="20"/>
          <w:color w:val="auto"/>
        </w:rPr>
      </w:pPr>
      <w:r>
        <w:rPr>
          <w:rFonts w:ascii="Arial" w:cs="Arial" w:eastAsia="Arial" w:hAnsi="Arial"/>
          <w:sz w:val="17"/>
          <w:szCs w:val="17"/>
          <w:color w:val="auto"/>
        </w:rPr>
        <w:t>For any advance of which the principal has become due but unpaid for more than ninety days, or any advance on which the interest has become due but unpaid for more than ninety days, or any advance otherwise provided by the laws, regulations or rules, Party B may first apply Party A’s repayment towards those payments of expenses set out in the first paragraph of this article. Then Party B may apply the balance of such repayment towards payment in the order of principal first and then interest.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7.2 Payment of Interest</w:t>
      </w:r>
    </w:p>
    <w:p>
      <w:pPr>
        <w:spacing w:after="0" w:line="224" w:lineRule="exact"/>
        <w:rPr>
          <w:sz w:val="20"/>
          <w:szCs w:val="20"/>
          <w:color w:val="auto"/>
        </w:rPr>
      </w:pPr>
    </w:p>
    <w:p>
      <w:pPr>
        <w:ind w:left="940" w:right="120"/>
        <w:spacing w:after="0" w:line="322" w:lineRule="auto"/>
        <w:rPr>
          <w:sz w:val="20"/>
          <w:szCs w:val="20"/>
          <w:color w:val="auto"/>
        </w:rPr>
      </w:pPr>
      <w:r>
        <w:rPr>
          <w:rFonts w:ascii="Arial" w:cs="Arial" w:eastAsia="Arial" w:hAnsi="Arial"/>
          <w:sz w:val="16"/>
          <w:szCs w:val="16"/>
          <w:color w:val="auto"/>
        </w:rPr>
        <w:t>Party A shall pay due interest to Party B on the interest settlement date. The first interest payment date shall be the first interest settlement date after the release of an advance. All the interest and principal amounts outstanding shall be paid in full on the last repayment date.</w:t>
      </w:r>
    </w:p>
    <w:p>
      <w:pPr>
        <w:sectPr>
          <w:pgSz w:w="11900" w:h="16838" w:orient="portrait"/>
          <w:cols w:equalWidth="0" w:num="1">
            <w:col w:w="11420"/>
          </w:cols>
          <w:pgMar w:left="240" w:top="573" w:right="239" w:bottom="0" w:gutter="0" w:footer="0" w:header="0"/>
        </w:sectPr>
      </w:pPr>
    </w:p>
    <w:bookmarkStart w:id="433" w:name="page434"/>
    <w:bookmarkEnd w:id="433"/>
    <w:p>
      <w:pPr>
        <w:ind w:left="635"/>
        <w:spacing w:after="0"/>
        <w:rPr>
          <w:sz w:val="20"/>
          <w:szCs w:val="20"/>
          <w:color w:val="auto"/>
        </w:rPr>
      </w:pPr>
      <w:r>
        <w:rPr>
          <w:rFonts w:ascii="Arial" w:cs="Arial" w:eastAsia="Arial" w:hAnsi="Arial"/>
          <w:sz w:val="17"/>
          <w:szCs w:val="17"/>
          <w:color w:val="auto"/>
        </w:rPr>
        <w:t>7.3 Schedule for Repayment of the Principal</w:t>
      </w:r>
    </w:p>
    <w:p>
      <w:pPr>
        <w:spacing w:after="0" w:line="218" w:lineRule="exact"/>
        <w:rPr>
          <w:sz w:val="20"/>
          <w:szCs w:val="20"/>
          <w:color w:val="auto"/>
        </w:rPr>
      </w:pPr>
    </w:p>
    <w:p>
      <w:pPr>
        <w:ind w:left="935"/>
        <w:spacing w:after="0"/>
        <w:rPr>
          <w:sz w:val="20"/>
          <w:szCs w:val="20"/>
          <w:color w:val="auto"/>
        </w:rPr>
      </w:pPr>
      <w:r>
        <w:rPr>
          <w:rFonts w:ascii="Arial" w:cs="Arial" w:eastAsia="Arial" w:hAnsi="Arial"/>
          <w:sz w:val="17"/>
          <w:szCs w:val="17"/>
          <w:color w:val="auto"/>
        </w:rPr>
        <w:t xml:space="preserve">The repayment schedule hereunder shall be determined in accordance with item </w:t>
      </w:r>
      <w:r>
        <w:rPr>
          <w:rFonts w:ascii="Arial" w:cs="Arial" w:eastAsia="Arial" w:hAnsi="Arial"/>
          <w:sz w:val="17"/>
          <w:szCs w:val="17"/>
          <w:b w:val="1"/>
          <w:bCs w:val="1"/>
          <w:color w:val="auto"/>
        </w:rPr>
        <w:t>[see Schedule A]</w:t>
      </w:r>
      <w:r>
        <w:rPr>
          <w:rFonts w:ascii="Arial" w:cs="Arial" w:eastAsia="Arial" w:hAnsi="Arial"/>
          <w:sz w:val="17"/>
          <w:szCs w:val="17"/>
          <w:color w:val="auto"/>
        </w:rPr>
        <w:t xml:space="preserve"> below:</w:t>
      </w:r>
    </w:p>
    <w:p>
      <w:pPr>
        <w:spacing w:after="0" w:line="230"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95" w:hanging="951"/>
        <w:spacing w:after="0"/>
        <w:tabs>
          <w:tab w:leader="none" w:pos="1895" w:val="left"/>
        </w:tabs>
        <w:numPr>
          <w:ilvl w:val="0"/>
          <w:numId w:val="744"/>
        </w:numPr>
        <w:rPr>
          <w:rFonts w:ascii="Arial" w:cs="Arial" w:eastAsia="Arial" w:hAnsi="Arial"/>
          <w:sz w:val="17"/>
          <w:szCs w:val="17"/>
          <w:color w:val="auto"/>
        </w:rPr>
      </w:pPr>
      <w:r>
        <w:rPr>
          <w:rFonts w:ascii="Arial" w:cs="Arial" w:eastAsia="Arial" w:hAnsi="Arial"/>
          <w:sz w:val="17"/>
          <w:szCs w:val="17"/>
          <w:color w:val="auto"/>
        </w:rPr>
        <w:t>The repayment schedule shall be as follows:</w:t>
      </w:r>
    </w:p>
    <w:p>
      <w:pPr>
        <w:spacing w:after="0" w:line="224" w:lineRule="exact"/>
        <w:rPr>
          <w:sz w:val="20"/>
          <w:szCs w:val="20"/>
          <w:color w:val="auto"/>
        </w:rPr>
      </w:pPr>
    </w:p>
    <w:p>
      <w:pPr>
        <w:ind w:left="2075"/>
        <w:spacing w:after="0"/>
        <w:tabs>
          <w:tab w:leader="none" w:pos="6135" w:val="left"/>
        </w:tabs>
        <w:rPr>
          <w:sz w:val="20"/>
          <w:szCs w:val="20"/>
          <w:color w:val="auto"/>
        </w:rPr>
      </w:pPr>
      <w:r>
        <w:rPr>
          <w:rFonts w:ascii="Arial" w:cs="Arial" w:eastAsia="Arial" w:hAnsi="Arial"/>
          <w:sz w:val="17"/>
          <w:szCs w:val="17"/>
          <w:color w:val="auto"/>
        </w:rPr>
        <w:t>Repayment Date(mm/dd/yyyy)</w:t>
      </w:r>
      <w:r>
        <w:rPr>
          <w:sz w:val="20"/>
          <w:szCs w:val="20"/>
          <w:color w:val="auto"/>
        </w:rPr>
        <w:tab/>
      </w:r>
      <w:r>
        <w:rPr>
          <w:rFonts w:ascii="Arial" w:cs="Arial" w:eastAsia="Arial" w:hAnsi="Arial"/>
          <w:sz w:val="16"/>
          <w:szCs w:val="16"/>
          <w:color w:val="auto"/>
        </w:rPr>
        <w:t>Amount</w:t>
      </w:r>
    </w:p>
    <w:p>
      <w:pPr>
        <w:spacing w:after="0" w:line="26" w:lineRule="exact"/>
        <w:rPr>
          <w:sz w:val="20"/>
          <w:szCs w:val="20"/>
          <w:color w:val="auto"/>
        </w:rPr>
      </w:pPr>
    </w:p>
    <w:p>
      <w:pPr>
        <w:ind w:left="1635"/>
        <w:spacing w:after="0"/>
        <w:rPr>
          <w:sz w:val="20"/>
          <w:szCs w:val="20"/>
          <w:color w:val="auto"/>
        </w:rPr>
      </w:pPr>
      <w:r>
        <w:rPr>
          <w:rFonts w:ascii="Arial" w:cs="Arial" w:eastAsia="Arial" w:hAnsi="Arial"/>
          <w:sz w:val="17"/>
          <w:szCs w:val="17"/>
          <w:color w:val="auto"/>
        </w:rPr>
        <w:t>(i)</w:t>
      </w:r>
    </w:p>
    <w:p>
      <w:pPr>
        <w:spacing w:after="0" w:line="212" w:lineRule="exact"/>
        <w:rPr>
          <w:sz w:val="20"/>
          <w:szCs w:val="20"/>
          <w:color w:val="auto"/>
        </w:rPr>
      </w:pPr>
    </w:p>
    <w:p>
      <w:pPr>
        <w:ind w:left="1635"/>
        <w:spacing w:after="0"/>
        <w:rPr>
          <w:sz w:val="20"/>
          <w:szCs w:val="20"/>
          <w:color w:val="auto"/>
        </w:rPr>
      </w:pPr>
      <w:r>
        <w:rPr>
          <w:rFonts w:ascii="Arial" w:cs="Arial" w:eastAsia="Arial" w:hAnsi="Arial"/>
          <w:sz w:val="17"/>
          <w:szCs w:val="17"/>
          <w:color w:val="auto"/>
        </w:rPr>
        <w:t>(ii)</w:t>
      </w:r>
    </w:p>
    <w:p>
      <w:pPr>
        <w:spacing w:after="0" w:line="224" w:lineRule="exact"/>
        <w:rPr>
          <w:sz w:val="20"/>
          <w:szCs w:val="20"/>
          <w:color w:val="auto"/>
        </w:rPr>
      </w:pPr>
    </w:p>
    <w:p>
      <w:pPr>
        <w:ind w:left="1635"/>
        <w:spacing w:after="0"/>
        <w:rPr>
          <w:sz w:val="20"/>
          <w:szCs w:val="20"/>
          <w:color w:val="auto"/>
        </w:rPr>
      </w:pPr>
      <w:r>
        <w:rPr>
          <w:rFonts w:ascii="Arial" w:cs="Arial" w:eastAsia="Arial" w:hAnsi="Arial"/>
          <w:sz w:val="17"/>
          <w:szCs w:val="17"/>
          <w:color w:val="auto"/>
        </w:rPr>
        <w:t>(iii)</w:t>
      </w:r>
    </w:p>
    <w:p>
      <w:pPr>
        <w:spacing w:after="0" w:line="224" w:lineRule="exact"/>
        <w:rPr>
          <w:sz w:val="20"/>
          <w:szCs w:val="20"/>
          <w:color w:val="auto"/>
        </w:rPr>
      </w:pPr>
    </w:p>
    <w:p>
      <w:pPr>
        <w:ind w:left="1635"/>
        <w:spacing w:after="0"/>
        <w:rPr>
          <w:sz w:val="20"/>
          <w:szCs w:val="20"/>
          <w:color w:val="auto"/>
        </w:rPr>
      </w:pPr>
      <w:r>
        <w:rPr>
          <w:rFonts w:ascii="Arial" w:cs="Arial" w:eastAsia="Arial" w:hAnsi="Arial"/>
          <w:sz w:val="17"/>
          <w:szCs w:val="17"/>
          <w:color w:val="auto"/>
        </w:rPr>
        <w:t>(iv)</w:t>
      </w:r>
    </w:p>
    <w:p>
      <w:pPr>
        <w:spacing w:after="0" w:line="224" w:lineRule="exact"/>
        <w:rPr>
          <w:sz w:val="20"/>
          <w:szCs w:val="20"/>
          <w:color w:val="auto"/>
        </w:rPr>
      </w:pPr>
    </w:p>
    <w:p>
      <w:pPr>
        <w:ind w:left="1635"/>
        <w:spacing w:after="0"/>
        <w:rPr>
          <w:sz w:val="20"/>
          <w:szCs w:val="20"/>
          <w:color w:val="auto"/>
        </w:rPr>
      </w:pPr>
      <w:r>
        <w:rPr>
          <w:rFonts w:ascii="Arial" w:cs="Arial" w:eastAsia="Arial" w:hAnsi="Arial"/>
          <w:sz w:val="17"/>
          <w:szCs w:val="17"/>
          <w:color w:val="auto"/>
        </w:rPr>
        <w:t>(v)</w:t>
      </w:r>
    </w:p>
    <w:p>
      <w:pPr>
        <w:spacing w:after="0" w:line="224" w:lineRule="exact"/>
        <w:rPr>
          <w:sz w:val="20"/>
          <w:szCs w:val="20"/>
          <w:color w:val="auto"/>
        </w:rPr>
      </w:pPr>
    </w:p>
    <w:p>
      <w:pPr>
        <w:ind w:left="1635"/>
        <w:spacing w:after="0"/>
        <w:rPr>
          <w:sz w:val="20"/>
          <w:szCs w:val="20"/>
          <w:color w:val="auto"/>
        </w:rPr>
      </w:pPr>
      <w:r>
        <w:rPr>
          <w:rFonts w:ascii="Arial" w:cs="Arial" w:eastAsia="Arial" w:hAnsi="Arial"/>
          <w:sz w:val="17"/>
          <w:szCs w:val="17"/>
          <w:color w:val="auto"/>
        </w:rPr>
        <w:t>(vi)</w:t>
      </w:r>
    </w:p>
    <w:p>
      <w:pPr>
        <w:spacing w:after="0" w:line="224" w:lineRule="exact"/>
        <w:rPr>
          <w:sz w:val="20"/>
          <w:szCs w:val="20"/>
          <w:color w:val="auto"/>
        </w:rPr>
      </w:pPr>
    </w:p>
    <w:p>
      <w:pPr>
        <w:ind w:left="935"/>
        <w:spacing w:after="0"/>
        <w:rPr>
          <w:sz w:val="20"/>
          <w:szCs w:val="20"/>
          <w:color w:val="auto"/>
        </w:rPr>
      </w:pPr>
      <w:r>
        <w:rPr>
          <w:rFonts w:ascii="Arial" w:cs="Arial" w:eastAsia="Arial" w:hAnsi="Arial"/>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35"/>
        <w:spacing w:after="0"/>
        <w:rPr>
          <w:sz w:val="20"/>
          <w:szCs w:val="20"/>
          <w:color w:val="auto"/>
        </w:rPr>
      </w:pPr>
      <w:r>
        <w:rPr>
          <w:rFonts w:ascii="Arial" w:cs="Arial" w:eastAsia="Arial" w:hAnsi="Arial"/>
          <w:sz w:val="17"/>
          <w:szCs w:val="17"/>
          <w:color w:val="auto"/>
        </w:rPr>
        <w:t>7.4 Repayment Method</w:t>
      </w:r>
    </w:p>
    <w:p>
      <w:pPr>
        <w:spacing w:after="0" w:line="224" w:lineRule="exact"/>
        <w:rPr>
          <w:sz w:val="20"/>
          <w:szCs w:val="20"/>
          <w:color w:val="auto"/>
        </w:rPr>
      </w:pPr>
    </w:p>
    <w:p>
      <w:pPr>
        <w:ind w:left="935" w:right="200"/>
        <w:spacing w:after="0" w:line="273" w:lineRule="auto"/>
        <w:rPr>
          <w:sz w:val="20"/>
          <w:szCs w:val="20"/>
          <w:color w:val="auto"/>
        </w:rPr>
      </w:pPr>
      <w:r>
        <w:rPr>
          <w:rFonts w:ascii="Arial" w:cs="Arial" w:eastAsia="Arial" w:hAnsi="Arial"/>
          <w:sz w:val="17"/>
          <w:szCs w:val="17"/>
          <w:color w:val="auto"/>
        </w:rPr>
        <w:t>Party A shall deposit sufficient amount into the Account to collect sale processor other account at Party B before the repayment date provided hereunder and transfer such amount to repay the Loan (Party B may also debit such amount from such account to repay the Loan), or transfer such amount from another bank account of Party A to repay the Loan.</w:t>
      </w:r>
    </w:p>
    <w:p>
      <w:pPr>
        <w:spacing w:after="0" w:line="172" w:lineRule="exact"/>
        <w:rPr>
          <w:sz w:val="20"/>
          <w:szCs w:val="20"/>
          <w:color w:val="auto"/>
        </w:rPr>
      </w:pPr>
    </w:p>
    <w:p>
      <w:pPr>
        <w:ind w:left="635"/>
        <w:spacing w:after="0"/>
        <w:rPr>
          <w:sz w:val="20"/>
          <w:szCs w:val="20"/>
          <w:color w:val="auto"/>
        </w:rPr>
      </w:pPr>
      <w:r>
        <w:rPr>
          <w:rFonts w:ascii="Arial" w:cs="Arial" w:eastAsia="Arial" w:hAnsi="Arial"/>
          <w:sz w:val="17"/>
          <w:szCs w:val="17"/>
          <w:color w:val="auto"/>
        </w:rPr>
        <w:t>7.5 Prepayment</w:t>
      </w:r>
    </w:p>
    <w:p>
      <w:pPr>
        <w:spacing w:after="0" w:line="224" w:lineRule="exact"/>
        <w:rPr>
          <w:sz w:val="20"/>
          <w:szCs w:val="20"/>
          <w:color w:val="auto"/>
        </w:rPr>
      </w:pPr>
    </w:p>
    <w:p>
      <w:pPr>
        <w:ind w:left="935" w:right="60"/>
        <w:spacing w:after="0" w:line="289" w:lineRule="auto"/>
        <w:rPr>
          <w:sz w:val="20"/>
          <w:szCs w:val="20"/>
          <w:color w:val="auto"/>
        </w:rPr>
      </w:pPr>
      <w:r>
        <w:rPr>
          <w:rFonts w:ascii="Arial" w:cs="Arial" w:eastAsia="Arial" w:hAnsi="Arial"/>
          <w:sz w:val="17"/>
          <w:szCs w:val="17"/>
          <w:color w:val="auto"/>
        </w:rPr>
        <w:t>Party A may prepay the principals in full or in part upon approval by Party B of a written application submitted to Party B THIRTY working days in advance.</w:t>
      </w:r>
    </w:p>
    <w:p>
      <w:pPr>
        <w:spacing w:after="0" w:line="158" w:lineRule="exact"/>
        <w:rPr>
          <w:sz w:val="20"/>
          <w:szCs w:val="20"/>
          <w:color w:val="auto"/>
        </w:rPr>
      </w:pPr>
    </w:p>
    <w:p>
      <w:pPr>
        <w:ind w:left="935" w:right="140"/>
        <w:spacing w:after="0" w:line="289" w:lineRule="auto"/>
        <w:rPr>
          <w:sz w:val="20"/>
          <w:szCs w:val="20"/>
          <w:color w:val="auto"/>
        </w:rPr>
      </w:pPr>
      <w:r>
        <w:rPr>
          <w:rFonts w:ascii="Arial" w:cs="Arial" w:eastAsia="Arial" w:hAnsi="Arial"/>
          <w:sz w:val="17"/>
          <w:szCs w:val="17"/>
          <w:color w:val="auto"/>
        </w:rPr>
        <w:t>The interest accrued on the principals to be prepaid shall be calculated on the basis of the actual number of days lapsed and the Loan Rate provided herein.</w:t>
      </w:r>
    </w:p>
    <w:p>
      <w:pPr>
        <w:spacing w:after="0" w:line="158" w:lineRule="exact"/>
        <w:rPr>
          <w:sz w:val="20"/>
          <w:szCs w:val="20"/>
          <w:color w:val="auto"/>
        </w:rPr>
      </w:pPr>
    </w:p>
    <w:p>
      <w:pPr>
        <w:ind w:left="935"/>
        <w:spacing w:after="0" w:line="289" w:lineRule="auto"/>
        <w:rPr>
          <w:sz w:val="20"/>
          <w:szCs w:val="20"/>
          <w:color w:val="auto"/>
        </w:rPr>
      </w:pPr>
      <w:r>
        <w:rPr>
          <w:rFonts w:ascii="Arial" w:cs="Arial" w:eastAsia="Arial" w:hAnsi="Arial"/>
          <w:sz w:val="17"/>
          <w:szCs w:val="17"/>
          <w:color w:val="auto"/>
        </w:rPr>
        <w:t>If Party B approves the prepayment by Party A, Party B shall have the right to charge Party A the compensation fee in an amount to be determined in accordance with the (1) of the following methods:</w:t>
      </w:r>
    </w:p>
    <w:p>
      <w:pPr>
        <w:spacing w:after="0" w:line="152" w:lineRule="exact"/>
        <w:rPr>
          <w:sz w:val="20"/>
          <w:szCs w:val="20"/>
          <w:color w:val="auto"/>
        </w:rPr>
      </w:pPr>
    </w:p>
    <w:p>
      <w:pPr>
        <w:ind w:left="1275" w:right="480" w:hanging="331"/>
        <w:spacing w:after="0" w:line="368" w:lineRule="auto"/>
        <w:tabs>
          <w:tab w:leader="none" w:pos="1283" w:val="left"/>
        </w:tabs>
        <w:numPr>
          <w:ilvl w:val="0"/>
          <w:numId w:val="745"/>
        </w:numPr>
        <w:rPr>
          <w:rFonts w:ascii="Arial" w:cs="Arial" w:eastAsia="Arial" w:hAnsi="Arial"/>
          <w:sz w:val="15"/>
          <w:szCs w:val="15"/>
          <w:color w:val="auto"/>
        </w:rPr>
      </w:pPr>
      <w:r>
        <w:rPr>
          <w:rFonts w:ascii="Arial" w:cs="Arial" w:eastAsia="Arial" w:hAnsi="Arial"/>
          <w:sz w:val="15"/>
          <w:szCs w:val="15"/>
          <w:color w:val="auto"/>
        </w:rPr>
        <w:t>compensation fee = amount of the principal prepaid × number of months remaining until the scheduled repayment date(the “</w:t>
      </w:r>
      <w:r>
        <w:rPr>
          <w:rFonts w:ascii="Arial" w:cs="Arial" w:eastAsia="Arial" w:hAnsi="Arial"/>
          <w:sz w:val="15"/>
          <w:szCs w:val="15"/>
          <w:b w:val="1"/>
          <w:bCs w:val="1"/>
          <w:color w:val="auto"/>
        </w:rPr>
        <w:t>Remaining</w:t>
      </w:r>
      <w:r>
        <w:rPr>
          <w:rFonts w:ascii="Arial" w:cs="Arial" w:eastAsia="Arial" w:hAnsi="Arial"/>
          <w:sz w:val="15"/>
          <w:szCs w:val="15"/>
          <w:color w:val="auto"/>
        </w:rPr>
        <w:t xml:space="preserve"> </w:t>
      </w:r>
      <w:r>
        <w:rPr>
          <w:rFonts w:ascii="Arial" w:cs="Arial" w:eastAsia="Arial" w:hAnsi="Arial"/>
          <w:sz w:val="15"/>
          <w:szCs w:val="15"/>
          <w:b w:val="1"/>
          <w:bCs w:val="1"/>
          <w:color w:val="auto"/>
        </w:rPr>
        <w:t>Period</w:t>
      </w:r>
      <w:r>
        <w:rPr>
          <w:rFonts w:ascii="Arial" w:cs="Arial" w:eastAsia="Arial" w:hAnsi="Arial"/>
          <w:sz w:val="15"/>
          <w:szCs w:val="15"/>
          <w:color w:val="auto"/>
        </w:rPr>
        <w:t>”) × 1%; provided, however, that the part of the Remaining Period that falls short of a month shall be calculated as a full month; or</w:t>
      </w:r>
    </w:p>
    <w:p>
      <w:pPr>
        <w:spacing w:after="0" w:line="106" w:lineRule="exact"/>
        <w:rPr>
          <w:sz w:val="20"/>
          <w:szCs w:val="20"/>
          <w:color w:val="auto"/>
        </w:rPr>
      </w:pPr>
    </w:p>
    <w:p>
      <w:pPr>
        <w:ind w:left="935"/>
        <w:spacing w:after="0"/>
        <w:rPr>
          <w:sz w:val="20"/>
          <w:szCs w:val="20"/>
          <w:color w:val="auto"/>
        </w:rPr>
      </w:pPr>
      <w:r>
        <w:rPr>
          <w:rFonts w:ascii="Arial" w:cs="Arial" w:eastAsia="Arial" w:hAnsi="Arial"/>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35" w:right="140"/>
        <w:spacing w:after="0" w:line="322" w:lineRule="auto"/>
        <w:rPr>
          <w:sz w:val="20"/>
          <w:szCs w:val="20"/>
          <w:color w:val="auto"/>
        </w:rPr>
      </w:pPr>
      <w:r>
        <w:rPr>
          <w:rFonts w:ascii="Arial" w:cs="Arial" w:eastAsia="Arial" w:hAnsi="Arial"/>
          <w:sz w:val="16"/>
          <w:szCs w:val="16"/>
          <w:color w:val="auto"/>
        </w:rPr>
        <w:t>If Party A is required to repay the Loan in installments and prepays part of the principal, the prepaid amount shall be applied in the reverse order of the repayment schedule. After any partial prepayment, the outstanding Loan shall still be subject to the Loan Rate provided herein.</w:t>
      </w:r>
    </w:p>
    <w:p>
      <w:pPr>
        <w:spacing w:after="0" w:line="136"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935" w:right="7120" w:hanging="935"/>
        <w:spacing w:after="0" w:line="518" w:lineRule="auto"/>
        <w:tabs>
          <w:tab w:leader="none" w:pos="935" w:val="left"/>
        </w:tabs>
        <w:numPr>
          <w:ilvl w:val="0"/>
          <w:numId w:val="7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PARTY A’S RIGHTS AND OBLIGATIONS </w:t>
      </w:r>
      <w:r>
        <w:rPr>
          <w:rFonts w:ascii="Arial" w:cs="Arial" w:eastAsia="Arial" w:hAnsi="Arial"/>
          <w:sz w:val="17"/>
          <w:szCs w:val="17"/>
          <w:color w:val="auto"/>
        </w:rPr>
        <w:t>8.1 Party A’s Rights</w:t>
      </w:r>
    </w:p>
    <w:p>
      <w:pPr>
        <w:spacing w:after="0" w:line="1" w:lineRule="exact"/>
        <w:rPr>
          <w:rFonts w:ascii="Arial" w:cs="Arial" w:eastAsia="Arial" w:hAnsi="Arial"/>
          <w:sz w:val="17"/>
          <w:szCs w:val="17"/>
          <w:b w:val="1"/>
          <w:bCs w:val="1"/>
          <w:color w:val="auto"/>
        </w:rPr>
      </w:pPr>
    </w:p>
    <w:p>
      <w:pPr>
        <w:ind w:left="935"/>
        <w:spacing w:after="0"/>
        <w:rPr>
          <w:rFonts w:ascii="Arial" w:cs="Arial" w:eastAsia="Arial" w:hAnsi="Arial"/>
          <w:sz w:val="17"/>
          <w:szCs w:val="17"/>
          <w:b w:val="1"/>
          <w:bCs w:val="1"/>
          <w:color w:val="auto"/>
        </w:rPr>
      </w:pPr>
      <w:r>
        <w:rPr>
          <w:rFonts w:ascii="Arial" w:cs="Arial" w:eastAsia="Arial" w:hAnsi="Arial"/>
          <w:sz w:val="17"/>
          <w:szCs w:val="17"/>
          <w:color w:val="auto"/>
        </w:rPr>
        <w:t>Party A has the rights to:</w:t>
      </w:r>
    </w:p>
    <w:p>
      <w:pPr>
        <w:spacing w:after="0" w:line="224" w:lineRule="exact"/>
        <w:rPr>
          <w:rFonts w:ascii="Arial" w:cs="Arial" w:eastAsia="Arial" w:hAnsi="Arial"/>
          <w:sz w:val="17"/>
          <w:szCs w:val="17"/>
          <w:b w:val="1"/>
          <w:bCs w:val="1"/>
          <w:color w:val="auto"/>
        </w:rPr>
      </w:pPr>
    </w:p>
    <w:p>
      <w:pPr>
        <w:ind w:left="1415" w:hanging="337"/>
        <w:spacing w:after="0"/>
        <w:tabs>
          <w:tab w:leader="none" w:pos="1415" w:val="left"/>
        </w:tabs>
        <w:numPr>
          <w:ilvl w:val="1"/>
          <w:numId w:val="746"/>
        </w:numPr>
        <w:rPr>
          <w:rFonts w:ascii="Arial" w:cs="Arial" w:eastAsia="Arial" w:hAnsi="Arial"/>
          <w:sz w:val="17"/>
          <w:szCs w:val="17"/>
          <w:color w:val="auto"/>
        </w:rPr>
      </w:pPr>
      <w:r>
        <w:rPr>
          <w:rFonts w:ascii="Arial" w:cs="Arial" w:eastAsia="Arial" w:hAnsi="Arial"/>
          <w:sz w:val="17"/>
          <w:szCs w:val="17"/>
          <w:color w:val="auto"/>
        </w:rPr>
        <w:t>request Party B to release each advance of the Loan as provided hereunder;</w:t>
      </w:r>
    </w:p>
    <w:p>
      <w:pPr>
        <w:spacing w:after="0" w:line="224" w:lineRule="exact"/>
        <w:rPr>
          <w:rFonts w:ascii="Arial" w:cs="Arial" w:eastAsia="Arial" w:hAnsi="Arial"/>
          <w:sz w:val="17"/>
          <w:szCs w:val="17"/>
          <w:color w:val="auto"/>
        </w:rPr>
      </w:pPr>
    </w:p>
    <w:p>
      <w:pPr>
        <w:ind w:left="1415" w:hanging="337"/>
        <w:spacing w:after="0"/>
        <w:tabs>
          <w:tab w:leader="none" w:pos="1415" w:val="left"/>
        </w:tabs>
        <w:numPr>
          <w:ilvl w:val="1"/>
          <w:numId w:val="746"/>
        </w:numPr>
        <w:rPr>
          <w:rFonts w:ascii="Arial" w:cs="Arial" w:eastAsia="Arial" w:hAnsi="Arial"/>
          <w:sz w:val="17"/>
          <w:szCs w:val="17"/>
          <w:color w:val="auto"/>
        </w:rPr>
      </w:pPr>
      <w:r>
        <w:rPr>
          <w:rFonts w:ascii="Arial" w:cs="Arial" w:eastAsia="Arial" w:hAnsi="Arial"/>
          <w:sz w:val="17"/>
          <w:szCs w:val="17"/>
          <w:color w:val="auto"/>
        </w:rPr>
        <w:t>utilize the Loan for the purposes provided for hereunder;</w:t>
      </w:r>
    </w:p>
    <w:p>
      <w:pPr>
        <w:spacing w:after="0" w:line="224" w:lineRule="exact"/>
        <w:rPr>
          <w:rFonts w:ascii="Arial" w:cs="Arial" w:eastAsia="Arial" w:hAnsi="Arial"/>
          <w:sz w:val="17"/>
          <w:szCs w:val="17"/>
          <w:color w:val="auto"/>
        </w:rPr>
      </w:pPr>
    </w:p>
    <w:p>
      <w:pPr>
        <w:ind w:left="1415" w:hanging="337"/>
        <w:spacing w:after="0"/>
        <w:tabs>
          <w:tab w:leader="none" w:pos="1415" w:val="left"/>
        </w:tabs>
        <w:numPr>
          <w:ilvl w:val="1"/>
          <w:numId w:val="746"/>
        </w:numPr>
        <w:rPr>
          <w:rFonts w:ascii="Arial" w:cs="Arial" w:eastAsia="Arial" w:hAnsi="Arial"/>
          <w:sz w:val="17"/>
          <w:szCs w:val="17"/>
          <w:color w:val="auto"/>
        </w:rPr>
      </w:pPr>
      <w:r>
        <w:rPr>
          <w:rFonts w:ascii="Arial" w:cs="Arial" w:eastAsia="Arial" w:hAnsi="Arial"/>
          <w:sz w:val="17"/>
          <w:szCs w:val="17"/>
          <w:color w:val="auto"/>
        </w:rPr>
        <w:t>apply to Party B for extension of the Term hereunder provided that it has satisfied all the conditions as Party B requests;</w:t>
      </w:r>
    </w:p>
    <w:p>
      <w:pPr>
        <w:spacing w:after="0" w:line="224" w:lineRule="exact"/>
        <w:rPr>
          <w:rFonts w:ascii="Arial" w:cs="Arial" w:eastAsia="Arial" w:hAnsi="Arial"/>
          <w:sz w:val="17"/>
          <w:szCs w:val="17"/>
          <w:color w:val="auto"/>
        </w:rPr>
      </w:pPr>
    </w:p>
    <w:p>
      <w:pPr>
        <w:ind w:left="1415" w:right="120" w:hanging="337"/>
        <w:spacing w:after="0" w:line="273" w:lineRule="auto"/>
        <w:tabs>
          <w:tab w:leader="none" w:pos="1423" w:val="left"/>
        </w:tabs>
        <w:numPr>
          <w:ilvl w:val="1"/>
          <w:numId w:val="746"/>
        </w:numPr>
        <w:rPr>
          <w:rFonts w:ascii="Arial" w:cs="Arial" w:eastAsia="Arial" w:hAnsi="Arial"/>
          <w:sz w:val="17"/>
          <w:szCs w:val="17"/>
          <w:color w:val="auto"/>
        </w:rPr>
      </w:pPr>
      <w:r>
        <w:rPr>
          <w:rFonts w:ascii="Arial" w:cs="Arial" w:eastAsia="Arial" w:hAnsi="Arial"/>
          <w:sz w:val="17"/>
          <w:szCs w:val="17"/>
          <w:color w:val="auto"/>
        </w:rPr>
        <w:t>require Party B to keep confidential the relevant financial information and manufacturing and operating trade secrets furnished by Party A except provided otherwise by law, regulations and rules, or required otherwise by the competent authorities, or agreed otherwise between the both parties hereto;</w:t>
      </w:r>
    </w:p>
    <w:p>
      <w:pPr>
        <w:spacing w:after="0" w:line="171" w:lineRule="exact"/>
        <w:rPr>
          <w:rFonts w:ascii="Arial" w:cs="Arial" w:eastAsia="Arial" w:hAnsi="Arial"/>
          <w:sz w:val="17"/>
          <w:szCs w:val="17"/>
          <w:color w:val="auto"/>
        </w:rPr>
      </w:pPr>
    </w:p>
    <w:p>
      <w:pPr>
        <w:ind w:left="1395" w:right="40" w:hanging="321"/>
        <w:spacing w:after="0" w:line="322" w:lineRule="auto"/>
        <w:tabs>
          <w:tab w:leader="none" w:pos="1401" w:val="left"/>
        </w:tabs>
        <w:numPr>
          <w:ilvl w:val="1"/>
          <w:numId w:val="746"/>
        </w:numPr>
        <w:rPr>
          <w:rFonts w:ascii="Arial" w:cs="Arial" w:eastAsia="Arial" w:hAnsi="Arial"/>
          <w:sz w:val="16"/>
          <w:szCs w:val="16"/>
          <w:color w:val="auto"/>
        </w:rPr>
      </w:pPr>
      <w:r>
        <w:rPr>
          <w:rFonts w:ascii="Arial" w:cs="Arial" w:eastAsia="Arial" w:hAnsi="Arial"/>
          <w:sz w:val="16"/>
          <w:szCs w:val="16"/>
          <w:color w:val="auto"/>
        </w:rPr>
        <w:t>reject Party B or its employees asking for bribe; it shall have the right to lodge complaint with the competent authority about such misconduct and any other act of Party B that may violate the laws and regulations relating to the lending interest rate and service charges.</w:t>
      </w:r>
    </w:p>
    <w:p>
      <w:pPr>
        <w:spacing w:after="0" w:line="136" w:lineRule="exact"/>
        <w:rPr>
          <w:sz w:val="20"/>
          <w:szCs w:val="20"/>
          <w:color w:val="auto"/>
        </w:rPr>
      </w:pPr>
    </w:p>
    <w:p>
      <w:pPr>
        <w:ind w:left="635"/>
        <w:spacing w:after="0"/>
        <w:rPr>
          <w:sz w:val="20"/>
          <w:szCs w:val="20"/>
          <w:color w:val="auto"/>
        </w:rPr>
      </w:pPr>
      <w:r>
        <w:rPr>
          <w:rFonts w:ascii="Arial" w:cs="Arial" w:eastAsia="Arial" w:hAnsi="Arial"/>
          <w:sz w:val="17"/>
          <w:szCs w:val="17"/>
          <w:color w:val="auto"/>
        </w:rPr>
        <w:t>8.2 Party A’s Obligations</w:t>
      </w:r>
    </w:p>
    <w:p>
      <w:pPr>
        <w:sectPr>
          <w:pgSz w:w="11900" w:h="16838" w:orient="portrait"/>
          <w:cols w:equalWidth="0" w:num="1">
            <w:col w:w="11375"/>
          </w:cols>
          <w:pgMar w:left="245" w:top="127" w:right="279" w:bottom="0" w:gutter="0" w:footer="0" w:header="0"/>
        </w:sectPr>
      </w:pPr>
    </w:p>
    <w:bookmarkStart w:id="434" w:name="page435"/>
    <w:bookmarkEnd w:id="434"/>
    <w:p>
      <w:pPr>
        <w:ind w:left="1540" w:right="520" w:hanging="457"/>
        <w:spacing w:after="0" w:line="289" w:lineRule="auto"/>
        <w:tabs>
          <w:tab w:leader="none" w:pos="1548" w:val="left"/>
        </w:tabs>
        <w:numPr>
          <w:ilvl w:val="0"/>
          <w:numId w:val="747"/>
        </w:numPr>
        <w:rPr>
          <w:rFonts w:ascii="Arial" w:cs="Arial" w:eastAsia="Arial" w:hAnsi="Arial"/>
          <w:sz w:val="17"/>
          <w:szCs w:val="17"/>
          <w:color w:val="auto"/>
        </w:rPr>
      </w:pPr>
      <w:r>
        <w:rPr>
          <w:rFonts w:ascii="Arial" w:cs="Arial" w:eastAsia="Arial" w:hAnsi="Arial"/>
          <w:sz w:val="17"/>
          <w:szCs w:val="17"/>
          <w:color w:val="auto"/>
        </w:rPr>
        <w:t>Party A shall draw the Loan and repay the principal and interest in full as provided herein, and bear the expenses and fees as provided herein;</w:t>
      </w:r>
    </w:p>
    <w:p>
      <w:pPr>
        <w:spacing w:after="0" w:line="158" w:lineRule="exact"/>
        <w:rPr>
          <w:rFonts w:ascii="Arial" w:cs="Arial" w:eastAsia="Arial" w:hAnsi="Arial"/>
          <w:sz w:val="17"/>
          <w:szCs w:val="17"/>
          <w:color w:val="auto"/>
        </w:rPr>
      </w:pPr>
    </w:p>
    <w:p>
      <w:pPr>
        <w:ind w:left="1540" w:right="60" w:hanging="457"/>
        <w:spacing w:after="0" w:line="263" w:lineRule="auto"/>
        <w:tabs>
          <w:tab w:leader="none" w:pos="1548" w:val="left"/>
        </w:tabs>
        <w:numPr>
          <w:ilvl w:val="0"/>
          <w:numId w:val="747"/>
        </w:numPr>
        <w:rPr>
          <w:rFonts w:ascii="Arial" w:cs="Arial" w:eastAsia="Arial" w:hAnsi="Arial"/>
          <w:sz w:val="17"/>
          <w:szCs w:val="17"/>
          <w:color w:val="auto"/>
        </w:rPr>
      </w:pPr>
      <w:r>
        <w:rPr>
          <w:rFonts w:ascii="Arial" w:cs="Arial" w:eastAsia="Arial" w:hAnsi="Arial"/>
          <w:sz w:val="17"/>
          <w:szCs w:val="17"/>
          <w:color w:val="auto"/>
        </w:rPr>
        <w:t>Party A shall provide its financial, accounting as well as manufacturing and operating information and other materials as the Party B may request, and among other things, on or before the TWENTY working day of the first month of each quarter, Party A shall provide to Party B with the balance sheet and the profit and loss statement (or the income and expenditure statement, if Party A is a public institution) up to the end of the preceding quarter, and shall provide the cash flow statement at the end of each year in a timely fashion. Party A shall be responsible for the legality, truthfulness, accuracy, completeness and validity of the information it provides, and shall not provide false information or conceal material facts with respect to its financial and operation status;</w:t>
      </w:r>
    </w:p>
    <w:p>
      <w:pPr>
        <w:spacing w:after="0" w:line="183" w:lineRule="exact"/>
        <w:rPr>
          <w:rFonts w:ascii="Arial" w:cs="Arial" w:eastAsia="Arial" w:hAnsi="Arial"/>
          <w:sz w:val="17"/>
          <w:szCs w:val="17"/>
          <w:color w:val="auto"/>
        </w:rPr>
      </w:pPr>
    </w:p>
    <w:p>
      <w:pPr>
        <w:ind w:left="1540" w:right="100" w:hanging="457"/>
        <w:spacing w:after="0" w:line="290" w:lineRule="auto"/>
        <w:tabs>
          <w:tab w:leader="none" w:pos="1548" w:val="left"/>
        </w:tabs>
        <w:numPr>
          <w:ilvl w:val="0"/>
          <w:numId w:val="747"/>
        </w:numPr>
        <w:rPr>
          <w:rFonts w:ascii="Arial" w:cs="Arial" w:eastAsia="Arial" w:hAnsi="Arial"/>
          <w:sz w:val="16"/>
          <w:szCs w:val="16"/>
          <w:color w:val="auto"/>
        </w:rPr>
      </w:pPr>
      <w:r>
        <w:rPr>
          <w:rFonts w:ascii="Arial" w:cs="Arial" w:eastAsia="Arial" w:hAnsi="Arial"/>
          <w:sz w:val="16"/>
          <w:szCs w:val="16"/>
          <w:color w:val="auto"/>
        </w:rPr>
        <w:t>In case of any change in Party A’s name, legal representative (or principal officer), registered address, business scope, registered capital, articles of association or any other registration with local industrial and commercial authority, or there arises any circumstances that may adversely affect Party A’s capability to repay the indebtedness or may endanger Party B’s rights as a creditor, Party A shall notify Party B in writing of the same with relevant documents together with such notification evidencing the changes within 3 working days thereafter;</w:t>
      </w:r>
    </w:p>
    <w:p>
      <w:pPr>
        <w:spacing w:after="0" w:line="159" w:lineRule="exact"/>
        <w:rPr>
          <w:rFonts w:ascii="Arial" w:cs="Arial" w:eastAsia="Arial" w:hAnsi="Arial"/>
          <w:sz w:val="16"/>
          <w:szCs w:val="16"/>
          <w:color w:val="auto"/>
        </w:rPr>
      </w:pPr>
    </w:p>
    <w:p>
      <w:pPr>
        <w:ind w:left="1540" w:right="140" w:hanging="457"/>
        <w:spacing w:after="0" w:line="298" w:lineRule="auto"/>
        <w:tabs>
          <w:tab w:leader="none" w:pos="1548" w:val="left"/>
        </w:tabs>
        <w:numPr>
          <w:ilvl w:val="0"/>
          <w:numId w:val="747"/>
        </w:numPr>
        <w:rPr>
          <w:rFonts w:ascii="Arial" w:cs="Arial" w:eastAsia="Arial" w:hAnsi="Arial"/>
          <w:sz w:val="16"/>
          <w:szCs w:val="16"/>
          <w:color w:val="auto"/>
        </w:rPr>
      </w:pPr>
      <w:r>
        <w:rPr>
          <w:rFonts w:ascii="Arial" w:cs="Arial" w:eastAsia="Arial" w:hAnsi="Arial"/>
          <w:sz w:val="16"/>
          <w:szCs w:val="16"/>
          <w:color w:val="auto"/>
        </w:rPr>
        <w:t>Party A shall utilize the Loan in accordance with the purposes as provided herein, and shall not misappropriate the Loan or utilize the Loan to carry out any transactions in violation of the laws and regulations, nor for investments in fixed assets, or equity or other areas, nor for production or operations prohibited by the state, nor for repaying the indebtedness incurred as a result of Party A’s investments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560" w:right="80"/>
        <w:spacing w:after="0" w:line="281" w:lineRule="auto"/>
        <w:rPr>
          <w:sz w:val="20"/>
          <w:szCs w:val="20"/>
          <w:color w:val="auto"/>
        </w:rPr>
      </w:pPr>
      <w:r>
        <w:rPr>
          <w:rFonts w:ascii="Arial" w:cs="Arial" w:eastAsia="Arial" w:hAnsi="Arial"/>
          <w:sz w:val="16"/>
          <w:szCs w:val="16"/>
          <w:color w:val="auto"/>
        </w:rPr>
        <w:t>in fixed assets or equity etc.; Party A shall cooperate with Party B in its inspection of Party A’s manufacturing, operating and financial activities and utilization of the Loan herein, and shall be subject to the requirements of Party B relating to loan management; Party A shall not try to evade its repayment obligations owing to Party B by means of withdrawing capital it has injected, transferring assets or entering into related-party transactions. Further, Party A shall not attempt to obtain loans or credit facilities from Party B by using dummy contracts with its related parties or by pledging such rights as notes receivable or accounts receivable without actual underlying transactions or by applying to Party B for discounting the same; Party A shall be in compliance with the provisions relating to means of payment and shall not evade Entrusted Payment by way of dividing a larger-amount payment into payments in smaller amounts;</w:t>
      </w:r>
    </w:p>
    <w:p>
      <w:pPr>
        <w:spacing w:after="0" w:line="170" w:lineRule="exact"/>
        <w:rPr>
          <w:sz w:val="20"/>
          <w:szCs w:val="20"/>
          <w:color w:val="auto"/>
        </w:rPr>
      </w:pPr>
    </w:p>
    <w:p>
      <w:pPr>
        <w:ind w:left="1480" w:right="200" w:hanging="397"/>
        <w:spacing w:after="0" w:line="289" w:lineRule="auto"/>
        <w:tabs>
          <w:tab w:leader="none" w:pos="1511" w:val="left"/>
        </w:tabs>
        <w:numPr>
          <w:ilvl w:val="1"/>
          <w:numId w:val="748"/>
        </w:numPr>
        <w:rPr>
          <w:rFonts w:ascii="Arial" w:cs="Arial" w:eastAsia="Arial" w:hAnsi="Arial"/>
          <w:sz w:val="17"/>
          <w:szCs w:val="17"/>
          <w:color w:val="auto"/>
        </w:rPr>
      </w:pPr>
      <w:r>
        <w:rPr>
          <w:rFonts w:ascii="Arial" w:cs="Arial" w:eastAsia="Arial" w:hAnsi="Arial"/>
          <w:sz w:val="17"/>
          <w:szCs w:val="17"/>
          <w:color w:val="auto"/>
        </w:rPr>
        <w:t>Party A shall comply with the regulations relating to environmental protection, if the Loan hereunder shall be utilized for manufacturing or project construction;</w:t>
      </w:r>
    </w:p>
    <w:p>
      <w:pPr>
        <w:spacing w:after="0" w:line="158" w:lineRule="exact"/>
        <w:rPr>
          <w:rFonts w:ascii="Arial" w:cs="Arial" w:eastAsia="Arial" w:hAnsi="Arial"/>
          <w:sz w:val="17"/>
          <w:szCs w:val="17"/>
          <w:color w:val="auto"/>
        </w:rPr>
      </w:pPr>
    </w:p>
    <w:p>
      <w:pPr>
        <w:ind w:left="1480" w:right="60" w:hanging="397"/>
        <w:spacing w:after="0" w:line="289" w:lineRule="auto"/>
        <w:tabs>
          <w:tab w:leader="none" w:pos="1511" w:val="left"/>
        </w:tabs>
        <w:numPr>
          <w:ilvl w:val="1"/>
          <w:numId w:val="748"/>
        </w:numPr>
        <w:rPr>
          <w:rFonts w:ascii="Arial" w:cs="Arial" w:eastAsia="Arial" w:hAnsi="Arial"/>
          <w:sz w:val="17"/>
          <w:szCs w:val="17"/>
          <w:color w:val="auto"/>
        </w:rPr>
      </w:pPr>
      <w:r>
        <w:rPr>
          <w:rFonts w:ascii="Arial" w:cs="Arial" w:eastAsia="Arial" w:hAnsi="Arial"/>
          <w:sz w:val="17"/>
          <w:szCs w:val="17"/>
          <w:color w:val="auto"/>
        </w:rPr>
        <w:t>Without Party B’s consent, Party A shall not mortgage or pledge any assets acquired by utilizing the Loan hereunder for the benefit of a third party before full repayment of the principals and interest accrued thereon;</w:t>
      </w:r>
    </w:p>
    <w:p>
      <w:pPr>
        <w:spacing w:after="0" w:line="158" w:lineRule="exact"/>
        <w:rPr>
          <w:rFonts w:ascii="Arial" w:cs="Arial" w:eastAsia="Arial" w:hAnsi="Arial"/>
          <w:sz w:val="17"/>
          <w:szCs w:val="17"/>
          <w:color w:val="auto"/>
        </w:rPr>
      </w:pPr>
    </w:p>
    <w:p>
      <w:pPr>
        <w:ind w:left="1480" w:right="140" w:hanging="397"/>
        <w:spacing w:after="0" w:line="298" w:lineRule="auto"/>
        <w:tabs>
          <w:tab w:leader="none" w:pos="1511" w:val="left"/>
        </w:tabs>
        <w:numPr>
          <w:ilvl w:val="1"/>
          <w:numId w:val="748"/>
        </w:numPr>
        <w:rPr>
          <w:rFonts w:ascii="Arial" w:cs="Arial" w:eastAsia="Arial" w:hAnsi="Arial"/>
          <w:sz w:val="16"/>
          <w:szCs w:val="16"/>
          <w:color w:val="auto"/>
        </w:rPr>
      </w:pPr>
      <w:r>
        <w:rPr>
          <w:rFonts w:ascii="Arial" w:cs="Arial" w:eastAsia="Arial" w:hAnsi="Arial"/>
          <w:sz w:val="16"/>
          <w:szCs w:val="16"/>
          <w:color w:val="auto"/>
        </w:rPr>
        <w:t>If Party A qualifies as a group customer, it shall promptly report to Party B any related-party transactions involving more than 10% of Party A’s net assets, including (i) the relationship among all the parties to such transaction; (ii) the transaction and its nature; (iii) the transaction amount or the relevant ratio; and (iv) pricing policy (also applicable to the transactions with no price or merely nominal price);</w:t>
      </w:r>
    </w:p>
    <w:p>
      <w:pPr>
        <w:spacing w:after="0" w:line="153" w:lineRule="exact"/>
        <w:rPr>
          <w:rFonts w:ascii="Arial" w:cs="Arial" w:eastAsia="Arial" w:hAnsi="Arial"/>
          <w:sz w:val="16"/>
          <w:szCs w:val="16"/>
          <w:color w:val="auto"/>
        </w:rPr>
      </w:pPr>
    </w:p>
    <w:p>
      <w:pPr>
        <w:jc w:val="both"/>
        <w:ind w:left="1480" w:hanging="397"/>
        <w:spacing w:after="0" w:line="298" w:lineRule="auto"/>
        <w:tabs>
          <w:tab w:leader="none" w:pos="1511" w:val="left"/>
        </w:tabs>
        <w:numPr>
          <w:ilvl w:val="1"/>
          <w:numId w:val="748"/>
        </w:numPr>
        <w:rPr>
          <w:rFonts w:ascii="Arial" w:cs="Arial" w:eastAsia="Arial" w:hAnsi="Arial"/>
          <w:sz w:val="16"/>
          <w:szCs w:val="16"/>
          <w:color w:val="auto"/>
        </w:rPr>
      </w:pPr>
      <w:r>
        <w:rPr>
          <w:rFonts w:ascii="Arial" w:cs="Arial" w:eastAsia="Arial" w:hAnsi="Arial"/>
          <w:sz w:val="16"/>
          <w:szCs w:val="16"/>
          <w:color w:val="auto"/>
        </w:rPr>
        <w:t>Party A shall not carry out merger, split-up, transfer of shares, outward investment, substantial increase of debt financing or other activities of importance without Party B’s prior written consent. For the avoidance of doubt, such consent shall not impair Party B’s rights to take remedial measures if Party B determines at a later time that such activities of Party A may endanger Party B’s rights as a creditor;</w:t>
      </w:r>
    </w:p>
    <w:p>
      <w:pPr>
        <w:spacing w:after="0" w:line="153" w:lineRule="exact"/>
        <w:rPr>
          <w:rFonts w:ascii="Arial" w:cs="Arial" w:eastAsia="Arial" w:hAnsi="Arial"/>
          <w:sz w:val="16"/>
          <w:szCs w:val="16"/>
          <w:color w:val="auto"/>
        </w:rPr>
      </w:pPr>
    </w:p>
    <w:p>
      <w:pPr>
        <w:jc w:val="both"/>
        <w:ind w:left="1480" w:right="380" w:hanging="397"/>
        <w:spacing w:after="0" w:line="268" w:lineRule="auto"/>
        <w:tabs>
          <w:tab w:leader="none" w:pos="1509" w:val="left"/>
        </w:tabs>
        <w:numPr>
          <w:ilvl w:val="1"/>
          <w:numId w:val="748"/>
        </w:numPr>
        <w:rPr>
          <w:rFonts w:ascii="Arial" w:cs="Arial" w:eastAsia="Arial" w:hAnsi="Arial"/>
          <w:sz w:val="17"/>
          <w:szCs w:val="17"/>
          <w:color w:val="auto"/>
        </w:rPr>
      </w:pPr>
      <w:r>
        <w:rPr>
          <w:rFonts w:ascii="Arial" w:cs="Arial" w:eastAsia="Arial" w:hAnsi="Arial"/>
          <w:sz w:val="17"/>
          <w:szCs w:val="17"/>
          <w:color w:val="auto"/>
        </w:rPr>
        <w:t>In the case of payment at Party A’s own initiative, Party A shall submit reports to Party B on the use and payment of loan amounts on a monthly basis. Party A shall submit such report for the immediately preceding month within the first TEN working days of each month, together with a list of actual uses of loan amounts, until the date of repayment of all the loan. Such report shall be in the form attached in Schedule 4.</w:t>
      </w:r>
    </w:p>
    <w:p>
      <w:pPr>
        <w:spacing w:after="0" w:line="169" w:lineRule="exact"/>
        <w:rPr>
          <w:rFonts w:ascii="Arial" w:cs="Arial" w:eastAsia="Arial" w:hAnsi="Arial"/>
          <w:sz w:val="17"/>
          <w:szCs w:val="17"/>
          <w:color w:val="auto"/>
        </w:rPr>
      </w:pPr>
    </w:p>
    <w:p>
      <w:pPr>
        <w:ind w:left="640" w:hanging="635"/>
        <w:spacing w:after="0"/>
        <w:tabs>
          <w:tab w:leader="none" w:pos="640" w:val="left"/>
        </w:tabs>
        <w:numPr>
          <w:ilvl w:val="0"/>
          <w:numId w:val="749"/>
        </w:numPr>
        <w:rPr>
          <w:rFonts w:ascii="Arial" w:cs="Arial" w:eastAsia="Arial" w:hAnsi="Arial"/>
          <w:sz w:val="17"/>
          <w:szCs w:val="17"/>
          <w:b w:val="1"/>
          <w:bCs w:val="1"/>
          <w:color w:val="auto"/>
        </w:rPr>
      </w:pPr>
      <w:r>
        <w:rPr>
          <w:rFonts w:ascii="Arial" w:cs="Arial" w:eastAsia="Arial" w:hAnsi="Arial"/>
          <w:sz w:val="17"/>
          <w:szCs w:val="17"/>
          <w:b w:val="1"/>
          <w:bCs w:val="1"/>
          <w:color w:val="auto"/>
        </w:rPr>
        <w:t>PARTY B’S RIGHTS AND OBLIGATIONS</w:t>
      </w:r>
    </w:p>
    <w:p>
      <w:pPr>
        <w:spacing w:after="0" w:line="230" w:lineRule="exact"/>
        <w:rPr>
          <w:rFonts w:ascii="Arial" w:cs="Arial" w:eastAsia="Arial" w:hAnsi="Arial"/>
          <w:sz w:val="17"/>
          <w:szCs w:val="17"/>
          <w:b w:val="1"/>
          <w:bCs w:val="1"/>
          <w:color w:val="auto"/>
        </w:rPr>
      </w:pPr>
    </w:p>
    <w:p>
      <w:pPr>
        <w:ind w:left="1180" w:right="140" w:hanging="554"/>
        <w:spacing w:after="0" w:line="268" w:lineRule="auto"/>
        <w:rPr>
          <w:rFonts w:ascii="Arial" w:cs="Arial" w:eastAsia="Arial" w:hAnsi="Arial"/>
          <w:sz w:val="17"/>
          <w:szCs w:val="17"/>
          <w:b w:val="1"/>
          <w:bCs w:val="1"/>
          <w:color w:val="auto"/>
        </w:rPr>
      </w:pPr>
      <w:r>
        <w:rPr>
          <w:rFonts w:ascii="Arial" w:cs="Arial" w:eastAsia="Arial" w:hAnsi="Arial"/>
          <w:sz w:val="17"/>
          <w:szCs w:val="17"/>
          <w:color w:val="auto"/>
        </w:rPr>
        <w:t>9.1Party B is entitled to request Party A to repay the principal, interest accrued thereon and expenses when due, to manage and control the payment of loan amounts, to monitor on a real-time basis overall cash flows of Party A and to accelerate the maturity of the loan considering the status of collection of sale proceeds of Party A. Party B may exercise any other rights hereunder and demand Party A to perform any other obligations hereunder.</w:t>
      </w:r>
    </w:p>
    <w:p>
      <w:pPr>
        <w:spacing w:after="0" w:line="175" w:lineRule="exact"/>
        <w:rPr>
          <w:rFonts w:ascii="Arial" w:cs="Arial" w:eastAsia="Arial" w:hAnsi="Arial"/>
          <w:sz w:val="17"/>
          <w:szCs w:val="17"/>
          <w:b w:val="1"/>
          <w:bCs w:val="1"/>
          <w:color w:val="auto"/>
        </w:rPr>
      </w:pPr>
    </w:p>
    <w:p>
      <w:pPr>
        <w:ind w:left="1180" w:right="80" w:hanging="554"/>
        <w:spacing w:after="0" w:line="289" w:lineRule="auto"/>
        <w:rPr>
          <w:rFonts w:ascii="Arial" w:cs="Arial" w:eastAsia="Arial" w:hAnsi="Arial"/>
          <w:sz w:val="17"/>
          <w:szCs w:val="17"/>
          <w:b w:val="1"/>
          <w:bCs w:val="1"/>
          <w:color w:val="auto"/>
        </w:rPr>
      </w:pPr>
      <w:r>
        <w:rPr>
          <w:rFonts w:ascii="Arial" w:cs="Arial" w:eastAsia="Arial" w:hAnsi="Arial"/>
          <w:sz w:val="17"/>
          <w:szCs w:val="17"/>
          <w:color w:val="auto"/>
        </w:rPr>
        <w:t>9.2Party B is entitled to engage in Party A’s large-amount financing (The total amount of such financing shall be more than RMB SEVENTY-FOUR MILLION or Foreign Exchange equivalent) , sale of assets, merger, split-up,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0"/>
        <w:spacing w:after="0" w:line="289" w:lineRule="auto"/>
        <w:rPr>
          <w:sz w:val="20"/>
          <w:szCs w:val="20"/>
          <w:color w:val="auto"/>
        </w:rPr>
      </w:pPr>
      <w:r>
        <w:rPr>
          <w:rFonts w:ascii="Arial" w:cs="Arial" w:eastAsia="Arial" w:hAnsi="Arial"/>
          <w:sz w:val="17"/>
          <w:szCs w:val="17"/>
          <w:color w:val="auto"/>
        </w:rPr>
        <w:t>stock-company restructuring, bankruptcy, liquidation and other activities for the purpose of protecting Party B’s rights. The way(s) of engagement shall be (1) (multiple choices are allowed)</w:t>
      </w:r>
    </w:p>
    <w:p>
      <w:pPr>
        <w:spacing w:after="0" w:line="158" w:lineRule="exact"/>
        <w:rPr>
          <w:sz w:val="20"/>
          <w:szCs w:val="20"/>
          <w:color w:val="auto"/>
        </w:rPr>
      </w:pPr>
    </w:p>
    <w:p>
      <w:pPr>
        <w:ind w:left="1440" w:hanging="240"/>
        <w:spacing w:after="0"/>
        <w:tabs>
          <w:tab w:leader="none" w:pos="1440" w:val="left"/>
        </w:tabs>
        <w:numPr>
          <w:ilvl w:val="0"/>
          <w:numId w:val="750"/>
        </w:numPr>
        <w:rPr>
          <w:rFonts w:ascii="Arial" w:cs="Arial" w:eastAsia="Arial" w:hAnsi="Arial"/>
          <w:sz w:val="17"/>
          <w:szCs w:val="17"/>
          <w:color w:val="auto"/>
        </w:rPr>
      </w:pPr>
      <w:r>
        <w:rPr>
          <w:rFonts w:ascii="Arial" w:cs="Arial" w:eastAsia="Arial" w:hAnsi="Arial"/>
          <w:sz w:val="17"/>
          <w:szCs w:val="17"/>
          <w:color w:val="auto"/>
        </w:rPr>
        <w:t>Party A shall seek Party B’s prior written consent before carrying out any of the above activities;</w:t>
      </w:r>
    </w:p>
    <w:p>
      <w:pPr>
        <w:spacing w:after="0" w:line="224" w:lineRule="exact"/>
        <w:rPr>
          <w:rFonts w:ascii="Arial" w:cs="Arial" w:eastAsia="Arial" w:hAnsi="Arial"/>
          <w:sz w:val="17"/>
          <w:szCs w:val="17"/>
          <w:color w:val="auto"/>
        </w:rPr>
      </w:pPr>
    </w:p>
    <w:p>
      <w:pPr>
        <w:ind w:left="1440" w:hanging="240"/>
        <w:spacing w:after="0"/>
        <w:tabs>
          <w:tab w:leader="none" w:pos="1440" w:val="left"/>
        </w:tabs>
        <w:numPr>
          <w:ilvl w:val="0"/>
          <w:numId w:val="750"/>
        </w:numPr>
        <w:rPr>
          <w:rFonts w:ascii="Arial" w:cs="Arial" w:eastAsia="Arial" w:hAnsi="Arial"/>
          <w:sz w:val="17"/>
          <w:szCs w:val="17"/>
          <w:color w:val="auto"/>
        </w:rPr>
      </w:pPr>
      <w:r>
        <w:rPr>
          <w:rFonts w:ascii="Arial" w:cs="Arial" w:eastAsia="Arial" w:hAnsi="Arial"/>
          <w:sz w:val="17"/>
          <w:szCs w:val="17"/>
          <w:color w:val="auto"/>
        </w:rPr>
        <w:t>Party B is entitled to arrange for Party A’s large-amount financings;</w:t>
      </w:r>
    </w:p>
    <w:p>
      <w:pPr>
        <w:spacing w:after="0" w:line="224" w:lineRule="exact"/>
        <w:rPr>
          <w:rFonts w:ascii="Arial" w:cs="Arial" w:eastAsia="Arial" w:hAnsi="Arial"/>
          <w:sz w:val="17"/>
          <w:szCs w:val="17"/>
          <w:color w:val="auto"/>
        </w:rPr>
      </w:pPr>
    </w:p>
    <w:p>
      <w:pPr>
        <w:ind w:left="1440" w:hanging="240"/>
        <w:spacing w:after="0"/>
        <w:tabs>
          <w:tab w:leader="none" w:pos="1440" w:val="left"/>
        </w:tabs>
        <w:numPr>
          <w:ilvl w:val="0"/>
          <w:numId w:val="750"/>
        </w:numPr>
        <w:rPr>
          <w:rFonts w:ascii="Arial" w:cs="Arial" w:eastAsia="Arial" w:hAnsi="Arial"/>
          <w:sz w:val="17"/>
          <w:szCs w:val="17"/>
          <w:color w:val="auto"/>
        </w:rPr>
      </w:pPr>
      <w:r>
        <w:rPr>
          <w:rFonts w:ascii="Arial" w:cs="Arial" w:eastAsia="Arial" w:hAnsi="Arial"/>
          <w:sz w:val="17"/>
          <w:szCs w:val="17"/>
          <w:color w:val="auto"/>
        </w:rPr>
        <w:t>the sale price and buyer of the assets shall be in compliance with the following: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7" w:right="239" w:bottom="89" w:gutter="0" w:footer="0" w:header="0"/>
        </w:sectPr>
      </w:pPr>
    </w:p>
    <w:bookmarkStart w:id="435" w:name="page436"/>
    <w:bookmarkEnd w:id="435"/>
    <w:p>
      <w:pPr>
        <w:ind w:left="1195"/>
        <w:spacing w:after="0"/>
        <w:rPr>
          <w:sz w:val="20"/>
          <w:szCs w:val="20"/>
          <w:color w:val="auto"/>
        </w:rPr>
      </w:pPr>
      <w:r>
        <w:rPr>
          <w:rFonts w:ascii="Arial" w:cs="Arial" w:eastAsia="Arial" w:hAnsi="Arial"/>
          <w:sz w:val="17"/>
          <w:szCs w:val="17"/>
          <w:color w:val="auto"/>
        </w:rPr>
        <w:t>(5) other ways Party B deems fit.</w:t>
      </w:r>
    </w:p>
    <w:p>
      <w:pPr>
        <w:spacing w:after="0" w:line="224" w:lineRule="exact"/>
        <w:rPr>
          <w:sz w:val="20"/>
          <w:szCs w:val="20"/>
          <w:color w:val="auto"/>
        </w:rPr>
      </w:pPr>
    </w:p>
    <w:p>
      <w:pPr>
        <w:ind w:left="1175" w:right="140" w:hanging="550"/>
        <w:spacing w:after="0" w:line="289" w:lineRule="auto"/>
        <w:tabs>
          <w:tab w:leader="none" w:pos="1155"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7"/>
          <w:szCs w:val="17"/>
          <w:color w:val="auto"/>
        </w:rPr>
        <w:t>Party B shall advance the Loan as provided herein unless the delay or failure in advancing the Loan is caused by any reason attributable to Party A or any other reason that can not be attributed to Party B.</w:t>
      </w:r>
    </w:p>
    <w:p>
      <w:pPr>
        <w:spacing w:after="0" w:line="158" w:lineRule="exact"/>
        <w:rPr>
          <w:sz w:val="20"/>
          <w:szCs w:val="20"/>
          <w:color w:val="auto"/>
        </w:rPr>
      </w:pPr>
    </w:p>
    <w:p>
      <w:pPr>
        <w:ind w:left="1175" w:right="480" w:hanging="550"/>
        <w:spacing w:after="0" w:line="360" w:lineRule="auto"/>
        <w:tabs>
          <w:tab w:leader="none" w:pos="1155"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5"/>
          <w:szCs w:val="15"/>
          <w:color w:val="auto"/>
        </w:rPr>
        <w:t>Party B shall keep confidential the relevant financial documents and manufacturing and operating trade secrets furnished by Party A except otherwise provided by the laws, regulations and rules, or required by the competent authorities, or agreed between the parties hereto.</w:t>
      </w:r>
    </w:p>
    <w:p>
      <w:pPr>
        <w:spacing w:after="0" w:line="112" w:lineRule="exact"/>
        <w:rPr>
          <w:sz w:val="20"/>
          <w:szCs w:val="20"/>
          <w:color w:val="auto"/>
        </w:rPr>
      </w:pPr>
    </w:p>
    <w:p>
      <w:pPr>
        <w:ind w:left="635"/>
        <w:spacing w:after="0"/>
        <w:tabs>
          <w:tab w:leader="none" w:pos="1075" w:val="left"/>
        </w:tabs>
        <w:rPr>
          <w:sz w:val="20"/>
          <w:szCs w:val="20"/>
          <w:color w:val="auto"/>
        </w:rPr>
      </w:pPr>
      <w:r>
        <w:rPr>
          <w:rFonts w:ascii="Arial" w:cs="Arial" w:eastAsia="Arial" w:hAnsi="Arial"/>
          <w:sz w:val="17"/>
          <w:szCs w:val="17"/>
          <w:color w:val="auto"/>
        </w:rPr>
        <w:t>9.5</w:t>
      </w:r>
      <w:r>
        <w:rPr>
          <w:sz w:val="20"/>
          <w:szCs w:val="20"/>
          <w:color w:val="auto"/>
        </w:rPr>
        <w:tab/>
      </w:r>
      <w:r>
        <w:rPr>
          <w:rFonts w:ascii="Arial" w:cs="Arial" w:eastAsia="Arial" w:hAnsi="Arial"/>
          <w:sz w:val="15"/>
          <w:szCs w:val="15"/>
          <w:color w:val="auto"/>
        </w:rPr>
        <w:t>Party B shall not bribe Party A or its employees, nor request any bribe or accept any bribe offered by Party A.</w:t>
      </w:r>
    </w:p>
    <w:p>
      <w:pPr>
        <w:spacing w:after="0" w:line="224" w:lineRule="exact"/>
        <w:rPr>
          <w:sz w:val="20"/>
          <w:szCs w:val="20"/>
          <w:color w:val="auto"/>
        </w:rPr>
      </w:pPr>
    </w:p>
    <w:p>
      <w:pPr>
        <w:ind w:left="635"/>
        <w:spacing w:after="0"/>
        <w:tabs>
          <w:tab w:leader="none" w:pos="1075" w:val="left"/>
        </w:tabs>
        <w:rPr>
          <w:sz w:val="20"/>
          <w:szCs w:val="20"/>
          <w:color w:val="auto"/>
        </w:rPr>
      </w:pPr>
      <w:r>
        <w:rPr>
          <w:rFonts w:ascii="Arial" w:cs="Arial" w:eastAsia="Arial" w:hAnsi="Arial"/>
          <w:sz w:val="17"/>
          <w:szCs w:val="17"/>
          <w:color w:val="auto"/>
        </w:rPr>
        <w:t>9.6</w:t>
      </w:r>
      <w:r>
        <w:rPr>
          <w:sz w:val="20"/>
          <w:szCs w:val="20"/>
          <w:color w:val="auto"/>
        </w:rPr>
        <w:tab/>
      </w:r>
      <w:r>
        <w:rPr>
          <w:rFonts w:ascii="Arial" w:cs="Arial" w:eastAsia="Arial" w:hAnsi="Arial"/>
          <w:sz w:val="16"/>
          <w:szCs w:val="16"/>
          <w:color w:val="auto"/>
        </w:rPr>
        <w:t>Party B shall not engage in any activity which is dishonest or will be detrimental to Party A’s lawful interests.</w:t>
      </w:r>
    </w:p>
    <w:p>
      <w:pPr>
        <w:spacing w:after="0" w:line="218" w:lineRule="exact"/>
        <w:rPr>
          <w:sz w:val="20"/>
          <w:szCs w:val="20"/>
          <w:color w:val="auto"/>
        </w:rPr>
      </w:pPr>
    </w:p>
    <w:p>
      <w:pPr>
        <w:ind w:left="615" w:hanging="615"/>
        <w:spacing w:after="0"/>
        <w:tabs>
          <w:tab w:leader="none" w:pos="615" w:val="left"/>
        </w:tabs>
        <w:numPr>
          <w:ilvl w:val="0"/>
          <w:numId w:val="751"/>
        </w:numPr>
        <w:rPr>
          <w:rFonts w:ascii="Arial" w:cs="Arial" w:eastAsia="Arial" w:hAnsi="Arial"/>
          <w:sz w:val="17"/>
          <w:szCs w:val="17"/>
          <w:b w:val="1"/>
          <w:bCs w:val="1"/>
          <w:color w:val="auto"/>
        </w:rPr>
      </w:pPr>
      <w:r>
        <w:rPr>
          <w:rFonts w:ascii="Arial" w:cs="Arial" w:eastAsia="Arial" w:hAnsi="Arial"/>
          <w:sz w:val="17"/>
          <w:szCs w:val="17"/>
          <w:b w:val="1"/>
          <w:bCs w:val="1"/>
          <w:color w:val="auto"/>
        </w:rPr>
        <w:t>DEFAULT AND REMEDY</w:t>
      </w:r>
    </w:p>
    <w:p>
      <w:pPr>
        <w:spacing w:after="0" w:line="230" w:lineRule="exact"/>
        <w:rPr>
          <w:sz w:val="20"/>
          <w:szCs w:val="20"/>
          <w:color w:val="auto"/>
        </w:rPr>
      </w:pPr>
    </w:p>
    <w:p>
      <w:pPr>
        <w:ind w:left="735"/>
        <w:spacing w:after="0"/>
        <w:rPr>
          <w:sz w:val="20"/>
          <w:szCs w:val="20"/>
          <w:color w:val="auto"/>
        </w:rPr>
      </w:pPr>
      <w:r>
        <w:rPr>
          <w:rFonts w:ascii="Arial" w:cs="Arial" w:eastAsia="Arial" w:hAnsi="Arial"/>
          <w:sz w:val="17"/>
          <w:szCs w:val="17"/>
          <w:color w:val="auto"/>
        </w:rPr>
        <w:t>10.1 Events of Default by Party B and Liabilities</w:t>
      </w:r>
    </w:p>
    <w:p>
      <w:pPr>
        <w:spacing w:after="0" w:line="224" w:lineRule="exact"/>
        <w:rPr>
          <w:sz w:val="20"/>
          <w:szCs w:val="20"/>
          <w:color w:val="auto"/>
        </w:rPr>
      </w:pPr>
    </w:p>
    <w:p>
      <w:pPr>
        <w:ind w:left="1675" w:right="240" w:hanging="331"/>
        <w:spacing w:after="0" w:line="289" w:lineRule="auto"/>
        <w:tabs>
          <w:tab w:leader="none" w:pos="1680" w:val="left"/>
        </w:tabs>
        <w:numPr>
          <w:ilvl w:val="0"/>
          <w:numId w:val="752"/>
        </w:numPr>
        <w:rPr>
          <w:rFonts w:ascii="Arial" w:cs="Arial" w:eastAsia="Arial" w:hAnsi="Arial"/>
          <w:sz w:val="17"/>
          <w:szCs w:val="17"/>
          <w:color w:val="auto"/>
        </w:rPr>
      </w:pPr>
      <w:r>
        <w:rPr>
          <w:rFonts w:ascii="Arial" w:cs="Arial" w:eastAsia="Arial" w:hAnsi="Arial"/>
          <w:sz w:val="17"/>
          <w:szCs w:val="17"/>
          <w:color w:val="auto"/>
        </w:rPr>
        <w:t>If Party B does not advance the Loan as provided herein without justifiable reason, Party A may request Party B to advance the Loan in accordance with the Contract.</w:t>
      </w:r>
    </w:p>
    <w:p>
      <w:pPr>
        <w:spacing w:after="0" w:line="158" w:lineRule="exact"/>
        <w:rPr>
          <w:rFonts w:ascii="Arial" w:cs="Arial" w:eastAsia="Arial" w:hAnsi="Arial"/>
          <w:sz w:val="17"/>
          <w:szCs w:val="17"/>
          <w:color w:val="auto"/>
        </w:rPr>
      </w:pPr>
    </w:p>
    <w:p>
      <w:pPr>
        <w:ind w:left="1675" w:right="140" w:hanging="331"/>
        <w:spacing w:after="0" w:line="289" w:lineRule="auto"/>
        <w:tabs>
          <w:tab w:leader="none" w:pos="1680" w:val="left"/>
        </w:tabs>
        <w:numPr>
          <w:ilvl w:val="0"/>
          <w:numId w:val="752"/>
        </w:numPr>
        <w:rPr>
          <w:rFonts w:ascii="Arial" w:cs="Arial" w:eastAsia="Arial" w:hAnsi="Arial"/>
          <w:sz w:val="17"/>
          <w:szCs w:val="17"/>
          <w:color w:val="auto"/>
        </w:rPr>
      </w:pPr>
      <w:r>
        <w:rPr>
          <w:rFonts w:ascii="Arial" w:cs="Arial" w:eastAsia="Arial" w:hAnsi="Arial"/>
          <w:sz w:val="17"/>
          <w:szCs w:val="17"/>
          <w:color w:val="auto"/>
        </w:rPr>
        <w:t>If Party B charges any interest or fee which is prohibited by the laws or regulations, Party A may request Party B to refund the interest or fee charged.</w:t>
      </w:r>
    </w:p>
    <w:p>
      <w:pPr>
        <w:spacing w:after="0" w:line="158" w:lineRule="exact"/>
        <w:rPr>
          <w:sz w:val="20"/>
          <w:szCs w:val="20"/>
          <w:color w:val="auto"/>
        </w:rPr>
      </w:pPr>
    </w:p>
    <w:p>
      <w:pPr>
        <w:ind w:left="735"/>
        <w:spacing w:after="0"/>
        <w:rPr>
          <w:sz w:val="20"/>
          <w:szCs w:val="20"/>
          <w:color w:val="auto"/>
        </w:rPr>
      </w:pPr>
      <w:r>
        <w:rPr>
          <w:rFonts w:ascii="Arial" w:cs="Arial" w:eastAsia="Arial" w:hAnsi="Arial"/>
          <w:sz w:val="17"/>
          <w:szCs w:val="17"/>
          <w:color w:val="auto"/>
        </w:rPr>
        <w:t>10.2 Events of Default by Party A</w:t>
      </w:r>
    </w:p>
    <w:p>
      <w:pPr>
        <w:spacing w:after="0" w:line="224" w:lineRule="exact"/>
        <w:rPr>
          <w:sz w:val="20"/>
          <w:szCs w:val="20"/>
          <w:color w:val="auto"/>
        </w:rPr>
      </w:pPr>
    </w:p>
    <w:p>
      <w:pPr>
        <w:ind w:left="975"/>
        <w:spacing w:after="0"/>
        <w:rPr>
          <w:sz w:val="20"/>
          <w:szCs w:val="20"/>
          <w:color w:val="auto"/>
        </w:rPr>
      </w:pPr>
      <w:r>
        <w:rPr>
          <w:rFonts w:ascii="Arial" w:cs="Arial" w:eastAsia="Arial" w:hAnsi="Arial"/>
          <w:sz w:val="17"/>
          <w:szCs w:val="17"/>
          <w:color w:val="auto"/>
        </w:rPr>
        <w:t>The events of default by Party A shall include:</w:t>
      </w:r>
    </w:p>
    <w:p>
      <w:pPr>
        <w:spacing w:after="0" w:line="224" w:lineRule="exact"/>
        <w:rPr>
          <w:sz w:val="20"/>
          <w:szCs w:val="20"/>
          <w:color w:val="auto"/>
        </w:rPr>
      </w:pPr>
    </w:p>
    <w:p>
      <w:pPr>
        <w:ind w:left="5615" w:right="3760" w:hanging="4267"/>
        <w:spacing w:after="0" w:line="547" w:lineRule="auto"/>
        <w:tabs>
          <w:tab w:leader="none" w:pos="1589" w:val="left"/>
        </w:tabs>
        <w:numPr>
          <w:ilvl w:val="0"/>
          <w:numId w:val="753"/>
        </w:numPr>
        <w:rPr>
          <w:rFonts w:ascii="Arial" w:cs="Arial" w:eastAsia="Arial" w:hAnsi="Arial"/>
          <w:sz w:val="17"/>
          <w:szCs w:val="17"/>
          <w:color w:val="auto"/>
        </w:rPr>
      </w:pPr>
      <w:r>
        <w:rPr>
          <w:rFonts w:ascii="Arial" w:cs="Arial" w:eastAsia="Arial" w:hAnsi="Arial"/>
          <w:sz w:val="17"/>
          <w:szCs w:val="17"/>
          <w:color w:val="auto"/>
        </w:rPr>
        <w:t>Party A breaches any statutory obligation or any contractual obligation hereunder; and 15</w:t>
      </w: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ind w:left="1595" w:hanging="247"/>
        <w:spacing w:after="0"/>
        <w:tabs>
          <w:tab w:leader="none" w:pos="1595" w:val="left"/>
        </w:tabs>
        <w:numPr>
          <w:ilvl w:val="0"/>
          <w:numId w:val="753"/>
        </w:numPr>
        <w:rPr>
          <w:rFonts w:ascii="Arial" w:cs="Arial" w:eastAsia="Arial" w:hAnsi="Arial"/>
          <w:sz w:val="17"/>
          <w:szCs w:val="17"/>
          <w:color w:val="auto"/>
        </w:rPr>
      </w:pPr>
      <w:r>
        <w:rPr>
          <w:rFonts w:ascii="Arial" w:cs="Arial" w:eastAsia="Arial" w:hAnsi="Arial"/>
          <w:sz w:val="17"/>
          <w:szCs w:val="17"/>
          <w:color w:val="auto"/>
        </w:rPr>
        <w:t>Party A has repudiated its obligations hereunder expressly or by its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-492125</wp:posOffset>
            </wp:positionV>
            <wp:extent cx="7271385" cy="2921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4" w:lineRule="exact"/>
        <w:rPr>
          <w:sz w:val="20"/>
          <w:szCs w:val="20"/>
          <w:color w:val="auto"/>
        </w:rPr>
      </w:pPr>
    </w:p>
    <w:p>
      <w:pPr>
        <w:ind w:left="735"/>
        <w:spacing w:after="0"/>
        <w:rPr>
          <w:sz w:val="20"/>
          <w:szCs w:val="20"/>
          <w:color w:val="auto"/>
        </w:rPr>
      </w:pPr>
      <w:r>
        <w:rPr>
          <w:rFonts w:ascii="Arial" w:cs="Arial" w:eastAsia="Arial" w:hAnsi="Arial"/>
          <w:sz w:val="17"/>
          <w:szCs w:val="17"/>
          <w:color w:val="auto"/>
        </w:rPr>
        <w:t>10.3 Events that may Adversely Impact Creditor’s Rights</w:t>
      </w:r>
    </w:p>
    <w:p>
      <w:pPr>
        <w:spacing w:after="0" w:line="224" w:lineRule="exact"/>
        <w:rPr>
          <w:sz w:val="20"/>
          <w:szCs w:val="20"/>
          <w:color w:val="auto"/>
        </w:rPr>
      </w:pPr>
    </w:p>
    <w:p>
      <w:pPr>
        <w:ind w:left="1375" w:hanging="263"/>
        <w:spacing w:after="0"/>
        <w:tabs>
          <w:tab w:leader="none" w:pos="1375" w:val="left"/>
        </w:tabs>
        <w:numPr>
          <w:ilvl w:val="0"/>
          <w:numId w:val="754"/>
        </w:numPr>
        <w:rPr>
          <w:rFonts w:ascii="Arial" w:cs="Arial" w:eastAsia="Arial" w:hAnsi="Arial"/>
          <w:sz w:val="17"/>
          <w:szCs w:val="17"/>
          <w:color w:val="auto"/>
        </w:rPr>
      </w:pPr>
      <w:r>
        <w:rPr>
          <w:rFonts w:ascii="Arial" w:cs="Arial" w:eastAsia="Arial" w:hAnsi="Arial"/>
          <w:sz w:val="17"/>
          <w:szCs w:val="17"/>
          <w:color w:val="auto"/>
        </w:rPr>
        <w:t>the occurrence of any of the following events upon Party A which Party B believes may adversely impact its creditor’s rights:</w:t>
      </w:r>
    </w:p>
    <w:p>
      <w:pPr>
        <w:spacing w:after="0" w:line="224" w:lineRule="exact"/>
        <w:rPr>
          <w:rFonts w:ascii="Arial" w:cs="Arial" w:eastAsia="Arial" w:hAnsi="Arial"/>
          <w:sz w:val="17"/>
          <w:szCs w:val="17"/>
          <w:color w:val="auto"/>
        </w:rPr>
      </w:pPr>
    </w:p>
    <w:p>
      <w:pPr>
        <w:ind w:left="1355" w:right="60" w:firstLine="2"/>
        <w:spacing w:after="0" w:line="262" w:lineRule="auto"/>
        <w:rPr>
          <w:rFonts w:ascii="Arial" w:cs="Arial" w:eastAsia="Arial" w:hAnsi="Arial"/>
          <w:sz w:val="17"/>
          <w:szCs w:val="17"/>
          <w:color w:val="auto"/>
        </w:rPr>
      </w:pPr>
      <w:r>
        <w:rPr>
          <w:rFonts w:ascii="Arial" w:cs="Arial" w:eastAsia="Arial" w:hAnsi="Arial"/>
          <w:sz w:val="17"/>
          <w:szCs w:val="17"/>
          <w:color w:val="auto"/>
        </w:rPr>
        <w:t>contracting, trustee (receiver) being appointed, lease, shareholding restructuring, decrease of its registered capital, investment, joint operation, mergers and acquisitions, acquisition and restructuring, division, joint venture, shares transfer, substantial increase of debt financing, applying for (or subject to an application for) temporary cessation of operation or dissolution, revocation, applying for (or subject to an application for) bankruptcy, change of controlling shareholders/actual controllers, transfer of material assets, suspension of production or operation, significant penalty imposed by regulatory authorities, cancellation of registration, revocation of business license, involvement in material legal proceedings, severe deterioration in operation and financial condition, deterioration of credit standing, legal representative/principal officer being unable to perform their duties;</w:t>
      </w:r>
    </w:p>
    <w:p>
      <w:pPr>
        <w:spacing w:after="0" w:line="184" w:lineRule="exact"/>
        <w:rPr>
          <w:rFonts w:ascii="Arial" w:cs="Arial" w:eastAsia="Arial" w:hAnsi="Arial"/>
          <w:sz w:val="17"/>
          <w:szCs w:val="17"/>
          <w:color w:val="auto"/>
        </w:rPr>
      </w:pPr>
    </w:p>
    <w:p>
      <w:pPr>
        <w:ind w:left="1375" w:hanging="263"/>
        <w:spacing w:after="0"/>
        <w:tabs>
          <w:tab w:leader="none" w:pos="1375" w:val="left"/>
        </w:tabs>
        <w:numPr>
          <w:ilvl w:val="0"/>
          <w:numId w:val="754"/>
        </w:numPr>
        <w:rPr>
          <w:rFonts w:ascii="Arial" w:cs="Arial" w:eastAsia="Arial" w:hAnsi="Arial"/>
          <w:sz w:val="17"/>
          <w:szCs w:val="17"/>
          <w:color w:val="auto"/>
        </w:rPr>
      </w:pPr>
      <w:r>
        <w:rPr>
          <w:rFonts w:ascii="Arial" w:cs="Arial" w:eastAsia="Arial" w:hAnsi="Arial"/>
          <w:sz w:val="17"/>
          <w:szCs w:val="17"/>
          <w:color w:val="auto"/>
        </w:rPr>
        <w:t>the occurrence of any of the following events which Party B believes may adversely impact its creditor’s rights:</w:t>
      </w:r>
    </w:p>
    <w:p>
      <w:pPr>
        <w:spacing w:after="0" w:line="224" w:lineRule="exact"/>
        <w:rPr>
          <w:rFonts w:ascii="Arial" w:cs="Arial" w:eastAsia="Arial" w:hAnsi="Arial"/>
          <w:sz w:val="17"/>
          <w:szCs w:val="17"/>
          <w:color w:val="auto"/>
        </w:rPr>
      </w:pPr>
    </w:p>
    <w:p>
      <w:pPr>
        <w:ind w:left="1355" w:firstLine="2"/>
        <w:spacing w:after="0" w:line="283" w:lineRule="auto"/>
        <w:rPr>
          <w:rFonts w:ascii="Arial" w:cs="Arial" w:eastAsia="Arial" w:hAnsi="Arial"/>
          <w:sz w:val="17"/>
          <w:szCs w:val="17"/>
          <w:color w:val="auto"/>
        </w:rPr>
      </w:pPr>
      <w:r>
        <w:rPr>
          <w:rFonts w:ascii="Arial" w:cs="Arial" w:eastAsia="Arial" w:hAnsi="Arial"/>
          <w:sz w:val="16"/>
          <w:szCs w:val="16"/>
          <w:color w:val="auto"/>
        </w:rPr>
        <w:t>Party A fails to repay any other due debts, including such debts owed to any other branch or organization of China Construction Bank or to any other third party; Party A transfers assets at a low price or for free; Party A relieves or waives any debt of a third party; Party A fails to exercise its creditor’s rights or any other rights; or Party A provides security for a third party; financial indicators of Party A fail to meet, on a continuous basis, the requirements specified in Schedule2; there are unusual fluctuations in any of Party A’s accounts (including without limitation account to collect sale proceeds and other account subject to Party B’s supervision) ; there are grave cross-defaults by Party A; profit-making capability of Party A’s core business is undesirable; there is irregularity in the use of loan;</w:t>
      </w:r>
    </w:p>
    <w:p>
      <w:pPr>
        <w:spacing w:after="0" w:line="166" w:lineRule="exact"/>
        <w:rPr>
          <w:rFonts w:ascii="Arial" w:cs="Arial" w:eastAsia="Arial" w:hAnsi="Arial"/>
          <w:sz w:val="17"/>
          <w:szCs w:val="17"/>
          <w:color w:val="auto"/>
        </w:rPr>
      </w:pPr>
    </w:p>
    <w:p>
      <w:pPr>
        <w:ind w:left="1375" w:right="40" w:hanging="263"/>
        <w:spacing w:after="0" w:line="289" w:lineRule="auto"/>
        <w:tabs>
          <w:tab w:leader="none" w:pos="1382" w:val="left"/>
        </w:tabs>
        <w:numPr>
          <w:ilvl w:val="0"/>
          <w:numId w:val="754"/>
        </w:numPr>
        <w:rPr>
          <w:rFonts w:ascii="Arial" w:cs="Arial" w:eastAsia="Arial" w:hAnsi="Arial"/>
          <w:sz w:val="17"/>
          <w:szCs w:val="17"/>
          <w:color w:val="auto"/>
        </w:rPr>
      </w:pPr>
      <w:r>
        <w:rPr>
          <w:rFonts w:ascii="Arial" w:cs="Arial" w:eastAsia="Arial" w:hAnsi="Arial"/>
          <w:sz w:val="17"/>
          <w:szCs w:val="17"/>
          <w:color w:val="auto"/>
        </w:rPr>
        <w:t>Party A’s shareholder manipulates the independence status of Party A as a legal person or the limited liability status of the shareholder in order to evade debts, and Party B believes this manipulation may adversely impact its creditor’s rights;</w:t>
      </w:r>
    </w:p>
    <w:p>
      <w:pPr>
        <w:spacing w:after="0" w:line="158" w:lineRule="exact"/>
        <w:rPr>
          <w:rFonts w:ascii="Arial" w:cs="Arial" w:eastAsia="Arial" w:hAnsi="Arial"/>
          <w:sz w:val="17"/>
          <w:szCs w:val="17"/>
          <w:color w:val="auto"/>
        </w:rPr>
      </w:pPr>
    </w:p>
    <w:p>
      <w:pPr>
        <w:ind w:left="1375" w:hanging="263"/>
        <w:spacing w:after="0"/>
        <w:tabs>
          <w:tab w:leader="none" w:pos="1375" w:val="left"/>
        </w:tabs>
        <w:numPr>
          <w:ilvl w:val="0"/>
          <w:numId w:val="754"/>
        </w:numPr>
        <w:rPr>
          <w:rFonts w:ascii="Arial" w:cs="Arial" w:eastAsia="Arial" w:hAnsi="Arial"/>
          <w:sz w:val="17"/>
          <w:szCs w:val="17"/>
          <w:color w:val="auto"/>
        </w:rPr>
      </w:pPr>
      <w:r>
        <w:rPr>
          <w:rFonts w:ascii="Arial" w:cs="Arial" w:eastAsia="Arial" w:hAnsi="Arial"/>
          <w:sz w:val="17"/>
          <w:szCs w:val="17"/>
          <w:color w:val="auto"/>
        </w:rPr>
        <w:t>any of the conditions precedent to advance the Loan has not been satisfied continuously;</w:t>
      </w:r>
    </w:p>
    <w:p>
      <w:pPr>
        <w:spacing w:after="0" w:line="224" w:lineRule="exact"/>
        <w:rPr>
          <w:rFonts w:ascii="Arial" w:cs="Arial" w:eastAsia="Arial" w:hAnsi="Arial"/>
          <w:sz w:val="17"/>
          <w:szCs w:val="17"/>
          <w:color w:val="auto"/>
        </w:rPr>
      </w:pPr>
    </w:p>
    <w:p>
      <w:pPr>
        <w:ind w:left="1375" w:hanging="263"/>
        <w:spacing w:after="0"/>
        <w:tabs>
          <w:tab w:leader="none" w:pos="1375" w:val="left"/>
        </w:tabs>
        <w:numPr>
          <w:ilvl w:val="0"/>
          <w:numId w:val="754"/>
        </w:numPr>
        <w:rPr>
          <w:rFonts w:ascii="Arial" w:cs="Arial" w:eastAsia="Arial" w:hAnsi="Arial"/>
          <w:sz w:val="17"/>
          <w:szCs w:val="17"/>
          <w:color w:val="auto"/>
        </w:rPr>
      </w:pPr>
      <w:r>
        <w:rPr>
          <w:rFonts w:ascii="Arial" w:cs="Arial" w:eastAsia="Arial" w:hAnsi="Arial"/>
          <w:sz w:val="17"/>
          <w:szCs w:val="17"/>
          <w:color w:val="auto"/>
        </w:rPr>
        <w:t>the occurrence of any of the following events upon the guarantor which Party B believes may adversely impact its creditor’s rights:</w:t>
      </w:r>
    </w:p>
    <w:p>
      <w:pPr>
        <w:spacing w:after="0" w:line="224" w:lineRule="exact"/>
        <w:rPr>
          <w:rFonts w:ascii="Arial" w:cs="Arial" w:eastAsia="Arial" w:hAnsi="Arial"/>
          <w:sz w:val="17"/>
          <w:szCs w:val="17"/>
          <w:color w:val="auto"/>
        </w:rPr>
      </w:pPr>
    </w:p>
    <w:p>
      <w:pPr>
        <w:ind w:left="1635" w:right="100" w:hanging="272"/>
        <w:spacing w:after="0" w:line="289" w:lineRule="auto"/>
        <w:tabs>
          <w:tab w:leader="none" w:pos="1656" w:val="left"/>
        </w:tabs>
        <w:numPr>
          <w:ilvl w:val="1"/>
          <w:numId w:val="754"/>
        </w:numPr>
        <w:rPr>
          <w:rFonts w:ascii="Arial" w:cs="Arial" w:eastAsia="Arial" w:hAnsi="Arial"/>
          <w:sz w:val="17"/>
          <w:szCs w:val="17"/>
          <w:color w:val="auto"/>
        </w:rPr>
      </w:pPr>
      <w:r>
        <w:rPr>
          <w:rFonts w:ascii="Arial" w:cs="Arial" w:eastAsia="Arial" w:hAnsi="Arial"/>
          <w:sz w:val="17"/>
          <w:szCs w:val="17"/>
          <w:color w:val="auto"/>
        </w:rPr>
        <w:t>the guarantor breaches any provision of the guarantee contract, or any of the representations and warranties it has made proves to be false, wrong or incomplete;</w:t>
      </w:r>
    </w:p>
    <w:p>
      <w:pPr>
        <w:spacing w:after="0" w:line="158" w:lineRule="exact"/>
        <w:rPr>
          <w:rFonts w:ascii="Arial" w:cs="Arial" w:eastAsia="Arial" w:hAnsi="Arial"/>
          <w:sz w:val="17"/>
          <w:szCs w:val="17"/>
          <w:color w:val="auto"/>
        </w:rPr>
      </w:pPr>
    </w:p>
    <w:p>
      <w:pPr>
        <w:ind w:left="1635" w:right="500" w:hanging="272"/>
        <w:spacing w:after="0" w:line="360" w:lineRule="auto"/>
        <w:tabs>
          <w:tab w:leader="none" w:pos="1665" w:val="left"/>
        </w:tabs>
        <w:numPr>
          <w:ilvl w:val="1"/>
          <w:numId w:val="754"/>
        </w:numPr>
        <w:rPr>
          <w:rFonts w:ascii="Arial" w:cs="Arial" w:eastAsia="Arial" w:hAnsi="Arial"/>
          <w:sz w:val="15"/>
          <w:szCs w:val="15"/>
          <w:color w:val="auto"/>
        </w:rPr>
      </w:pPr>
      <w:r>
        <w:rPr>
          <w:rFonts w:ascii="Arial" w:cs="Arial" w:eastAsia="Arial" w:hAnsi="Arial"/>
          <w:sz w:val="15"/>
          <w:szCs w:val="15"/>
          <w:color w:val="auto"/>
        </w:rPr>
        <w:t>contracting, trustee (receiver) being appointed, lease, shareholding restructuring, decrease of its registered capital, investment, joint operation, mergers and acquisitions, acquisition and restructuring, division, joint venture, shares transfer, substantial increase of debt</w:t>
      </w:r>
    </w:p>
    <w:p>
      <w:pPr>
        <w:spacing w:after="0" w:line="112"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355" w:right="20" w:firstLine="2"/>
        <w:spacing w:after="0" w:line="314" w:lineRule="auto"/>
        <w:rPr>
          <w:sz w:val="20"/>
          <w:szCs w:val="20"/>
          <w:color w:val="auto"/>
        </w:rPr>
      </w:pPr>
      <w:r>
        <w:rPr>
          <w:rFonts w:ascii="Arial" w:cs="Arial" w:eastAsia="Arial" w:hAnsi="Arial"/>
          <w:sz w:val="15"/>
          <w:szCs w:val="15"/>
          <w:color w:val="auto"/>
        </w:rPr>
        <w:t>financing, applying for (or subject to an application for) temporary cessation of operation or dissolution, revocation, applying for (or subject to an application for) bankruptcy, change of controlling shareholders/actual controllers, transfer of material assets, transfer of assets at a low price or for free, relieving or waiving any debt of a third party; failure to exercise its creditor’s rights or any other rights, suspension of production or operation, significant penalty imposed by regulatory authorities, cancellation of registration, revocation of business license, involvement in</w:t>
      </w:r>
    </w:p>
    <w:p>
      <w:pPr>
        <w:sectPr>
          <w:pgSz w:w="11900" w:h="16838" w:orient="portrait"/>
          <w:cols w:equalWidth="0" w:num="1">
            <w:col w:w="11395"/>
          </w:cols>
          <w:pgMar w:left="245" w:top="337" w:right="259" w:bottom="0" w:gutter="0" w:footer="0" w:header="0"/>
        </w:sectPr>
      </w:pPr>
    </w:p>
    <w:bookmarkStart w:id="436" w:name="page437"/>
    <w:bookmarkEnd w:id="436"/>
    <w:p>
      <w:pPr>
        <w:ind w:left="1355" w:right="1380"/>
        <w:spacing w:after="0" w:line="322" w:lineRule="auto"/>
        <w:rPr>
          <w:sz w:val="20"/>
          <w:szCs w:val="20"/>
          <w:color w:val="auto"/>
        </w:rPr>
      </w:pPr>
      <w:r>
        <w:rPr>
          <w:rFonts w:ascii="Arial" w:cs="Arial" w:eastAsia="Arial" w:hAnsi="Arial"/>
          <w:sz w:val="16"/>
          <w:szCs w:val="16"/>
          <w:color w:val="auto"/>
        </w:rPr>
        <w:t>material legal proceedings, severe deterioration in operation and financial condition, deterioration of credit standing, legal representative/principal officer’s inability to perform their duties, which may adversely impact its capability as a guarantor;</w:t>
      </w:r>
    </w:p>
    <w:p>
      <w:pPr>
        <w:spacing w:after="0" w:line="136" w:lineRule="exact"/>
        <w:rPr>
          <w:sz w:val="20"/>
          <w:szCs w:val="20"/>
          <w:color w:val="auto"/>
        </w:rPr>
      </w:pPr>
    </w:p>
    <w:p>
      <w:pPr>
        <w:ind w:left="895"/>
        <w:spacing w:after="0"/>
        <w:rPr>
          <w:sz w:val="20"/>
          <w:szCs w:val="20"/>
          <w:color w:val="auto"/>
        </w:rPr>
      </w:pPr>
      <w:r>
        <w:rPr>
          <w:rFonts w:ascii="Arial" w:cs="Arial" w:eastAsia="Arial" w:hAnsi="Arial"/>
          <w:sz w:val="17"/>
          <w:szCs w:val="17"/>
          <w:color w:val="auto"/>
        </w:rPr>
        <w:t>(iii) other events in which the guarantor has lost or may lose its capability as guarantor.</w:t>
      </w:r>
    </w:p>
    <w:p>
      <w:pPr>
        <w:spacing w:after="0" w:line="224" w:lineRule="exact"/>
        <w:rPr>
          <w:sz w:val="20"/>
          <w:szCs w:val="20"/>
          <w:color w:val="auto"/>
        </w:rPr>
      </w:pPr>
    </w:p>
    <w:p>
      <w:pPr>
        <w:ind w:left="1415" w:hanging="513"/>
        <w:spacing w:after="0"/>
        <w:tabs>
          <w:tab w:leader="none" w:pos="1415" w:val="left"/>
        </w:tabs>
        <w:numPr>
          <w:ilvl w:val="0"/>
          <w:numId w:val="755"/>
        </w:numPr>
        <w:rPr>
          <w:rFonts w:ascii="Arial" w:cs="Arial" w:eastAsia="Arial" w:hAnsi="Arial"/>
          <w:sz w:val="16"/>
          <w:szCs w:val="16"/>
          <w:color w:val="auto"/>
        </w:rPr>
      </w:pPr>
      <w:r>
        <w:rPr>
          <w:rFonts w:ascii="Arial" w:cs="Arial" w:eastAsia="Arial" w:hAnsi="Arial"/>
          <w:sz w:val="16"/>
          <w:szCs w:val="16"/>
          <w:color w:val="auto"/>
        </w:rPr>
        <w:t>the occurrence of any of the following events on the mortgage or pledge which Party B believes may adversely impact its creditor’s rights:</w:t>
      </w:r>
    </w:p>
    <w:p>
      <w:pPr>
        <w:spacing w:after="0" w:line="235" w:lineRule="exact"/>
        <w:rPr>
          <w:rFonts w:ascii="Arial" w:cs="Arial" w:eastAsia="Arial" w:hAnsi="Arial"/>
          <w:sz w:val="16"/>
          <w:szCs w:val="16"/>
          <w:color w:val="auto"/>
        </w:rPr>
      </w:pPr>
    </w:p>
    <w:p>
      <w:pPr>
        <w:ind w:left="1755" w:right="480" w:hanging="392"/>
        <w:spacing w:after="0" w:line="360" w:lineRule="auto"/>
        <w:tabs>
          <w:tab w:leader="none" w:pos="1776" w:val="left"/>
        </w:tabs>
        <w:numPr>
          <w:ilvl w:val="1"/>
          <w:numId w:val="755"/>
        </w:numPr>
        <w:rPr>
          <w:rFonts w:ascii="Arial" w:cs="Arial" w:eastAsia="Arial" w:hAnsi="Arial"/>
          <w:sz w:val="15"/>
          <w:szCs w:val="15"/>
          <w:color w:val="auto"/>
        </w:rPr>
      </w:pPr>
      <w:r>
        <w:rPr>
          <w:rFonts w:ascii="Arial" w:cs="Arial" w:eastAsia="Arial" w:hAnsi="Arial"/>
          <w:sz w:val="15"/>
          <w:szCs w:val="15"/>
          <w:color w:val="auto"/>
        </w:rPr>
        <w:t>the mortgaged or pledged property is damaged, destroyed or its value is reduced as a result of a third-party’s action, expropriation, confiscation, eminent domain or redevelopment and relocation by the government, market change, or any other reason;</w:t>
      </w:r>
    </w:p>
    <w:p>
      <w:pPr>
        <w:spacing w:after="0" w:line="111" w:lineRule="exact"/>
        <w:rPr>
          <w:rFonts w:ascii="Arial" w:cs="Arial" w:eastAsia="Arial" w:hAnsi="Arial"/>
          <w:sz w:val="15"/>
          <w:szCs w:val="15"/>
          <w:color w:val="auto"/>
        </w:rPr>
      </w:pPr>
    </w:p>
    <w:p>
      <w:pPr>
        <w:ind w:left="1755" w:right="360" w:hanging="392"/>
        <w:spacing w:after="0" w:line="322" w:lineRule="auto"/>
        <w:tabs>
          <w:tab w:leader="none" w:pos="1785" w:val="left"/>
        </w:tabs>
        <w:numPr>
          <w:ilvl w:val="1"/>
          <w:numId w:val="755"/>
        </w:numPr>
        <w:rPr>
          <w:rFonts w:ascii="Arial" w:cs="Arial" w:eastAsia="Arial" w:hAnsi="Arial"/>
          <w:sz w:val="16"/>
          <w:szCs w:val="16"/>
          <w:color w:val="auto"/>
        </w:rPr>
      </w:pPr>
      <w:r>
        <w:rPr>
          <w:rFonts w:ascii="Arial" w:cs="Arial" w:eastAsia="Arial" w:hAnsi="Arial"/>
          <w:sz w:val="16"/>
          <w:szCs w:val="16"/>
          <w:color w:val="auto"/>
        </w:rPr>
        <w:t>the mortgaged or pledged property has been seized, impounded, frozen, mandatorily debited, put on lien, sold by auction, subject to administration order by a government authority, or a dispute over the ownership of the mortgaged or pledged property occurs;</w:t>
      </w:r>
    </w:p>
    <w:p>
      <w:pPr>
        <w:spacing w:after="0" w:line="135" w:lineRule="exact"/>
        <w:rPr>
          <w:rFonts w:ascii="Arial" w:cs="Arial" w:eastAsia="Arial" w:hAnsi="Arial"/>
          <w:sz w:val="16"/>
          <w:szCs w:val="16"/>
          <w:color w:val="auto"/>
        </w:rPr>
      </w:pPr>
    </w:p>
    <w:p>
      <w:pPr>
        <w:ind w:left="1755" w:right="320" w:hanging="392"/>
        <w:spacing w:after="0" w:line="289" w:lineRule="auto"/>
        <w:tabs>
          <w:tab w:leader="none" w:pos="1794" w:val="left"/>
        </w:tabs>
        <w:numPr>
          <w:ilvl w:val="1"/>
          <w:numId w:val="755"/>
        </w:numPr>
        <w:rPr>
          <w:rFonts w:ascii="Arial" w:cs="Arial" w:eastAsia="Arial" w:hAnsi="Arial"/>
          <w:sz w:val="17"/>
          <w:szCs w:val="17"/>
          <w:color w:val="auto"/>
        </w:rPr>
      </w:pPr>
      <w:r>
        <w:rPr>
          <w:rFonts w:ascii="Arial" w:cs="Arial" w:eastAsia="Arial" w:hAnsi="Arial"/>
          <w:sz w:val="17"/>
          <w:szCs w:val="17"/>
          <w:color w:val="auto"/>
        </w:rPr>
        <w:t>the mortgagor or pledgor breaches any provision of the mortgage/pledge contract, or any of the representations and warranties it has made proves to be false, wrong or incomplete;</w:t>
      </w:r>
    </w:p>
    <w:p>
      <w:pPr>
        <w:spacing w:after="0" w:line="158" w:lineRule="exact"/>
        <w:rPr>
          <w:rFonts w:ascii="Arial" w:cs="Arial" w:eastAsia="Arial" w:hAnsi="Arial"/>
          <w:sz w:val="17"/>
          <w:szCs w:val="17"/>
          <w:color w:val="auto"/>
        </w:rPr>
      </w:pPr>
    </w:p>
    <w:p>
      <w:pPr>
        <w:ind w:left="1775" w:hanging="412"/>
        <w:spacing w:after="0"/>
        <w:tabs>
          <w:tab w:leader="none" w:pos="1775" w:val="left"/>
        </w:tabs>
        <w:numPr>
          <w:ilvl w:val="1"/>
          <w:numId w:val="755"/>
        </w:numPr>
        <w:rPr>
          <w:rFonts w:ascii="Arial" w:cs="Arial" w:eastAsia="Arial" w:hAnsi="Arial"/>
          <w:sz w:val="17"/>
          <w:szCs w:val="17"/>
          <w:color w:val="auto"/>
        </w:rPr>
      </w:pPr>
      <w:r>
        <w:rPr>
          <w:rFonts w:ascii="Arial" w:cs="Arial" w:eastAsia="Arial" w:hAnsi="Arial"/>
          <w:sz w:val="17"/>
          <w:szCs w:val="17"/>
          <w:color w:val="auto"/>
        </w:rPr>
        <w:t>other events that may adversely impact Party B’s ability to realize its mortgage or pledge.</w:t>
      </w:r>
    </w:p>
    <w:p>
      <w:pPr>
        <w:spacing w:after="0" w:line="224" w:lineRule="exact"/>
        <w:rPr>
          <w:rFonts w:ascii="Arial" w:cs="Arial" w:eastAsia="Arial" w:hAnsi="Arial"/>
          <w:sz w:val="17"/>
          <w:szCs w:val="17"/>
          <w:color w:val="auto"/>
        </w:rPr>
      </w:pPr>
    </w:p>
    <w:p>
      <w:pPr>
        <w:ind w:left="1355" w:right="80" w:hanging="453"/>
        <w:spacing w:after="0" w:line="273" w:lineRule="auto"/>
        <w:tabs>
          <w:tab w:leader="none" w:pos="1363" w:val="left"/>
        </w:tabs>
        <w:numPr>
          <w:ilvl w:val="0"/>
          <w:numId w:val="755"/>
        </w:numPr>
        <w:rPr>
          <w:rFonts w:ascii="Arial" w:cs="Arial" w:eastAsia="Arial" w:hAnsi="Arial"/>
          <w:sz w:val="17"/>
          <w:szCs w:val="17"/>
          <w:color w:val="auto"/>
        </w:rPr>
      </w:pPr>
      <w:r>
        <w:rPr>
          <w:rFonts w:ascii="Arial" w:cs="Arial" w:eastAsia="Arial" w:hAnsi="Arial"/>
          <w:sz w:val="17"/>
          <w:szCs w:val="17"/>
          <w:color w:val="auto"/>
        </w:rPr>
        <w:t>the security is not effected, becomes ineffective, invalid, or is rescinded or terminated, or the security provider defaults or repudiates its obligations expressly or by conduct, or the security provider has lost its capability to perform its obligations as a security provider in whole or in part, or the value of the collateral is reduced, which Party B believes may adversely impact its creditor’s rights; or</w:t>
      </w:r>
    </w:p>
    <w:p>
      <w:pPr>
        <w:spacing w:after="0" w:line="171" w:lineRule="exact"/>
        <w:rPr>
          <w:rFonts w:ascii="Arial" w:cs="Arial" w:eastAsia="Arial" w:hAnsi="Arial"/>
          <w:sz w:val="17"/>
          <w:szCs w:val="17"/>
          <w:color w:val="auto"/>
        </w:rPr>
      </w:pPr>
    </w:p>
    <w:p>
      <w:pPr>
        <w:ind w:left="1375" w:hanging="473"/>
        <w:spacing w:after="0"/>
        <w:tabs>
          <w:tab w:leader="none" w:pos="1375" w:val="left"/>
        </w:tabs>
        <w:numPr>
          <w:ilvl w:val="0"/>
          <w:numId w:val="755"/>
        </w:numPr>
        <w:rPr>
          <w:rFonts w:ascii="Arial" w:cs="Arial" w:eastAsia="Arial" w:hAnsi="Arial"/>
          <w:sz w:val="17"/>
          <w:szCs w:val="17"/>
          <w:color w:val="auto"/>
        </w:rPr>
      </w:pPr>
      <w:r>
        <w:rPr>
          <w:rFonts w:ascii="Arial" w:cs="Arial" w:eastAsia="Arial" w:hAnsi="Arial"/>
          <w:sz w:val="17"/>
          <w:szCs w:val="17"/>
          <w:color w:val="auto"/>
        </w:rPr>
        <w:t>other events which Party B believes may adversely impact its creditor’s rights.</w:t>
      </w:r>
    </w:p>
    <w:p>
      <w:pPr>
        <w:spacing w:after="0" w:line="224" w:lineRule="exact"/>
        <w:rPr>
          <w:sz w:val="20"/>
          <w:szCs w:val="20"/>
          <w:color w:val="auto"/>
        </w:rPr>
      </w:pPr>
    </w:p>
    <w:p>
      <w:pPr>
        <w:ind w:left="735"/>
        <w:spacing w:after="0"/>
        <w:tabs>
          <w:tab w:leader="none" w:pos="1335"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color w:val="auto"/>
        </w:rPr>
        <w:t>Party B’s Remedy</w:t>
      </w:r>
    </w:p>
    <w:p>
      <w:pPr>
        <w:spacing w:after="0" w:line="224" w:lineRule="exact"/>
        <w:rPr>
          <w:sz w:val="20"/>
          <w:szCs w:val="20"/>
          <w:color w:val="auto"/>
        </w:rPr>
      </w:pPr>
    </w:p>
    <w:p>
      <w:pPr>
        <w:ind w:left="1355"/>
        <w:spacing w:after="0"/>
        <w:rPr>
          <w:sz w:val="20"/>
          <w:szCs w:val="20"/>
          <w:color w:val="auto"/>
        </w:rPr>
      </w:pPr>
      <w:r>
        <w:rPr>
          <w:rFonts w:ascii="Arial" w:cs="Arial" w:eastAsia="Arial" w:hAnsi="Arial"/>
          <w:sz w:val="17"/>
          <w:szCs w:val="17"/>
          <w:color w:val="auto"/>
        </w:rPr>
        <w:t>Upon occurrence of any event under Article 10.2 or 10.3, Party B may exercise one or more of the following rights:</w:t>
      </w:r>
    </w:p>
    <w:p>
      <w:pPr>
        <w:spacing w:after="0" w:line="224" w:lineRule="exact"/>
        <w:rPr>
          <w:sz w:val="20"/>
          <w:szCs w:val="20"/>
          <w:color w:val="auto"/>
        </w:rPr>
      </w:pPr>
    </w:p>
    <w:p>
      <w:pPr>
        <w:ind w:left="1895" w:hanging="532"/>
        <w:spacing w:after="0"/>
        <w:tabs>
          <w:tab w:leader="none" w:pos="1895" w:val="left"/>
        </w:tabs>
        <w:numPr>
          <w:ilvl w:val="0"/>
          <w:numId w:val="756"/>
        </w:numPr>
        <w:rPr>
          <w:rFonts w:ascii="Arial" w:cs="Arial" w:eastAsia="Arial" w:hAnsi="Arial"/>
          <w:sz w:val="17"/>
          <w:szCs w:val="17"/>
          <w:color w:val="auto"/>
        </w:rPr>
      </w:pPr>
      <w:r>
        <w:rPr>
          <w:rFonts w:ascii="Arial" w:cs="Arial" w:eastAsia="Arial" w:hAnsi="Arial"/>
          <w:sz w:val="17"/>
          <w:szCs w:val="17"/>
          <w:color w:val="auto"/>
        </w:rPr>
        <w:t>to stop advancing the Loan;</w:t>
      </w:r>
    </w:p>
    <w:p>
      <w:pPr>
        <w:spacing w:after="0" w:line="224" w:lineRule="exact"/>
        <w:rPr>
          <w:sz w:val="20"/>
          <w:szCs w:val="20"/>
          <w:color w:val="auto"/>
        </w:rPr>
      </w:pPr>
    </w:p>
    <w:p>
      <w:pPr>
        <w:jc w:val="center"/>
        <w:ind w:right="-54"/>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735" w:hanging="372"/>
        <w:spacing w:after="0"/>
        <w:tabs>
          <w:tab w:leader="none" w:pos="1735" w:val="left"/>
        </w:tabs>
        <w:numPr>
          <w:ilvl w:val="0"/>
          <w:numId w:val="757"/>
        </w:numPr>
        <w:rPr>
          <w:rFonts w:ascii="Arial" w:cs="Arial" w:eastAsia="Arial" w:hAnsi="Arial"/>
          <w:sz w:val="17"/>
          <w:szCs w:val="17"/>
          <w:color w:val="auto"/>
        </w:rPr>
      </w:pPr>
      <w:r>
        <w:rPr>
          <w:rFonts w:ascii="Arial" w:cs="Arial" w:eastAsia="Arial" w:hAnsi="Arial"/>
          <w:sz w:val="17"/>
          <w:szCs w:val="17"/>
          <w:color w:val="auto"/>
        </w:rPr>
        <w:t>to request for more conditions precedent for loan advance and payment;</w:t>
      </w:r>
    </w:p>
    <w:p>
      <w:pPr>
        <w:spacing w:after="0" w:line="224" w:lineRule="exact"/>
        <w:rPr>
          <w:rFonts w:ascii="Arial" w:cs="Arial" w:eastAsia="Arial" w:hAnsi="Arial"/>
          <w:sz w:val="17"/>
          <w:szCs w:val="17"/>
          <w:color w:val="auto"/>
        </w:rPr>
      </w:pPr>
    </w:p>
    <w:p>
      <w:pPr>
        <w:ind w:left="1735" w:hanging="372"/>
        <w:spacing w:after="0"/>
        <w:tabs>
          <w:tab w:leader="none" w:pos="1735" w:val="left"/>
        </w:tabs>
        <w:numPr>
          <w:ilvl w:val="0"/>
          <w:numId w:val="757"/>
        </w:numPr>
        <w:rPr>
          <w:rFonts w:ascii="Arial" w:cs="Arial" w:eastAsia="Arial" w:hAnsi="Arial"/>
          <w:sz w:val="17"/>
          <w:szCs w:val="17"/>
          <w:color w:val="auto"/>
        </w:rPr>
      </w:pPr>
      <w:r>
        <w:rPr>
          <w:rFonts w:ascii="Arial" w:cs="Arial" w:eastAsia="Arial" w:hAnsi="Arial"/>
          <w:sz w:val="17"/>
          <w:szCs w:val="17"/>
          <w:color w:val="auto"/>
        </w:rPr>
        <w:t>to change the means of payment of loan in accordance with this Contract;</w:t>
      </w:r>
    </w:p>
    <w:p>
      <w:pPr>
        <w:spacing w:after="0" w:line="224" w:lineRule="exact"/>
        <w:rPr>
          <w:rFonts w:ascii="Arial" w:cs="Arial" w:eastAsia="Arial" w:hAnsi="Arial"/>
          <w:sz w:val="17"/>
          <w:szCs w:val="17"/>
          <w:color w:val="auto"/>
        </w:rPr>
      </w:pPr>
    </w:p>
    <w:p>
      <w:pPr>
        <w:ind w:left="1735" w:right="80" w:hanging="372"/>
        <w:spacing w:after="0" w:line="289" w:lineRule="auto"/>
        <w:tabs>
          <w:tab w:leader="none" w:pos="1744" w:val="left"/>
        </w:tabs>
        <w:numPr>
          <w:ilvl w:val="0"/>
          <w:numId w:val="757"/>
        </w:numPr>
        <w:rPr>
          <w:rFonts w:ascii="Arial" w:cs="Arial" w:eastAsia="Arial" w:hAnsi="Arial"/>
          <w:sz w:val="17"/>
          <w:szCs w:val="17"/>
          <w:color w:val="auto"/>
        </w:rPr>
      </w:pPr>
      <w:r>
        <w:rPr>
          <w:rFonts w:ascii="Arial" w:cs="Arial" w:eastAsia="Arial" w:hAnsi="Arial"/>
          <w:sz w:val="17"/>
          <w:szCs w:val="17"/>
          <w:color w:val="auto"/>
        </w:rPr>
        <w:t>to declare the Loan immediately due and payable, and request Party A to repay immediately all the due and undue principal, interest and fees;</w:t>
      </w:r>
    </w:p>
    <w:p>
      <w:pPr>
        <w:spacing w:after="0" w:line="158" w:lineRule="exact"/>
        <w:rPr>
          <w:rFonts w:ascii="Arial" w:cs="Arial" w:eastAsia="Arial" w:hAnsi="Arial"/>
          <w:sz w:val="17"/>
          <w:szCs w:val="17"/>
          <w:color w:val="auto"/>
        </w:rPr>
      </w:pPr>
    </w:p>
    <w:p>
      <w:pPr>
        <w:ind w:left="1735" w:right="40" w:hanging="372"/>
        <w:spacing w:after="0" w:line="289" w:lineRule="auto"/>
        <w:tabs>
          <w:tab w:leader="none" w:pos="1744" w:val="left"/>
        </w:tabs>
        <w:numPr>
          <w:ilvl w:val="0"/>
          <w:numId w:val="757"/>
        </w:numPr>
        <w:rPr>
          <w:rFonts w:ascii="Arial" w:cs="Arial" w:eastAsia="Arial" w:hAnsi="Arial"/>
          <w:sz w:val="17"/>
          <w:szCs w:val="17"/>
          <w:color w:val="auto"/>
        </w:rPr>
      </w:pPr>
      <w:r>
        <w:rPr>
          <w:rFonts w:ascii="Arial" w:cs="Arial" w:eastAsia="Arial" w:hAnsi="Arial"/>
          <w:sz w:val="17"/>
          <w:szCs w:val="17"/>
          <w:color w:val="auto"/>
        </w:rPr>
        <w:t>if Party A fails to make any drawdown in accordance with the Contract, Party B may hold Party A liable to pay a penalty equal to 0 % of the Loan proceeds not drawn and may reject Party A’s request for drawing such Loan;</w:t>
      </w:r>
    </w:p>
    <w:p>
      <w:pPr>
        <w:spacing w:after="0" w:line="158" w:lineRule="exact"/>
        <w:rPr>
          <w:rFonts w:ascii="Arial" w:cs="Arial" w:eastAsia="Arial" w:hAnsi="Arial"/>
          <w:sz w:val="17"/>
          <w:szCs w:val="17"/>
          <w:color w:val="auto"/>
        </w:rPr>
      </w:pPr>
    </w:p>
    <w:p>
      <w:pPr>
        <w:ind w:left="1735" w:right="80" w:hanging="372"/>
        <w:spacing w:after="0" w:line="298" w:lineRule="auto"/>
        <w:tabs>
          <w:tab w:leader="none" w:pos="1744" w:val="left"/>
        </w:tabs>
        <w:numPr>
          <w:ilvl w:val="0"/>
          <w:numId w:val="757"/>
        </w:numPr>
        <w:rPr>
          <w:rFonts w:ascii="Arial" w:cs="Arial" w:eastAsia="Arial" w:hAnsi="Arial"/>
          <w:sz w:val="16"/>
          <w:szCs w:val="16"/>
          <w:color w:val="auto"/>
        </w:rPr>
      </w:pPr>
      <w:r>
        <w:rPr>
          <w:rFonts w:ascii="Arial" w:cs="Arial" w:eastAsia="Arial" w:hAnsi="Arial"/>
          <w:sz w:val="16"/>
          <w:szCs w:val="16"/>
          <w:color w:val="auto"/>
        </w:rPr>
        <w:t>if Party A utilizes any part of the Loan for any purpose other than as provided herein, interest on the misappropriated amount shall be calculated and compounded for the period from the date of the misappropriation to the date when all the principal and interest have been fully paid in accordance with the relevant default interest rate and the interest settlement method as provided herein;</w:t>
      </w:r>
    </w:p>
    <w:p>
      <w:pPr>
        <w:spacing w:after="0" w:line="153" w:lineRule="exact"/>
        <w:rPr>
          <w:rFonts w:ascii="Arial" w:cs="Arial" w:eastAsia="Arial" w:hAnsi="Arial"/>
          <w:sz w:val="16"/>
          <w:szCs w:val="16"/>
          <w:color w:val="auto"/>
        </w:rPr>
      </w:pPr>
    </w:p>
    <w:p>
      <w:pPr>
        <w:ind w:left="1735" w:hanging="372"/>
        <w:spacing w:after="0" w:line="268" w:lineRule="auto"/>
        <w:tabs>
          <w:tab w:leader="none" w:pos="1744" w:val="left"/>
        </w:tabs>
        <w:numPr>
          <w:ilvl w:val="0"/>
          <w:numId w:val="757"/>
        </w:numPr>
        <w:rPr>
          <w:rFonts w:ascii="Arial" w:cs="Arial" w:eastAsia="Arial" w:hAnsi="Arial"/>
          <w:sz w:val="17"/>
          <w:szCs w:val="17"/>
          <w:color w:val="auto"/>
        </w:rPr>
      </w:pPr>
      <w:r>
        <w:rPr>
          <w:rFonts w:ascii="Arial" w:cs="Arial" w:eastAsia="Arial" w:hAnsi="Arial"/>
          <w:sz w:val="17"/>
          <w:szCs w:val="17"/>
          <w:color w:val="auto"/>
        </w:rPr>
        <w:t>if any principal is overdue, the interest on such principal and on any overdue interest (including whole or part of the principal and interest which have been accelerated), shall be calculated and compounded for the period from the first date such principal becomes overdue to the date when all the principal and interest have been fully paid, in accordance with the relevant default interest rate and the interest settlement method as provided herein;</w:t>
      </w:r>
    </w:p>
    <w:p>
      <w:pPr>
        <w:spacing w:after="0" w:line="175" w:lineRule="exact"/>
        <w:rPr>
          <w:rFonts w:ascii="Arial" w:cs="Arial" w:eastAsia="Arial" w:hAnsi="Arial"/>
          <w:sz w:val="17"/>
          <w:szCs w:val="17"/>
          <w:color w:val="auto"/>
        </w:rPr>
      </w:pPr>
    </w:p>
    <w:p>
      <w:pPr>
        <w:ind w:left="1735"/>
        <w:spacing w:after="0" w:line="289" w:lineRule="auto"/>
        <w:rPr>
          <w:rFonts w:ascii="Arial" w:cs="Arial" w:eastAsia="Arial" w:hAnsi="Arial"/>
          <w:sz w:val="17"/>
          <w:szCs w:val="17"/>
          <w:color w:val="auto"/>
        </w:rPr>
      </w:pPr>
      <w:r>
        <w:rPr>
          <w:rFonts w:ascii="Arial" w:cs="Arial" w:eastAsia="Arial" w:hAnsi="Arial"/>
          <w:sz w:val="17"/>
          <w:szCs w:val="17"/>
          <w:color w:val="auto"/>
        </w:rPr>
        <w:t>“Overdue” herein means that Party A fails to repay the Loan on the repayment date or, in case of repayment in installments, fails to repay the relevant installments in accordance with the repayment schedule as provided herein.</w:t>
      </w:r>
    </w:p>
    <w:p>
      <w:pPr>
        <w:spacing w:after="0" w:line="158" w:lineRule="exact"/>
        <w:rPr>
          <w:rFonts w:ascii="Arial" w:cs="Arial" w:eastAsia="Arial" w:hAnsi="Arial"/>
          <w:sz w:val="17"/>
          <w:szCs w:val="17"/>
          <w:color w:val="auto"/>
        </w:rPr>
      </w:pPr>
    </w:p>
    <w:p>
      <w:pPr>
        <w:ind w:left="1735" w:right="60"/>
        <w:spacing w:after="0" w:line="289" w:lineRule="auto"/>
        <w:rPr>
          <w:rFonts w:ascii="Arial" w:cs="Arial" w:eastAsia="Arial" w:hAnsi="Arial"/>
          <w:sz w:val="17"/>
          <w:szCs w:val="17"/>
          <w:color w:val="auto"/>
        </w:rPr>
      </w:pPr>
      <w:r>
        <w:rPr>
          <w:rFonts w:ascii="Arial" w:cs="Arial" w:eastAsia="Arial" w:hAnsi="Arial"/>
          <w:sz w:val="17"/>
          <w:szCs w:val="17"/>
          <w:color w:val="auto"/>
        </w:rPr>
        <w:t>Before any principal is overdue, the overdue interest shall be compounded in accordance with the interest rate and the interest settlement method as provided herein;</w:t>
      </w:r>
    </w:p>
    <w:p>
      <w:pPr>
        <w:spacing w:after="0" w:line="158" w:lineRule="exact"/>
        <w:rPr>
          <w:rFonts w:ascii="Arial" w:cs="Arial" w:eastAsia="Arial" w:hAnsi="Arial"/>
          <w:sz w:val="17"/>
          <w:szCs w:val="17"/>
          <w:color w:val="auto"/>
        </w:rPr>
      </w:pPr>
    </w:p>
    <w:p>
      <w:pPr>
        <w:ind w:left="1735" w:hanging="372"/>
        <w:spacing w:after="0"/>
        <w:tabs>
          <w:tab w:leader="none" w:pos="1735" w:val="left"/>
        </w:tabs>
        <w:numPr>
          <w:ilvl w:val="0"/>
          <w:numId w:val="757"/>
        </w:numPr>
        <w:rPr>
          <w:rFonts w:ascii="Arial" w:cs="Arial" w:eastAsia="Arial" w:hAnsi="Arial"/>
          <w:sz w:val="17"/>
          <w:szCs w:val="17"/>
          <w:color w:val="auto"/>
        </w:rPr>
      </w:pPr>
      <w:r>
        <w:rPr>
          <w:rFonts w:ascii="Arial" w:cs="Arial" w:eastAsia="Arial" w:hAnsi="Arial"/>
          <w:sz w:val="17"/>
          <w:szCs w:val="17"/>
          <w:color w:val="auto"/>
        </w:rPr>
        <w:t>other remedies, including but not limited to:</w:t>
      </w:r>
    </w:p>
    <w:p>
      <w:pPr>
        <w:spacing w:after="0" w:line="224" w:lineRule="exact"/>
        <w:rPr>
          <w:rFonts w:ascii="Arial" w:cs="Arial" w:eastAsia="Arial" w:hAnsi="Arial"/>
          <w:sz w:val="17"/>
          <w:szCs w:val="17"/>
          <w:color w:val="auto"/>
        </w:rPr>
      </w:pPr>
    </w:p>
    <w:p>
      <w:pPr>
        <w:ind w:left="2455" w:right="120" w:hanging="525"/>
        <w:spacing w:after="0" w:line="289" w:lineRule="auto"/>
        <w:tabs>
          <w:tab w:leader="none" w:pos="2479" w:val="left"/>
        </w:tabs>
        <w:numPr>
          <w:ilvl w:val="1"/>
          <w:numId w:val="757"/>
        </w:numPr>
        <w:rPr>
          <w:rFonts w:ascii="Arial" w:cs="Arial" w:eastAsia="Arial" w:hAnsi="Arial"/>
          <w:sz w:val="17"/>
          <w:szCs w:val="17"/>
          <w:color w:val="auto"/>
        </w:rPr>
      </w:pPr>
      <w:r>
        <w:rPr>
          <w:rFonts w:ascii="Arial" w:cs="Arial" w:eastAsia="Arial" w:hAnsi="Arial"/>
          <w:sz w:val="17"/>
          <w:szCs w:val="17"/>
          <w:color w:val="auto"/>
        </w:rPr>
        <w:t>to debit Party A’s accounts at China Construction Bank in RMB or other currencies with corresponding amount without prior notice to Party A;</w:t>
      </w:r>
    </w:p>
    <w:p>
      <w:pPr>
        <w:spacing w:after="0" w:line="158" w:lineRule="exact"/>
        <w:rPr>
          <w:rFonts w:ascii="Arial" w:cs="Arial" w:eastAsia="Arial" w:hAnsi="Arial"/>
          <w:sz w:val="17"/>
          <w:szCs w:val="17"/>
          <w:color w:val="auto"/>
        </w:rPr>
      </w:pPr>
    </w:p>
    <w:p>
      <w:pPr>
        <w:ind w:left="2495" w:hanging="565"/>
        <w:spacing w:after="0"/>
        <w:tabs>
          <w:tab w:leader="none" w:pos="2495" w:val="left"/>
        </w:tabs>
        <w:numPr>
          <w:ilvl w:val="1"/>
          <w:numId w:val="757"/>
        </w:numPr>
        <w:rPr>
          <w:rFonts w:ascii="Arial" w:cs="Arial" w:eastAsia="Arial" w:hAnsi="Arial"/>
          <w:sz w:val="17"/>
          <w:szCs w:val="17"/>
          <w:color w:val="auto"/>
        </w:rPr>
      </w:pPr>
      <w:r>
        <w:rPr>
          <w:rFonts w:ascii="Arial" w:cs="Arial" w:eastAsia="Arial" w:hAnsi="Arial"/>
          <w:sz w:val="17"/>
          <w:szCs w:val="17"/>
          <w:color w:val="auto"/>
        </w:rPr>
        <w:t>to exercise its rights under the security interest;</w:t>
      </w:r>
    </w:p>
    <w:p>
      <w:pPr>
        <w:spacing w:after="0" w:line="224" w:lineRule="exact"/>
        <w:rPr>
          <w:rFonts w:ascii="Arial" w:cs="Arial" w:eastAsia="Arial" w:hAnsi="Arial"/>
          <w:sz w:val="17"/>
          <w:szCs w:val="17"/>
          <w:color w:val="auto"/>
        </w:rPr>
      </w:pPr>
    </w:p>
    <w:p>
      <w:pPr>
        <w:ind w:left="2515" w:hanging="585"/>
        <w:spacing w:after="0"/>
        <w:tabs>
          <w:tab w:leader="none" w:pos="2515" w:val="left"/>
        </w:tabs>
        <w:numPr>
          <w:ilvl w:val="1"/>
          <w:numId w:val="757"/>
        </w:numPr>
        <w:rPr>
          <w:rFonts w:ascii="Arial" w:cs="Arial" w:eastAsia="Arial" w:hAnsi="Arial"/>
          <w:sz w:val="17"/>
          <w:szCs w:val="17"/>
          <w:color w:val="auto"/>
        </w:rPr>
      </w:pPr>
      <w:r>
        <w:rPr>
          <w:rFonts w:ascii="Arial" w:cs="Arial" w:eastAsia="Arial" w:hAnsi="Arial"/>
          <w:sz w:val="17"/>
          <w:szCs w:val="17"/>
          <w:color w:val="auto"/>
        </w:rPr>
        <w:t>to request Party A to provide new security satisfactory to Party B for all the debts of Party A hereunder;</w:t>
      </w:r>
    </w:p>
    <w:p>
      <w:pPr>
        <w:spacing w:after="0" w:line="224" w:lineRule="exact"/>
        <w:rPr>
          <w:rFonts w:ascii="Arial" w:cs="Arial" w:eastAsia="Arial" w:hAnsi="Arial"/>
          <w:sz w:val="17"/>
          <w:szCs w:val="17"/>
          <w:color w:val="auto"/>
        </w:rPr>
      </w:pPr>
    </w:p>
    <w:p>
      <w:pPr>
        <w:ind w:left="2455" w:right="80" w:hanging="525"/>
        <w:spacing w:after="0" w:line="289" w:lineRule="auto"/>
        <w:tabs>
          <w:tab w:leader="none" w:pos="2474" w:val="left"/>
        </w:tabs>
        <w:numPr>
          <w:ilvl w:val="1"/>
          <w:numId w:val="757"/>
        </w:numPr>
        <w:rPr>
          <w:rFonts w:ascii="Arial" w:cs="Arial" w:eastAsia="Arial" w:hAnsi="Arial"/>
          <w:sz w:val="17"/>
          <w:szCs w:val="17"/>
          <w:color w:val="auto"/>
        </w:rPr>
      </w:pPr>
      <w:r>
        <w:rPr>
          <w:rFonts w:ascii="Arial" w:cs="Arial" w:eastAsia="Arial" w:hAnsi="Arial"/>
          <w:sz w:val="17"/>
          <w:szCs w:val="17"/>
          <w:color w:val="auto"/>
        </w:rPr>
        <w:t>to decline Party A’s request to dispose of its deposits of corresponding amount, within any account opened with any branch of China Construction Bank (including without limitation the account to collect sale proceeds);</w:t>
      </w:r>
    </w:p>
    <w:p>
      <w:pPr>
        <w:spacing w:after="0" w:line="158" w:lineRule="exact"/>
        <w:rPr>
          <w:rFonts w:ascii="Arial" w:cs="Arial" w:eastAsia="Arial" w:hAnsi="Arial"/>
          <w:sz w:val="17"/>
          <w:szCs w:val="17"/>
          <w:color w:val="auto"/>
        </w:rPr>
      </w:pPr>
    </w:p>
    <w:p>
      <w:pPr>
        <w:ind w:left="2475" w:hanging="545"/>
        <w:spacing w:after="0"/>
        <w:tabs>
          <w:tab w:leader="none" w:pos="2475" w:val="left"/>
        </w:tabs>
        <w:numPr>
          <w:ilvl w:val="1"/>
          <w:numId w:val="757"/>
        </w:numPr>
        <w:rPr>
          <w:rFonts w:ascii="Arial" w:cs="Arial" w:eastAsia="Arial" w:hAnsi="Arial"/>
          <w:sz w:val="17"/>
          <w:szCs w:val="17"/>
          <w:color w:val="auto"/>
        </w:rPr>
      </w:pPr>
      <w:r>
        <w:rPr>
          <w:rFonts w:ascii="Arial" w:cs="Arial" w:eastAsia="Arial" w:hAnsi="Arial"/>
          <w:sz w:val="17"/>
          <w:szCs w:val="17"/>
          <w:color w:val="auto"/>
        </w:rPr>
        <w:t>to terminate the Contract.</w:t>
      </w:r>
    </w:p>
    <w:p>
      <w:pPr>
        <w:spacing w:after="0" w:line="224" w:lineRule="exact"/>
        <w:rPr>
          <w:sz w:val="20"/>
          <w:szCs w:val="20"/>
          <w:color w:val="auto"/>
        </w:rPr>
      </w:pPr>
    </w:p>
    <w:p>
      <w:pPr>
        <w:jc w:val="center"/>
        <w:ind w:right="-54"/>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55"/>
          </w:cols>
          <w:pgMar w:left="245" w:top="127"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15" w:hanging="615"/>
        <w:spacing w:after="0"/>
        <w:tabs>
          <w:tab w:leader="none" w:pos="615" w:val="left"/>
        </w:tabs>
        <w:numPr>
          <w:ilvl w:val="0"/>
          <w:numId w:val="758"/>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ectPr>
          <w:pgSz w:w="11900" w:h="16838" w:orient="portrait"/>
          <w:cols w:equalWidth="0" w:num="1">
            <w:col w:w="11355"/>
          </w:cols>
          <w:pgMar w:left="245" w:top="127" w:right="299" w:bottom="0" w:gutter="0" w:footer="0" w:header="0"/>
          <w:type w:val="continuous"/>
        </w:sectPr>
      </w:pPr>
    </w:p>
    <w:bookmarkStart w:id="437" w:name="page438"/>
    <w:bookmarkEnd w:id="437"/>
    <w:p>
      <w:pPr>
        <w:spacing w:after="0"/>
        <w:tabs>
          <w:tab w:leader="none" w:pos="58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6"/>
          <w:szCs w:val="16"/>
          <w:color w:val="auto"/>
        </w:rPr>
        <w:t>Cost Allocation</w:t>
      </w:r>
    </w:p>
    <w:p>
      <w:pPr>
        <w:spacing w:after="0" w:line="224" w:lineRule="exact"/>
        <w:rPr>
          <w:sz w:val="20"/>
          <w:szCs w:val="20"/>
          <w:color w:val="auto"/>
        </w:rPr>
      </w:pPr>
    </w:p>
    <w:p>
      <w:pPr>
        <w:ind w:left="1180" w:right="180" w:hanging="347"/>
        <w:spacing w:after="0" w:line="273" w:lineRule="auto"/>
        <w:tabs>
          <w:tab w:leader="none" w:pos="1191" w:val="left"/>
        </w:tabs>
        <w:numPr>
          <w:ilvl w:val="0"/>
          <w:numId w:val="759"/>
        </w:numPr>
        <w:rPr>
          <w:rFonts w:ascii="Arial" w:cs="Arial" w:eastAsia="Arial" w:hAnsi="Arial"/>
          <w:sz w:val="17"/>
          <w:szCs w:val="17"/>
          <w:color w:val="auto"/>
        </w:rPr>
      </w:pPr>
      <w:r>
        <w:rPr>
          <w:rFonts w:ascii="Arial" w:cs="Arial" w:eastAsia="Arial" w:hAnsi="Arial"/>
          <w:sz w:val="17"/>
          <w:szCs w:val="17"/>
          <w:color w:val="auto"/>
        </w:rPr>
        <w:t>all costs and expenses incurred as a result of Party A’s breach of any provision in this Contract, including without limitation court fees, arbitration fees, property preservation fees, travel expenses, enforcement expenses, valuation/appraisal fees, auction fees, notary fees, service fees, public announcement costs, legal fees, shall be borne by Party A.</w:t>
      </w:r>
    </w:p>
    <w:p>
      <w:pPr>
        <w:spacing w:after="0" w:line="171" w:lineRule="exact"/>
        <w:rPr>
          <w:rFonts w:ascii="Arial" w:cs="Arial" w:eastAsia="Arial" w:hAnsi="Arial"/>
          <w:sz w:val="17"/>
          <w:szCs w:val="17"/>
          <w:color w:val="auto"/>
        </w:rPr>
      </w:pPr>
    </w:p>
    <w:p>
      <w:pPr>
        <w:ind w:left="1260" w:hanging="427"/>
        <w:spacing w:after="0"/>
        <w:tabs>
          <w:tab w:leader="none" w:pos="1260" w:val="left"/>
        </w:tabs>
        <w:numPr>
          <w:ilvl w:val="0"/>
          <w:numId w:val="759"/>
        </w:numPr>
        <w:rPr>
          <w:rFonts w:ascii="Arial" w:cs="Arial" w:eastAsia="Arial" w:hAnsi="Arial"/>
          <w:sz w:val="17"/>
          <w:szCs w:val="17"/>
          <w:color w:val="auto"/>
        </w:rPr>
      </w:pPr>
      <w:r>
        <w:rPr>
          <w:rFonts w:ascii="Arial" w:cs="Arial" w:eastAsia="Arial" w:hAnsi="Arial"/>
          <w:sz w:val="17"/>
          <w:szCs w:val="17"/>
          <w:color w:val="auto"/>
        </w:rPr>
        <w:t>in respect of other fees the parties agree as follows:</w:t>
      </w:r>
    </w:p>
    <w:p>
      <w:pPr>
        <w:spacing w:after="0" w:line="224"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6"/>
          <w:szCs w:val="16"/>
          <w:color w:val="auto"/>
        </w:rPr>
        <w:t>Use of Party A’s Information</w:t>
      </w:r>
    </w:p>
    <w:p>
      <w:pPr>
        <w:spacing w:after="0" w:line="224" w:lineRule="exact"/>
        <w:rPr>
          <w:sz w:val="20"/>
          <w:szCs w:val="20"/>
          <w:color w:val="auto"/>
        </w:rPr>
      </w:pPr>
    </w:p>
    <w:p>
      <w:pPr>
        <w:jc w:val="both"/>
        <w:ind w:left="640" w:right="120"/>
        <w:spacing w:after="0" w:line="298" w:lineRule="auto"/>
        <w:rPr>
          <w:sz w:val="20"/>
          <w:szCs w:val="20"/>
          <w:color w:val="auto"/>
        </w:rPr>
      </w:pPr>
      <w:r>
        <w:rPr>
          <w:rFonts w:ascii="Arial" w:cs="Arial" w:eastAsia="Arial" w:hAnsi="Arial"/>
          <w:sz w:val="16"/>
          <w:szCs w:val="16"/>
          <w:color w:val="auto"/>
        </w:rPr>
        <w:t>Party A agrees that Party B is entitled to inquire about Party A’s creditworthiness with the Credit Database or relevant authorities established or approved by the People’s Bank of China and the Credit Reference Agency, and that Party B is entitled to provide Party A’s information to such Credit Database. Party A further agrees that Party B may reasonably use and disclose Party A’s information for business purpose.</w:t>
      </w:r>
    </w:p>
    <w:p>
      <w:pPr>
        <w:spacing w:after="0" w:line="154"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6"/>
          <w:szCs w:val="16"/>
          <w:color w:val="auto"/>
        </w:rPr>
        <w:t>Collection by Public Announcement</w:t>
      </w:r>
    </w:p>
    <w:p>
      <w:pPr>
        <w:spacing w:after="0" w:line="224" w:lineRule="exact"/>
        <w:rPr>
          <w:sz w:val="20"/>
          <w:szCs w:val="20"/>
          <w:color w:val="auto"/>
        </w:rPr>
      </w:pPr>
    </w:p>
    <w:p>
      <w:pPr>
        <w:ind w:left="640" w:right="500"/>
        <w:spacing w:after="0" w:line="289" w:lineRule="auto"/>
        <w:rPr>
          <w:sz w:val="20"/>
          <w:szCs w:val="20"/>
          <w:color w:val="auto"/>
        </w:rPr>
      </w:pPr>
      <w:r>
        <w:rPr>
          <w:rFonts w:ascii="Arial" w:cs="Arial" w:eastAsia="Arial" w:hAnsi="Arial"/>
          <w:sz w:val="17"/>
          <w:szCs w:val="17"/>
          <w:color w:val="auto"/>
        </w:rPr>
        <w:t>In the event that Party A fails to repay on time any principal or interest or breaches any other contractual obligations hereunder, Party B is entitled to report to relevant authorities and demand repayments by means of public announcement via press.</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5"/>
          <w:szCs w:val="15"/>
          <w:color w:val="auto"/>
        </w:rPr>
        <w:t>Party B’s Record as Evidence</w:t>
      </w:r>
    </w:p>
    <w:p>
      <w:pPr>
        <w:spacing w:after="0" w:line="224" w:lineRule="exact"/>
        <w:rPr>
          <w:sz w:val="20"/>
          <w:szCs w:val="20"/>
          <w:color w:val="auto"/>
        </w:rPr>
      </w:pPr>
    </w:p>
    <w:p>
      <w:pPr>
        <w:ind w:left="640" w:right="40"/>
        <w:spacing w:after="0" w:line="290" w:lineRule="auto"/>
        <w:rPr>
          <w:sz w:val="20"/>
          <w:szCs w:val="20"/>
          <w:color w:val="auto"/>
        </w:rPr>
      </w:pPr>
      <w:r>
        <w:rPr>
          <w:rFonts w:ascii="Arial" w:cs="Arial" w:eastAsia="Arial" w:hAnsi="Arial"/>
          <w:sz w:val="16"/>
          <w:szCs w:val="16"/>
          <w:color w:val="auto"/>
        </w:rPr>
        <w:t>Unless there is reliable and definitive evidence to the contrary, Party B’s internal records of principal, interest, expenses and repayment, receipts, vouchers made or retained by Party B during the course of drawdown, repayment and interest payment, and records and vouchers relating to the collections by Party B shall constitute valid evidence of the creditor-debtor relationship between the two parties. Party A shall not raise any objection merely because the above records, receipts, vouchers are made or retained by Party B.</w:t>
      </w:r>
    </w:p>
    <w:p>
      <w:pPr>
        <w:spacing w:after="0" w:line="159"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6"/>
          <w:szCs w:val="16"/>
          <w:color w:val="auto"/>
        </w:rPr>
        <w:t>No Waivers</w:t>
      </w:r>
    </w:p>
    <w:p>
      <w:pPr>
        <w:spacing w:after="0" w:line="224" w:lineRule="exact"/>
        <w:rPr>
          <w:sz w:val="20"/>
          <w:szCs w:val="20"/>
          <w:color w:val="auto"/>
        </w:rPr>
      </w:pPr>
    </w:p>
    <w:p>
      <w:pPr>
        <w:ind w:left="640"/>
        <w:spacing w:after="0" w:line="314" w:lineRule="auto"/>
        <w:rPr>
          <w:sz w:val="20"/>
          <w:szCs w:val="20"/>
          <w:color w:val="auto"/>
        </w:rPr>
      </w:pPr>
      <w:r>
        <w:rPr>
          <w:rFonts w:ascii="Arial" w:cs="Arial" w:eastAsia="Arial" w:hAnsi="Arial"/>
          <w:sz w:val="15"/>
          <w:szCs w:val="15"/>
          <w:color w:val="auto"/>
        </w:rPr>
        <w:t>Party B’s rights hereunder shall not prejudice or exclude any other rights Party B is entitled to under applicable laws, regulations and other contracts. No forbearance, extension of time limit, preferential treatment or delay in exercising any right hereunder shall be deemed to constitute a waiver of rights and interests hereunder or permit or recognition of any breach of the Contract. Nor shall it restrict, prevent or interfere with the continuous exercise of such right at a later time or any other right, nor shall the foregoing cause Party B to be liable in any way to the Borrower.</w:t>
      </w:r>
    </w:p>
    <w:p>
      <w:pPr>
        <w:spacing w:after="0" w:line="146" w:lineRule="exact"/>
        <w:rPr>
          <w:sz w:val="20"/>
          <w:szCs w:val="20"/>
          <w:color w:val="auto"/>
        </w:rPr>
      </w:pPr>
    </w:p>
    <w:p>
      <w:pPr>
        <w:ind w:left="600" w:right="100" w:hanging="628"/>
        <w:spacing w:after="0" w:line="273" w:lineRule="auto"/>
        <w:tabs>
          <w:tab w:leader="none" w:pos="58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7"/>
          <w:szCs w:val="17"/>
          <w:color w:val="auto"/>
        </w:rPr>
        <w:t>If Party A owes Party B any other due and payable debts in addition to the debts hereunder, Party B may debit any of Party A’s account at China Construction Bank in RMB or other currencies and may choose to repay any of the due and payable debts in the order it deems appropriate. Party A agrees not to raise any objection with respect thereto.</w:t>
      </w:r>
    </w:p>
    <w:p>
      <w:pPr>
        <w:spacing w:after="0" w:line="17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0" w:right="140" w:hanging="628"/>
        <w:spacing w:after="0" w:line="289" w:lineRule="auto"/>
        <w:tabs>
          <w:tab w:leader="none" w:pos="580" w:val="left"/>
        </w:tabs>
        <w:rPr>
          <w:sz w:val="20"/>
          <w:szCs w:val="20"/>
          <w:color w:val="auto"/>
        </w:rPr>
      </w:pPr>
      <w:r>
        <w:rPr>
          <w:rFonts w:ascii="Arial" w:cs="Arial" w:eastAsia="Arial" w:hAnsi="Arial"/>
          <w:sz w:val="17"/>
          <w:szCs w:val="17"/>
          <w:color w:val="auto"/>
        </w:rPr>
        <w:t>11.7</w:t>
      </w:r>
      <w:r>
        <w:rPr>
          <w:sz w:val="20"/>
          <w:szCs w:val="20"/>
          <w:color w:val="auto"/>
        </w:rPr>
        <w:tab/>
      </w:r>
      <w:r>
        <w:rPr>
          <w:rFonts w:ascii="Arial" w:cs="Arial" w:eastAsia="Arial" w:hAnsi="Arial"/>
          <w:sz w:val="17"/>
          <w:szCs w:val="17"/>
          <w:color w:val="auto"/>
        </w:rPr>
        <w:t>In the event of any change to the address or other contact information, Party A shall promptly notify Party B of such change in writing. Party A shall be liable for any loss caused by its failure of giving prompt notice of such change.</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11.8</w:t>
      </w:r>
      <w:r>
        <w:rPr>
          <w:sz w:val="20"/>
          <w:szCs w:val="20"/>
          <w:color w:val="auto"/>
        </w:rPr>
        <w:tab/>
      </w:r>
      <w:r>
        <w:rPr>
          <w:rFonts w:ascii="Arial" w:cs="Arial" w:eastAsia="Arial" w:hAnsi="Arial"/>
          <w:sz w:val="16"/>
          <w:szCs w:val="16"/>
          <w:color w:val="auto"/>
        </w:rPr>
        <w:t>Direct Debit Right</w:t>
      </w:r>
    </w:p>
    <w:p>
      <w:pPr>
        <w:spacing w:after="0" w:line="224" w:lineRule="exact"/>
        <w:rPr>
          <w:sz w:val="20"/>
          <w:szCs w:val="20"/>
          <w:color w:val="auto"/>
        </w:rPr>
      </w:pPr>
    </w:p>
    <w:p>
      <w:pPr>
        <w:ind w:left="620" w:right="40"/>
        <w:spacing w:after="0" w:line="273" w:lineRule="auto"/>
        <w:rPr>
          <w:sz w:val="20"/>
          <w:szCs w:val="20"/>
          <w:color w:val="auto"/>
        </w:rPr>
      </w:pPr>
      <w:r>
        <w:rPr>
          <w:rFonts w:ascii="Arial" w:cs="Arial" w:eastAsia="Arial" w:hAnsi="Arial"/>
          <w:sz w:val="17"/>
          <w:szCs w:val="17"/>
          <w:color w:val="auto"/>
        </w:rPr>
        <w:t>Party B is entitled to debit, without prior notice to Party A, any account of Party A at China Construction Bank in RMB or other currencies to pay all amounts payable under the Contract. Party A shall assist Party B to complete any procedures for foreign exchange settlement or sale, and Party A shall bear the risk of exchange rate fluctuation.</w:t>
      </w:r>
    </w:p>
    <w:p>
      <w:pPr>
        <w:spacing w:after="0" w:line="17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11.9</w:t>
      </w:r>
      <w:r>
        <w:rPr>
          <w:sz w:val="20"/>
          <w:szCs w:val="20"/>
          <w:color w:val="auto"/>
        </w:rPr>
        <w:tab/>
      </w:r>
      <w:r>
        <w:rPr>
          <w:rFonts w:ascii="Arial" w:cs="Arial" w:eastAsia="Arial" w:hAnsi="Arial"/>
          <w:sz w:val="16"/>
          <w:szCs w:val="16"/>
          <w:color w:val="auto"/>
        </w:rPr>
        <w:t>Dispute Resolution</w:t>
      </w:r>
    </w:p>
    <w:p>
      <w:pPr>
        <w:spacing w:after="0" w:line="224" w:lineRule="exact"/>
        <w:rPr>
          <w:sz w:val="20"/>
          <w:szCs w:val="20"/>
          <w:color w:val="auto"/>
        </w:rPr>
      </w:pPr>
    </w:p>
    <w:p>
      <w:pPr>
        <w:ind w:left="620" w:right="100" w:hanging="35"/>
        <w:spacing w:after="0" w:line="289" w:lineRule="auto"/>
        <w:rPr>
          <w:sz w:val="20"/>
          <w:szCs w:val="20"/>
          <w:color w:val="auto"/>
        </w:rPr>
      </w:pPr>
      <w:r>
        <w:rPr>
          <w:rFonts w:ascii="Arial" w:cs="Arial" w:eastAsia="Arial" w:hAnsi="Arial"/>
          <w:sz w:val="17"/>
          <w:szCs w:val="17"/>
          <w:color w:val="auto"/>
        </w:rPr>
        <w:t>Any dispute arising from the performance of the Contract may be settled by consultation. If the dispute cannot be resolved through consultation, such dispute shall be submitted to (1) [please select from below]:</w:t>
      </w:r>
    </w:p>
    <w:p>
      <w:pPr>
        <w:spacing w:after="0" w:line="158" w:lineRule="exact"/>
        <w:rPr>
          <w:sz w:val="20"/>
          <w:szCs w:val="20"/>
          <w:color w:val="auto"/>
        </w:rPr>
      </w:pPr>
    </w:p>
    <w:p>
      <w:pPr>
        <w:ind w:left="1180" w:hanging="557"/>
        <w:spacing w:after="0"/>
        <w:tabs>
          <w:tab w:leader="none" w:pos="1180" w:val="left"/>
        </w:tabs>
        <w:numPr>
          <w:ilvl w:val="0"/>
          <w:numId w:val="760"/>
        </w:numPr>
        <w:rPr>
          <w:rFonts w:ascii="Arial" w:cs="Arial" w:eastAsia="Arial" w:hAnsi="Arial"/>
          <w:sz w:val="17"/>
          <w:szCs w:val="17"/>
          <w:color w:val="auto"/>
        </w:rPr>
      </w:pPr>
      <w:r>
        <w:rPr>
          <w:rFonts w:ascii="Arial" w:cs="Arial" w:eastAsia="Arial" w:hAnsi="Arial"/>
          <w:sz w:val="17"/>
          <w:szCs w:val="17"/>
          <w:color w:val="auto"/>
        </w:rPr>
        <w:t>the People’s court within the jurisdiction where Party B is located.</w:t>
      </w:r>
    </w:p>
    <w:p>
      <w:pPr>
        <w:spacing w:after="0" w:line="224" w:lineRule="exact"/>
        <w:rPr>
          <w:sz w:val="20"/>
          <w:szCs w:val="20"/>
          <w:color w:val="auto"/>
        </w:rPr>
      </w:pPr>
    </w:p>
    <w:p>
      <w:pPr>
        <w:ind w:left="1180" w:right="460" w:hanging="550"/>
        <w:spacing w:after="0" w:line="289" w:lineRule="auto"/>
        <w:tabs>
          <w:tab w:leader="none" w:pos="116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7"/>
          <w:szCs w:val="17"/>
          <w:color w:val="auto"/>
        </w:rPr>
        <w:t>[name of the arbitration committee] for arbitration at [place of arbitration] in accordance with the then prevailing arbitration rules. The arbitration award shall be final and binding on both Party A and Party B.</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undisputed provisions shall remain enforceable during the process of litigation or arbitration.</w:t>
      </w:r>
    </w:p>
    <w:p>
      <w:pPr>
        <w:spacing w:after="0" w:line="224" w:lineRule="exact"/>
        <w:rPr>
          <w:sz w:val="20"/>
          <w:szCs w:val="20"/>
          <w:color w:val="auto"/>
        </w:rPr>
      </w:pPr>
    </w:p>
    <w:p>
      <w:pPr>
        <w:ind w:left="80"/>
        <w:spacing w:after="0"/>
        <w:tabs>
          <w:tab w:leader="none" w:pos="580" w:val="left"/>
        </w:tabs>
        <w:rPr>
          <w:sz w:val="20"/>
          <w:szCs w:val="20"/>
          <w:color w:val="auto"/>
        </w:rPr>
      </w:pPr>
      <w:r>
        <w:rPr>
          <w:rFonts w:ascii="Arial" w:cs="Arial" w:eastAsia="Arial" w:hAnsi="Arial"/>
          <w:sz w:val="17"/>
          <w:szCs w:val="17"/>
          <w:color w:val="auto"/>
        </w:rPr>
        <w:t>11.10</w:t>
      </w:r>
      <w:r>
        <w:rPr>
          <w:sz w:val="20"/>
          <w:szCs w:val="20"/>
          <w:color w:val="auto"/>
        </w:rPr>
        <w:tab/>
      </w:r>
      <w:r>
        <w:rPr>
          <w:rFonts w:ascii="Arial" w:cs="Arial" w:eastAsia="Arial" w:hAnsi="Arial"/>
          <w:sz w:val="15"/>
          <w:szCs w:val="15"/>
          <w:color w:val="auto"/>
        </w:rPr>
        <w:t>Effectiveness of the Contract</w:t>
      </w:r>
    </w:p>
    <w:p>
      <w:pPr>
        <w:spacing w:after="0" w:line="22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Contract shall become effective upon:</w:t>
      </w:r>
    </w:p>
    <w:p>
      <w:pPr>
        <w:spacing w:after="0" w:line="224" w:lineRule="exact"/>
        <w:rPr>
          <w:sz w:val="20"/>
          <w:szCs w:val="20"/>
          <w:color w:val="auto"/>
        </w:rPr>
      </w:pPr>
    </w:p>
    <w:p>
      <w:pPr>
        <w:ind w:left="1540" w:right="60" w:hanging="466"/>
        <w:spacing w:after="0" w:line="289" w:lineRule="auto"/>
        <w:tabs>
          <w:tab w:leader="none" w:pos="1550" w:val="left"/>
        </w:tabs>
        <w:numPr>
          <w:ilvl w:val="0"/>
          <w:numId w:val="761"/>
        </w:numPr>
        <w:rPr>
          <w:rFonts w:ascii="Arial" w:cs="Arial" w:eastAsia="Arial" w:hAnsi="Arial"/>
          <w:sz w:val="17"/>
          <w:szCs w:val="17"/>
          <w:color w:val="auto"/>
        </w:rPr>
      </w:pPr>
      <w:r>
        <w:rPr>
          <w:rFonts w:ascii="Arial" w:cs="Arial" w:eastAsia="Arial" w:hAnsi="Arial"/>
          <w:sz w:val="17"/>
          <w:szCs w:val="17"/>
          <w:color w:val="auto"/>
        </w:rPr>
        <w:t>execution by the legal representative/(principal officer) or authorized representative of Party A and being affixed with the company chop of Party A; and</w:t>
      </w:r>
    </w:p>
    <w:p>
      <w:pPr>
        <w:spacing w:after="0" w:line="158" w:lineRule="exact"/>
        <w:rPr>
          <w:rFonts w:ascii="Arial" w:cs="Arial" w:eastAsia="Arial" w:hAnsi="Arial"/>
          <w:sz w:val="17"/>
          <w:szCs w:val="17"/>
          <w:color w:val="auto"/>
        </w:rPr>
      </w:pPr>
    </w:p>
    <w:p>
      <w:pPr>
        <w:ind w:left="1540" w:right="140" w:hanging="466"/>
        <w:spacing w:after="0" w:line="289" w:lineRule="auto"/>
        <w:tabs>
          <w:tab w:leader="none" w:pos="1550" w:val="left"/>
        </w:tabs>
        <w:numPr>
          <w:ilvl w:val="0"/>
          <w:numId w:val="761"/>
        </w:numPr>
        <w:rPr>
          <w:rFonts w:ascii="Arial" w:cs="Arial" w:eastAsia="Arial" w:hAnsi="Arial"/>
          <w:sz w:val="17"/>
          <w:szCs w:val="17"/>
          <w:color w:val="auto"/>
        </w:rPr>
      </w:pPr>
      <w:r>
        <w:rPr>
          <w:rFonts w:ascii="Arial" w:cs="Arial" w:eastAsia="Arial" w:hAnsi="Arial"/>
          <w:sz w:val="17"/>
          <w:szCs w:val="17"/>
          <w:color w:val="auto"/>
        </w:rPr>
        <w:t>execution by the principal officer or authorized representative of Party B and being affixed with the company chop of Party B. All Schedules of this Contract shall constitute integral parts of this Contract and shall be equally binding.</w:t>
      </w:r>
    </w:p>
    <w:p>
      <w:pPr>
        <w:spacing w:after="0" w:line="158" w:lineRule="exact"/>
        <w:rPr>
          <w:sz w:val="20"/>
          <w:szCs w:val="20"/>
          <w:color w:val="auto"/>
        </w:rPr>
      </w:pPr>
    </w:p>
    <w:p>
      <w:pPr>
        <w:ind w:left="80"/>
        <w:spacing w:after="0"/>
        <w:tabs>
          <w:tab w:leader="none" w:pos="580" w:val="left"/>
          <w:tab w:leader="none" w:pos="4660" w:val="left"/>
        </w:tabs>
        <w:rPr>
          <w:sz w:val="20"/>
          <w:szCs w:val="20"/>
          <w:color w:val="auto"/>
        </w:rPr>
      </w:pPr>
      <w:r>
        <w:rPr>
          <w:rFonts w:ascii="Arial" w:cs="Arial" w:eastAsia="Arial" w:hAnsi="Arial"/>
          <w:sz w:val="17"/>
          <w:szCs w:val="17"/>
          <w:color w:val="auto"/>
        </w:rPr>
        <w:t>11.11</w:t>
        <w:tab/>
        <w:t>The Contract shall be executed in</w:t>
      </w:r>
      <w:r>
        <w:rPr>
          <w:sz w:val="20"/>
          <w:szCs w:val="20"/>
          <w:color w:val="auto"/>
        </w:rPr>
        <w:tab/>
      </w:r>
      <w:r>
        <w:rPr>
          <w:rFonts w:ascii="Arial" w:cs="Arial" w:eastAsia="Arial" w:hAnsi="Arial"/>
          <w:sz w:val="15"/>
          <w:szCs w:val="15"/>
          <w:color w:val="auto"/>
        </w:rPr>
        <w:t>counterparts.</w:t>
      </w:r>
    </w:p>
    <w:p>
      <w:pPr>
        <w:spacing w:after="0" w:line="224" w:lineRule="exact"/>
        <w:rPr>
          <w:sz w:val="20"/>
          <w:szCs w:val="20"/>
          <w:color w:val="auto"/>
        </w:rPr>
      </w:pPr>
    </w:p>
    <w:p>
      <w:pPr>
        <w:ind w:left="80"/>
        <w:spacing w:after="0"/>
        <w:tabs>
          <w:tab w:leader="none" w:pos="580" w:val="left"/>
        </w:tabs>
        <w:rPr>
          <w:sz w:val="20"/>
          <w:szCs w:val="20"/>
          <w:color w:val="auto"/>
        </w:rPr>
      </w:pPr>
      <w:r>
        <w:rPr>
          <w:rFonts w:ascii="Arial" w:cs="Arial" w:eastAsia="Arial" w:hAnsi="Arial"/>
          <w:sz w:val="17"/>
          <w:szCs w:val="17"/>
          <w:color w:val="auto"/>
        </w:rPr>
        <w:t>11.12</w:t>
      </w:r>
      <w:r>
        <w:rPr>
          <w:sz w:val="20"/>
          <w:szCs w:val="20"/>
          <w:color w:val="auto"/>
        </w:rPr>
        <w:tab/>
      </w:r>
      <w:r>
        <w:rPr>
          <w:rFonts w:ascii="Arial" w:cs="Arial" w:eastAsia="Arial" w:hAnsi="Arial"/>
          <w:sz w:val="16"/>
          <w:szCs w:val="16"/>
          <w:color w:val="auto"/>
        </w:rPr>
        <w:t>Other Provisions:</w:t>
      </w:r>
    </w:p>
    <w:p>
      <w:pPr>
        <w:sectPr>
          <w:pgSz w:w="11900" w:h="16838" w:orient="portrait"/>
          <w:cols w:equalWidth="0" w:num="1">
            <w:col w:w="10780"/>
          </w:cols>
          <w:pgMar w:left="880" w:top="337" w:right="239" w:bottom="154" w:gutter="0" w:footer="0" w:header="0"/>
        </w:sectPr>
      </w:pPr>
    </w:p>
    <w:bookmarkStart w:id="438" w:name="page439"/>
    <w:bookmarkEnd w:id="438"/>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60" w:hanging="655"/>
        <w:spacing w:after="0"/>
        <w:tabs>
          <w:tab w:leader="none" w:pos="660" w:val="left"/>
        </w:tabs>
        <w:numPr>
          <w:ilvl w:val="0"/>
          <w:numId w:val="762"/>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w:t>
      </w:r>
    </w:p>
    <w:p>
      <w:pPr>
        <w:spacing w:after="0" w:line="230" w:lineRule="exact"/>
        <w:rPr>
          <w:sz w:val="20"/>
          <w:szCs w:val="20"/>
          <w:color w:val="auto"/>
        </w:rPr>
      </w:pPr>
    </w:p>
    <w:p>
      <w:pPr>
        <w:ind w:left="840"/>
        <w:spacing w:after="0"/>
        <w:tabs>
          <w:tab w:leader="none" w:pos="134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5"/>
          <w:szCs w:val="15"/>
          <w:color w:val="auto"/>
        </w:rPr>
        <w:t>Party A clearly understands the business scope and authorization limit of Party B.</w:t>
      </w:r>
    </w:p>
    <w:p>
      <w:pPr>
        <w:spacing w:after="0" w:line="224" w:lineRule="exact"/>
        <w:rPr>
          <w:sz w:val="20"/>
          <w:szCs w:val="20"/>
          <w:color w:val="auto"/>
        </w:rPr>
      </w:pPr>
    </w:p>
    <w:p>
      <w:pPr>
        <w:ind w:left="1360" w:right="580" w:hanging="523"/>
        <w:spacing w:after="0" w:line="289" w:lineRule="auto"/>
        <w:tabs>
          <w:tab w:leader="none" w:pos="1340" w:val="left"/>
        </w:tabs>
        <w:rPr>
          <w:sz w:val="20"/>
          <w:szCs w:val="20"/>
          <w:color w:val="auto"/>
        </w:rPr>
      </w:pPr>
      <w:r>
        <w:rPr>
          <w:rFonts w:ascii="Arial" w:cs="Arial" w:eastAsia="Arial" w:hAnsi="Arial"/>
          <w:sz w:val="17"/>
          <w:szCs w:val="17"/>
          <w:color w:val="auto"/>
        </w:rPr>
        <w:t>12.2</w:t>
        <w:tab/>
        <w:t>Party A has read the Contract. Party B, at Party A’s request, has explained the terms of the Contract, and Party A fully understands their meanings and corresponding legal consequences.</w:t>
      </w:r>
    </w:p>
    <w:p>
      <w:pPr>
        <w:spacing w:after="0" w:line="158" w:lineRule="exact"/>
        <w:rPr>
          <w:sz w:val="20"/>
          <w:szCs w:val="20"/>
          <w:color w:val="auto"/>
        </w:rPr>
      </w:pPr>
    </w:p>
    <w:p>
      <w:pPr>
        <w:ind w:left="1360" w:hanging="523"/>
        <w:spacing w:after="0" w:line="273" w:lineRule="auto"/>
        <w:tabs>
          <w:tab w:leader="none" w:pos="1340" w:val="left"/>
        </w:tabs>
        <w:rPr>
          <w:sz w:val="20"/>
          <w:szCs w:val="20"/>
          <w:color w:val="auto"/>
        </w:rPr>
      </w:pPr>
      <w:r>
        <w:rPr>
          <w:rFonts w:ascii="Arial" w:cs="Arial" w:eastAsia="Arial" w:hAnsi="Arial"/>
          <w:sz w:val="17"/>
          <w:szCs w:val="17"/>
          <w:color w:val="auto"/>
        </w:rPr>
        <w:t>12.3</w:t>
        <w:tab/>
        <w:t>The execution and performance of the Contract by Party A is in compliance with laws, administrative regulations, rules and Party A’s articles of association (or its other internal constitutional documents) and has been approved by its internal competent organization and/or the competent governmental authorities.</w:t>
      </w:r>
    </w:p>
    <w:p>
      <w:pPr>
        <w:spacing w:after="0" w:line="172" w:lineRule="exact"/>
        <w:rPr>
          <w:sz w:val="20"/>
          <w:szCs w:val="20"/>
          <w:color w:val="auto"/>
        </w:rPr>
      </w:pPr>
    </w:p>
    <w:p>
      <w:pPr>
        <w:ind w:left="840"/>
        <w:spacing w:after="0"/>
        <w:tabs>
          <w:tab w:leader="none" w:pos="134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5"/>
          <w:szCs w:val="15"/>
          <w:color w:val="auto"/>
        </w:rPr>
        <w:t>Party A carries out production and operation in compliance with laws and regulations.</w:t>
      </w:r>
    </w:p>
    <w:p>
      <w:pPr>
        <w:spacing w:after="0" w:line="224" w:lineRule="exact"/>
        <w:rPr>
          <w:sz w:val="20"/>
          <w:szCs w:val="20"/>
          <w:color w:val="auto"/>
        </w:rPr>
      </w:pPr>
    </w:p>
    <w:p>
      <w:pPr>
        <w:ind w:left="840"/>
        <w:spacing w:after="0"/>
        <w:tabs>
          <w:tab w:leader="none" w:pos="1340"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5"/>
          <w:szCs w:val="15"/>
          <w:color w:val="auto"/>
        </w:rPr>
        <w:t>Party A has the capability to keep its business going and has the legitimate sources to repay the loan.</w:t>
      </w:r>
    </w:p>
    <w:p>
      <w:pPr>
        <w:spacing w:after="0" w:line="224" w:lineRule="exact"/>
        <w:rPr>
          <w:sz w:val="20"/>
          <w:szCs w:val="20"/>
          <w:color w:val="auto"/>
        </w:rPr>
      </w:pPr>
    </w:p>
    <w:p>
      <w:pPr>
        <w:ind w:left="1360" w:right="620" w:hanging="523"/>
        <w:spacing w:after="0" w:line="289" w:lineRule="auto"/>
        <w:tabs>
          <w:tab w:leader="none" w:pos="1340" w:val="left"/>
        </w:tabs>
        <w:rPr>
          <w:sz w:val="20"/>
          <w:szCs w:val="20"/>
          <w:color w:val="auto"/>
        </w:rPr>
      </w:pPr>
      <w:r>
        <w:rPr>
          <w:rFonts w:ascii="Arial" w:cs="Arial" w:eastAsia="Arial" w:hAnsi="Arial"/>
          <w:sz w:val="17"/>
          <w:szCs w:val="17"/>
          <w:color w:val="auto"/>
        </w:rPr>
        <w:t>12.6</w:t>
        <w:tab/>
        <w:t>Party A warrants that the loan amount requested under this Contract is no more than necessary to meet the real needs of Party A for the purposes specified herein.</w:t>
      </w:r>
    </w:p>
    <w:p>
      <w:pPr>
        <w:spacing w:after="0" w:line="158" w:lineRule="exact"/>
        <w:rPr>
          <w:sz w:val="20"/>
          <w:szCs w:val="20"/>
          <w:color w:val="auto"/>
        </w:rPr>
      </w:pPr>
    </w:p>
    <w:p>
      <w:pPr>
        <w:ind w:left="840"/>
        <w:spacing w:after="0"/>
        <w:tabs>
          <w:tab w:leader="none" w:pos="1340" w:val="left"/>
        </w:tabs>
        <w:rPr>
          <w:sz w:val="20"/>
          <w:szCs w:val="20"/>
          <w:color w:val="auto"/>
        </w:rPr>
      </w:pPr>
      <w:r>
        <w:rPr>
          <w:rFonts w:ascii="Arial" w:cs="Arial" w:eastAsia="Arial" w:hAnsi="Arial"/>
          <w:sz w:val="17"/>
          <w:szCs w:val="17"/>
          <w:color w:val="auto"/>
        </w:rPr>
        <w:t>12.7</w:t>
      </w:r>
      <w:r>
        <w:rPr>
          <w:sz w:val="20"/>
          <w:szCs w:val="20"/>
          <w:color w:val="auto"/>
        </w:rPr>
        <w:tab/>
      </w:r>
      <w:r>
        <w:rPr>
          <w:rFonts w:ascii="Arial" w:cs="Arial" w:eastAsia="Arial" w:hAnsi="Arial"/>
          <w:sz w:val="15"/>
          <w:szCs w:val="15"/>
          <w:color w:val="auto"/>
        </w:rPr>
        <w:t>Both Party A and its controlling shareholder have good financial standing and have no record of gross misconducts.</w:t>
      </w:r>
    </w:p>
    <w:p>
      <w:pPr>
        <w:spacing w:after="0" w:line="224" w:lineRule="exact"/>
        <w:rPr>
          <w:sz w:val="20"/>
          <w:szCs w:val="20"/>
          <w:color w:val="auto"/>
        </w:rPr>
      </w:pPr>
    </w:p>
    <w:p>
      <w:pPr>
        <w:ind w:left="1360" w:right="420" w:hanging="523"/>
        <w:spacing w:after="0" w:line="289" w:lineRule="auto"/>
        <w:tabs>
          <w:tab w:leader="none" w:pos="1340" w:val="left"/>
        </w:tabs>
        <w:rPr>
          <w:sz w:val="20"/>
          <w:szCs w:val="20"/>
          <w:color w:val="auto"/>
        </w:rPr>
      </w:pPr>
      <w:r>
        <w:rPr>
          <w:rFonts w:ascii="Arial" w:cs="Arial" w:eastAsia="Arial" w:hAnsi="Arial"/>
          <w:sz w:val="17"/>
          <w:szCs w:val="17"/>
          <w:color w:val="auto"/>
        </w:rPr>
        <w:t>12.8</w:t>
        <w:tab/>
        <w:t>Party A agrees that Party B has the right to instruct other branches of China Construction Bank to advance loan under this Contract and to exercise or perform the rights and obligations hereunder.</w:t>
      </w:r>
    </w:p>
    <w:p>
      <w:pPr>
        <w:spacing w:after="0" w:line="158" w:lineRule="exact"/>
        <w:rPr>
          <w:sz w:val="20"/>
          <w:szCs w:val="20"/>
          <w:color w:val="auto"/>
        </w:rPr>
      </w:pPr>
    </w:p>
    <w:p>
      <w:pPr>
        <w:ind w:left="1360" w:right="20" w:hanging="523"/>
        <w:spacing w:after="0" w:line="263" w:lineRule="auto"/>
        <w:tabs>
          <w:tab w:leader="none" w:pos="1340" w:val="left"/>
        </w:tabs>
        <w:rPr>
          <w:sz w:val="20"/>
          <w:szCs w:val="20"/>
          <w:color w:val="auto"/>
        </w:rPr>
      </w:pPr>
      <w:r>
        <w:rPr>
          <w:rFonts w:ascii="Arial" w:cs="Arial" w:eastAsia="Arial" w:hAnsi="Arial"/>
          <w:sz w:val="17"/>
          <w:szCs w:val="17"/>
          <w:color w:val="auto"/>
        </w:rPr>
        <w:t>12.9</w:t>
        <w:tab/>
        <w:t>Party A represents that, at the time of execution of this Contract, there exists no action or event that violates any applicable laws, regulations or rules in relation to environmental protection, energy saving and emission/pollution reduction (the “Environmental Laws”). Party A further warrants that it shall strictly comply with such Environmental Law after the execution of this Contract. If any of the above representations or warranties is untrue, or Party A defaults on any of the above undertakings, or there is any potential risk of energy dissipation or pollution by Party A, Party B is entitled to stop advancing loans, to declare an acceleration of the principal and interest not yet due hereunder, or adopt other remedial measures provided hereunder or permitted by laws.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A </w:t>
      </w:r>
      <w:r>
        <w:rPr>
          <w:rFonts w:ascii="Arial" w:cs="Arial" w:eastAsia="Arial" w:hAnsi="Arial"/>
          <w:sz w:val="17"/>
          <w:szCs w:val="17"/>
          <w:color w:val="auto"/>
        </w:rPr>
        <w:t>(Company Chop)</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By the legal representative (principal officer) or authorized representative: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17145</wp:posOffset>
            </wp:positionV>
            <wp:extent cx="265557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265557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(Company Chop)</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By the principal officer or authorized representative: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17145</wp:posOffset>
            </wp:positionV>
            <wp:extent cx="265557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265557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Schedule 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Loan Information</w:t>
      </w:r>
    </w:p>
    <w:p>
      <w:pPr>
        <w:spacing w:after="0" w:line="230" w:lineRule="exact"/>
        <w:rPr>
          <w:sz w:val="20"/>
          <w:szCs w:val="20"/>
          <w:color w:val="auto"/>
        </w:rPr>
      </w:pPr>
    </w:p>
    <w:p>
      <w:pPr>
        <w:ind w:left="640" w:hanging="216"/>
        <w:spacing w:after="0"/>
        <w:tabs>
          <w:tab w:leader="none" w:pos="640" w:val="left"/>
        </w:tabs>
        <w:numPr>
          <w:ilvl w:val="0"/>
          <w:numId w:val="763"/>
        </w:numPr>
        <w:rPr>
          <w:rFonts w:ascii="Arial" w:cs="Arial" w:eastAsia="Arial" w:hAnsi="Arial"/>
          <w:sz w:val="17"/>
          <w:szCs w:val="17"/>
          <w:color w:val="auto"/>
        </w:rPr>
      </w:pPr>
      <w:r>
        <w:rPr>
          <w:rFonts w:ascii="Arial" w:cs="Arial" w:eastAsia="Arial" w:hAnsi="Arial"/>
          <w:sz w:val="17"/>
          <w:szCs w:val="17"/>
          <w:color w:val="auto"/>
        </w:rPr>
        <w:t>Specific purposes of the loan:</w:t>
      </w:r>
    </w:p>
    <w:p>
      <w:pPr>
        <w:spacing w:after="0" w:line="224" w:lineRule="exact"/>
        <w:rPr>
          <w:rFonts w:ascii="Arial" w:cs="Arial" w:eastAsia="Arial" w:hAnsi="Arial"/>
          <w:sz w:val="17"/>
          <w:szCs w:val="17"/>
          <w:color w:val="auto"/>
        </w:rPr>
      </w:pPr>
    </w:p>
    <w:p>
      <w:pPr>
        <w:ind w:left="640" w:right="2500"/>
        <w:spacing w:after="0" w:line="515" w:lineRule="auto"/>
        <w:rPr>
          <w:rFonts w:ascii="Arial" w:cs="Arial" w:eastAsia="Arial" w:hAnsi="Arial"/>
          <w:sz w:val="17"/>
          <w:szCs w:val="17"/>
          <w:color w:val="auto"/>
        </w:rPr>
      </w:pPr>
      <w:r>
        <w:rPr>
          <w:rFonts w:ascii="Arial" w:cs="Arial" w:eastAsia="Arial" w:hAnsi="Arial"/>
          <w:sz w:val="17"/>
          <w:szCs w:val="17"/>
          <w:color w:val="auto"/>
        </w:rPr>
        <w:t>This Loan is used for company’s daily operation expense, including material purchase payment and employee’s salary. Party A shall not change the purpose of the loan without Party B’s written consent.</w:t>
      </w:r>
    </w:p>
    <w:p>
      <w:pPr>
        <w:ind w:left="640" w:right="8140" w:hanging="216"/>
        <w:spacing w:after="0" w:line="583" w:lineRule="auto"/>
        <w:tabs>
          <w:tab w:leader="none" w:pos="649" w:val="left"/>
        </w:tabs>
        <w:numPr>
          <w:ilvl w:val="0"/>
          <w:numId w:val="763"/>
        </w:numPr>
        <w:rPr>
          <w:rFonts w:ascii="Arial" w:cs="Arial" w:eastAsia="Arial" w:hAnsi="Arial"/>
          <w:sz w:val="15"/>
          <w:szCs w:val="15"/>
          <w:color w:val="auto"/>
        </w:rPr>
      </w:pPr>
      <w:r>
        <w:rPr>
          <w:rFonts w:ascii="Arial" w:cs="Arial" w:eastAsia="Arial" w:hAnsi="Arial"/>
          <w:sz w:val="15"/>
          <w:szCs w:val="15"/>
          <w:color w:val="auto"/>
        </w:rPr>
        <w:t>Sources of funds for loan repayment : Company’s proceeds of sales.</w:t>
      </w:r>
    </w:p>
    <w:p>
      <w:pPr>
        <w:spacing w:after="0" w:line="1"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7"/>
          <w:szCs w:val="17"/>
          <w:color w:val="auto"/>
        </w:rPr>
        <w:t>Party A guarantees the truthfulness and legality of such sources of funds and the steadiness and adequacy of cash flows of such sources.</w:t>
      </w:r>
    </w:p>
    <w:p>
      <w:pPr>
        <w:spacing w:after="0" w:line="224" w:lineRule="exact"/>
        <w:rPr>
          <w:rFonts w:ascii="Arial" w:cs="Arial" w:eastAsia="Arial" w:hAnsi="Arial"/>
          <w:sz w:val="15"/>
          <w:szCs w:val="15"/>
          <w:color w:val="auto"/>
        </w:rPr>
      </w:pPr>
    </w:p>
    <w:p>
      <w:pPr>
        <w:ind w:left="640" w:hanging="216"/>
        <w:spacing w:after="0"/>
        <w:tabs>
          <w:tab w:leader="none" w:pos="640" w:val="left"/>
        </w:tabs>
        <w:numPr>
          <w:ilvl w:val="0"/>
          <w:numId w:val="763"/>
        </w:numPr>
        <w:rPr>
          <w:rFonts w:ascii="Arial" w:cs="Arial" w:eastAsia="Arial" w:hAnsi="Arial"/>
          <w:sz w:val="17"/>
          <w:szCs w:val="17"/>
          <w:color w:val="auto"/>
        </w:rPr>
      </w:pPr>
      <w:r>
        <w:rPr>
          <w:rFonts w:ascii="Arial" w:cs="Arial" w:eastAsia="Arial" w:hAnsi="Arial"/>
          <w:sz w:val="17"/>
          <w:szCs w:val="17"/>
          <w:color w:val="auto"/>
        </w:rPr>
        <w:t>Miscellaneous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45" w:orient="portrait"/>
          <w:cols w:equalWidth="0" w:num="1">
            <w:col w:w="11420"/>
          </w:cols>
          <w:pgMar w:left="240" w:top="547" w:right="239" w:bottom="0" w:gutter="0" w:footer="0" w:header="0"/>
        </w:sectPr>
      </w:pPr>
    </w:p>
    <w:bookmarkStart w:id="439" w:name="page440"/>
    <w:bookmarkEnd w:id="439"/>
    <w:p>
      <w:pPr>
        <w:ind w:left="6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71385" cy="27305"/>
                    </a:xfrm>
                    <a:prstGeom prst="rect">
                      <a:avLst/>
                    </a:prstGeom>
                    <a:noFill/>
                  </pic:spPr>
                </pic:pic>
              </a:graphicData>
            </a:graphic>
          </wp:anchor>
        </w:drawing>
        <w:t>Schedule 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Mandatory Financial Indicators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Financial indicators of Party A shall on a continuous basis meet the following requirements:</w:t>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4340" w:type="dxa"/>
            <w:vAlign w:val="bottom"/>
          </w:tcPr>
          <w:p>
            <w:pPr>
              <w:spacing w:after="0"/>
              <w:rPr>
                <w:sz w:val="20"/>
                <w:szCs w:val="20"/>
                <w:color w:val="auto"/>
              </w:rPr>
            </w:pPr>
            <w:r>
              <w:rPr>
                <w:rFonts w:ascii="Arial" w:cs="Arial" w:eastAsia="Arial" w:hAnsi="Arial"/>
                <w:sz w:val="17"/>
                <w:szCs w:val="17"/>
                <w:color w:val="auto"/>
              </w:rPr>
              <w:t>Maximum Monthly Capital/Debt</w:t>
            </w:r>
          </w:p>
        </w:tc>
        <w:tc>
          <w:tcPr>
            <w:tcW w:w="1020" w:type="dxa"/>
            <w:vAlign w:val="bottom"/>
          </w:tcPr>
          <w:p>
            <w:pPr>
              <w:ind w:left="600"/>
              <w:spacing w:after="0"/>
              <w:rPr>
                <w:sz w:val="20"/>
                <w:szCs w:val="20"/>
                <w:color w:val="auto"/>
              </w:rPr>
            </w:pPr>
            <w:r>
              <w:rPr>
                <w:rFonts w:ascii="Arial" w:cs="Arial" w:eastAsia="Arial" w:hAnsi="Arial"/>
                <w:sz w:val="17"/>
                <w:szCs w:val="17"/>
                <w:color w:val="auto"/>
              </w:rPr>
              <w:t>65%</w:t>
            </w:r>
          </w:p>
        </w:tc>
      </w:tr>
      <w:tr>
        <w:trPr>
          <w:trHeight w:val="419"/>
        </w:trPr>
        <w:tc>
          <w:tcPr>
            <w:tcW w:w="4340" w:type="dxa"/>
            <w:vAlign w:val="bottom"/>
          </w:tcPr>
          <w:p>
            <w:pPr>
              <w:spacing w:after="0"/>
              <w:rPr>
                <w:sz w:val="20"/>
                <w:szCs w:val="20"/>
                <w:color w:val="auto"/>
              </w:rPr>
            </w:pPr>
            <w:r>
              <w:rPr>
                <w:rFonts w:ascii="Arial" w:cs="Arial" w:eastAsia="Arial" w:hAnsi="Arial"/>
                <w:sz w:val="17"/>
                <w:szCs w:val="17"/>
                <w:color w:val="auto"/>
              </w:rPr>
              <w:t>Minimum Current Ratio:</w:t>
            </w:r>
          </w:p>
        </w:tc>
        <w:tc>
          <w:tcPr>
            <w:tcW w:w="1020" w:type="dxa"/>
            <w:vAlign w:val="bottom"/>
          </w:tcPr>
          <w:p>
            <w:pPr>
              <w:ind w:left="600"/>
              <w:spacing w:after="0"/>
              <w:rPr>
                <w:sz w:val="20"/>
                <w:szCs w:val="20"/>
                <w:color w:val="auto"/>
              </w:rPr>
            </w:pPr>
            <w:r>
              <w:rPr>
                <w:rFonts w:ascii="Arial" w:cs="Arial" w:eastAsia="Arial" w:hAnsi="Arial"/>
                <w:sz w:val="17"/>
                <w:szCs w:val="17"/>
                <w:color w:val="auto"/>
                <w:w w:val="91"/>
              </w:rPr>
              <w:t>100%</w:t>
            </w:r>
          </w:p>
        </w:tc>
      </w:tr>
      <w:tr>
        <w:trPr>
          <w:trHeight w:val="419"/>
        </w:trPr>
        <w:tc>
          <w:tcPr>
            <w:tcW w:w="4340" w:type="dxa"/>
            <w:vAlign w:val="bottom"/>
          </w:tcPr>
          <w:p>
            <w:pPr>
              <w:spacing w:after="0"/>
              <w:rPr>
                <w:sz w:val="20"/>
                <w:szCs w:val="20"/>
                <w:color w:val="auto"/>
              </w:rPr>
            </w:pPr>
            <w:r>
              <w:rPr>
                <w:rFonts w:ascii="Arial" w:cs="Arial" w:eastAsia="Arial" w:hAnsi="Arial"/>
                <w:sz w:val="17"/>
                <w:szCs w:val="17"/>
                <w:color w:val="auto"/>
              </w:rPr>
              <w:t>Minimum liquidity Ratio:</w:t>
            </w:r>
          </w:p>
        </w:tc>
        <w:tc>
          <w:tcPr>
            <w:tcW w:w="1020" w:type="dxa"/>
            <w:vAlign w:val="bottom"/>
          </w:tcPr>
          <w:p>
            <w:pPr>
              <w:ind w:left="600"/>
              <w:spacing w:after="0"/>
              <w:rPr>
                <w:sz w:val="20"/>
                <w:szCs w:val="20"/>
                <w:color w:val="auto"/>
              </w:rPr>
            </w:pPr>
            <w:r>
              <w:rPr>
                <w:rFonts w:ascii="Arial" w:cs="Arial" w:eastAsia="Arial" w:hAnsi="Arial"/>
                <w:sz w:val="17"/>
                <w:szCs w:val="17"/>
                <w:color w:val="auto"/>
              </w:rPr>
              <w:t>60%</w:t>
            </w:r>
          </w:p>
        </w:tc>
      </w:tr>
      <w:tr>
        <w:trPr>
          <w:trHeight w:val="419"/>
        </w:trPr>
        <w:tc>
          <w:tcPr>
            <w:tcW w:w="4340" w:type="dxa"/>
            <w:vAlign w:val="bottom"/>
          </w:tcPr>
          <w:p>
            <w:pPr>
              <w:spacing w:after="0"/>
              <w:rPr>
                <w:sz w:val="20"/>
                <w:szCs w:val="20"/>
                <w:color w:val="auto"/>
              </w:rPr>
            </w:pPr>
            <w:r>
              <w:rPr>
                <w:rFonts w:ascii="Arial" w:cs="Arial" w:eastAsia="Arial" w:hAnsi="Arial"/>
                <w:sz w:val="17"/>
                <w:szCs w:val="17"/>
                <w:color w:val="auto"/>
              </w:rPr>
              <w:t>Maximum contingency liability/Capital</w:t>
            </w:r>
          </w:p>
        </w:tc>
        <w:tc>
          <w:tcPr>
            <w:tcW w:w="1020" w:type="dxa"/>
            <w:vAlign w:val="bottom"/>
          </w:tcPr>
          <w:p>
            <w:pPr>
              <w:ind w:left="600"/>
              <w:spacing w:after="0"/>
              <w:rPr>
                <w:sz w:val="20"/>
                <w:szCs w:val="20"/>
                <w:color w:val="auto"/>
              </w:rPr>
            </w:pPr>
            <w:r>
              <w:rPr>
                <w:rFonts w:ascii="Arial" w:cs="Arial" w:eastAsia="Arial" w:hAnsi="Arial"/>
                <w:sz w:val="17"/>
                <w:szCs w:val="17"/>
                <w:color w:val="auto"/>
              </w:rPr>
              <w:t>30%</w:t>
            </w:r>
          </w:p>
        </w:tc>
      </w:tr>
      <w:tr>
        <w:trPr>
          <w:trHeight w:val="419"/>
        </w:trPr>
        <w:tc>
          <w:tcPr>
            <w:tcW w:w="4340" w:type="dxa"/>
            <w:vAlign w:val="bottom"/>
          </w:tcPr>
          <w:p>
            <w:pPr>
              <w:spacing w:after="0"/>
              <w:rPr>
                <w:sz w:val="20"/>
                <w:szCs w:val="20"/>
                <w:color w:val="auto"/>
              </w:rPr>
            </w:pPr>
            <w:r>
              <w:rPr>
                <w:rFonts w:ascii="Arial" w:cs="Arial" w:eastAsia="Arial" w:hAnsi="Arial"/>
                <w:sz w:val="17"/>
                <w:szCs w:val="17"/>
                <w:color w:val="auto"/>
              </w:rPr>
              <w:t>Maximum accumulated long term investment/Capital</w:t>
            </w:r>
          </w:p>
        </w:tc>
        <w:tc>
          <w:tcPr>
            <w:tcW w:w="1020" w:type="dxa"/>
            <w:vAlign w:val="bottom"/>
          </w:tcPr>
          <w:p>
            <w:pPr>
              <w:ind w:left="600"/>
              <w:spacing w:after="0"/>
              <w:rPr>
                <w:sz w:val="20"/>
                <w:szCs w:val="20"/>
                <w:color w:val="auto"/>
              </w:rPr>
            </w:pPr>
            <w:r>
              <w:rPr>
                <w:rFonts w:ascii="Arial" w:cs="Arial" w:eastAsia="Arial" w:hAnsi="Arial"/>
                <w:sz w:val="17"/>
                <w:szCs w:val="17"/>
                <w:color w:val="auto"/>
              </w:rPr>
              <w:t>30%</w:t>
            </w:r>
          </w:p>
        </w:tc>
      </w:tr>
    </w:tbl>
    <w:p>
      <w:pPr>
        <w:spacing w:after="0" w:line="198" w:lineRule="exact"/>
        <w:rPr>
          <w:sz w:val="20"/>
          <w:szCs w:val="20"/>
          <w:color w:val="auto"/>
        </w:rPr>
      </w:pPr>
    </w:p>
    <w:p>
      <w:pPr>
        <w:ind w:left="640" w:right="240"/>
        <w:spacing w:after="0" w:line="289" w:lineRule="auto"/>
        <w:rPr>
          <w:sz w:val="20"/>
          <w:szCs w:val="20"/>
          <w:color w:val="auto"/>
        </w:rPr>
      </w:pPr>
      <w:r>
        <w:rPr>
          <w:rFonts w:ascii="Arial" w:cs="Arial" w:eastAsia="Arial" w:hAnsi="Arial"/>
          <w:sz w:val="17"/>
          <w:szCs w:val="17"/>
          <w:color w:val="auto"/>
        </w:rPr>
        <w:t>Party B has the right to change unilaterally such requirements as to mandatory indicators provided that FIVE working-day advanced notice is issued to Party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Schedule 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for Loan Drawdown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Contract Number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Date of Drawdown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vMerge w:val="restart"/>
          </w:tcPr>
          <w:p>
            <w:pPr>
              <w:spacing w:after="0"/>
              <w:rPr>
                <w:sz w:val="20"/>
                <w:szCs w:val="20"/>
                <w:color w:val="auto"/>
              </w:rPr>
            </w:pPr>
            <w:r>
              <w:rPr>
                <w:rFonts w:ascii="Arial" w:cs="Arial" w:eastAsia="Arial" w:hAnsi="Arial"/>
                <w:sz w:val="14"/>
                <w:szCs w:val="14"/>
                <w:b w:val="1"/>
                <w:bCs w:val="1"/>
                <w:color w:val="auto"/>
                <w:w w:val="88"/>
              </w:rPr>
              <w:t>No.</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Proposed</w:t>
            </w:r>
          </w:p>
        </w:tc>
        <w:tc>
          <w:tcPr>
            <w:tcW w:w="2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Proposed Payment</w:t>
            </w:r>
          </w:p>
        </w:tc>
        <w:tc>
          <w:tcPr>
            <w:tcW w:w="3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Proposed Recipient</w:t>
            </w:r>
          </w:p>
        </w:tc>
        <w:tc>
          <w:tcPr>
            <w:tcW w:w="8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167"/>
        </w:trPr>
        <w:tc>
          <w:tcPr>
            <w:tcW w:w="2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Purpose</w:t>
            </w:r>
          </w:p>
        </w:tc>
        <w:tc>
          <w:tcPr>
            <w:tcW w:w="2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3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(if any)</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ind w:right="133"/>
              <w:spacing w:after="0"/>
              <w:rPr>
                <w:sz w:val="20"/>
                <w:szCs w:val="20"/>
                <w:color w:val="auto"/>
              </w:rPr>
            </w:pPr>
            <w:r>
              <w:rPr>
                <w:rFonts w:ascii="Arial" w:cs="Arial" w:eastAsia="Arial" w:hAnsi="Arial"/>
                <w:sz w:val="17"/>
                <w:szCs w:val="17"/>
                <w:color w:val="auto"/>
                <w:w w:val="84"/>
              </w:rPr>
              <w:t>1</w:t>
            </w:r>
          </w:p>
        </w:tc>
        <w:tc>
          <w:tcPr>
            <w:tcW w:w="240" w:type="dxa"/>
            <w:vAlign w:val="bottom"/>
            <w:tcBorders>
              <w:top w:val="single" w:sz="8" w:color="CCEEFF"/>
            </w:tcBorders>
            <w:shd w:val="clear" w:color="auto" w:fill="CCEEFF"/>
          </w:tcPr>
          <w:p>
            <w:pPr>
              <w:spacing w:after="0"/>
              <w:rPr>
                <w:sz w:val="17"/>
                <w:szCs w:val="17"/>
                <w:color w:val="auto"/>
              </w:rPr>
            </w:pPr>
          </w:p>
        </w:tc>
        <w:tc>
          <w:tcPr>
            <w:tcW w:w="3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80" w:type="dxa"/>
            <w:vAlign w:val="bottom"/>
          </w:tcPr>
          <w:p>
            <w:pPr>
              <w:jc w:val="center"/>
              <w:ind w:right="133"/>
              <w:spacing w:after="0"/>
              <w:rPr>
                <w:sz w:val="20"/>
                <w:szCs w:val="20"/>
                <w:color w:val="auto"/>
              </w:rPr>
            </w:pPr>
            <w:r>
              <w:rPr>
                <w:rFonts w:ascii="Arial" w:cs="Arial" w:eastAsia="Arial" w:hAnsi="Arial"/>
                <w:sz w:val="17"/>
                <w:szCs w:val="17"/>
                <w:color w:val="auto"/>
                <w:w w:val="84"/>
              </w:rPr>
              <w:t>2</w:t>
            </w:r>
          </w:p>
        </w:tc>
        <w:tc>
          <w:tcPr>
            <w:tcW w:w="2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shd w:val="clear" w:color="auto" w:fill="CCEEFF"/>
          </w:tcPr>
          <w:p>
            <w:pPr>
              <w:spacing w:after="0"/>
              <w:rPr>
                <w:sz w:val="18"/>
                <w:szCs w:val="18"/>
                <w:color w:val="auto"/>
              </w:rPr>
            </w:pPr>
          </w:p>
        </w:tc>
        <w:tc>
          <w:tcPr>
            <w:tcW w:w="4340" w:type="dxa"/>
            <w:vAlign w:val="bottom"/>
            <w:gridSpan w:val="4"/>
            <w:shd w:val="clear" w:color="auto" w:fill="CCEEFF"/>
          </w:tcPr>
          <w:p>
            <w:pPr>
              <w:jc w:val="center"/>
              <w:ind w:right="3980"/>
              <w:spacing w:after="0"/>
              <w:rPr>
                <w:sz w:val="20"/>
                <w:szCs w:val="20"/>
                <w:color w:val="auto"/>
              </w:rPr>
            </w:pPr>
            <w:r>
              <w:rPr>
                <w:rFonts w:ascii="Arial" w:cs="Arial" w:eastAsia="Arial" w:hAnsi="Arial"/>
                <w:sz w:val="17"/>
                <w:szCs w:val="17"/>
                <w:color w:val="auto"/>
                <w:w w:val="93"/>
              </w:rPr>
              <w:t>…</w:t>
            </w:r>
          </w:p>
        </w:tc>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340" w:type="dxa"/>
            <w:vAlign w:val="bottom"/>
            <w:gridSpan w:val="4"/>
          </w:tcPr>
          <w:p>
            <w:pPr>
              <w:jc w:val="center"/>
              <w:ind w:right="3980"/>
              <w:spacing w:after="0"/>
              <w:rPr>
                <w:sz w:val="20"/>
                <w:szCs w:val="20"/>
                <w:color w:val="auto"/>
              </w:rPr>
            </w:pPr>
            <w:r>
              <w:rPr>
                <w:rFonts w:ascii="Arial" w:cs="Arial" w:eastAsia="Arial" w:hAnsi="Arial"/>
                <w:sz w:val="17"/>
                <w:szCs w:val="17"/>
                <w:color w:val="auto"/>
                <w:w w:val="93"/>
              </w:rPr>
              <w:t>…</w:t>
            </w: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shd w:val="clear" w:color="auto" w:fill="CCEEFF"/>
          </w:tcPr>
          <w:p>
            <w:pPr>
              <w:spacing w:after="0"/>
              <w:rPr>
                <w:sz w:val="18"/>
                <w:szCs w:val="18"/>
                <w:color w:val="auto"/>
              </w:rPr>
            </w:pPr>
          </w:p>
        </w:tc>
        <w:tc>
          <w:tcPr>
            <w:tcW w:w="43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w:t>
            </w:r>
          </w:p>
        </w:tc>
        <w:tc>
          <w:tcPr>
            <w:tcW w:w="28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RMB (CAPITALIZE WORDS)</w:t>
            </w: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Name of the Borrower (company seal):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Schedule 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report on payment at Party A’s initiative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Contract Number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Date of Delivery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w w:val="90"/>
              </w:rPr>
              <w:t>Whether or not</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in compliance</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4"/>
              </w:rPr>
              <w:t>with the</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Actual purpose of</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Evidencing</w:t>
            </w:r>
          </w:p>
        </w:tc>
        <w:tc>
          <w:tcPr>
            <w:tcW w:w="31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purpose</w:t>
            </w:r>
          </w:p>
        </w:tc>
        <w:tc>
          <w:tcPr>
            <w:tcW w:w="0" w:type="dxa"/>
            <w:vAlign w:val="bottom"/>
          </w:tcPr>
          <w:p>
            <w:pPr>
              <w:spacing w:after="0"/>
              <w:rPr>
                <w:sz w:val="1"/>
                <w:szCs w:val="1"/>
                <w:color w:val="auto"/>
              </w:rPr>
            </w:pPr>
          </w:p>
        </w:tc>
      </w:tr>
      <w:tr>
        <w:trPr>
          <w:trHeight w:val="144"/>
        </w:trPr>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w:t>
            </w:r>
          </w:p>
        </w:tc>
        <w:tc>
          <w:tcPr>
            <w:tcW w:w="2920" w:type="dxa"/>
            <w:vAlign w:val="bottom"/>
            <w:gridSpan w:val="2"/>
            <w:vMerge w:val="continue"/>
          </w:tcPr>
          <w:p>
            <w:pPr>
              <w:spacing w:after="0"/>
              <w:rPr>
                <w:sz w:val="12"/>
                <w:szCs w:val="12"/>
                <w:color w:val="auto"/>
              </w:rPr>
            </w:pPr>
          </w:p>
        </w:tc>
        <w:tc>
          <w:tcPr>
            <w:tcW w:w="10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Recipient</w:t>
            </w:r>
          </w:p>
        </w:tc>
        <w:tc>
          <w:tcPr>
            <w:tcW w:w="22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Amount</w:t>
            </w:r>
          </w:p>
        </w:tc>
        <w:tc>
          <w:tcPr>
            <w:tcW w:w="2120" w:type="dxa"/>
            <w:vAlign w:val="bottom"/>
            <w:gridSpan w:val="2"/>
            <w:vMerge w:val="continue"/>
          </w:tcPr>
          <w:p>
            <w:pPr>
              <w:spacing w:after="0"/>
              <w:rPr>
                <w:sz w:val="12"/>
                <w:szCs w:val="12"/>
                <w:color w:val="auto"/>
              </w:rPr>
            </w:pPr>
          </w:p>
        </w:tc>
        <w:tc>
          <w:tcPr>
            <w:tcW w:w="31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5"/>
              </w:rPr>
              <w:t>specified in</w:t>
            </w:r>
          </w:p>
        </w:tc>
        <w:tc>
          <w:tcPr>
            <w:tcW w:w="0" w:type="dxa"/>
            <w:vAlign w:val="bottom"/>
          </w:tcPr>
          <w:p>
            <w:pPr>
              <w:spacing w:after="0"/>
              <w:rPr>
                <w:sz w:val="1"/>
                <w:szCs w:val="1"/>
                <w:color w:val="auto"/>
              </w:rPr>
            </w:pPr>
          </w:p>
        </w:tc>
      </w:tr>
      <w:tr>
        <w:trPr>
          <w:trHeight w:val="167"/>
        </w:trPr>
        <w:tc>
          <w:tcPr>
            <w:tcW w:w="920" w:type="dxa"/>
            <w:vAlign w:val="bottom"/>
            <w:gridSpan w:val="2"/>
            <w:vMerge w:val="continue"/>
          </w:tcPr>
          <w:p>
            <w:pPr>
              <w:spacing w:after="0"/>
              <w:rPr>
                <w:sz w:val="14"/>
                <w:szCs w:val="14"/>
                <w:color w:val="auto"/>
              </w:rPr>
            </w:pPr>
          </w:p>
        </w:tc>
        <w:tc>
          <w:tcPr>
            <w:tcW w:w="2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the Loan</w:t>
            </w: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Materials</w:t>
            </w: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w w:val="90"/>
              </w:rPr>
              <w:t>this Contract</w:t>
            </w:r>
          </w:p>
        </w:tc>
        <w:tc>
          <w:tcPr>
            <w:tcW w:w="0" w:type="dxa"/>
            <w:vAlign w:val="bottom"/>
          </w:tcPr>
          <w:p>
            <w:pPr>
              <w:spacing w:after="0"/>
              <w:rPr>
                <w:sz w:val="1"/>
                <w:szCs w:val="1"/>
                <w:color w:val="auto"/>
              </w:rPr>
            </w:pPr>
          </w:p>
        </w:tc>
      </w:tr>
      <w:tr>
        <w:trPr>
          <w:trHeight w:val="203"/>
        </w:trPr>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24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9"/>
              </w:rPr>
              <w:t>……</w:t>
            </w:r>
          </w:p>
        </w:tc>
        <w:tc>
          <w:tcPr>
            <w:tcW w:w="2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gridSpan w:val="2"/>
          </w:tcPr>
          <w:p>
            <w:pPr>
              <w:ind w:left="200"/>
              <w:spacing w:after="0"/>
              <w:rPr>
                <w:sz w:val="20"/>
                <w:szCs w:val="20"/>
                <w:color w:val="auto"/>
              </w:rPr>
            </w:pPr>
            <w:r>
              <w:rPr>
                <w:rFonts w:ascii="Arial" w:cs="Arial" w:eastAsia="Arial" w:hAnsi="Arial"/>
                <w:sz w:val="17"/>
                <w:szCs w:val="17"/>
                <w:color w:val="auto"/>
              </w:rPr>
              <w:t>total</w:t>
            </w:r>
          </w:p>
        </w:tc>
        <w:tc>
          <w:tcPr>
            <w:tcW w:w="2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60" w:type="dxa"/>
            <w:vAlign w:val="bottom"/>
            <w:gridSpan w:val="5"/>
          </w:tcPr>
          <w:p>
            <w:pPr>
              <w:ind w:left="200"/>
              <w:spacing w:after="0"/>
              <w:rPr>
                <w:sz w:val="20"/>
                <w:szCs w:val="20"/>
                <w:color w:val="auto"/>
              </w:rPr>
            </w:pPr>
            <w:r>
              <w:rPr>
                <w:rFonts w:ascii="Arial" w:cs="Arial" w:eastAsia="Arial" w:hAnsi="Arial"/>
                <w:sz w:val="17"/>
                <w:szCs w:val="17"/>
                <w:color w:val="auto"/>
              </w:rPr>
              <w:t>RMB (CAPITALIZE WORDS)</w:t>
            </w: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spacing w:after="0"/>
        <w:rPr>
          <w:sz w:val="20"/>
          <w:szCs w:val="20"/>
          <w:color w:val="auto"/>
        </w:rPr>
      </w:pPr>
      <w:r>
        <w:rPr>
          <w:rFonts w:ascii="Arial" w:cs="Arial" w:eastAsia="Arial" w:hAnsi="Arial"/>
          <w:sz w:val="17"/>
          <w:szCs w:val="17"/>
          <w:color w:val="auto"/>
        </w:rPr>
        <w:t>Name of the Borrower_ (company seal):</w:t>
      </w:r>
    </w:p>
    <w:p>
      <w:pPr>
        <w:spacing w:after="0" w:line="224" w:lineRule="exact"/>
        <w:rPr>
          <w:sz w:val="20"/>
          <w:szCs w:val="20"/>
          <w:color w:val="auto"/>
        </w:rPr>
      </w:pPr>
    </w:p>
    <w:p>
      <w:pPr>
        <w:ind w:left="7260"/>
        <w:spacing w:after="0"/>
        <w:rPr>
          <w:sz w:val="20"/>
          <w:szCs w:val="20"/>
          <w:color w:val="auto"/>
        </w:rPr>
      </w:pPr>
      <w:r>
        <w:rPr>
          <w:rFonts w:ascii="Arial" w:cs="Arial" w:eastAsia="Arial" w:hAnsi="Arial"/>
          <w:sz w:val="17"/>
          <w:szCs w:val="17"/>
          <w:color w:val="auto"/>
        </w:rPr>
        <w:t>Relationship Manager (signature):</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Internal review</w:t>
      </w:r>
    </w:p>
    <w:p>
      <w:pPr>
        <w:spacing w:after="0" w:line="14"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Officer in charge of reviewing loan advances and payments (signature):</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711" w:right="239" w:bottom="207" w:gutter="0" w:footer="0" w:header="0"/>
        </w:sectPr>
      </w:pPr>
    </w:p>
    <w:bookmarkStart w:id="440" w:name="page441"/>
    <w:bookmarkEnd w:id="440"/>
    <w:p>
      <w:pPr>
        <w:jc w:val="center"/>
        <w:ind w:right="40"/>
        <w:spacing w:after="0"/>
        <w:rPr>
          <w:sz w:val="20"/>
          <w:szCs w:val="20"/>
          <w:color w:val="auto"/>
        </w:rPr>
      </w:pPr>
      <w:r>
        <w:rPr>
          <w:rFonts w:ascii="Arial" w:cs="Arial" w:eastAsia="Arial" w:hAnsi="Arial"/>
          <w:sz w:val="17"/>
          <w:szCs w:val="17"/>
          <w:b w:val="1"/>
          <w:bCs w:val="1"/>
          <w:u w:val="single" w:color="auto"/>
          <w:color w:val="auto"/>
        </w:rPr>
        <w:t>Schedule A to Form of RMB Working Capital Loan Agreement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20"/>
                <w:szCs w:val="20"/>
                <w:color w:val="auto"/>
              </w:rPr>
            </w:pPr>
            <w:r>
              <w:rPr>
                <w:rFonts w:ascii="Arial" w:cs="Arial" w:eastAsia="Arial" w:hAnsi="Arial"/>
                <w:sz w:val="14"/>
                <w:szCs w:val="14"/>
                <w:b w:val="1"/>
                <w:bCs w:val="1"/>
                <w:color w:val="auto"/>
              </w:rPr>
              <w:t>Loan</w:t>
            </w:r>
          </w:p>
        </w:tc>
        <w:tc>
          <w:tcPr>
            <w:tcW w:w="2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Loan</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Drawdown</w:t>
            </w:r>
          </w:p>
        </w:tc>
        <w:tc>
          <w:tcPr>
            <w:tcW w:w="230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Schedule for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540" w:type="dxa"/>
            <w:vAlign w:val="bottom"/>
          </w:tcPr>
          <w:p>
            <w:pPr>
              <w:spacing w:after="0" w:line="144" w:lineRule="exact"/>
              <w:rPr>
                <w:sz w:val="20"/>
                <w:szCs w:val="20"/>
                <w:color w:val="auto"/>
              </w:rPr>
            </w:pPr>
            <w:r>
              <w:rPr>
                <w:rFonts w:ascii="Arial" w:cs="Arial" w:eastAsia="Arial" w:hAnsi="Arial"/>
                <w:sz w:val="14"/>
                <w:szCs w:val="14"/>
                <w:b w:val="1"/>
                <w:bCs w:val="1"/>
                <w:color w:val="auto"/>
              </w:rPr>
              <w:t>Commencement</w:t>
            </w:r>
          </w:p>
        </w:tc>
        <w:tc>
          <w:tcPr>
            <w:tcW w:w="2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Loan Amount</w:t>
            </w:r>
          </w:p>
        </w:tc>
        <w:tc>
          <w:tcPr>
            <w:tcW w:w="220" w:type="dxa"/>
            <w:vAlign w:val="bottom"/>
          </w:tcPr>
          <w:p>
            <w:pPr>
              <w:spacing w:after="0"/>
              <w:rPr>
                <w:sz w:val="12"/>
                <w:szCs w:val="12"/>
                <w:color w:val="auto"/>
              </w:rPr>
            </w:pPr>
          </w:p>
        </w:tc>
        <w:tc>
          <w:tcPr>
            <w:tcW w:w="240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Loan Rate</w:t>
            </w:r>
          </w:p>
        </w:tc>
        <w:tc>
          <w:tcPr>
            <w:tcW w:w="1660" w:type="dxa"/>
            <w:vAlign w:val="bottom"/>
            <w:gridSpan w:val="2"/>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Expiration Date</w:t>
            </w:r>
          </w:p>
        </w:tc>
        <w:tc>
          <w:tcPr>
            <w:tcW w:w="2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b w:val="1"/>
                <w:bCs w:val="1"/>
                <w:color w:val="auto"/>
              </w:rPr>
              <w:t>Schedule</w:t>
            </w:r>
          </w:p>
        </w:tc>
        <w:tc>
          <w:tcPr>
            <w:tcW w:w="2300" w:type="dxa"/>
            <w:vAlign w:val="bottom"/>
          </w:tcPr>
          <w:p>
            <w:pPr>
              <w:ind w:left="820"/>
              <w:spacing w:after="0"/>
              <w:rPr>
                <w:sz w:val="20"/>
                <w:szCs w:val="20"/>
                <w:color w:val="auto"/>
              </w:rPr>
            </w:pPr>
            <w:r>
              <w:rPr>
                <w:rFonts w:ascii="Arial" w:cs="Arial" w:eastAsia="Arial" w:hAnsi="Arial"/>
                <w:sz w:val="14"/>
                <w:szCs w:val="14"/>
                <w:b w:val="1"/>
                <w:bCs w:val="1"/>
                <w:color w:val="auto"/>
              </w:rPr>
              <w:t>Repayment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540" w:type="dxa"/>
            <w:vAlign w:val="bottom"/>
            <w:tcBorders>
              <w:top w:val="single" w:sz="8" w:color="auto"/>
            </w:tcBorders>
            <w:shd w:val="clear" w:color="auto" w:fill="CCEEFF"/>
          </w:tcPr>
          <w:p>
            <w:pPr>
              <w:spacing w:after="0" w:line="190" w:lineRule="exact"/>
              <w:rPr>
                <w:sz w:val="20"/>
                <w:szCs w:val="20"/>
                <w:color w:val="auto"/>
              </w:rPr>
            </w:pPr>
            <w:r>
              <w:rPr>
                <w:rFonts w:ascii="Arial" w:cs="Arial" w:eastAsia="Arial" w:hAnsi="Arial"/>
                <w:sz w:val="17"/>
                <w:szCs w:val="17"/>
                <w:color w:val="auto"/>
              </w:rPr>
              <w:t>September 4, 2012</w:t>
            </w:r>
          </w:p>
        </w:tc>
        <w:tc>
          <w:tcPr>
            <w:tcW w:w="24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line="190" w:lineRule="exact"/>
              <w:rPr>
                <w:sz w:val="20"/>
                <w:szCs w:val="20"/>
                <w:color w:val="auto"/>
              </w:rPr>
            </w:pPr>
            <w:r>
              <w:rPr>
                <w:rFonts w:ascii="Arial" w:cs="Arial" w:eastAsia="Arial" w:hAnsi="Arial"/>
                <w:sz w:val="17"/>
                <w:szCs w:val="17"/>
                <w:color w:val="auto"/>
              </w:rPr>
              <w:t>September 5, 2013</w:t>
            </w:r>
          </w:p>
        </w:tc>
        <w:tc>
          <w:tcPr>
            <w:tcW w:w="2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line="190" w:lineRule="exact"/>
              <w:rPr>
                <w:sz w:val="20"/>
                <w:szCs w:val="20"/>
                <w:color w:val="auto"/>
              </w:rPr>
            </w:pPr>
            <w:r>
              <w:rPr>
                <w:rFonts w:ascii="Arial" w:cs="Arial" w:eastAsia="Arial" w:hAnsi="Arial"/>
                <w:sz w:val="17"/>
                <w:szCs w:val="17"/>
                <w:color w:val="auto"/>
              </w:rPr>
              <w:t>2,000,000 RMB</w:t>
            </w:r>
          </w:p>
        </w:tc>
        <w:tc>
          <w:tcPr>
            <w:tcW w:w="22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line="190" w:lineRule="exact"/>
              <w:rPr>
                <w:sz w:val="20"/>
                <w:szCs w:val="20"/>
                <w:color w:val="auto"/>
              </w:rPr>
            </w:pPr>
            <w:r>
              <w:rPr>
                <w:rFonts w:ascii="Arial" w:cs="Arial" w:eastAsia="Arial" w:hAnsi="Arial"/>
                <w:sz w:val="17"/>
                <w:szCs w:val="17"/>
                <w:color w:val="auto"/>
              </w:rPr>
              <w:t>A fixed interest rate equal to</w:t>
            </w:r>
          </w:p>
        </w:tc>
        <w:tc>
          <w:tcPr>
            <w:tcW w:w="2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line="190" w:lineRule="exact"/>
              <w:rPr>
                <w:sz w:val="20"/>
                <w:szCs w:val="20"/>
                <w:color w:val="auto"/>
              </w:rPr>
            </w:pPr>
            <w:r>
              <w:rPr>
                <w:rFonts w:ascii="Arial" w:cs="Arial" w:eastAsia="Arial" w:hAnsi="Arial"/>
                <w:sz w:val="17"/>
                <w:szCs w:val="17"/>
                <w:color w:val="auto"/>
                <w:w w:val="94"/>
              </w:rPr>
              <w:t>Option 3: From time</w:t>
            </w:r>
          </w:p>
        </w:tc>
        <w:tc>
          <w:tcPr>
            <w:tcW w:w="22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spacing w:after="0" w:line="190" w:lineRule="exact"/>
              <w:rPr>
                <w:sz w:val="20"/>
                <w:szCs w:val="20"/>
                <w:color w:val="auto"/>
              </w:rPr>
            </w:pPr>
            <w:r>
              <w:rPr>
                <w:rFonts w:ascii="Arial" w:cs="Arial" w:eastAsia="Arial" w:hAnsi="Arial"/>
                <w:sz w:val="17"/>
                <w:szCs w:val="17"/>
                <w:color w:val="auto"/>
              </w:rPr>
              <w:t>Option 1 : On September 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115% of the Base Rate (as</w:t>
            </w:r>
          </w:p>
        </w:tc>
        <w:tc>
          <w:tcPr>
            <w:tcW w:w="1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 time, as required</w:t>
            </w: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w w:val="93"/>
              </w:rPr>
              <w:t>2013 in the amount of 2,000,000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defined in the Loan</w:t>
            </w:r>
          </w:p>
        </w:tc>
        <w:tc>
          <w:tcPr>
            <w:tcW w:w="1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by Global</w:t>
            </w: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RMB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Agreement)</w:t>
            </w:r>
          </w:p>
        </w:tc>
        <w:tc>
          <w:tcPr>
            <w:tcW w:w="1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Technology Inc.</w:t>
            </w:r>
          </w:p>
        </w:tc>
        <w:tc>
          <w:tcPr>
            <w:tcW w:w="23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540" w:type="dxa"/>
            <w:vAlign w:val="bottom"/>
          </w:tcPr>
          <w:p>
            <w:pPr>
              <w:spacing w:after="0"/>
              <w:rPr>
                <w:sz w:val="20"/>
                <w:szCs w:val="20"/>
                <w:color w:val="auto"/>
              </w:rPr>
            </w:pPr>
            <w:r>
              <w:rPr>
                <w:rFonts w:ascii="Arial" w:cs="Arial" w:eastAsia="Arial" w:hAnsi="Arial"/>
                <w:sz w:val="17"/>
                <w:szCs w:val="17"/>
                <w:color w:val="auto"/>
              </w:rPr>
              <w:t>December 5, 2012</w:t>
            </w:r>
          </w:p>
        </w:tc>
        <w:tc>
          <w:tcPr>
            <w:tcW w:w="1740" w:type="dxa"/>
            <w:vAlign w:val="bottom"/>
            <w:gridSpan w:val="2"/>
          </w:tcPr>
          <w:p>
            <w:pPr>
              <w:ind w:left="240"/>
              <w:spacing w:after="0"/>
              <w:rPr>
                <w:sz w:val="20"/>
                <w:szCs w:val="20"/>
                <w:color w:val="auto"/>
              </w:rPr>
            </w:pPr>
            <w:r>
              <w:rPr>
                <w:rFonts w:ascii="Arial" w:cs="Arial" w:eastAsia="Arial" w:hAnsi="Arial"/>
                <w:sz w:val="17"/>
                <w:szCs w:val="17"/>
                <w:color w:val="auto"/>
              </w:rPr>
              <w:t>December 4, 2013</w:t>
            </w:r>
          </w:p>
        </w:tc>
        <w:tc>
          <w:tcPr>
            <w:tcW w:w="1560" w:type="dxa"/>
            <w:vAlign w:val="bottom"/>
            <w:gridSpan w:val="2"/>
          </w:tcPr>
          <w:p>
            <w:pPr>
              <w:ind w:left="220"/>
              <w:spacing w:after="0"/>
              <w:rPr>
                <w:sz w:val="20"/>
                <w:szCs w:val="20"/>
                <w:color w:val="auto"/>
              </w:rPr>
            </w:pPr>
            <w:r>
              <w:rPr>
                <w:rFonts w:ascii="Arial" w:cs="Arial" w:eastAsia="Arial" w:hAnsi="Arial"/>
                <w:sz w:val="17"/>
                <w:szCs w:val="17"/>
                <w:color w:val="auto"/>
              </w:rPr>
              <w:t>5,000,000 RMB</w:t>
            </w:r>
          </w:p>
        </w:tc>
        <w:tc>
          <w:tcPr>
            <w:tcW w:w="2620" w:type="dxa"/>
            <w:vAlign w:val="bottom"/>
            <w:gridSpan w:val="3"/>
          </w:tcPr>
          <w:p>
            <w:pPr>
              <w:ind w:left="220"/>
              <w:spacing w:after="0"/>
              <w:rPr>
                <w:sz w:val="20"/>
                <w:szCs w:val="20"/>
                <w:color w:val="auto"/>
              </w:rPr>
            </w:pPr>
            <w:r>
              <w:rPr>
                <w:rFonts w:ascii="Arial" w:cs="Arial" w:eastAsia="Arial" w:hAnsi="Arial"/>
                <w:sz w:val="17"/>
                <w:szCs w:val="17"/>
                <w:color w:val="auto"/>
              </w:rPr>
              <w:t>A fixed interest rate equal to</w:t>
            </w:r>
          </w:p>
        </w:tc>
        <w:tc>
          <w:tcPr>
            <w:tcW w:w="1660" w:type="dxa"/>
            <w:vAlign w:val="bottom"/>
            <w:gridSpan w:val="2"/>
          </w:tcPr>
          <w:p>
            <w:pPr>
              <w:spacing w:after="0"/>
              <w:rPr>
                <w:sz w:val="20"/>
                <w:szCs w:val="20"/>
                <w:color w:val="auto"/>
              </w:rPr>
            </w:pPr>
            <w:r>
              <w:rPr>
                <w:rFonts w:ascii="Arial" w:cs="Arial" w:eastAsia="Arial" w:hAnsi="Arial"/>
                <w:sz w:val="17"/>
                <w:szCs w:val="17"/>
                <w:color w:val="auto"/>
              </w:rPr>
              <w:t>Option 1: On</w:t>
            </w:r>
          </w:p>
        </w:tc>
        <w:tc>
          <w:tcPr>
            <w:tcW w:w="2300" w:type="dxa"/>
            <w:vAlign w:val="bottom"/>
          </w:tcPr>
          <w:p>
            <w:pPr>
              <w:spacing w:after="0"/>
              <w:rPr>
                <w:sz w:val="20"/>
                <w:szCs w:val="20"/>
                <w:color w:val="auto"/>
              </w:rPr>
            </w:pPr>
            <w:r>
              <w:rPr>
                <w:rFonts w:ascii="Arial" w:cs="Arial" w:eastAsia="Arial" w:hAnsi="Arial"/>
                <w:sz w:val="17"/>
                <w:szCs w:val="17"/>
                <w:color w:val="auto"/>
                <w:w w:val="94"/>
              </w:rPr>
              <w:t>Option 1: On December 4, 2013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20" w:type="dxa"/>
            <w:vAlign w:val="bottom"/>
            <w:gridSpan w:val="3"/>
          </w:tcPr>
          <w:p>
            <w:pPr>
              <w:ind w:left="220"/>
              <w:spacing w:after="0"/>
              <w:rPr>
                <w:sz w:val="20"/>
                <w:szCs w:val="20"/>
                <w:color w:val="auto"/>
              </w:rPr>
            </w:pPr>
            <w:r>
              <w:rPr>
                <w:rFonts w:ascii="Arial" w:cs="Arial" w:eastAsia="Arial" w:hAnsi="Arial"/>
                <w:sz w:val="17"/>
                <w:szCs w:val="17"/>
                <w:color w:val="auto"/>
              </w:rPr>
              <w:t>110% of the Base Rate</w:t>
            </w:r>
          </w:p>
        </w:tc>
        <w:tc>
          <w:tcPr>
            <w:tcW w:w="1660" w:type="dxa"/>
            <w:vAlign w:val="bottom"/>
            <w:gridSpan w:val="2"/>
          </w:tcPr>
          <w:p>
            <w:pPr>
              <w:spacing w:after="0"/>
              <w:rPr>
                <w:sz w:val="20"/>
                <w:szCs w:val="20"/>
                <w:color w:val="auto"/>
              </w:rPr>
            </w:pPr>
            <w:r>
              <w:rPr>
                <w:rFonts w:ascii="Arial" w:cs="Arial" w:eastAsia="Arial" w:hAnsi="Arial"/>
                <w:sz w:val="17"/>
                <w:szCs w:val="17"/>
                <w:color w:val="auto"/>
              </w:rPr>
              <w:t>December 5, 2012</w:t>
            </w:r>
          </w:p>
        </w:tc>
        <w:tc>
          <w:tcPr>
            <w:tcW w:w="2300" w:type="dxa"/>
            <w:vAlign w:val="bottom"/>
          </w:tcPr>
          <w:p>
            <w:pPr>
              <w:spacing w:after="0"/>
              <w:rPr>
                <w:sz w:val="20"/>
                <w:szCs w:val="20"/>
                <w:color w:val="auto"/>
              </w:rPr>
            </w:pPr>
            <w:r>
              <w:rPr>
                <w:rFonts w:ascii="Arial" w:cs="Arial" w:eastAsia="Arial" w:hAnsi="Arial"/>
                <w:sz w:val="17"/>
                <w:szCs w:val="17"/>
                <w:color w:val="auto"/>
              </w:rPr>
              <w:t>in the amount of 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auto"/>
              </w:rPr>
              <w:t>for 5,000,000 RMB</w:t>
            </w:r>
          </w:p>
        </w:tc>
        <w:tc>
          <w:tcPr>
            <w:tcW w:w="2300" w:type="dxa"/>
            <w:vAlign w:val="bottom"/>
          </w:tcPr>
          <w:p>
            <w:pPr>
              <w:spacing w:after="0"/>
              <w:rPr>
                <w:sz w:val="20"/>
                <w:szCs w:val="20"/>
                <w:color w:val="auto"/>
              </w:rPr>
            </w:pPr>
            <w:r>
              <w:rPr>
                <w:rFonts w:ascii="Arial" w:cs="Arial" w:eastAsia="Arial" w:hAnsi="Arial"/>
                <w:sz w:val="17"/>
                <w:szCs w:val="17"/>
                <w:color w:val="auto"/>
              </w:rPr>
              <w:t>RMB</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December 18, 2012</w:t>
            </w:r>
          </w:p>
        </w:tc>
        <w:tc>
          <w:tcPr>
            <w:tcW w:w="17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99"/>
              </w:rPr>
              <w:t>December 17, 2013</w:t>
            </w:r>
          </w:p>
        </w:tc>
        <w:tc>
          <w:tcPr>
            <w:tcW w:w="1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5,000,000 RMB</w:t>
            </w:r>
          </w:p>
        </w:tc>
        <w:tc>
          <w:tcPr>
            <w:tcW w:w="26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A fixed interest rate equal to</w:t>
            </w:r>
          </w:p>
        </w:tc>
        <w:tc>
          <w:tcPr>
            <w:tcW w:w="1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 1: On</w:t>
            </w: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Option 1: On December 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110% of the Base Rate</w:t>
            </w:r>
          </w:p>
        </w:tc>
        <w:tc>
          <w:tcPr>
            <w:tcW w:w="1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18, 2012</w:t>
            </w: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w w:val="94"/>
              </w:rPr>
              <w:t>2013 in the amo5,000,000 RMB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 5,000,000 RMB</w:t>
            </w:r>
          </w:p>
        </w:tc>
        <w:tc>
          <w:tcPr>
            <w:tcW w:w="23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540" w:type="dxa"/>
            <w:vAlign w:val="bottom"/>
          </w:tcPr>
          <w:p>
            <w:pPr>
              <w:spacing w:after="0"/>
              <w:rPr>
                <w:sz w:val="20"/>
                <w:szCs w:val="20"/>
                <w:color w:val="auto"/>
              </w:rPr>
            </w:pPr>
            <w:r>
              <w:rPr>
                <w:rFonts w:ascii="Arial" w:cs="Arial" w:eastAsia="Arial" w:hAnsi="Arial"/>
                <w:sz w:val="17"/>
                <w:szCs w:val="17"/>
                <w:color w:val="auto"/>
              </w:rPr>
              <w:t>January 10, 2013</w:t>
            </w:r>
          </w:p>
        </w:tc>
        <w:tc>
          <w:tcPr>
            <w:tcW w:w="1740" w:type="dxa"/>
            <w:vAlign w:val="bottom"/>
            <w:gridSpan w:val="2"/>
          </w:tcPr>
          <w:p>
            <w:pPr>
              <w:ind w:left="240"/>
              <w:spacing w:after="0"/>
              <w:rPr>
                <w:sz w:val="20"/>
                <w:szCs w:val="20"/>
                <w:color w:val="auto"/>
              </w:rPr>
            </w:pPr>
            <w:r>
              <w:rPr>
                <w:rFonts w:ascii="Arial" w:cs="Arial" w:eastAsia="Arial" w:hAnsi="Arial"/>
                <w:sz w:val="17"/>
                <w:szCs w:val="17"/>
                <w:color w:val="auto"/>
              </w:rPr>
              <w:t>January 9, 2014</w:t>
            </w:r>
          </w:p>
        </w:tc>
        <w:tc>
          <w:tcPr>
            <w:tcW w:w="1560" w:type="dxa"/>
            <w:vAlign w:val="bottom"/>
            <w:gridSpan w:val="2"/>
          </w:tcPr>
          <w:p>
            <w:pPr>
              <w:ind w:left="220"/>
              <w:spacing w:after="0"/>
              <w:rPr>
                <w:sz w:val="20"/>
                <w:szCs w:val="20"/>
                <w:color w:val="auto"/>
              </w:rPr>
            </w:pPr>
            <w:r>
              <w:rPr>
                <w:rFonts w:ascii="Arial" w:cs="Arial" w:eastAsia="Arial" w:hAnsi="Arial"/>
                <w:sz w:val="17"/>
                <w:szCs w:val="17"/>
                <w:color w:val="auto"/>
              </w:rPr>
              <w:t>9,000,000 RMB</w:t>
            </w:r>
          </w:p>
        </w:tc>
        <w:tc>
          <w:tcPr>
            <w:tcW w:w="2620" w:type="dxa"/>
            <w:vAlign w:val="bottom"/>
            <w:gridSpan w:val="3"/>
          </w:tcPr>
          <w:p>
            <w:pPr>
              <w:ind w:left="220"/>
              <w:spacing w:after="0"/>
              <w:rPr>
                <w:sz w:val="20"/>
                <w:szCs w:val="20"/>
                <w:color w:val="auto"/>
              </w:rPr>
            </w:pPr>
            <w:r>
              <w:rPr>
                <w:rFonts w:ascii="Arial" w:cs="Arial" w:eastAsia="Arial" w:hAnsi="Arial"/>
                <w:sz w:val="17"/>
                <w:szCs w:val="17"/>
                <w:color w:val="auto"/>
              </w:rPr>
              <w:t>A fixed interest rate equal to</w:t>
            </w:r>
          </w:p>
        </w:tc>
        <w:tc>
          <w:tcPr>
            <w:tcW w:w="1660" w:type="dxa"/>
            <w:vAlign w:val="bottom"/>
            <w:gridSpan w:val="2"/>
          </w:tcPr>
          <w:p>
            <w:pPr>
              <w:spacing w:after="0"/>
              <w:rPr>
                <w:sz w:val="20"/>
                <w:szCs w:val="20"/>
                <w:color w:val="auto"/>
              </w:rPr>
            </w:pPr>
            <w:r>
              <w:rPr>
                <w:rFonts w:ascii="Arial" w:cs="Arial" w:eastAsia="Arial" w:hAnsi="Arial"/>
                <w:sz w:val="17"/>
                <w:szCs w:val="17"/>
                <w:color w:val="auto"/>
              </w:rPr>
              <w:t>Option 1: On</w:t>
            </w:r>
          </w:p>
        </w:tc>
        <w:tc>
          <w:tcPr>
            <w:tcW w:w="2300" w:type="dxa"/>
            <w:vAlign w:val="bottom"/>
          </w:tcPr>
          <w:p>
            <w:pPr>
              <w:spacing w:after="0"/>
              <w:rPr>
                <w:sz w:val="20"/>
                <w:szCs w:val="20"/>
                <w:color w:val="auto"/>
              </w:rPr>
            </w:pPr>
            <w:r>
              <w:rPr>
                <w:rFonts w:ascii="Arial" w:cs="Arial" w:eastAsia="Arial" w:hAnsi="Arial"/>
                <w:sz w:val="17"/>
                <w:szCs w:val="17"/>
                <w:color w:val="auto"/>
                <w:w w:val="94"/>
              </w:rPr>
              <w:t>Option 1: On January 9, 2014 in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20" w:type="dxa"/>
            <w:vAlign w:val="bottom"/>
            <w:gridSpan w:val="3"/>
          </w:tcPr>
          <w:p>
            <w:pPr>
              <w:ind w:left="220"/>
              <w:spacing w:after="0"/>
              <w:rPr>
                <w:sz w:val="20"/>
                <w:szCs w:val="20"/>
                <w:color w:val="auto"/>
              </w:rPr>
            </w:pPr>
            <w:r>
              <w:rPr>
                <w:rFonts w:ascii="Arial" w:cs="Arial" w:eastAsia="Arial" w:hAnsi="Arial"/>
                <w:sz w:val="17"/>
                <w:szCs w:val="17"/>
                <w:color w:val="auto"/>
              </w:rPr>
              <w:t>110% of the Base Rate</w:t>
            </w:r>
          </w:p>
        </w:tc>
        <w:tc>
          <w:tcPr>
            <w:tcW w:w="1660" w:type="dxa"/>
            <w:vAlign w:val="bottom"/>
            <w:gridSpan w:val="2"/>
          </w:tcPr>
          <w:p>
            <w:pPr>
              <w:spacing w:after="0"/>
              <w:rPr>
                <w:sz w:val="20"/>
                <w:szCs w:val="20"/>
                <w:color w:val="auto"/>
              </w:rPr>
            </w:pPr>
            <w:r>
              <w:rPr>
                <w:rFonts w:ascii="Arial" w:cs="Arial" w:eastAsia="Arial" w:hAnsi="Arial"/>
                <w:sz w:val="17"/>
                <w:szCs w:val="17"/>
                <w:color w:val="auto"/>
              </w:rPr>
              <w:t>January 10, 2013 for</w:t>
            </w:r>
          </w:p>
        </w:tc>
        <w:tc>
          <w:tcPr>
            <w:tcW w:w="2300" w:type="dxa"/>
            <w:vAlign w:val="bottom"/>
          </w:tcPr>
          <w:p>
            <w:pPr>
              <w:spacing w:after="0"/>
              <w:rPr>
                <w:sz w:val="20"/>
                <w:szCs w:val="20"/>
                <w:color w:val="auto"/>
              </w:rPr>
            </w:pPr>
            <w:r>
              <w:rPr>
                <w:rFonts w:ascii="Arial" w:cs="Arial" w:eastAsia="Arial" w:hAnsi="Arial"/>
                <w:sz w:val="17"/>
                <w:szCs w:val="17"/>
                <w:color w:val="auto"/>
              </w:rPr>
              <w:t>the amount of 9,000,000 RMB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auto"/>
              </w:rPr>
              <w:t>9,000,000 RMB</w:t>
            </w:r>
          </w:p>
        </w:tc>
        <w:tc>
          <w:tcPr>
            <w:tcW w:w="2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January 22, 2013</w:t>
            </w:r>
          </w:p>
        </w:tc>
        <w:tc>
          <w:tcPr>
            <w:tcW w:w="17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January 21, 2014</w:t>
            </w:r>
          </w:p>
        </w:tc>
        <w:tc>
          <w:tcPr>
            <w:tcW w:w="1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10,000,000 RMB</w:t>
            </w:r>
          </w:p>
        </w:tc>
        <w:tc>
          <w:tcPr>
            <w:tcW w:w="26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A fixed interest rate equal to</w:t>
            </w:r>
          </w:p>
        </w:tc>
        <w:tc>
          <w:tcPr>
            <w:tcW w:w="1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 1: On</w:t>
            </w: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w w:val="98"/>
              </w:rPr>
              <w:t>Option 1: On January 21, 2014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110% of the Base Rate</w:t>
            </w:r>
          </w:p>
        </w:tc>
        <w:tc>
          <w:tcPr>
            <w:tcW w:w="1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January 22, 2013 for</w:t>
            </w: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in the amount of 10,000,000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TEN MILLION</w:t>
            </w: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RMB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RMB</w:t>
            </w:r>
          </w:p>
        </w:tc>
        <w:tc>
          <w:tcPr>
            <w:tcW w:w="23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540" w:type="dxa"/>
            <w:vAlign w:val="bottom"/>
          </w:tcPr>
          <w:p>
            <w:pPr>
              <w:spacing w:after="0"/>
              <w:rPr>
                <w:sz w:val="20"/>
                <w:szCs w:val="20"/>
                <w:color w:val="auto"/>
              </w:rPr>
            </w:pPr>
            <w:r>
              <w:rPr>
                <w:rFonts w:ascii="Arial" w:cs="Arial" w:eastAsia="Arial" w:hAnsi="Arial"/>
                <w:sz w:val="17"/>
                <w:szCs w:val="17"/>
                <w:color w:val="auto"/>
              </w:rPr>
              <w:t>February 19, 2013</w:t>
            </w:r>
          </w:p>
        </w:tc>
        <w:tc>
          <w:tcPr>
            <w:tcW w:w="1740" w:type="dxa"/>
            <w:vAlign w:val="bottom"/>
            <w:gridSpan w:val="2"/>
          </w:tcPr>
          <w:p>
            <w:pPr>
              <w:ind w:left="240"/>
              <w:spacing w:after="0"/>
              <w:rPr>
                <w:sz w:val="20"/>
                <w:szCs w:val="20"/>
                <w:color w:val="auto"/>
              </w:rPr>
            </w:pPr>
            <w:r>
              <w:rPr>
                <w:rFonts w:ascii="Arial" w:cs="Arial" w:eastAsia="Arial" w:hAnsi="Arial"/>
                <w:sz w:val="17"/>
                <w:szCs w:val="17"/>
                <w:color w:val="auto"/>
              </w:rPr>
              <w:t>February 28, 2014</w:t>
            </w:r>
          </w:p>
        </w:tc>
        <w:tc>
          <w:tcPr>
            <w:tcW w:w="1560" w:type="dxa"/>
            <w:vAlign w:val="bottom"/>
            <w:gridSpan w:val="2"/>
          </w:tcPr>
          <w:p>
            <w:pPr>
              <w:ind w:left="220"/>
              <w:spacing w:after="0"/>
              <w:rPr>
                <w:sz w:val="20"/>
                <w:szCs w:val="20"/>
                <w:color w:val="auto"/>
              </w:rPr>
            </w:pPr>
            <w:r>
              <w:rPr>
                <w:rFonts w:ascii="Arial" w:cs="Arial" w:eastAsia="Arial" w:hAnsi="Arial"/>
                <w:sz w:val="17"/>
                <w:szCs w:val="17"/>
                <w:color w:val="auto"/>
              </w:rPr>
              <w:t>10,000,000 RMB</w:t>
            </w:r>
          </w:p>
        </w:tc>
        <w:tc>
          <w:tcPr>
            <w:tcW w:w="2620" w:type="dxa"/>
            <w:vAlign w:val="bottom"/>
            <w:gridSpan w:val="3"/>
          </w:tcPr>
          <w:p>
            <w:pPr>
              <w:ind w:left="220"/>
              <w:spacing w:after="0"/>
              <w:rPr>
                <w:sz w:val="20"/>
                <w:szCs w:val="20"/>
                <w:color w:val="auto"/>
              </w:rPr>
            </w:pPr>
            <w:r>
              <w:rPr>
                <w:rFonts w:ascii="Arial" w:cs="Arial" w:eastAsia="Arial" w:hAnsi="Arial"/>
                <w:sz w:val="17"/>
                <w:szCs w:val="17"/>
                <w:color w:val="auto"/>
              </w:rPr>
              <w:t>A fixed interest rate equal to</w:t>
            </w:r>
          </w:p>
        </w:tc>
        <w:tc>
          <w:tcPr>
            <w:tcW w:w="1660" w:type="dxa"/>
            <w:vAlign w:val="bottom"/>
            <w:gridSpan w:val="2"/>
          </w:tcPr>
          <w:p>
            <w:pPr>
              <w:spacing w:after="0"/>
              <w:rPr>
                <w:sz w:val="20"/>
                <w:szCs w:val="20"/>
                <w:color w:val="auto"/>
              </w:rPr>
            </w:pPr>
            <w:r>
              <w:rPr>
                <w:rFonts w:ascii="Arial" w:cs="Arial" w:eastAsia="Arial" w:hAnsi="Arial"/>
                <w:sz w:val="17"/>
                <w:szCs w:val="17"/>
                <w:color w:val="auto"/>
              </w:rPr>
              <w:t>Option 1: On</w:t>
            </w:r>
          </w:p>
        </w:tc>
        <w:tc>
          <w:tcPr>
            <w:tcW w:w="2300" w:type="dxa"/>
            <w:vAlign w:val="bottom"/>
          </w:tcPr>
          <w:p>
            <w:pPr>
              <w:spacing w:after="0"/>
              <w:rPr>
                <w:sz w:val="20"/>
                <w:szCs w:val="20"/>
                <w:color w:val="auto"/>
              </w:rPr>
            </w:pPr>
            <w:r>
              <w:rPr>
                <w:rFonts w:ascii="Arial" w:cs="Arial" w:eastAsia="Arial" w:hAnsi="Arial"/>
                <w:sz w:val="17"/>
                <w:szCs w:val="17"/>
                <w:color w:val="auto"/>
                <w:w w:val="94"/>
              </w:rPr>
              <w:t>Option 1: On February 18, 2014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20" w:type="dxa"/>
            <w:vAlign w:val="bottom"/>
            <w:gridSpan w:val="3"/>
          </w:tcPr>
          <w:p>
            <w:pPr>
              <w:ind w:left="220"/>
              <w:spacing w:after="0"/>
              <w:rPr>
                <w:sz w:val="20"/>
                <w:szCs w:val="20"/>
                <w:color w:val="auto"/>
              </w:rPr>
            </w:pPr>
            <w:r>
              <w:rPr>
                <w:rFonts w:ascii="Arial" w:cs="Arial" w:eastAsia="Arial" w:hAnsi="Arial"/>
                <w:sz w:val="17"/>
                <w:szCs w:val="17"/>
                <w:color w:val="auto"/>
              </w:rPr>
              <w:t>110% of the Base Rate (as</w:t>
            </w:r>
          </w:p>
        </w:tc>
        <w:tc>
          <w:tcPr>
            <w:tcW w:w="1660" w:type="dxa"/>
            <w:vAlign w:val="bottom"/>
            <w:gridSpan w:val="2"/>
          </w:tcPr>
          <w:p>
            <w:pPr>
              <w:spacing w:after="0"/>
              <w:rPr>
                <w:sz w:val="20"/>
                <w:szCs w:val="20"/>
                <w:color w:val="auto"/>
              </w:rPr>
            </w:pPr>
            <w:r>
              <w:rPr>
                <w:rFonts w:ascii="Arial" w:cs="Arial" w:eastAsia="Arial" w:hAnsi="Arial"/>
                <w:sz w:val="17"/>
                <w:szCs w:val="17"/>
                <w:color w:val="auto"/>
              </w:rPr>
              <w:t>February 13, 2013</w:t>
            </w:r>
          </w:p>
        </w:tc>
        <w:tc>
          <w:tcPr>
            <w:tcW w:w="2300" w:type="dxa"/>
            <w:vAlign w:val="bottom"/>
          </w:tcPr>
          <w:p>
            <w:pPr>
              <w:spacing w:after="0"/>
              <w:rPr>
                <w:sz w:val="20"/>
                <w:szCs w:val="20"/>
                <w:color w:val="auto"/>
              </w:rPr>
            </w:pPr>
            <w:r>
              <w:rPr>
                <w:rFonts w:ascii="Arial" w:cs="Arial" w:eastAsia="Arial" w:hAnsi="Arial"/>
                <w:sz w:val="17"/>
                <w:szCs w:val="17"/>
                <w:color w:val="auto"/>
              </w:rPr>
              <w:t>in the amount of 10,000,000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20" w:type="dxa"/>
            <w:vAlign w:val="bottom"/>
            <w:gridSpan w:val="3"/>
          </w:tcPr>
          <w:p>
            <w:pPr>
              <w:ind w:left="220"/>
              <w:spacing w:after="0"/>
              <w:rPr>
                <w:sz w:val="20"/>
                <w:szCs w:val="20"/>
                <w:color w:val="auto"/>
              </w:rPr>
            </w:pPr>
            <w:r>
              <w:rPr>
                <w:rFonts w:ascii="Arial" w:cs="Arial" w:eastAsia="Arial" w:hAnsi="Arial"/>
                <w:sz w:val="17"/>
                <w:szCs w:val="17"/>
                <w:color w:val="auto"/>
              </w:rPr>
              <w:t>defined in the Loan</w:t>
            </w:r>
          </w:p>
        </w:tc>
        <w:tc>
          <w:tcPr>
            <w:tcW w:w="1660" w:type="dxa"/>
            <w:vAlign w:val="bottom"/>
            <w:gridSpan w:val="2"/>
          </w:tcPr>
          <w:p>
            <w:pPr>
              <w:spacing w:after="0"/>
              <w:rPr>
                <w:sz w:val="20"/>
                <w:szCs w:val="20"/>
                <w:color w:val="auto"/>
              </w:rPr>
            </w:pPr>
            <w:r>
              <w:rPr>
                <w:rFonts w:ascii="Arial" w:cs="Arial" w:eastAsia="Arial" w:hAnsi="Arial"/>
                <w:sz w:val="17"/>
                <w:szCs w:val="17"/>
                <w:color w:val="auto"/>
              </w:rPr>
              <w:t>for TEN MILLION</w:t>
            </w:r>
          </w:p>
        </w:tc>
        <w:tc>
          <w:tcPr>
            <w:tcW w:w="2300" w:type="dxa"/>
            <w:vAlign w:val="bottom"/>
          </w:tcPr>
          <w:p>
            <w:pPr>
              <w:spacing w:after="0"/>
              <w:rPr>
                <w:sz w:val="20"/>
                <w:szCs w:val="20"/>
                <w:color w:val="auto"/>
              </w:rPr>
            </w:pPr>
            <w:r>
              <w:rPr>
                <w:rFonts w:ascii="Arial" w:cs="Arial" w:eastAsia="Arial" w:hAnsi="Arial"/>
                <w:sz w:val="17"/>
                <w:szCs w:val="17"/>
                <w:color w:val="auto"/>
              </w:rPr>
              <w:t>RMB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20" w:type="dxa"/>
            <w:vAlign w:val="bottom"/>
            <w:gridSpan w:val="3"/>
          </w:tcPr>
          <w:p>
            <w:pPr>
              <w:ind w:left="220"/>
              <w:spacing w:after="0"/>
              <w:rPr>
                <w:sz w:val="20"/>
                <w:szCs w:val="20"/>
                <w:color w:val="auto"/>
              </w:rPr>
            </w:pPr>
            <w:r>
              <w:rPr>
                <w:rFonts w:ascii="Arial" w:cs="Arial" w:eastAsia="Arial" w:hAnsi="Arial"/>
                <w:sz w:val="17"/>
                <w:szCs w:val="17"/>
                <w:color w:val="auto"/>
              </w:rPr>
              <w:t>Agreement)</w:t>
            </w:r>
          </w:p>
        </w:tc>
        <w:tc>
          <w:tcPr>
            <w:tcW w:w="1660" w:type="dxa"/>
            <w:vAlign w:val="bottom"/>
            <w:gridSpan w:val="2"/>
          </w:tcPr>
          <w:p>
            <w:pPr>
              <w:spacing w:after="0"/>
              <w:rPr>
                <w:sz w:val="20"/>
                <w:szCs w:val="20"/>
                <w:color w:val="auto"/>
              </w:rPr>
            </w:pPr>
            <w:r>
              <w:rPr>
                <w:rFonts w:ascii="Arial" w:cs="Arial" w:eastAsia="Arial" w:hAnsi="Arial"/>
                <w:sz w:val="17"/>
                <w:szCs w:val="17"/>
                <w:color w:val="auto"/>
              </w:rPr>
              <w:t>RMB</w:t>
            </w:r>
          </w:p>
        </w:tc>
        <w:tc>
          <w:tcPr>
            <w:tcW w:w="2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March 7, 2013</w:t>
            </w:r>
          </w:p>
        </w:tc>
        <w:tc>
          <w:tcPr>
            <w:tcW w:w="17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March 6, 2014</w:t>
            </w:r>
          </w:p>
        </w:tc>
        <w:tc>
          <w:tcPr>
            <w:tcW w:w="1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9,000,000 RMB</w:t>
            </w:r>
          </w:p>
        </w:tc>
        <w:tc>
          <w:tcPr>
            <w:tcW w:w="26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A fixed interest rate equal to</w:t>
            </w:r>
          </w:p>
        </w:tc>
        <w:tc>
          <w:tcPr>
            <w:tcW w:w="1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 1: On</w:t>
            </w: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Option 1: On March 6, 2014 in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108% of the Base Rate</w:t>
            </w:r>
          </w:p>
        </w:tc>
        <w:tc>
          <w:tcPr>
            <w:tcW w:w="1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March 7, 2013 for</w:t>
            </w: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the amount of 9,000,000 RMB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9,000,000 RMB</w:t>
            </w:r>
          </w:p>
        </w:tc>
        <w:tc>
          <w:tcPr>
            <w:tcW w:w="23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540" w:type="dxa"/>
            <w:vAlign w:val="bottom"/>
          </w:tcPr>
          <w:p>
            <w:pPr>
              <w:spacing w:after="0"/>
              <w:rPr>
                <w:sz w:val="20"/>
                <w:szCs w:val="20"/>
                <w:color w:val="auto"/>
              </w:rPr>
            </w:pPr>
            <w:r>
              <w:rPr>
                <w:rFonts w:ascii="Arial" w:cs="Arial" w:eastAsia="Arial" w:hAnsi="Arial"/>
                <w:sz w:val="17"/>
                <w:szCs w:val="17"/>
                <w:color w:val="auto"/>
              </w:rPr>
              <w:t>April 2, 2013</w:t>
            </w:r>
          </w:p>
        </w:tc>
        <w:tc>
          <w:tcPr>
            <w:tcW w:w="1740" w:type="dxa"/>
            <w:vAlign w:val="bottom"/>
            <w:gridSpan w:val="2"/>
          </w:tcPr>
          <w:p>
            <w:pPr>
              <w:ind w:left="240"/>
              <w:spacing w:after="0"/>
              <w:rPr>
                <w:sz w:val="20"/>
                <w:szCs w:val="20"/>
                <w:color w:val="auto"/>
              </w:rPr>
            </w:pPr>
            <w:r>
              <w:rPr>
                <w:rFonts w:ascii="Arial" w:cs="Arial" w:eastAsia="Arial" w:hAnsi="Arial"/>
                <w:sz w:val="17"/>
                <w:szCs w:val="17"/>
                <w:color w:val="auto"/>
              </w:rPr>
              <w:t>April 1, 2014</w:t>
            </w:r>
          </w:p>
        </w:tc>
        <w:tc>
          <w:tcPr>
            <w:tcW w:w="1560" w:type="dxa"/>
            <w:vAlign w:val="bottom"/>
            <w:gridSpan w:val="2"/>
          </w:tcPr>
          <w:p>
            <w:pPr>
              <w:ind w:left="220"/>
              <w:spacing w:after="0"/>
              <w:rPr>
                <w:sz w:val="20"/>
                <w:szCs w:val="20"/>
                <w:color w:val="auto"/>
              </w:rPr>
            </w:pPr>
            <w:r>
              <w:rPr>
                <w:rFonts w:ascii="Arial" w:cs="Arial" w:eastAsia="Arial" w:hAnsi="Arial"/>
                <w:sz w:val="17"/>
                <w:szCs w:val="17"/>
                <w:color w:val="auto"/>
              </w:rPr>
              <w:t>4,000,000 RMB</w:t>
            </w:r>
          </w:p>
        </w:tc>
        <w:tc>
          <w:tcPr>
            <w:tcW w:w="2620" w:type="dxa"/>
            <w:vAlign w:val="bottom"/>
            <w:gridSpan w:val="3"/>
          </w:tcPr>
          <w:p>
            <w:pPr>
              <w:ind w:left="220"/>
              <w:spacing w:after="0"/>
              <w:rPr>
                <w:sz w:val="20"/>
                <w:szCs w:val="20"/>
                <w:color w:val="auto"/>
              </w:rPr>
            </w:pPr>
            <w:r>
              <w:rPr>
                <w:rFonts w:ascii="Arial" w:cs="Arial" w:eastAsia="Arial" w:hAnsi="Arial"/>
                <w:sz w:val="17"/>
                <w:szCs w:val="17"/>
                <w:color w:val="auto"/>
              </w:rPr>
              <w:t>A fixed interest rate equal to</w:t>
            </w:r>
          </w:p>
        </w:tc>
        <w:tc>
          <w:tcPr>
            <w:tcW w:w="1660" w:type="dxa"/>
            <w:vAlign w:val="bottom"/>
            <w:gridSpan w:val="2"/>
          </w:tcPr>
          <w:p>
            <w:pPr>
              <w:spacing w:after="0"/>
              <w:rPr>
                <w:sz w:val="20"/>
                <w:szCs w:val="20"/>
                <w:color w:val="auto"/>
              </w:rPr>
            </w:pPr>
            <w:r>
              <w:rPr>
                <w:rFonts w:ascii="Arial" w:cs="Arial" w:eastAsia="Arial" w:hAnsi="Arial"/>
                <w:sz w:val="17"/>
                <w:szCs w:val="17"/>
                <w:color w:val="auto"/>
              </w:rPr>
              <w:t>Option 1: On</w:t>
            </w:r>
          </w:p>
        </w:tc>
        <w:tc>
          <w:tcPr>
            <w:tcW w:w="2300" w:type="dxa"/>
            <w:vAlign w:val="bottom"/>
          </w:tcPr>
          <w:p>
            <w:pPr>
              <w:spacing w:after="0"/>
              <w:rPr>
                <w:sz w:val="20"/>
                <w:szCs w:val="20"/>
                <w:color w:val="auto"/>
              </w:rPr>
            </w:pPr>
            <w:r>
              <w:rPr>
                <w:rFonts w:ascii="Arial" w:cs="Arial" w:eastAsia="Arial" w:hAnsi="Arial"/>
                <w:sz w:val="17"/>
                <w:szCs w:val="17"/>
                <w:color w:val="auto"/>
              </w:rPr>
              <w:t>Option 1: On April 1, 2014 in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20" w:type="dxa"/>
            <w:vAlign w:val="bottom"/>
            <w:gridSpan w:val="3"/>
          </w:tcPr>
          <w:p>
            <w:pPr>
              <w:ind w:left="220"/>
              <w:spacing w:after="0"/>
              <w:rPr>
                <w:sz w:val="20"/>
                <w:szCs w:val="20"/>
                <w:color w:val="auto"/>
              </w:rPr>
            </w:pPr>
            <w:r>
              <w:rPr>
                <w:rFonts w:ascii="Arial" w:cs="Arial" w:eastAsia="Arial" w:hAnsi="Arial"/>
                <w:sz w:val="17"/>
                <w:szCs w:val="17"/>
                <w:color w:val="auto"/>
              </w:rPr>
              <w:t>108% of the Base Rate</w:t>
            </w:r>
          </w:p>
        </w:tc>
        <w:tc>
          <w:tcPr>
            <w:tcW w:w="1660" w:type="dxa"/>
            <w:vAlign w:val="bottom"/>
            <w:gridSpan w:val="2"/>
          </w:tcPr>
          <w:p>
            <w:pPr>
              <w:spacing w:after="0"/>
              <w:rPr>
                <w:sz w:val="20"/>
                <w:szCs w:val="20"/>
                <w:color w:val="auto"/>
              </w:rPr>
            </w:pPr>
            <w:r>
              <w:rPr>
                <w:rFonts w:ascii="Arial" w:cs="Arial" w:eastAsia="Arial" w:hAnsi="Arial"/>
                <w:sz w:val="17"/>
                <w:szCs w:val="17"/>
                <w:color w:val="auto"/>
              </w:rPr>
              <w:t>April 2, 2013 for</w:t>
            </w:r>
          </w:p>
        </w:tc>
        <w:tc>
          <w:tcPr>
            <w:tcW w:w="2300" w:type="dxa"/>
            <w:vAlign w:val="bottom"/>
          </w:tcPr>
          <w:p>
            <w:pPr>
              <w:spacing w:after="0"/>
              <w:rPr>
                <w:sz w:val="20"/>
                <w:szCs w:val="20"/>
                <w:color w:val="auto"/>
              </w:rPr>
            </w:pPr>
            <w:r>
              <w:rPr>
                <w:rFonts w:ascii="Arial" w:cs="Arial" w:eastAsia="Arial" w:hAnsi="Arial"/>
                <w:sz w:val="17"/>
                <w:szCs w:val="17"/>
                <w:color w:val="auto"/>
              </w:rPr>
              <w:t>the amount of 4,000,000 RMB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auto"/>
              </w:rPr>
              <w:t>9,000,000 RMB</w:t>
            </w:r>
          </w:p>
        </w:tc>
        <w:tc>
          <w:tcPr>
            <w:tcW w:w="2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April 19, 2013</w:t>
            </w:r>
          </w:p>
        </w:tc>
        <w:tc>
          <w:tcPr>
            <w:tcW w:w="17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April 18, 2014</w:t>
            </w:r>
          </w:p>
        </w:tc>
        <w:tc>
          <w:tcPr>
            <w:tcW w:w="1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4,000,000 RMB</w:t>
            </w:r>
          </w:p>
        </w:tc>
        <w:tc>
          <w:tcPr>
            <w:tcW w:w="26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A fixed interest rate equal to</w:t>
            </w:r>
          </w:p>
        </w:tc>
        <w:tc>
          <w:tcPr>
            <w:tcW w:w="1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 1: On</w:t>
            </w: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Option 1: On April 18, 2014 in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108% of the Base Rate</w:t>
            </w:r>
          </w:p>
        </w:tc>
        <w:tc>
          <w:tcPr>
            <w:tcW w:w="1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April 19, 2013 for</w:t>
            </w: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the amount of 4,000,000 RMB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4,000,000 RMB</w:t>
            </w:r>
          </w:p>
        </w:tc>
        <w:tc>
          <w:tcPr>
            <w:tcW w:w="23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154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5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3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16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4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31" w:right="199" w:bottom="1440" w:gutter="0" w:footer="0" w:header="0"/>
        </w:sectPr>
      </w:pPr>
    </w:p>
    <w:bookmarkStart w:id="441" w:name="page442"/>
    <w:bookmarkEnd w:id="441"/>
    <w:p>
      <w:pPr>
        <w:jc w:val="right"/>
        <w:spacing w:after="0"/>
        <w:rPr>
          <w:sz w:val="20"/>
          <w:szCs w:val="20"/>
          <w:color w:val="auto"/>
        </w:rPr>
      </w:pPr>
      <w:r>
        <w:rPr>
          <w:rFonts w:ascii="Arial" w:cs="Arial" w:eastAsia="Arial" w:hAnsi="Arial"/>
          <w:sz w:val="17"/>
          <w:szCs w:val="17"/>
          <w:b w:val="1"/>
          <w:bCs w:val="1"/>
          <w:color w:val="auto"/>
        </w:rPr>
        <w:t>Exhibit 10.12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EMPLOYMENT AGREEMENT REGARDING</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CHANGE OF CONTROL OR SEPARATION OF SERVICE</w:t>
      </w:r>
    </w:p>
    <w:p>
      <w:pPr>
        <w:spacing w:after="0" w:line="212" w:lineRule="exact"/>
        <w:rPr>
          <w:sz w:val="20"/>
          <w:szCs w:val="20"/>
          <w:color w:val="auto"/>
        </w:rPr>
      </w:pPr>
    </w:p>
    <w:p>
      <w:pPr>
        <w:ind w:right="300" w:firstLine="629"/>
        <w:spacing w:after="0" w:line="268" w:lineRule="auto"/>
        <w:rPr>
          <w:sz w:val="20"/>
          <w:szCs w:val="20"/>
          <w:color w:val="auto"/>
        </w:rPr>
      </w:pPr>
      <w:r>
        <w:rPr>
          <w:rFonts w:ascii="Arial" w:cs="Arial" w:eastAsia="Arial" w:hAnsi="Arial"/>
          <w:sz w:val="17"/>
          <w:szCs w:val="17"/>
          <w:color w:val="auto"/>
        </w:rPr>
        <w:t>This employment agreement (“Agreement”) is made and entered into effective as of January 28, 2007 (“Effective Date”), by and between Applied Optoelectronics, Inc. (“AOI” or the “Company”), whose address is 13111 Jess Pirtle Boulevard, Sugar Land, Texas 77478, and Chih-Hsiang (Thompson) Lin (“Executive”), whose address is 1906 Lake Front Drive, Missouri City, TX 77459. This Agreement may sometimes refer to AOI and Executive singularly as a “Party” or collectively as the “Parties.”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1. Confirmation of Employment At-Will</w:t>
      </w:r>
    </w:p>
    <w:p>
      <w:pPr>
        <w:spacing w:after="0" w:line="224"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Executive’s employment with AOI has been, is, and shall continue to be on an at-will basis. This means that either Executive or AOI may terminate Executive’s employment with the Company at any time and for any reason or no reason at all, except that if (i) a Change of Control of the Company shall have occurred and the Executive’s employment by the Company is thereafter terminated (whether by the Executive with Good Reason or the Company without Cause as provided in Paragraph 3), or (ii) Executive’s employment is terminated in certain other circumstances delineated in this Agreement, then the Executive shall be entitled to receive certain benefits as provided in this Agreement.</w:t>
      </w:r>
    </w:p>
    <w:p>
      <w:pPr>
        <w:spacing w:after="0" w:line="179" w:lineRule="exact"/>
        <w:rPr>
          <w:sz w:val="20"/>
          <w:szCs w:val="20"/>
          <w:color w:val="auto"/>
        </w:rPr>
      </w:pPr>
    </w:p>
    <w:p>
      <w:pPr>
        <w:ind w:left="5140" w:hanging="210"/>
        <w:spacing w:after="0"/>
        <w:tabs>
          <w:tab w:leader="none" w:pos="5140" w:val="left"/>
        </w:tabs>
        <w:numPr>
          <w:ilvl w:val="2"/>
          <w:numId w:val="76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Change of Control</w:t>
      </w:r>
    </w:p>
    <w:p>
      <w:pPr>
        <w:spacing w:after="0" w:line="224" w:lineRule="exact"/>
        <w:rPr>
          <w:rFonts w:ascii="Arial" w:cs="Arial" w:eastAsia="Arial" w:hAnsi="Arial"/>
          <w:sz w:val="17"/>
          <w:szCs w:val="17"/>
          <w:b w:val="1"/>
          <w:bCs w:val="1"/>
          <w:i w:val="1"/>
          <w:iCs w:val="1"/>
          <w:color w:val="auto"/>
        </w:rPr>
      </w:pPr>
    </w:p>
    <w:p>
      <w:pPr>
        <w:ind w:left="640"/>
        <w:spacing w:after="0"/>
        <w:rPr>
          <w:rFonts w:ascii="Arial" w:cs="Arial" w:eastAsia="Arial" w:hAnsi="Arial"/>
          <w:sz w:val="17"/>
          <w:szCs w:val="17"/>
          <w:b w:val="1"/>
          <w:bCs w:val="1"/>
          <w:i w:val="1"/>
          <w:iCs w:val="1"/>
          <w:color w:val="auto"/>
        </w:rPr>
      </w:pPr>
      <w:r>
        <w:rPr>
          <w:rFonts w:ascii="Arial" w:cs="Arial" w:eastAsia="Arial" w:hAnsi="Arial"/>
          <w:sz w:val="17"/>
          <w:szCs w:val="17"/>
          <w:color w:val="auto"/>
        </w:rPr>
        <w:t>A.</w:t>
      </w:r>
      <w:r>
        <w:rPr>
          <w:rFonts w:ascii="Arial" w:cs="Arial" w:eastAsia="Arial" w:hAnsi="Arial"/>
          <w:sz w:val="15"/>
          <w:szCs w:val="15"/>
          <w:color w:val="auto"/>
        </w:rPr>
        <w:t>“Change of Control” shall be deemed to have occurred on the date that one or more of the following occurs:</w:t>
      </w:r>
    </w:p>
    <w:p>
      <w:pPr>
        <w:spacing w:after="0" w:line="224" w:lineRule="exact"/>
        <w:rPr>
          <w:rFonts w:ascii="Arial" w:cs="Arial" w:eastAsia="Arial" w:hAnsi="Arial"/>
          <w:sz w:val="17"/>
          <w:szCs w:val="17"/>
          <w:b w:val="1"/>
          <w:bCs w:val="1"/>
          <w:i w:val="1"/>
          <w:iCs w:val="1"/>
          <w:color w:val="auto"/>
        </w:rPr>
      </w:pPr>
    </w:p>
    <w:p>
      <w:pPr>
        <w:ind w:left="1260" w:right="200" w:firstLine="633"/>
        <w:spacing w:after="0" w:line="281" w:lineRule="auto"/>
        <w:tabs>
          <w:tab w:leader="none" w:pos="2578" w:val="left"/>
        </w:tabs>
        <w:numPr>
          <w:ilvl w:val="1"/>
          <w:numId w:val="765"/>
        </w:numPr>
        <w:rPr>
          <w:rFonts w:ascii="Arial" w:cs="Arial" w:eastAsia="Arial" w:hAnsi="Arial"/>
          <w:sz w:val="16"/>
          <w:szCs w:val="16"/>
          <w:color w:val="auto"/>
        </w:rPr>
      </w:pPr>
      <w:r>
        <w:rPr>
          <w:rFonts w:ascii="Arial" w:cs="Arial" w:eastAsia="Arial" w:hAnsi="Arial"/>
          <w:sz w:val="16"/>
          <w:szCs w:val="16"/>
          <w:color w:val="auto"/>
        </w:rPr>
        <w:t>Individuals who, on the date hereof, constitute the entire Board of Directors of the Company (“Incumbent Directors”) cease for any reason to constitute at least a majority of the Board; provided, however, that any individual becoming a director subsequent to the date hereof whose election, or nomination for election by the Company’s shareholders, was approved by a vote of at least a majority of the then Incumbent Directors shall be considered as though such individual was an Incumbent Director, but excluding, for this purpose any such individual whose initial assumption of office occurs as a result of either an actual or threatened election contest, as such terms are used in Rule 14a-11 under the Securities Exchange Act of 1934, as amended (“Exchange Act”) or other actual or threatened solicitation of proxies or consents by or on behalf of any Person (as defined below) other than the Board; or</w:t>
      </w:r>
    </w:p>
    <w:p>
      <w:pPr>
        <w:spacing w:after="0" w:line="170" w:lineRule="exact"/>
        <w:rPr>
          <w:rFonts w:ascii="Arial" w:cs="Arial" w:eastAsia="Arial" w:hAnsi="Arial"/>
          <w:sz w:val="16"/>
          <w:szCs w:val="16"/>
          <w:color w:val="auto"/>
        </w:rPr>
      </w:pPr>
    </w:p>
    <w:p>
      <w:pPr>
        <w:ind w:left="1260" w:right="240" w:firstLine="633"/>
        <w:spacing w:after="0" w:line="265" w:lineRule="auto"/>
        <w:tabs>
          <w:tab w:leader="none" w:pos="2583" w:val="left"/>
        </w:tabs>
        <w:numPr>
          <w:ilvl w:val="1"/>
          <w:numId w:val="765"/>
        </w:numPr>
        <w:rPr>
          <w:rFonts w:ascii="Arial" w:cs="Arial" w:eastAsia="Arial" w:hAnsi="Arial"/>
          <w:sz w:val="17"/>
          <w:szCs w:val="17"/>
          <w:color w:val="auto"/>
        </w:rPr>
      </w:pPr>
      <w:r>
        <w:rPr>
          <w:rFonts w:ascii="Arial" w:cs="Arial" w:eastAsia="Arial" w:hAnsi="Arial"/>
          <w:sz w:val="17"/>
          <w:szCs w:val="17"/>
          <w:color w:val="auto"/>
        </w:rPr>
        <w:t>(a) The consummation of any merger, consolidation or recapitalization of the Company (or, if the capital stock of the Company is affected, any subsidiary of the Company), or any sale, lease, or other transfer (in one transaction or a series of transactions contemplated or arranged by any party as a single plan) of all or substantially all of the assets of the Company (each of the foregoing being an “Acquisition Transaction”) where (1) the shareholders of the Company immediately prior to such Acquisition Transaction would not immediately after such Acquisition Transaction beneficially own, directly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186055</wp:posOffset>
            </wp:positionV>
            <wp:extent cx="7271385" cy="2921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60"/>
        <w:spacing w:after="0" w:line="281" w:lineRule="auto"/>
        <w:rPr>
          <w:sz w:val="20"/>
          <w:szCs w:val="20"/>
          <w:color w:val="auto"/>
        </w:rPr>
      </w:pPr>
      <w:r>
        <w:rPr>
          <w:rFonts w:ascii="Arial" w:cs="Arial" w:eastAsia="Arial" w:hAnsi="Arial"/>
          <w:sz w:val="16"/>
          <w:szCs w:val="16"/>
          <w:color w:val="auto"/>
        </w:rPr>
        <w:t>indirectly, shares or other ownership interests representing in the aggregate fifty-one percent (51%) or more of (a) the then outstanding common stock or other equity interests of the corporation or other entity surviving or resulting from such merger, consolidation or recapitalization or acquiring such assets of the Company, as the case may be (the “Surviving Entity”) (or of its ultimate parent corporation or other entity, if any), and (b) the Combined Voting Power of the then outstanding Voting Securities of the Surviving Entity (or of its ultimate parent corporation or other entity, if any) or (2) the Incumbent Directors at the time of the initial approval of such Acquisition Transaction would not immediately after such Acquisition Transaction constitute a majority of the Board of Directors, or similar managing group, of the Surviving Entity (or of its ultimate parent corporation or other entity, if any), or (b) the filing of any plan for the liquidation or dissolution of the Company.</w:t>
      </w:r>
    </w:p>
    <w:p>
      <w:pPr>
        <w:spacing w:after="0" w:line="170" w:lineRule="exact"/>
        <w:rPr>
          <w:sz w:val="20"/>
          <w:szCs w:val="20"/>
          <w:color w:val="auto"/>
        </w:rPr>
      </w:pPr>
    </w:p>
    <w:p>
      <w:pPr>
        <w:ind w:left="1320" w:hanging="686"/>
        <w:spacing w:after="0"/>
        <w:tabs>
          <w:tab w:leader="none" w:pos="1320" w:val="left"/>
        </w:tabs>
        <w:numPr>
          <w:ilvl w:val="0"/>
          <w:numId w:val="766"/>
        </w:numPr>
        <w:rPr>
          <w:rFonts w:ascii="Arial" w:cs="Arial" w:eastAsia="Arial" w:hAnsi="Arial"/>
          <w:sz w:val="17"/>
          <w:szCs w:val="17"/>
          <w:color w:val="auto"/>
        </w:rPr>
      </w:pPr>
      <w:r>
        <w:rPr>
          <w:rFonts w:ascii="Arial" w:cs="Arial" w:eastAsia="Arial" w:hAnsi="Arial"/>
          <w:sz w:val="17"/>
          <w:szCs w:val="17"/>
          <w:color w:val="auto"/>
        </w:rPr>
        <w:t>For purposes of the definition of “Change of Control”:</w:t>
      </w:r>
    </w:p>
    <w:p>
      <w:pPr>
        <w:spacing w:after="0" w:line="224" w:lineRule="exact"/>
        <w:rPr>
          <w:rFonts w:ascii="Arial" w:cs="Arial" w:eastAsia="Arial" w:hAnsi="Arial"/>
          <w:sz w:val="17"/>
          <w:szCs w:val="17"/>
          <w:color w:val="auto"/>
        </w:rPr>
      </w:pPr>
    </w:p>
    <w:p>
      <w:pPr>
        <w:ind w:left="1260" w:right="60" w:firstLine="633"/>
        <w:spacing w:after="0" w:line="273" w:lineRule="auto"/>
        <w:tabs>
          <w:tab w:leader="none" w:pos="2578" w:val="left"/>
        </w:tabs>
        <w:numPr>
          <w:ilvl w:val="1"/>
          <w:numId w:val="766"/>
        </w:numPr>
        <w:rPr>
          <w:rFonts w:ascii="Arial" w:cs="Arial" w:eastAsia="Arial" w:hAnsi="Arial"/>
          <w:sz w:val="17"/>
          <w:szCs w:val="17"/>
          <w:color w:val="auto"/>
        </w:rPr>
      </w:pPr>
      <w:r>
        <w:rPr>
          <w:rFonts w:ascii="Arial" w:cs="Arial" w:eastAsia="Arial" w:hAnsi="Arial"/>
          <w:sz w:val="17"/>
          <w:szCs w:val="17"/>
          <w:color w:val="auto"/>
        </w:rPr>
        <w:t>“Affiliate” shall mean, as to a specified Person, another Person that directly, or indirectly through one or more intermediaries, controls or is controlled by, or is under common control with, the specified Person, within the meaning of such terms as used in Rule 405 under the Securities Act of 1933, as amended (“Securities Act”), or any successor rule.</w:t>
      </w:r>
    </w:p>
    <w:p>
      <w:pPr>
        <w:spacing w:after="0" w:line="171" w:lineRule="exact"/>
        <w:rPr>
          <w:rFonts w:ascii="Arial" w:cs="Arial" w:eastAsia="Arial" w:hAnsi="Arial"/>
          <w:sz w:val="17"/>
          <w:szCs w:val="17"/>
          <w:color w:val="auto"/>
        </w:rPr>
      </w:pPr>
    </w:p>
    <w:p>
      <w:pPr>
        <w:ind w:left="1260" w:right="320" w:firstLine="633"/>
        <w:spacing w:after="0" w:line="273" w:lineRule="auto"/>
        <w:tabs>
          <w:tab w:leader="none" w:pos="2583" w:val="left"/>
        </w:tabs>
        <w:numPr>
          <w:ilvl w:val="1"/>
          <w:numId w:val="766"/>
        </w:numPr>
        <w:rPr>
          <w:rFonts w:ascii="Arial" w:cs="Arial" w:eastAsia="Arial" w:hAnsi="Arial"/>
          <w:sz w:val="17"/>
          <w:szCs w:val="17"/>
          <w:color w:val="auto"/>
        </w:rPr>
      </w:pPr>
      <w:r>
        <w:rPr>
          <w:rFonts w:ascii="Arial" w:cs="Arial" w:eastAsia="Arial" w:hAnsi="Arial"/>
          <w:sz w:val="17"/>
          <w:szCs w:val="17"/>
          <w:color w:val="auto"/>
        </w:rPr>
        <w:t>“Combined Voting Power” shall mean the aggregate votes entitled to be cast generally in the election of the Board of Directors, or similar managing group, of a corporation or other entity by holders of then outstanding Voting Securities of such corporation or other entity.</w:t>
      </w:r>
    </w:p>
    <w:p>
      <w:pPr>
        <w:spacing w:after="0" w:line="171" w:lineRule="exact"/>
        <w:rPr>
          <w:rFonts w:ascii="Arial" w:cs="Arial" w:eastAsia="Arial" w:hAnsi="Arial"/>
          <w:sz w:val="17"/>
          <w:szCs w:val="17"/>
          <w:color w:val="auto"/>
        </w:rPr>
      </w:pPr>
    </w:p>
    <w:p>
      <w:pPr>
        <w:ind w:left="1260" w:right="20" w:firstLine="633"/>
        <w:spacing w:after="0" w:line="265" w:lineRule="auto"/>
        <w:tabs>
          <w:tab w:leader="none" w:pos="2588" w:val="left"/>
        </w:tabs>
        <w:numPr>
          <w:ilvl w:val="1"/>
          <w:numId w:val="766"/>
        </w:numPr>
        <w:rPr>
          <w:rFonts w:ascii="Arial" w:cs="Arial" w:eastAsia="Arial" w:hAnsi="Arial"/>
          <w:sz w:val="17"/>
          <w:szCs w:val="17"/>
          <w:color w:val="auto"/>
        </w:rPr>
      </w:pPr>
      <w:r>
        <w:rPr>
          <w:rFonts w:ascii="Arial" w:cs="Arial" w:eastAsia="Arial" w:hAnsi="Arial"/>
          <w:sz w:val="17"/>
          <w:szCs w:val="17"/>
          <w:color w:val="auto"/>
        </w:rPr>
        <w:t>“Person” shall mean any individual, entity (including, without limitation, any corporation, partnership, trust, joint venture, association or governmental body) or group (as defined in Sections 14(d)(3) or 15(d)(2) of the Exchange Act and the rules and regulations thereunder); provided, however, that Person shall not include the Company, any of its subsidiaries, any employee benefit plan of the Company or any of its majority-owned subsidiaries or any entity organized, appointed or established by the Company or such subsidiaries for or pursuant to the terms of any such plan.</w:t>
      </w:r>
    </w:p>
    <w:p>
      <w:pPr>
        <w:spacing w:after="0" w:line="179" w:lineRule="exact"/>
        <w:rPr>
          <w:rFonts w:ascii="Arial" w:cs="Arial" w:eastAsia="Arial" w:hAnsi="Arial"/>
          <w:sz w:val="17"/>
          <w:szCs w:val="17"/>
          <w:color w:val="auto"/>
        </w:rPr>
      </w:pPr>
    </w:p>
    <w:p>
      <w:pPr>
        <w:ind w:left="1260" w:right="140" w:firstLine="633"/>
        <w:spacing w:after="0" w:line="289" w:lineRule="auto"/>
        <w:tabs>
          <w:tab w:leader="none" w:pos="2578" w:val="left"/>
        </w:tabs>
        <w:numPr>
          <w:ilvl w:val="1"/>
          <w:numId w:val="766"/>
        </w:numPr>
        <w:rPr>
          <w:rFonts w:ascii="Arial" w:cs="Arial" w:eastAsia="Arial" w:hAnsi="Arial"/>
          <w:sz w:val="17"/>
          <w:szCs w:val="17"/>
          <w:color w:val="auto"/>
        </w:rPr>
      </w:pPr>
      <w:r>
        <w:rPr>
          <w:rFonts w:ascii="Arial" w:cs="Arial" w:eastAsia="Arial" w:hAnsi="Arial"/>
          <w:sz w:val="17"/>
          <w:szCs w:val="17"/>
          <w:color w:val="auto"/>
        </w:rPr>
        <w:t>“Voting Securities” shall mean all securities of a corporation or other entity having the right under ordinary circumstances to vote in an election of the Board of Directors, or similar managing group, of such corporation or other entity.</w:t>
      </w:r>
    </w:p>
    <w:p>
      <w:pPr>
        <w:spacing w:after="0" w:line="158" w:lineRule="exact"/>
        <w:rPr>
          <w:rFonts w:ascii="Arial" w:cs="Arial" w:eastAsia="Arial" w:hAnsi="Arial"/>
          <w:sz w:val="17"/>
          <w:szCs w:val="17"/>
          <w:color w:val="auto"/>
        </w:rPr>
      </w:pPr>
    </w:p>
    <w:p>
      <w:pPr>
        <w:ind w:left="4220" w:hanging="212"/>
        <w:spacing w:after="0"/>
        <w:tabs>
          <w:tab w:leader="none" w:pos="4220" w:val="left"/>
        </w:tabs>
        <w:numPr>
          <w:ilvl w:val="2"/>
          <w:numId w:val="76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Termination Following a Change of Control</w:t>
      </w:r>
    </w:p>
    <w:p>
      <w:pPr>
        <w:spacing w:after="0" w:line="224" w:lineRule="exact"/>
        <w:rPr>
          <w:sz w:val="20"/>
          <w:szCs w:val="20"/>
          <w:color w:val="auto"/>
        </w:rPr>
      </w:pPr>
    </w:p>
    <w:p>
      <w:pPr>
        <w:ind w:right="140" w:firstLine="634"/>
        <w:spacing w:after="0" w:line="273" w:lineRule="auto"/>
        <w:tabs>
          <w:tab w:leader="none" w:pos="1323" w:val="left"/>
        </w:tabs>
        <w:numPr>
          <w:ilvl w:val="0"/>
          <w:numId w:val="767"/>
        </w:numPr>
        <w:rPr>
          <w:rFonts w:ascii="Arial" w:cs="Arial" w:eastAsia="Arial" w:hAnsi="Arial"/>
          <w:sz w:val="17"/>
          <w:szCs w:val="17"/>
          <w:color w:val="auto"/>
        </w:rPr>
      </w:pPr>
      <w:r>
        <w:rPr>
          <w:rFonts w:ascii="Arial" w:cs="Arial" w:eastAsia="Arial" w:hAnsi="Arial"/>
          <w:sz w:val="17"/>
          <w:szCs w:val="17"/>
          <w:color w:val="auto"/>
        </w:rPr>
        <w:t>If a Change of Control of the Company shall have occurred, any subsequent termination of Executive’s employment (i) by the Executive upon an Event of Termination for Good Reason (hereafter defined) or (ii) by the Company upon an Event of Termination for Cause (hereafter defined), shall be communicated by written notice to the other party. If the notice 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547" w:gutter="0" w:footer="0" w:header="0"/>
        </w:sectPr>
      </w:pPr>
    </w:p>
    <w:bookmarkStart w:id="442" w:name="page443"/>
    <w:bookmarkEnd w:id="442"/>
    <w:p>
      <w:pPr>
        <w:spacing w:after="0" w:line="26"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from the Company and states that the Executive’s employment by the Company is terminated by the Company as a result of the occurrence of an Event of Termination for Cause, the notice shall specifically describe the action or inaction of the Executive that the Company believes constitutes an Event of Termination for Cause. If the notice is from the Executive and states that the Executive’s employment by the Company is terminated by the Executive as a result of the occurrence of an Event of Termination for Good Reason, the notice shall specifically describe the action or inaction of the Company that the Executive believes constitutes an Event of Termination for Good Reason.</w:t>
      </w:r>
    </w:p>
    <w:p>
      <w:pPr>
        <w:spacing w:after="0" w:line="179" w:lineRule="exact"/>
        <w:rPr>
          <w:sz w:val="20"/>
          <w:szCs w:val="20"/>
          <w:color w:val="auto"/>
        </w:rPr>
      </w:pPr>
    </w:p>
    <w:p>
      <w:pPr>
        <w:ind w:firstLine="634"/>
        <w:spacing w:after="0" w:line="278" w:lineRule="auto"/>
        <w:tabs>
          <w:tab w:leader="none" w:pos="1314" w:val="left"/>
        </w:tabs>
        <w:numPr>
          <w:ilvl w:val="0"/>
          <w:numId w:val="768"/>
        </w:numPr>
        <w:rPr>
          <w:rFonts w:ascii="Arial" w:cs="Arial" w:eastAsia="Arial" w:hAnsi="Arial"/>
          <w:sz w:val="16"/>
          <w:szCs w:val="16"/>
          <w:color w:val="auto"/>
        </w:rPr>
      </w:pPr>
      <w:r>
        <w:rPr>
          <w:rFonts w:ascii="Arial" w:cs="Arial" w:eastAsia="Arial" w:hAnsi="Arial"/>
          <w:sz w:val="16"/>
          <w:szCs w:val="16"/>
          <w:color w:val="auto"/>
        </w:rPr>
        <w:t xml:space="preserve">An “Event of Termination for Cause” shall have occurred: (i) if Executive should be convicted of or pleads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offense or to a crime that the Board determines, in its sole discretion, is a crime of moral turpitude (whether or not a felony); (ii) if Executive should commit willful misconduct (that is, done in bad faith or without reasonable belief that such action is in the best interest of the Company) or violate any law in connection with the performance of any of Executive’s duties, including, without limitation, (a) misappropriation of funds or property of the Company or any of its affiliates or customers, (b) securing or attempting to secure personally any profit in connection with any transaction entered into on behalf of the Company or any of its affiliates, or (c) making any material misrepresentation to the Board, the Company, or any of the Company’s affiliates; (iii) if Executive materially violates or fails to comply with any written Company policy; (iv) if Executive materially breaches any term of this Agreement; or (v) the willful and continued failure or neglect of the Executive to substantially perform his/her duties with the Company (other than any such failure resulting from incapacity due to physical or mental illness). The Board shall not have Cause to terminate Executive’s employment under Paragraph 3.B. (iii), (iv), or (v) of this Agreement unless and until the Board provides written notice to Executive identifying Executive’s alleged violation of policy, breach of this Agreement, or failure to perform (or neglect of) any duty and Executive fails to cure such violation of policy, breach of this Agreement or failure to perform (or neglect of) any duty within 60 days.</w:t>
      </w:r>
    </w:p>
    <w:p>
      <w:pPr>
        <w:spacing w:after="0" w:line="172" w:lineRule="exact"/>
        <w:rPr>
          <w:rFonts w:ascii="Arial" w:cs="Arial" w:eastAsia="Arial" w:hAnsi="Arial"/>
          <w:sz w:val="16"/>
          <w:szCs w:val="16"/>
          <w:color w:val="auto"/>
        </w:rPr>
      </w:pPr>
    </w:p>
    <w:p>
      <w:pPr>
        <w:ind w:left="1320" w:hanging="686"/>
        <w:spacing w:after="0"/>
        <w:tabs>
          <w:tab w:leader="none" w:pos="1320" w:val="left"/>
        </w:tabs>
        <w:numPr>
          <w:ilvl w:val="0"/>
          <w:numId w:val="768"/>
        </w:numPr>
        <w:rPr>
          <w:rFonts w:ascii="Arial" w:cs="Arial" w:eastAsia="Arial" w:hAnsi="Arial"/>
          <w:sz w:val="17"/>
          <w:szCs w:val="17"/>
          <w:color w:val="auto"/>
        </w:rPr>
      </w:pPr>
      <w:r>
        <w:rPr>
          <w:rFonts w:ascii="Arial" w:cs="Arial" w:eastAsia="Arial" w:hAnsi="Arial"/>
          <w:sz w:val="17"/>
          <w:szCs w:val="17"/>
          <w:color w:val="auto"/>
        </w:rPr>
        <w:t>An “Event of Termination for Good Reason” shall have occurred in the event of any of the following:</w:t>
      </w:r>
    </w:p>
    <w:p>
      <w:pPr>
        <w:spacing w:after="0" w:line="224" w:lineRule="exact"/>
        <w:rPr>
          <w:rFonts w:ascii="Arial" w:cs="Arial" w:eastAsia="Arial" w:hAnsi="Arial"/>
          <w:sz w:val="17"/>
          <w:szCs w:val="17"/>
          <w:color w:val="auto"/>
        </w:rPr>
      </w:pPr>
    </w:p>
    <w:p>
      <w:pPr>
        <w:ind w:left="1260" w:right="140" w:firstLine="633"/>
        <w:spacing w:after="0" w:line="265" w:lineRule="auto"/>
        <w:tabs>
          <w:tab w:leader="none" w:pos="2578" w:val="left"/>
        </w:tabs>
        <w:numPr>
          <w:ilvl w:val="1"/>
          <w:numId w:val="768"/>
        </w:numPr>
        <w:rPr>
          <w:rFonts w:ascii="Arial" w:cs="Arial" w:eastAsia="Arial" w:hAnsi="Arial"/>
          <w:sz w:val="17"/>
          <w:szCs w:val="17"/>
          <w:color w:val="auto"/>
        </w:rPr>
      </w:pPr>
      <w:r>
        <w:rPr>
          <w:rFonts w:ascii="Arial" w:cs="Arial" w:eastAsia="Arial" w:hAnsi="Arial"/>
          <w:sz w:val="17"/>
          <w:szCs w:val="17"/>
          <w:color w:val="auto"/>
        </w:rPr>
        <w:t>Executive’s assignment to any duties or the significant reduction of Executive’s duties or a significant change of Executive’s title, any of which is inconsistent with his or her position or title with the Company and responsibilities in effect immediately prior to such assignment, except in each case in connection with a promotion. For purposes of clarification, if Executive is not the President and CEO of the successor entity or its ultimate parent, if any, then Executive will have suffered a significant reduction of his/her duties which qualifies as an Event of Termination for Good Reason pursuant to this paragraph;</w:t>
      </w:r>
    </w:p>
    <w:p>
      <w:pPr>
        <w:spacing w:after="0" w:line="179" w:lineRule="exact"/>
        <w:rPr>
          <w:rFonts w:ascii="Arial" w:cs="Arial" w:eastAsia="Arial" w:hAnsi="Arial"/>
          <w:sz w:val="17"/>
          <w:szCs w:val="17"/>
          <w:color w:val="auto"/>
        </w:rPr>
      </w:pPr>
    </w:p>
    <w:p>
      <w:pPr>
        <w:jc w:val="both"/>
        <w:ind w:left="1260" w:right="200" w:firstLine="633"/>
        <w:spacing w:after="0" w:line="298" w:lineRule="auto"/>
        <w:tabs>
          <w:tab w:leader="none" w:pos="2583" w:val="left"/>
        </w:tabs>
        <w:numPr>
          <w:ilvl w:val="1"/>
          <w:numId w:val="768"/>
        </w:numPr>
        <w:rPr>
          <w:rFonts w:ascii="Arial" w:cs="Arial" w:eastAsia="Arial" w:hAnsi="Arial"/>
          <w:sz w:val="16"/>
          <w:szCs w:val="16"/>
          <w:color w:val="auto"/>
        </w:rPr>
      </w:pPr>
      <w:r>
        <w:rPr>
          <w:rFonts w:ascii="Arial" w:cs="Arial" w:eastAsia="Arial" w:hAnsi="Arial"/>
          <w:sz w:val="16"/>
          <w:szCs w:val="16"/>
          <w:color w:val="auto"/>
        </w:rPr>
        <w:t>reduction by the Company in Executive’s base compensation as in effect immediately prior to such reduction, provided that an Event of Termination for Good Reason shall not be deemed to have occurred where Executive’s base compensation is reduced as part of an overall cost reduction program that affects all senior executives of the Company and does not disproportionately affect Executive;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40" w:firstLine="633"/>
        <w:spacing w:after="0" w:line="322" w:lineRule="auto"/>
        <w:tabs>
          <w:tab w:leader="none" w:pos="2588" w:val="left"/>
        </w:tabs>
        <w:numPr>
          <w:ilvl w:val="2"/>
          <w:numId w:val="769"/>
        </w:numPr>
        <w:rPr>
          <w:rFonts w:ascii="Arial" w:cs="Arial" w:eastAsia="Arial" w:hAnsi="Arial"/>
          <w:sz w:val="16"/>
          <w:szCs w:val="16"/>
          <w:color w:val="auto"/>
        </w:rPr>
      </w:pPr>
      <w:r>
        <w:rPr>
          <w:rFonts w:ascii="Arial" w:cs="Arial" w:eastAsia="Arial" w:hAnsi="Arial"/>
          <w:sz w:val="16"/>
          <w:szCs w:val="16"/>
          <w:color w:val="auto"/>
        </w:rPr>
        <w:t>any purported termination of Executive by the Company (other than a voluntary resignation initiated by Executive, except for a voluntary termination initiated by Executive for the reasons described in this paragraph) which is not effected for disability or for Cause;</w:t>
      </w:r>
    </w:p>
    <w:p>
      <w:pPr>
        <w:spacing w:after="0" w:line="135" w:lineRule="exact"/>
        <w:rPr>
          <w:rFonts w:ascii="Arial" w:cs="Arial" w:eastAsia="Arial" w:hAnsi="Arial"/>
          <w:sz w:val="16"/>
          <w:szCs w:val="16"/>
          <w:color w:val="auto"/>
        </w:rPr>
      </w:pPr>
    </w:p>
    <w:p>
      <w:pPr>
        <w:ind w:left="2580" w:hanging="687"/>
        <w:spacing w:after="0"/>
        <w:tabs>
          <w:tab w:leader="none" w:pos="2580" w:val="left"/>
        </w:tabs>
        <w:numPr>
          <w:ilvl w:val="2"/>
          <w:numId w:val="769"/>
        </w:numPr>
        <w:rPr>
          <w:rFonts w:ascii="Arial" w:cs="Arial" w:eastAsia="Arial" w:hAnsi="Arial"/>
          <w:sz w:val="17"/>
          <w:szCs w:val="17"/>
          <w:color w:val="auto"/>
        </w:rPr>
      </w:pPr>
      <w:r>
        <w:rPr>
          <w:rFonts w:ascii="Arial" w:cs="Arial" w:eastAsia="Arial" w:hAnsi="Arial"/>
          <w:sz w:val="17"/>
          <w:szCs w:val="17"/>
          <w:color w:val="auto"/>
        </w:rPr>
        <w:t>the failure of any successor entity to the Company to expressly assume in writing the terms of this agreement; and</w:t>
      </w:r>
    </w:p>
    <w:p>
      <w:pPr>
        <w:spacing w:after="0" w:line="224" w:lineRule="exact"/>
        <w:rPr>
          <w:rFonts w:ascii="Arial" w:cs="Arial" w:eastAsia="Arial" w:hAnsi="Arial"/>
          <w:sz w:val="17"/>
          <w:szCs w:val="17"/>
          <w:color w:val="auto"/>
        </w:rPr>
      </w:pPr>
    </w:p>
    <w:p>
      <w:pPr>
        <w:ind w:left="1260" w:right="120" w:firstLine="633"/>
        <w:spacing w:after="0" w:line="289" w:lineRule="auto"/>
        <w:tabs>
          <w:tab w:leader="none" w:pos="2573" w:val="left"/>
        </w:tabs>
        <w:numPr>
          <w:ilvl w:val="2"/>
          <w:numId w:val="769"/>
        </w:numPr>
        <w:rPr>
          <w:rFonts w:ascii="Arial" w:cs="Arial" w:eastAsia="Arial" w:hAnsi="Arial"/>
          <w:sz w:val="17"/>
          <w:szCs w:val="17"/>
          <w:color w:val="auto"/>
        </w:rPr>
      </w:pPr>
      <w:r>
        <w:rPr>
          <w:rFonts w:ascii="Arial" w:cs="Arial" w:eastAsia="Arial" w:hAnsi="Arial"/>
          <w:sz w:val="17"/>
          <w:szCs w:val="17"/>
          <w:color w:val="auto"/>
        </w:rPr>
        <w:t>any material breach by the Company of any material provision of this agreement which has not been cured within 30 days of written notice to the Company by Executive of such breach.</w:t>
      </w:r>
    </w:p>
    <w:p>
      <w:pPr>
        <w:spacing w:after="0" w:line="158" w:lineRule="exact"/>
        <w:rPr>
          <w:rFonts w:ascii="Arial" w:cs="Arial" w:eastAsia="Arial" w:hAnsi="Arial"/>
          <w:sz w:val="17"/>
          <w:szCs w:val="17"/>
          <w:color w:val="auto"/>
        </w:rPr>
      </w:pPr>
    </w:p>
    <w:p>
      <w:pPr>
        <w:ind w:left="5140" w:hanging="222"/>
        <w:spacing w:after="0"/>
        <w:tabs>
          <w:tab w:leader="none" w:pos="5140" w:val="left"/>
        </w:tabs>
        <w:numPr>
          <w:ilvl w:val="3"/>
          <w:numId w:val="76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Severance Benefits</w:t>
      </w:r>
    </w:p>
    <w:p>
      <w:pPr>
        <w:spacing w:after="0" w:line="224" w:lineRule="exact"/>
        <w:rPr>
          <w:rFonts w:ascii="Arial" w:cs="Arial" w:eastAsia="Arial" w:hAnsi="Arial"/>
          <w:sz w:val="17"/>
          <w:szCs w:val="17"/>
          <w:b w:val="1"/>
          <w:bCs w:val="1"/>
          <w:i w:val="1"/>
          <w:iCs w:val="1"/>
          <w:color w:val="auto"/>
        </w:rPr>
      </w:pPr>
    </w:p>
    <w:p>
      <w:pPr>
        <w:ind w:right="20" w:firstLine="634"/>
        <w:spacing w:after="0" w:line="291" w:lineRule="auto"/>
        <w:tabs>
          <w:tab w:leader="none" w:pos="1323" w:val="left"/>
        </w:tabs>
        <w:numPr>
          <w:ilvl w:val="1"/>
          <w:numId w:val="770"/>
        </w:numPr>
        <w:rPr>
          <w:rFonts w:ascii="Arial" w:cs="Arial" w:eastAsia="Arial" w:hAnsi="Arial"/>
          <w:sz w:val="15"/>
          <w:szCs w:val="15"/>
          <w:color w:val="auto"/>
        </w:rPr>
      </w:pPr>
      <w:r>
        <w:rPr>
          <w:rFonts w:ascii="Arial" w:cs="Arial" w:eastAsia="Arial" w:hAnsi="Arial"/>
          <w:sz w:val="15"/>
          <w:szCs w:val="15"/>
          <w:color w:val="auto"/>
        </w:rPr>
        <w:t>If a Change of Control occurs and, within one year thereafter, the Executive’s employment by the Company is terminated by the Executive following an Event of Termination for Good Reason or by the Company otherwise than as a result of an Event of Termination for Cause, Executive will be entitled to receive benefits (“Change of Control Severance Benefits”) consisting of: (a) a lump sum payment equal to one year of Executive’s base salary as in effect immediately prior to the Change of Control (minus lawful withholdings); (b) a lump sum payment equal to the dollar amount of Executive’s full target bonus percentage as in effect immediately prior to the Change of Control (minus lawful withholdings); (c) a lump sum payment of $10,000 (minus lawful withholdings) that Executive may use for benefit continuation under COBRA or for any other purpose; and (d) accelerated vesting of Executive’s stock options under any stock option agreement(s) between Executive and AOI, meaning that all outstanding but unvested stock options shall be accelerated and fully vested, and all vested options shall be exercisable until the later of (i) the 15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of the third month following the date at which the stock options would otherwise have expired in accordance with their original terms, (ii) December 31 of the calendar year in which the stock options would otherwise have expired in accordance with their original terms and (iii) such longer period (not to exceed twelve months following the Separation from Service (as defined in paragraph 4.0 below) as may be provided by the Treasury Department in the final regulations addressing Section 409A of the Internal Revenue Code of 1986, as amended (the “Code”); provided, however, that the foregoing shall not be construed to cause an incentive stock option to fail to meet the statutory requirements of Section 422 of the Code.</w:t>
      </w:r>
    </w:p>
    <w:p>
      <w:pPr>
        <w:spacing w:after="0" w:line="161" w:lineRule="exact"/>
        <w:rPr>
          <w:rFonts w:ascii="Arial" w:cs="Arial" w:eastAsia="Arial" w:hAnsi="Arial"/>
          <w:sz w:val="15"/>
          <w:szCs w:val="15"/>
          <w:color w:val="auto"/>
        </w:rPr>
      </w:pPr>
    </w:p>
    <w:p>
      <w:pPr>
        <w:ind w:right="220" w:firstLine="634"/>
        <w:spacing w:after="0" w:line="296" w:lineRule="auto"/>
        <w:tabs>
          <w:tab w:leader="none" w:pos="1314" w:val="left"/>
        </w:tabs>
        <w:numPr>
          <w:ilvl w:val="1"/>
          <w:numId w:val="770"/>
        </w:numPr>
        <w:rPr>
          <w:rFonts w:ascii="Arial" w:cs="Arial" w:eastAsia="Arial" w:hAnsi="Arial"/>
          <w:sz w:val="15"/>
          <w:szCs w:val="15"/>
          <w:color w:val="auto"/>
        </w:rPr>
      </w:pPr>
      <w:r>
        <w:rPr>
          <w:rFonts w:ascii="Arial" w:cs="Arial" w:eastAsia="Arial" w:hAnsi="Arial"/>
          <w:sz w:val="15"/>
          <w:szCs w:val="15"/>
          <w:color w:val="auto"/>
        </w:rPr>
        <w:t>If at any time prior to a Change of Control the Executive’s employment is terminated by the Company for any reason other than an Event of Termination for Cause or if Executive resigns because of an Event of Termination for Good Reason, Executive shall be entitled to receive payment equal to (i) a lump sum payment equal to one year of Executive’s base salary as in effect immediately prior to such termination (minus lawful withholdings); (ii) a lump sum payment equal to the dollar amount of Executive’s full target bonus percentage as in effect immediately prior to such termination (minus lawful withholdings);</w:t>
      </w:r>
    </w:p>
    <w:p>
      <w:pPr>
        <w:ind w:right="640" w:firstLine="5"/>
        <w:spacing w:after="0" w:line="275" w:lineRule="auto"/>
        <w:tabs>
          <w:tab w:leader="none" w:pos="306" w:val="left"/>
        </w:tabs>
        <w:numPr>
          <w:ilvl w:val="0"/>
          <w:numId w:val="771"/>
        </w:numPr>
        <w:rPr>
          <w:rFonts w:ascii="Arial" w:cs="Arial" w:eastAsia="Arial" w:hAnsi="Arial"/>
          <w:sz w:val="17"/>
          <w:szCs w:val="17"/>
          <w:color w:val="auto"/>
        </w:rPr>
      </w:pPr>
      <w:r>
        <w:rPr>
          <w:rFonts w:ascii="Arial" w:cs="Arial" w:eastAsia="Arial" w:hAnsi="Arial"/>
          <w:sz w:val="17"/>
          <w:szCs w:val="17"/>
          <w:color w:val="auto"/>
        </w:rPr>
        <w:t>a lump sum payment of $15,000 (minus lawful withholdings) that Executive may use for benefit continuation under COBRA or for any other purpose (“Separation Benefits”).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34"/>
        <w:spacing w:after="0" w:line="283" w:lineRule="auto"/>
        <w:tabs>
          <w:tab w:leader="none" w:pos="1314" w:val="left"/>
        </w:tabs>
        <w:numPr>
          <w:ilvl w:val="0"/>
          <w:numId w:val="772"/>
        </w:numPr>
        <w:rPr>
          <w:rFonts w:ascii="Arial" w:cs="Arial" w:eastAsia="Arial" w:hAnsi="Arial"/>
          <w:sz w:val="15"/>
          <w:szCs w:val="15"/>
          <w:color w:val="auto"/>
        </w:rPr>
      </w:pPr>
      <w:r>
        <w:rPr>
          <w:rFonts w:ascii="Arial" w:cs="Arial" w:eastAsia="Arial" w:hAnsi="Arial"/>
          <w:sz w:val="15"/>
          <w:szCs w:val="15"/>
          <w:color w:val="auto"/>
        </w:rPr>
        <w:t>If payable under paragraph 4.A, the Change of Control Severance Benefits shall be paid on the later of the 60 day after the effective date of Executive’s “separation from service” (within the meaning of Section 409A and the regulations issued thereunder) (“Separation from Service”), or six months and one day after the Executive’s Separation from Service if the Executive is a “specified employee” (as that term is defined under Section 409A of the Code and the regulations issued thereunder) (“Specified Employee”) at the time the Executive becomes entitled to Change of Control Severance Benefits under this Paragraph. If payable under paragraph 4.B, the Separation Benefits shall be paid periodically in installments over the twelve months following the Executive’s Separation from Service, in accordance with the Company’s regular payroll practices, provided that no payment shall be made prior to the 60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after the effective date of Executive’s Separation from Service or six months and one day after the Executive’s Separation from Service if the Executive is a Specified Employee at the time the Executive becomes entitled to the Separation Benefits under this Paragraph. Notwithstanding the foregoing, no Change of Control Severance Benefits or Separation Benefits shall be due under this Agreement unless (a) prior to the 60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after the effective date of Executive’s separation from service, Executive has signed a release agreement (“Release Agreement”) that the Company will provide in which Executive releases any possible claims against the Company and all of</w:t>
      </w:r>
    </w:p>
    <w:p>
      <w:pPr>
        <w:sectPr>
          <w:pgSz w:w="11900" w:h="16864" w:orient="portrait"/>
          <w:cols w:equalWidth="0" w:num="1">
            <w:col w:w="11420"/>
          </w:cols>
          <w:pgMar w:left="240" w:top="127" w:right="239" w:bottom="0" w:gutter="0" w:footer="0" w:header="0"/>
        </w:sectPr>
      </w:pPr>
    </w:p>
    <w:bookmarkStart w:id="443" w:name="page444"/>
    <w:bookmarkEnd w:id="443"/>
    <w:p>
      <w:pPr>
        <w:spacing w:after="0" w:line="29" w:lineRule="exact"/>
        <w:rPr>
          <w:sz w:val="20"/>
          <w:szCs w:val="20"/>
          <w:color w:val="auto"/>
        </w:rPr>
      </w:pPr>
    </w:p>
    <w:p>
      <w:pPr>
        <w:ind w:right="280"/>
        <w:spacing w:after="0" w:line="288" w:lineRule="auto"/>
        <w:rPr>
          <w:sz w:val="20"/>
          <w:szCs w:val="20"/>
          <w:color w:val="auto"/>
        </w:rPr>
      </w:pPr>
      <w:r>
        <w:rPr>
          <w:rFonts w:ascii="Arial" w:cs="Arial" w:eastAsia="Arial" w:hAnsi="Arial"/>
          <w:sz w:val="15"/>
          <w:szCs w:val="15"/>
          <w:color w:val="auto"/>
        </w:rPr>
        <w:t>its parents, divisions, subsidiaries, affiliates, and related companies, and their present and former agents, employees, officers, directors, attorneys, stockholders, plan fiduciaries, successors, and assigns; and (b) prior to the 60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after the effective date of Executive’s separation from service, the seven day revocation period in the Release Agreement has expired without Executive’s revocation. In the case of Separation Benefits, the Release Agreement shall also include a reasonable agreement to cooperate for a period of six months following the employment termination date and a mutual non-disparagement clause.</w:t>
      </w:r>
    </w:p>
    <w:p>
      <w:pPr>
        <w:spacing w:after="0" w:line="166" w:lineRule="exact"/>
        <w:rPr>
          <w:sz w:val="20"/>
          <w:szCs w:val="20"/>
          <w:color w:val="auto"/>
        </w:rPr>
      </w:pPr>
    </w:p>
    <w:p>
      <w:pPr>
        <w:ind w:left="4240" w:hanging="219"/>
        <w:spacing w:after="0"/>
        <w:tabs>
          <w:tab w:leader="none" w:pos="4240" w:val="left"/>
        </w:tabs>
        <w:numPr>
          <w:ilvl w:val="1"/>
          <w:numId w:val="77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Confidential Information and Trade Secrets</w:t>
      </w:r>
    </w:p>
    <w:p>
      <w:pPr>
        <w:spacing w:after="0" w:line="224" w:lineRule="exact"/>
        <w:rPr>
          <w:rFonts w:ascii="Arial" w:cs="Arial" w:eastAsia="Arial" w:hAnsi="Arial"/>
          <w:sz w:val="17"/>
          <w:szCs w:val="17"/>
          <w:b w:val="1"/>
          <w:bCs w:val="1"/>
          <w:i w:val="1"/>
          <w:iCs w:val="1"/>
          <w:color w:val="auto"/>
        </w:rPr>
      </w:pPr>
    </w:p>
    <w:p>
      <w:pPr>
        <w:ind w:firstLine="634"/>
        <w:spacing w:after="0" w:line="279" w:lineRule="auto"/>
        <w:tabs>
          <w:tab w:leader="none" w:pos="1323" w:val="left"/>
        </w:tabs>
        <w:numPr>
          <w:ilvl w:val="0"/>
          <w:numId w:val="774"/>
        </w:numPr>
        <w:rPr>
          <w:rFonts w:ascii="Arial" w:cs="Arial" w:eastAsia="Arial" w:hAnsi="Arial"/>
          <w:sz w:val="16"/>
          <w:szCs w:val="16"/>
          <w:color w:val="auto"/>
        </w:rPr>
      </w:pPr>
      <w:r>
        <w:rPr>
          <w:rFonts w:ascii="Arial" w:cs="Arial" w:eastAsia="Arial" w:hAnsi="Arial"/>
          <w:sz w:val="16"/>
          <w:szCs w:val="16"/>
          <w:color w:val="auto"/>
        </w:rPr>
        <w:t>AOI is engaged in the highly competitive business of the design, development, manufacture and sale of advanced optical components, including modules and circuitry, systems and processes (“Company’s Business”). In this business, Company generates a significant amount of Confidential Information and Trade Secrets, certain of which it hereby agrees to share with Executive, and which Executive will have access to and knowledge of through or as a result of Executive’s employment with the Company. As used in this Agreement, “Confidential Information and Trade Secrets” includes any information, data or compilation of information or data developed, acquired or generated by Company, or its employees (including information and materials conceived, originating, discovered, or developed in whole or in part by Executive at the request of or for the benefit of Company or while employed by Company), which is not generally known to persons who are not employees of Company, and which Company generally does not share other than with its employees, or with its customers and suppliers on an individual transactional basis. “Confidential Information and Trade Secrets” may be written, verbal or recorded by electronic, magnetic or other methods, whether or not expressly identified as “Confidential” by Company.</w:t>
      </w:r>
    </w:p>
    <w:p>
      <w:pPr>
        <w:spacing w:after="0" w:line="172" w:lineRule="exact"/>
        <w:rPr>
          <w:rFonts w:ascii="Arial" w:cs="Arial" w:eastAsia="Arial" w:hAnsi="Arial"/>
          <w:sz w:val="16"/>
          <w:szCs w:val="16"/>
          <w:color w:val="auto"/>
        </w:rPr>
      </w:pPr>
    </w:p>
    <w:p>
      <w:pPr>
        <w:ind w:left="1320" w:hanging="686"/>
        <w:spacing w:after="0"/>
        <w:tabs>
          <w:tab w:leader="none" w:pos="1320" w:val="left"/>
        </w:tabs>
        <w:numPr>
          <w:ilvl w:val="0"/>
          <w:numId w:val="774"/>
        </w:numPr>
        <w:rPr>
          <w:rFonts w:ascii="Arial" w:cs="Arial" w:eastAsia="Arial" w:hAnsi="Arial"/>
          <w:sz w:val="17"/>
          <w:szCs w:val="17"/>
          <w:color w:val="auto"/>
        </w:rPr>
      </w:pPr>
      <w:r>
        <w:rPr>
          <w:rFonts w:ascii="Arial" w:cs="Arial" w:eastAsia="Arial" w:hAnsi="Arial"/>
          <w:sz w:val="17"/>
          <w:szCs w:val="17"/>
          <w:color w:val="auto"/>
        </w:rPr>
        <w:t>“Confidential Information and Trade Secrets” includes, but is not limited to, the following information and materials: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260" w:right="60" w:firstLine="633"/>
        <w:spacing w:after="0" w:line="289" w:lineRule="auto"/>
        <w:tabs>
          <w:tab w:leader="none" w:pos="2578" w:val="left"/>
        </w:tabs>
        <w:numPr>
          <w:ilvl w:val="1"/>
          <w:numId w:val="775"/>
        </w:numPr>
        <w:rPr>
          <w:rFonts w:ascii="Arial" w:cs="Arial" w:eastAsia="Arial" w:hAnsi="Arial"/>
          <w:sz w:val="17"/>
          <w:szCs w:val="17"/>
          <w:color w:val="auto"/>
        </w:rPr>
      </w:pPr>
      <w:r>
        <w:rPr>
          <w:rFonts w:ascii="Arial" w:cs="Arial" w:eastAsia="Arial" w:hAnsi="Arial"/>
          <w:sz w:val="17"/>
          <w:szCs w:val="17"/>
          <w:color w:val="auto"/>
        </w:rPr>
        <w:t>Financial information of any kind pertaining to Company, including, without limitation, information about the profit margins, profitability, pricing, income and expenses of Company or any of its products or lines of business;</w:t>
      </w:r>
    </w:p>
    <w:p>
      <w:pPr>
        <w:spacing w:after="0" w:line="158" w:lineRule="exact"/>
        <w:rPr>
          <w:rFonts w:ascii="Arial" w:cs="Arial" w:eastAsia="Arial" w:hAnsi="Arial"/>
          <w:sz w:val="17"/>
          <w:szCs w:val="17"/>
          <w:color w:val="auto"/>
        </w:rPr>
      </w:pPr>
    </w:p>
    <w:p>
      <w:pPr>
        <w:ind w:left="1260" w:right="20" w:firstLine="633"/>
        <w:spacing w:after="0" w:line="268" w:lineRule="auto"/>
        <w:tabs>
          <w:tab w:leader="none" w:pos="2583" w:val="left"/>
        </w:tabs>
        <w:numPr>
          <w:ilvl w:val="1"/>
          <w:numId w:val="775"/>
        </w:numPr>
        <w:rPr>
          <w:rFonts w:ascii="Arial" w:cs="Arial" w:eastAsia="Arial" w:hAnsi="Arial"/>
          <w:sz w:val="17"/>
          <w:szCs w:val="17"/>
          <w:color w:val="auto"/>
        </w:rPr>
      </w:pPr>
      <w:r>
        <w:rPr>
          <w:rFonts w:ascii="Arial" w:cs="Arial" w:eastAsia="Arial" w:hAnsi="Arial"/>
          <w:sz w:val="17"/>
          <w:szCs w:val="17"/>
          <w:color w:val="auto"/>
        </w:rPr>
        <w:t>All information about and all communications received from, sent to or exchanged between Company and any person or entity which has purchased, licensed, exchanged or otherwise entered into a transaction with Company, or to which Company has made a proposal with respect to the purchase, sale, license, exchange or other transaction involving any component, products or services which form any part of Company’s Business (such person or entity being hereinafter referred to as customer or customers);</w:t>
      </w:r>
    </w:p>
    <w:p>
      <w:pPr>
        <w:spacing w:after="0" w:line="175" w:lineRule="exact"/>
        <w:rPr>
          <w:rFonts w:ascii="Arial" w:cs="Arial" w:eastAsia="Arial" w:hAnsi="Arial"/>
          <w:sz w:val="17"/>
          <w:szCs w:val="17"/>
          <w:color w:val="auto"/>
        </w:rPr>
      </w:pPr>
    </w:p>
    <w:p>
      <w:pPr>
        <w:ind w:left="1260" w:right="280" w:firstLine="633"/>
        <w:spacing w:after="0" w:line="268" w:lineRule="auto"/>
        <w:tabs>
          <w:tab w:leader="none" w:pos="2588" w:val="left"/>
        </w:tabs>
        <w:numPr>
          <w:ilvl w:val="1"/>
          <w:numId w:val="775"/>
        </w:numPr>
        <w:rPr>
          <w:rFonts w:ascii="Arial" w:cs="Arial" w:eastAsia="Arial" w:hAnsi="Arial"/>
          <w:sz w:val="17"/>
          <w:szCs w:val="17"/>
          <w:color w:val="auto"/>
        </w:rPr>
      </w:pPr>
      <w:r>
        <w:rPr>
          <w:rFonts w:ascii="Arial" w:cs="Arial" w:eastAsia="Arial" w:hAnsi="Arial"/>
          <w:sz w:val="17"/>
          <w:szCs w:val="17"/>
          <w:color w:val="auto"/>
        </w:rPr>
        <w:t>Any and all information and records relating to Company’s contracts or transactions with, or charges, prices or sales to, its customers, including invoices, proposals, confirmations, bills of ladings, statements, accounting records, bids, payment records or any other information or documents regarding amounts charged to or paid by customers, for any software, products or services which form any part of Company’s Business;</w:t>
      </w:r>
    </w:p>
    <w:p>
      <w:pPr>
        <w:spacing w:after="0" w:line="175" w:lineRule="exact"/>
        <w:rPr>
          <w:rFonts w:ascii="Arial" w:cs="Arial" w:eastAsia="Arial" w:hAnsi="Arial"/>
          <w:sz w:val="17"/>
          <w:szCs w:val="17"/>
          <w:color w:val="auto"/>
        </w:rPr>
      </w:pPr>
    </w:p>
    <w:p>
      <w:pPr>
        <w:ind w:left="1260" w:firstLine="633"/>
        <w:spacing w:after="0" w:line="262" w:lineRule="auto"/>
        <w:tabs>
          <w:tab w:leader="none" w:pos="2578" w:val="left"/>
        </w:tabs>
        <w:numPr>
          <w:ilvl w:val="1"/>
          <w:numId w:val="775"/>
        </w:numPr>
        <w:rPr>
          <w:rFonts w:ascii="Arial" w:cs="Arial" w:eastAsia="Arial" w:hAnsi="Arial"/>
          <w:sz w:val="17"/>
          <w:szCs w:val="17"/>
          <w:color w:val="auto"/>
        </w:rPr>
      </w:pPr>
      <w:r>
        <w:rPr>
          <w:rFonts w:ascii="Arial" w:cs="Arial" w:eastAsia="Arial" w:hAnsi="Arial"/>
          <w:sz w:val="17"/>
          <w:szCs w:val="17"/>
          <w:color w:val="auto"/>
        </w:rPr>
        <w:t>All information regarding Company’s scientific, technical or technological information, designs, processes, procedures, formulas, equipment or systems, including without limitation, any components, modules, circuits, software, programs, codes, algorithms, calculations, drawings, plans, or specifications related to the development, design, construction, fabrication, manufacture, operation or furnishing of any software, products, services, or equipment which constitute any part of the Company’s Business, including Company Products. As used in this Agreement, “Company Products” shall mean any and all computer software, optical component, module, circuitry, equipment, products, services, together with any updates, substitutions, enhancements or modifications thereof, and any user manuals, programming manuals and other documentation of any kind.</w:t>
      </w:r>
    </w:p>
    <w:p>
      <w:pPr>
        <w:spacing w:after="0" w:line="184" w:lineRule="exact"/>
        <w:rPr>
          <w:rFonts w:ascii="Arial" w:cs="Arial" w:eastAsia="Arial" w:hAnsi="Arial"/>
          <w:sz w:val="17"/>
          <w:szCs w:val="17"/>
          <w:color w:val="auto"/>
        </w:rPr>
      </w:pPr>
    </w:p>
    <w:p>
      <w:pPr>
        <w:ind w:right="60" w:firstLine="634"/>
        <w:spacing w:after="0" w:line="265" w:lineRule="auto"/>
        <w:tabs>
          <w:tab w:leader="none" w:pos="1314" w:val="left"/>
        </w:tabs>
        <w:numPr>
          <w:ilvl w:val="0"/>
          <w:numId w:val="776"/>
        </w:numPr>
        <w:rPr>
          <w:rFonts w:ascii="Arial" w:cs="Arial" w:eastAsia="Arial" w:hAnsi="Arial"/>
          <w:sz w:val="17"/>
          <w:szCs w:val="17"/>
          <w:color w:val="auto"/>
        </w:rPr>
      </w:pPr>
      <w:r>
        <w:rPr>
          <w:rFonts w:ascii="Arial" w:cs="Arial" w:eastAsia="Arial" w:hAnsi="Arial"/>
          <w:sz w:val="17"/>
          <w:szCs w:val="17"/>
          <w:color w:val="auto"/>
        </w:rPr>
        <w:t>Executive acknowledges that all notes, data, forms, reference and training materials, leads, memoranda, computer programs, computer print-outs, disks and the information contained in any computer, and any other records which contain, reflect or describe any Confidential Information and Trade Secrets, belong exclusively to Company. Upon the termination of Executive’s employment with the Company, Executive shall promptly return such materials and all copies thereof in Executive’s possession to Company, regardless of whether such termination is the result of an Event of Termination for Good Reason or an Event of Termination for Cause (the “Termination Date”).</w:t>
      </w:r>
    </w:p>
    <w:p>
      <w:pPr>
        <w:spacing w:after="0" w:line="179" w:lineRule="exact"/>
        <w:rPr>
          <w:rFonts w:ascii="Arial" w:cs="Arial" w:eastAsia="Arial" w:hAnsi="Arial"/>
          <w:sz w:val="17"/>
          <w:szCs w:val="17"/>
          <w:color w:val="auto"/>
        </w:rPr>
      </w:pPr>
    </w:p>
    <w:p>
      <w:pPr>
        <w:ind w:firstLine="634"/>
        <w:spacing w:after="0" w:line="298" w:lineRule="auto"/>
        <w:tabs>
          <w:tab w:leader="none" w:pos="1323" w:val="left"/>
        </w:tabs>
        <w:numPr>
          <w:ilvl w:val="0"/>
          <w:numId w:val="776"/>
        </w:numPr>
        <w:rPr>
          <w:rFonts w:ascii="Arial" w:cs="Arial" w:eastAsia="Arial" w:hAnsi="Arial"/>
          <w:sz w:val="16"/>
          <w:szCs w:val="16"/>
          <w:color w:val="auto"/>
        </w:rPr>
      </w:pPr>
      <w:r>
        <w:rPr>
          <w:rFonts w:ascii="Arial" w:cs="Arial" w:eastAsia="Arial" w:hAnsi="Arial"/>
          <w:sz w:val="16"/>
          <w:szCs w:val="16"/>
          <w:color w:val="auto"/>
        </w:rPr>
        <w:t>During Executive’s employment with Company and thereafter, Executive will not copy, publish, convey, transfer, disclose nor use, directly or indirectly, for Executive’s own benefit or for the benefit of any other person or entity (except Company) any Confidential Information and Trade Secrets; provided, that any copying or other prohibited use of Confidential Information and Trade Secrets shall not include copying or otherwise using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Confidential Information and Trade Secrets in connection with communications with current or potential customers or vendors that the Executive reasonably expects to have a direct benefit to the Company. Executive will abide by all rules, guidelines, policies and procedures relating to Confidential Information and Trade Secrets implemented and/or amended from time to time by Company.</w:t>
      </w:r>
    </w:p>
    <w:p>
      <w:pPr>
        <w:spacing w:after="0" w:line="172" w:lineRule="exact"/>
        <w:rPr>
          <w:sz w:val="20"/>
          <w:szCs w:val="20"/>
          <w:color w:val="auto"/>
        </w:rPr>
      </w:pPr>
    </w:p>
    <w:p>
      <w:pPr>
        <w:ind w:right="100" w:firstLine="634"/>
        <w:spacing w:after="0" w:line="283" w:lineRule="auto"/>
        <w:tabs>
          <w:tab w:leader="none" w:pos="1304" w:val="left"/>
        </w:tabs>
        <w:numPr>
          <w:ilvl w:val="0"/>
          <w:numId w:val="777"/>
        </w:numPr>
        <w:rPr>
          <w:rFonts w:ascii="Arial" w:cs="Arial" w:eastAsia="Arial" w:hAnsi="Arial"/>
          <w:sz w:val="16"/>
          <w:szCs w:val="16"/>
          <w:color w:val="auto"/>
        </w:rPr>
      </w:pPr>
      <w:r>
        <w:rPr>
          <w:rFonts w:ascii="Arial" w:cs="Arial" w:eastAsia="Arial" w:hAnsi="Arial"/>
          <w:sz w:val="16"/>
          <w:szCs w:val="16"/>
          <w:color w:val="auto"/>
        </w:rPr>
        <w:t>Executive acknowledges that any actual or threatened breach of the covenants contained herein will cause Company irreparable harm and that money damages would not provide an adequate remedy to Company for any such breach. For these reasons, and because of the unique nature of the Confidential Information and Trade Secrets and the necessity to preserve such Confidential Information and Trade Secrets in order to protect Company’s property rights in the event of a breach or threatened breach of any of the provisions herein, Company, in addition to any other remedies available to it at law or in equity, shall be entitled to immediate injunctive relief against Executive to enforce the provisions of this Agreement and shall be entitled to recover from Executive its reasonable attorneys’ fees and other expenses incurred in connection with such proceedings.</w:t>
      </w:r>
    </w:p>
    <w:p>
      <w:pPr>
        <w:spacing w:after="0" w:line="167" w:lineRule="exact"/>
        <w:rPr>
          <w:sz w:val="20"/>
          <w:szCs w:val="20"/>
          <w:color w:val="auto"/>
        </w:rPr>
      </w:pPr>
    </w:p>
    <w:p>
      <w:pPr>
        <w:ind w:left="4900" w:hanging="220"/>
        <w:spacing w:after="0"/>
        <w:tabs>
          <w:tab w:leader="none" w:pos="4900" w:val="left"/>
        </w:tabs>
        <w:numPr>
          <w:ilvl w:val="1"/>
          <w:numId w:val="77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Covenant Not to Compete</w:t>
      </w:r>
    </w:p>
    <w:p>
      <w:pPr>
        <w:spacing w:after="0" w:line="224" w:lineRule="exact"/>
        <w:rPr>
          <w:rFonts w:ascii="Arial" w:cs="Arial" w:eastAsia="Arial" w:hAnsi="Arial"/>
          <w:sz w:val="17"/>
          <w:szCs w:val="17"/>
          <w:b w:val="1"/>
          <w:bCs w:val="1"/>
          <w:i w:val="1"/>
          <w:iCs w:val="1"/>
          <w:color w:val="auto"/>
        </w:rPr>
      </w:pPr>
    </w:p>
    <w:p>
      <w:pPr>
        <w:ind w:right="100" w:firstLine="634"/>
        <w:spacing w:after="0" w:line="308" w:lineRule="auto"/>
        <w:tabs>
          <w:tab w:leader="none" w:pos="1323" w:val="left"/>
        </w:tabs>
        <w:numPr>
          <w:ilvl w:val="0"/>
          <w:numId w:val="779"/>
        </w:numPr>
        <w:rPr>
          <w:rFonts w:ascii="Arial" w:cs="Arial" w:eastAsia="Arial" w:hAnsi="Arial"/>
          <w:sz w:val="15"/>
          <w:szCs w:val="15"/>
          <w:color w:val="auto"/>
        </w:rPr>
      </w:pPr>
      <w:r>
        <w:rPr>
          <w:rFonts w:ascii="Arial" w:cs="Arial" w:eastAsia="Arial" w:hAnsi="Arial"/>
          <w:sz w:val="15"/>
          <w:szCs w:val="15"/>
          <w:color w:val="auto"/>
        </w:rPr>
        <w:t>Throughout Executive’s employment with the Company, Company agrees to give Executive access to certain of its Confidential Information and Trade Secrets concerning Company’s Business and its employees, customers and customer representatives, suppliers and supplier representatives, and Company’s transactional histories as well as information about the logistics, details and expenses of Company in connection with any goods, products or services which form any part of Company’s Business. Company agrees to provide this information to Executive in order to allow Executive to perform Executive’s duties under this Agreement, and to develop relationships with customers, customer representatives, suppliers and supplier representatives of the Company.</w:t>
      </w:r>
    </w:p>
    <w:p>
      <w:pPr>
        <w:spacing w:after="0" w:line="151" w:lineRule="exact"/>
        <w:rPr>
          <w:rFonts w:ascii="Arial" w:cs="Arial" w:eastAsia="Arial" w:hAnsi="Arial"/>
          <w:sz w:val="15"/>
          <w:szCs w:val="15"/>
          <w:color w:val="auto"/>
        </w:rPr>
      </w:pPr>
    </w:p>
    <w:p>
      <w:pPr>
        <w:ind w:right="200" w:firstLine="634"/>
        <w:spacing w:after="0" w:line="322" w:lineRule="auto"/>
        <w:tabs>
          <w:tab w:leader="none" w:pos="1314" w:val="left"/>
        </w:tabs>
        <w:numPr>
          <w:ilvl w:val="0"/>
          <w:numId w:val="779"/>
        </w:numPr>
        <w:rPr>
          <w:rFonts w:ascii="Arial" w:cs="Arial" w:eastAsia="Arial" w:hAnsi="Arial"/>
          <w:sz w:val="16"/>
          <w:szCs w:val="16"/>
          <w:color w:val="auto"/>
        </w:rPr>
      </w:pPr>
      <w:r>
        <w:rPr>
          <w:rFonts w:ascii="Arial" w:cs="Arial" w:eastAsia="Arial" w:hAnsi="Arial"/>
          <w:sz w:val="16"/>
          <w:szCs w:val="16"/>
          <w:color w:val="auto"/>
        </w:rPr>
        <w:t>Company agrees to provide, and to continue to provide, Executive with both specialized knowledge and education in Company’s Business, in order to allow Executive to perform Executive’s duties in an efficient, proper and effective manner. Such knowledge and education may consist of verbal</w:t>
      </w:r>
    </w:p>
    <w:p>
      <w:pPr>
        <w:sectPr>
          <w:pgSz w:w="11900" w:h="16867" w:orient="portrait"/>
          <w:cols w:equalWidth="0" w:num="1">
            <w:col w:w="11420"/>
          </w:cols>
          <w:pgMar w:left="240" w:top="127" w:right="239" w:bottom="0" w:gutter="0" w:footer="0" w:header="0"/>
        </w:sectPr>
      </w:pPr>
    </w:p>
    <w:bookmarkStart w:id="444" w:name="page445"/>
    <w:bookmarkEnd w:id="444"/>
    <w:p>
      <w:pPr>
        <w:ind w:right="140"/>
        <w:spacing w:after="0" w:line="268" w:lineRule="auto"/>
        <w:rPr>
          <w:sz w:val="20"/>
          <w:szCs w:val="20"/>
          <w:color w:val="auto"/>
        </w:rPr>
      </w:pPr>
      <w:r>
        <w:rPr>
          <w:rFonts w:ascii="Arial" w:cs="Arial" w:eastAsia="Arial" w:hAnsi="Arial"/>
          <w:sz w:val="17"/>
          <w:szCs w:val="17"/>
          <w:color w:val="auto"/>
        </w:rPr>
        <w:t>instructions and information, the furnishing of written materials, consultation and counseling, sales, staff and employee meetings, training sessions and seminars, in addition to formal or informal information and orientation methodologies and procedures. Executive will have access to certain of Company’s transactional histories, and the details of prior purchases, sales, trades or exchanges, in order that Executive can learn Company’s Business and/or improve Executive’s skills, experience and knowledge.</w:t>
      </w:r>
    </w:p>
    <w:p>
      <w:pPr>
        <w:spacing w:after="0" w:line="176" w:lineRule="exact"/>
        <w:rPr>
          <w:sz w:val="20"/>
          <w:szCs w:val="20"/>
          <w:color w:val="auto"/>
        </w:rPr>
      </w:pPr>
    </w:p>
    <w:p>
      <w:pPr>
        <w:ind w:right="100" w:firstLine="634"/>
        <w:spacing w:after="0" w:line="298" w:lineRule="auto"/>
        <w:tabs>
          <w:tab w:leader="none" w:pos="1314" w:val="left"/>
        </w:tabs>
        <w:numPr>
          <w:ilvl w:val="0"/>
          <w:numId w:val="780"/>
        </w:numPr>
        <w:rPr>
          <w:rFonts w:ascii="Arial" w:cs="Arial" w:eastAsia="Arial" w:hAnsi="Arial"/>
          <w:sz w:val="16"/>
          <w:szCs w:val="16"/>
          <w:color w:val="auto"/>
        </w:rPr>
      </w:pPr>
      <w:r>
        <w:rPr>
          <w:rFonts w:ascii="Arial" w:cs="Arial" w:eastAsia="Arial" w:hAnsi="Arial"/>
          <w:sz w:val="16"/>
          <w:szCs w:val="16"/>
          <w:color w:val="auto"/>
        </w:rPr>
        <w:t>In consideration of Company’s employment of Executive as a highly valued employee, the Company’s agreement to provide Executive with access to certain Confidential Information and Trade Secrets, and the Company’s agreement to provide specialized knowledge and education, Executive agrees to refrain from competing with Company or otherwise engaging in Restricted Activities, as defined below, during the Restricted Period.</w:t>
      </w:r>
    </w:p>
    <w:p>
      <w:pPr>
        <w:spacing w:after="0" w:line="153" w:lineRule="exact"/>
        <w:rPr>
          <w:rFonts w:ascii="Arial" w:cs="Arial" w:eastAsia="Arial" w:hAnsi="Arial"/>
          <w:sz w:val="16"/>
          <w:szCs w:val="16"/>
          <w:color w:val="auto"/>
        </w:rPr>
      </w:pPr>
    </w:p>
    <w:p>
      <w:pPr>
        <w:ind w:right="40" w:firstLine="634"/>
        <w:spacing w:after="0" w:line="289" w:lineRule="auto"/>
        <w:tabs>
          <w:tab w:leader="none" w:pos="1323" w:val="left"/>
        </w:tabs>
        <w:numPr>
          <w:ilvl w:val="0"/>
          <w:numId w:val="780"/>
        </w:numPr>
        <w:rPr>
          <w:rFonts w:ascii="Arial" w:cs="Arial" w:eastAsia="Arial" w:hAnsi="Arial"/>
          <w:sz w:val="17"/>
          <w:szCs w:val="17"/>
          <w:color w:val="auto"/>
        </w:rPr>
      </w:pPr>
      <w:r>
        <w:rPr>
          <w:rFonts w:ascii="Arial" w:cs="Arial" w:eastAsia="Arial" w:hAnsi="Arial"/>
          <w:sz w:val="17"/>
          <w:szCs w:val="17"/>
          <w:color w:val="auto"/>
        </w:rPr>
        <w:t>Executive agrees that during the term of his employment with Company and for a period of one (1) year after the Executive’s employment with the Company terminates (the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“Restricted Period”), regardless of whether the termination occurs with or without cause and regardless of who terminates this Agreement, Executive will not directly or indirectly, as an employee, officer, director, shareholder, proprietor, agent, partner, recruiter, consultant, independent contractor or in any other individual or representative capacity engage in any of the Restricted Activities.</w:t>
      </w:r>
    </w:p>
    <w:p>
      <w:pPr>
        <w:spacing w:after="0" w:line="172" w:lineRule="exact"/>
        <w:rPr>
          <w:sz w:val="20"/>
          <w:szCs w:val="20"/>
          <w:color w:val="auto"/>
        </w:rPr>
      </w:pPr>
    </w:p>
    <w:p>
      <w:pPr>
        <w:ind w:left="1300" w:hanging="666"/>
        <w:spacing w:after="0"/>
        <w:tabs>
          <w:tab w:leader="none" w:pos="1300" w:val="left"/>
        </w:tabs>
        <w:numPr>
          <w:ilvl w:val="0"/>
          <w:numId w:val="781"/>
        </w:numPr>
        <w:rPr>
          <w:rFonts w:ascii="Arial" w:cs="Arial" w:eastAsia="Arial" w:hAnsi="Arial"/>
          <w:sz w:val="17"/>
          <w:szCs w:val="17"/>
          <w:color w:val="auto"/>
        </w:rPr>
      </w:pPr>
      <w:r>
        <w:rPr>
          <w:rFonts w:ascii="Arial" w:cs="Arial" w:eastAsia="Arial" w:hAnsi="Arial"/>
          <w:sz w:val="17"/>
          <w:szCs w:val="17"/>
          <w:color w:val="auto"/>
        </w:rPr>
        <w:t>“Restricted Activities” means and includes the following:</w:t>
      </w:r>
    </w:p>
    <w:p>
      <w:pPr>
        <w:spacing w:after="0" w:line="224" w:lineRule="exact"/>
        <w:rPr>
          <w:rFonts w:ascii="Arial" w:cs="Arial" w:eastAsia="Arial" w:hAnsi="Arial"/>
          <w:sz w:val="17"/>
          <w:szCs w:val="17"/>
          <w:color w:val="auto"/>
        </w:rPr>
      </w:pPr>
    </w:p>
    <w:p>
      <w:pPr>
        <w:ind w:left="1260" w:right="100" w:firstLine="633"/>
        <w:spacing w:after="0" w:line="273" w:lineRule="auto"/>
        <w:tabs>
          <w:tab w:leader="none" w:pos="2578" w:val="left"/>
        </w:tabs>
        <w:numPr>
          <w:ilvl w:val="1"/>
          <w:numId w:val="781"/>
        </w:numPr>
        <w:rPr>
          <w:rFonts w:ascii="Arial" w:cs="Arial" w:eastAsia="Arial" w:hAnsi="Arial"/>
          <w:sz w:val="17"/>
          <w:szCs w:val="17"/>
          <w:color w:val="auto"/>
        </w:rPr>
      </w:pPr>
      <w:r>
        <w:rPr>
          <w:rFonts w:ascii="Arial" w:cs="Arial" w:eastAsia="Arial" w:hAnsi="Arial"/>
          <w:sz w:val="17"/>
          <w:szCs w:val="17"/>
          <w:color w:val="auto"/>
        </w:rPr>
        <w:t>Conducting, engaging or participating, directly or indirectly, as the chief executive officer or division head, agent, independent contractor, consultant, partner, shareholder, investor, lender, underwriter, supplier, customer or in any other similar capacity, in any business that competes with any part of the Company’s Business;</w:t>
      </w:r>
    </w:p>
    <w:p>
      <w:pPr>
        <w:spacing w:after="0" w:line="171" w:lineRule="exact"/>
        <w:rPr>
          <w:rFonts w:ascii="Arial" w:cs="Arial" w:eastAsia="Arial" w:hAnsi="Arial"/>
          <w:sz w:val="17"/>
          <w:szCs w:val="17"/>
          <w:color w:val="auto"/>
        </w:rPr>
      </w:pPr>
    </w:p>
    <w:p>
      <w:pPr>
        <w:jc w:val="both"/>
        <w:ind w:left="1260" w:right="60" w:firstLine="633"/>
        <w:spacing w:after="0" w:line="265" w:lineRule="auto"/>
        <w:tabs>
          <w:tab w:leader="none" w:pos="2583" w:val="left"/>
        </w:tabs>
        <w:numPr>
          <w:ilvl w:val="1"/>
          <w:numId w:val="781"/>
        </w:numPr>
        <w:rPr>
          <w:rFonts w:ascii="Arial" w:cs="Arial" w:eastAsia="Arial" w:hAnsi="Arial"/>
          <w:sz w:val="17"/>
          <w:szCs w:val="17"/>
          <w:color w:val="auto"/>
        </w:rPr>
      </w:pPr>
      <w:r>
        <w:rPr>
          <w:rFonts w:ascii="Arial" w:cs="Arial" w:eastAsia="Arial" w:hAnsi="Arial"/>
          <w:sz w:val="17"/>
          <w:szCs w:val="17"/>
          <w:color w:val="auto"/>
        </w:rPr>
        <w:t>Recruiting, hiring, and/or attempting to recruit or hire, directly or by assisting others, any other employee, temporary or permanent, contract, part time or full time of the Company. For purposes of this covenant “any other employee” shall refer to employees, consultants or others who are under contract to provide services to the Company and who are still actively employed by, or doing business with, the Company at the time of the attempted recruiting or hiring, or were so employed or doing business at any time within six (6) months prior to the time of such attempted recruiting or hiring; and</w:t>
      </w:r>
    </w:p>
    <w:p>
      <w:pPr>
        <w:spacing w:after="0" w:line="179" w:lineRule="exact"/>
        <w:rPr>
          <w:rFonts w:ascii="Arial" w:cs="Arial" w:eastAsia="Arial" w:hAnsi="Arial"/>
          <w:sz w:val="17"/>
          <w:szCs w:val="17"/>
          <w:color w:val="auto"/>
        </w:rPr>
      </w:pPr>
    </w:p>
    <w:p>
      <w:pPr>
        <w:ind w:left="1260" w:right="120" w:firstLine="633"/>
        <w:spacing w:after="0" w:line="289" w:lineRule="auto"/>
        <w:tabs>
          <w:tab w:leader="none" w:pos="2588" w:val="left"/>
        </w:tabs>
        <w:numPr>
          <w:ilvl w:val="1"/>
          <w:numId w:val="781"/>
        </w:numPr>
        <w:rPr>
          <w:rFonts w:ascii="Arial" w:cs="Arial" w:eastAsia="Arial" w:hAnsi="Arial"/>
          <w:sz w:val="17"/>
          <w:szCs w:val="17"/>
          <w:color w:val="auto"/>
        </w:rPr>
      </w:pPr>
      <w:r>
        <w:rPr>
          <w:rFonts w:ascii="Arial" w:cs="Arial" w:eastAsia="Arial" w:hAnsi="Arial"/>
          <w:sz w:val="17"/>
          <w:szCs w:val="17"/>
          <w:color w:val="auto"/>
        </w:rPr>
        <w:t>Using, disclosing, publishing, copying, distributing or communicating any Confidential Information and Trade Secrets to, or for the use or benefit of Executive or any other person or entity other than Company.</w:t>
      </w:r>
    </w:p>
    <w:p>
      <w:pPr>
        <w:spacing w:after="0" w:line="158" w:lineRule="exact"/>
        <w:rPr>
          <w:rFonts w:ascii="Arial" w:cs="Arial" w:eastAsia="Arial" w:hAnsi="Arial"/>
          <w:sz w:val="17"/>
          <w:szCs w:val="17"/>
          <w:color w:val="auto"/>
        </w:rPr>
      </w:pPr>
    </w:p>
    <w:p>
      <w:pPr>
        <w:ind w:left="1320" w:hanging="686"/>
        <w:spacing w:after="0"/>
        <w:tabs>
          <w:tab w:leader="none" w:pos="1320" w:val="left"/>
        </w:tabs>
        <w:numPr>
          <w:ilvl w:val="0"/>
          <w:numId w:val="781"/>
        </w:numPr>
        <w:rPr>
          <w:rFonts w:ascii="Arial" w:cs="Arial" w:eastAsia="Arial" w:hAnsi="Arial"/>
          <w:sz w:val="17"/>
          <w:szCs w:val="17"/>
          <w:color w:val="auto"/>
        </w:rPr>
      </w:pPr>
      <w:r>
        <w:rPr>
          <w:rFonts w:ascii="Arial" w:cs="Arial" w:eastAsia="Arial" w:hAnsi="Arial"/>
          <w:sz w:val="17"/>
          <w:szCs w:val="17"/>
          <w:color w:val="auto"/>
        </w:rPr>
        <w:t>“Restricted Area” shall mean and include each of the following:</w:t>
      </w:r>
    </w:p>
    <w:p>
      <w:pPr>
        <w:spacing w:after="0" w:line="224" w:lineRule="exact"/>
        <w:rPr>
          <w:rFonts w:ascii="Arial" w:cs="Arial" w:eastAsia="Arial" w:hAnsi="Arial"/>
          <w:sz w:val="17"/>
          <w:szCs w:val="17"/>
          <w:color w:val="auto"/>
        </w:rPr>
      </w:pPr>
    </w:p>
    <w:p>
      <w:pPr>
        <w:ind w:left="2580" w:hanging="687"/>
        <w:spacing w:after="0"/>
        <w:tabs>
          <w:tab w:leader="none" w:pos="2580" w:val="left"/>
        </w:tabs>
        <w:numPr>
          <w:ilvl w:val="1"/>
          <w:numId w:val="781"/>
        </w:numPr>
        <w:rPr>
          <w:rFonts w:ascii="Arial" w:cs="Arial" w:eastAsia="Arial" w:hAnsi="Arial"/>
          <w:sz w:val="17"/>
          <w:szCs w:val="17"/>
          <w:color w:val="auto"/>
        </w:rPr>
      </w:pPr>
      <w:r>
        <w:rPr>
          <w:rFonts w:ascii="Arial" w:cs="Arial" w:eastAsia="Arial" w:hAnsi="Arial"/>
          <w:sz w:val="17"/>
          <w:szCs w:val="17"/>
          <w:color w:val="auto"/>
        </w:rPr>
        <w:t>Fort Bend County, Texas and Harris County, Texas;</w:t>
      </w:r>
    </w:p>
    <w:p>
      <w:pPr>
        <w:spacing w:after="0" w:line="224" w:lineRule="exact"/>
        <w:rPr>
          <w:rFonts w:ascii="Arial" w:cs="Arial" w:eastAsia="Arial" w:hAnsi="Arial"/>
          <w:sz w:val="17"/>
          <w:szCs w:val="17"/>
          <w:color w:val="auto"/>
        </w:rPr>
      </w:pPr>
    </w:p>
    <w:p>
      <w:pPr>
        <w:ind w:left="1260" w:right="600" w:firstLine="633"/>
        <w:spacing w:after="0" w:line="289" w:lineRule="auto"/>
        <w:tabs>
          <w:tab w:leader="none" w:pos="2583" w:val="left"/>
        </w:tabs>
        <w:numPr>
          <w:ilvl w:val="1"/>
          <w:numId w:val="781"/>
        </w:numPr>
        <w:rPr>
          <w:rFonts w:ascii="Arial" w:cs="Arial" w:eastAsia="Arial" w:hAnsi="Arial"/>
          <w:sz w:val="17"/>
          <w:szCs w:val="17"/>
          <w:color w:val="auto"/>
        </w:rPr>
      </w:pPr>
      <w:r>
        <w:rPr>
          <w:rFonts w:ascii="Arial" w:cs="Arial" w:eastAsia="Arial" w:hAnsi="Arial"/>
          <w:sz w:val="17"/>
          <w:szCs w:val="17"/>
          <w:color w:val="auto"/>
        </w:rPr>
        <w:t>Within a twenty-five (25) mile radius of the location of any office, facility or other business location of any customer, customer representative, supplier or supplier representative; and</w:t>
      </w:r>
    </w:p>
    <w:p>
      <w:pPr>
        <w:spacing w:after="0" w:line="158" w:lineRule="exact"/>
        <w:rPr>
          <w:rFonts w:ascii="Arial" w:cs="Arial" w:eastAsia="Arial" w:hAnsi="Arial"/>
          <w:sz w:val="17"/>
          <w:szCs w:val="17"/>
          <w:color w:val="auto"/>
        </w:rPr>
      </w:pPr>
    </w:p>
    <w:p>
      <w:pPr>
        <w:ind w:left="2600" w:hanging="707"/>
        <w:spacing w:after="0"/>
        <w:tabs>
          <w:tab w:leader="none" w:pos="2600" w:val="left"/>
        </w:tabs>
        <w:numPr>
          <w:ilvl w:val="1"/>
          <w:numId w:val="781"/>
        </w:numPr>
        <w:rPr>
          <w:rFonts w:ascii="Arial" w:cs="Arial" w:eastAsia="Arial" w:hAnsi="Arial"/>
          <w:sz w:val="17"/>
          <w:szCs w:val="17"/>
          <w:color w:val="auto"/>
        </w:rPr>
      </w:pPr>
      <w:r>
        <w:rPr>
          <w:rFonts w:ascii="Arial" w:cs="Arial" w:eastAsia="Arial" w:hAnsi="Arial"/>
          <w:sz w:val="17"/>
          <w:szCs w:val="17"/>
          <w:color w:val="auto"/>
        </w:rPr>
        <w:t>Within a sixty (60) miles radius of any office, facility or other business location of Company.</w:t>
      </w:r>
    </w:p>
    <w:p>
      <w:pPr>
        <w:spacing w:after="0" w:line="224" w:lineRule="exact"/>
        <w:rPr>
          <w:rFonts w:ascii="Arial" w:cs="Arial" w:eastAsia="Arial" w:hAnsi="Arial"/>
          <w:sz w:val="17"/>
          <w:szCs w:val="17"/>
          <w:color w:val="auto"/>
        </w:rPr>
      </w:pPr>
    </w:p>
    <w:p>
      <w:pPr>
        <w:ind w:left="1320" w:hanging="686"/>
        <w:spacing w:after="0"/>
        <w:tabs>
          <w:tab w:leader="none" w:pos="1320" w:val="left"/>
        </w:tabs>
        <w:numPr>
          <w:ilvl w:val="0"/>
          <w:numId w:val="781"/>
        </w:numPr>
        <w:rPr>
          <w:rFonts w:ascii="Arial" w:cs="Arial" w:eastAsia="Arial" w:hAnsi="Arial"/>
          <w:sz w:val="16"/>
          <w:szCs w:val="16"/>
          <w:color w:val="auto"/>
        </w:rPr>
      </w:pPr>
      <w:r>
        <w:rPr>
          <w:rFonts w:ascii="Arial" w:cs="Arial" w:eastAsia="Arial" w:hAnsi="Arial"/>
          <w:sz w:val="16"/>
          <w:szCs w:val="16"/>
          <w:color w:val="auto"/>
        </w:rPr>
        <w:t>Executive acknowledges that this Agreement prohibits the performance of Restricted Activities from outside the Restricted Area into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Restricted Area.</w:t>
      </w:r>
    </w:p>
    <w:p>
      <w:pPr>
        <w:spacing w:after="0" w:line="212" w:lineRule="exact"/>
        <w:rPr>
          <w:rFonts w:ascii="Arial" w:cs="Arial" w:eastAsia="Arial" w:hAnsi="Arial"/>
          <w:sz w:val="16"/>
          <w:szCs w:val="16"/>
          <w:color w:val="auto"/>
        </w:rPr>
      </w:pPr>
    </w:p>
    <w:p>
      <w:pPr>
        <w:ind w:right="180" w:firstLine="634"/>
        <w:spacing w:after="0" w:line="298" w:lineRule="auto"/>
        <w:tabs>
          <w:tab w:leader="none" w:pos="1323" w:val="left"/>
        </w:tabs>
        <w:numPr>
          <w:ilvl w:val="0"/>
          <w:numId w:val="781"/>
        </w:numPr>
        <w:rPr>
          <w:rFonts w:ascii="Arial" w:cs="Arial" w:eastAsia="Arial" w:hAnsi="Arial"/>
          <w:sz w:val="16"/>
          <w:szCs w:val="16"/>
          <w:color w:val="auto"/>
        </w:rPr>
      </w:pPr>
      <w:r>
        <w:rPr>
          <w:rFonts w:ascii="Arial" w:cs="Arial" w:eastAsia="Arial" w:hAnsi="Arial"/>
          <w:sz w:val="16"/>
          <w:szCs w:val="16"/>
          <w:color w:val="auto"/>
        </w:rPr>
        <w:t>The Company and Executive acknowledge that the provisions contained in this Article 6 shall not prevent Executive or Executive’s Affiliates from owning solely as an investment, directly or indirectly, securities of any publicly traded corporation engaged in the Company’s Business if Executive and Executive’s Affiliates do not, directly or indirectly, beneficially own in the aggregate more than 5% of all classes of outstanding equity securities of such entity.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34"/>
        <w:spacing w:after="0" w:line="273" w:lineRule="auto"/>
        <w:tabs>
          <w:tab w:leader="none" w:pos="1299" w:val="left"/>
        </w:tabs>
        <w:numPr>
          <w:ilvl w:val="0"/>
          <w:numId w:val="782"/>
        </w:numPr>
        <w:rPr>
          <w:rFonts w:ascii="Arial" w:cs="Arial" w:eastAsia="Arial" w:hAnsi="Arial"/>
          <w:sz w:val="17"/>
          <w:szCs w:val="17"/>
          <w:color w:val="auto"/>
        </w:rPr>
      </w:pPr>
      <w:r>
        <w:rPr>
          <w:rFonts w:ascii="Arial" w:cs="Arial" w:eastAsia="Arial" w:hAnsi="Arial"/>
          <w:sz w:val="17"/>
          <w:szCs w:val="17"/>
          <w:color w:val="auto"/>
        </w:rPr>
        <w:t>Executive and the Company agree that this Covenant Not to Compete is ancillary to the Company’s agreement to employ the Executive as described by this Agreement, this Agreement’s provisions regarding severance benefits, and this Agreement’s provisions regarding non-disclosure of confidential information and trade secrets.</w:t>
      </w:r>
    </w:p>
    <w:p>
      <w:pPr>
        <w:spacing w:after="0" w:line="171" w:lineRule="exact"/>
        <w:rPr>
          <w:rFonts w:ascii="Arial" w:cs="Arial" w:eastAsia="Arial" w:hAnsi="Arial"/>
          <w:sz w:val="17"/>
          <w:szCs w:val="17"/>
          <w:color w:val="auto"/>
        </w:rPr>
      </w:pPr>
    </w:p>
    <w:p>
      <w:pPr>
        <w:ind w:right="500" w:firstLine="634"/>
        <w:spacing w:after="0" w:line="289" w:lineRule="auto"/>
        <w:tabs>
          <w:tab w:leader="none" w:pos="1309" w:val="left"/>
        </w:tabs>
        <w:numPr>
          <w:ilvl w:val="0"/>
          <w:numId w:val="782"/>
        </w:numPr>
        <w:rPr>
          <w:rFonts w:ascii="Arial" w:cs="Arial" w:eastAsia="Arial" w:hAnsi="Arial"/>
          <w:sz w:val="17"/>
          <w:szCs w:val="17"/>
          <w:color w:val="auto"/>
        </w:rPr>
      </w:pPr>
      <w:r>
        <w:rPr>
          <w:rFonts w:ascii="Arial" w:cs="Arial" w:eastAsia="Arial" w:hAnsi="Arial"/>
          <w:sz w:val="17"/>
          <w:szCs w:val="17"/>
          <w:color w:val="auto"/>
        </w:rPr>
        <w:t>Executive and the Company agree that the limitations as to time and scope of activity to be restrained are reasonable and do not impose a greater restraint on Executive than is necessary to protect the property rights and other business interests of Company.</w:t>
      </w:r>
    </w:p>
    <w:p>
      <w:pPr>
        <w:spacing w:after="0" w:line="158" w:lineRule="exact"/>
        <w:rPr>
          <w:rFonts w:ascii="Arial" w:cs="Arial" w:eastAsia="Arial" w:hAnsi="Arial"/>
          <w:sz w:val="17"/>
          <w:szCs w:val="17"/>
          <w:color w:val="auto"/>
        </w:rPr>
      </w:pPr>
    </w:p>
    <w:p>
      <w:pPr>
        <w:ind w:right="140" w:firstLine="634"/>
        <w:spacing w:after="0" w:line="273" w:lineRule="auto"/>
        <w:tabs>
          <w:tab w:leader="none" w:pos="1323" w:val="left"/>
        </w:tabs>
        <w:numPr>
          <w:ilvl w:val="0"/>
          <w:numId w:val="782"/>
        </w:numPr>
        <w:rPr>
          <w:rFonts w:ascii="Arial" w:cs="Arial" w:eastAsia="Arial" w:hAnsi="Arial"/>
          <w:sz w:val="17"/>
          <w:szCs w:val="17"/>
          <w:color w:val="auto"/>
        </w:rPr>
      </w:pPr>
      <w:r>
        <w:rPr>
          <w:rFonts w:ascii="Arial" w:cs="Arial" w:eastAsia="Arial" w:hAnsi="Arial"/>
          <w:sz w:val="17"/>
          <w:szCs w:val="17"/>
          <w:color w:val="auto"/>
        </w:rPr>
        <w:t>If Executive fails to comply with, or breaches, or threatens to breach, any of the provisions herein, Company in addition to any other remedies available to it at law or in equity, shall be entitled to immediate injunctive relief to enforce the provisions of this Section 6 and shall be entitled to recover from Executive reasonable attorneys’ fees and other expenses incurred by Company in connection with such proceedings.</w:t>
      </w:r>
    </w:p>
    <w:p>
      <w:pPr>
        <w:spacing w:after="0" w:line="171" w:lineRule="exact"/>
        <w:rPr>
          <w:rFonts w:ascii="Arial" w:cs="Arial" w:eastAsia="Arial" w:hAnsi="Arial"/>
          <w:sz w:val="17"/>
          <w:szCs w:val="17"/>
          <w:color w:val="auto"/>
        </w:rPr>
      </w:pPr>
    </w:p>
    <w:p>
      <w:pPr>
        <w:ind w:left="5140" w:hanging="227"/>
        <w:spacing w:after="0"/>
        <w:tabs>
          <w:tab w:leader="none" w:pos="5140" w:val="left"/>
        </w:tabs>
        <w:numPr>
          <w:ilvl w:val="1"/>
          <w:numId w:val="78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General Provisions</w:t>
      </w:r>
    </w:p>
    <w:p>
      <w:pPr>
        <w:spacing w:after="0" w:line="224" w:lineRule="exact"/>
        <w:rPr>
          <w:sz w:val="20"/>
          <w:szCs w:val="20"/>
          <w:color w:val="auto"/>
        </w:rPr>
      </w:pPr>
    </w:p>
    <w:p>
      <w:pPr>
        <w:ind w:firstLine="634"/>
        <w:spacing w:after="0" w:line="285" w:lineRule="auto"/>
        <w:tabs>
          <w:tab w:leader="none" w:pos="1323" w:val="left"/>
        </w:tabs>
        <w:numPr>
          <w:ilvl w:val="0"/>
          <w:numId w:val="783"/>
        </w:numPr>
        <w:rPr>
          <w:rFonts w:ascii="Arial" w:cs="Arial" w:eastAsia="Arial" w:hAnsi="Arial"/>
          <w:sz w:val="16"/>
          <w:szCs w:val="16"/>
          <w:color w:val="auto"/>
        </w:rPr>
      </w:pPr>
      <w:r>
        <w:rPr>
          <w:rFonts w:ascii="Arial" w:cs="Arial" w:eastAsia="Arial" w:hAnsi="Arial"/>
          <w:sz w:val="16"/>
          <w:szCs w:val="16"/>
          <w:color w:val="auto"/>
        </w:rPr>
        <w:t>This Agreement may not be assigned by Executive. This Agreement may be assigned in whole or in part by the Company to a successor in interest. Executive expressly agrees to honor and accept such assignment or other transfer and, on the consummation thereof, to attorn to the Company’s assignee and to perform Executive’s duties and obligations under this Agreement for the benefit of the Company’s assignee as if the Company’s assignee were the Company. Executive further agrees that, on the consummation of such assignment or other transfer, all references in this Agreement to the Company shall become and shall be deemed to be references to the Company’s assignee and the Company shall be relieved of all obligations under this Agreement.</w:t>
      </w:r>
    </w:p>
    <w:p>
      <w:pPr>
        <w:spacing w:after="0" w:line="166" w:lineRule="exact"/>
        <w:rPr>
          <w:rFonts w:ascii="Arial" w:cs="Arial" w:eastAsia="Arial" w:hAnsi="Arial"/>
          <w:sz w:val="16"/>
          <w:szCs w:val="16"/>
          <w:color w:val="auto"/>
        </w:rPr>
      </w:pPr>
    </w:p>
    <w:p>
      <w:pPr>
        <w:ind w:right="80" w:firstLine="634"/>
        <w:spacing w:after="0" w:line="273" w:lineRule="auto"/>
        <w:tabs>
          <w:tab w:leader="none" w:pos="1314" w:val="left"/>
        </w:tabs>
        <w:numPr>
          <w:ilvl w:val="0"/>
          <w:numId w:val="783"/>
        </w:numPr>
        <w:rPr>
          <w:rFonts w:ascii="Arial" w:cs="Arial" w:eastAsia="Arial" w:hAnsi="Arial"/>
          <w:sz w:val="17"/>
          <w:szCs w:val="17"/>
          <w:color w:val="auto"/>
        </w:rPr>
      </w:pPr>
      <w:r>
        <w:rPr>
          <w:rFonts w:ascii="Arial" w:cs="Arial" w:eastAsia="Arial" w:hAnsi="Arial"/>
          <w:sz w:val="17"/>
          <w:szCs w:val="17"/>
          <w:color w:val="auto"/>
        </w:rPr>
        <w:t>This Agreement shall be governed by, construed, and enforced in accordance with the internal, local laws, of the State of Texas (without regard to conflicts of law rules) and the obligations of the Company and Executive shall be performable in the State of Texas. The Parties agree that proper jurisdiction and venue for any dispute arising under this Agreement are in state or federal court in Harris County, Texas.</w:t>
      </w:r>
    </w:p>
    <w:p>
      <w:pPr>
        <w:sectPr>
          <w:pgSz w:w="11900" w:h="16838" w:orient="portrait"/>
          <w:cols w:equalWidth="0" w:num="1">
            <w:col w:w="11400"/>
          </w:cols>
          <w:pgMar w:left="240" w:top="127" w:right="259" w:bottom="0" w:gutter="0" w:footer="0" w:header="0"/>
        </w:sectPr>
      </w:pPr>
    </w:p>
    <w:bookmarkStart w:id="445" w:name="page446"/>
    <w:bookmarkEnd w:id="445"/>
    <w:p>
      <w:pPr>
        <w:ind w:right="20" w:firstLine="634"/>
        <w:spacing w:after="0" w:line="281" w:lineRule="auto"/>
        <w:tabs>
          <w:tab w:leader="none" w:pos="1314" w:val="left"/>
        </w:tabs>
        <w:numPr>
          <w:ilvl w:val="0"/>
          <w:numId w:val="784"/>
        </w:numPr>
        <w:rPr>
          <w:rFonts w:ascii="Arial" w:cs="Arial" w:eastAsia="Arial" w:hAnsi="Arial"/>
          <w:sz w:val="16"/>
          <w:szCs w:val="16"/>
          <w:color w:val="auto"/>
        </w:rPr>
      </w:pPr>
      <w:r>
        <w:rPr>
          <w:rFonts w:ascii="Arial" w:cs="Arial" w:eastAsia="Arial" w:hAnsi="Arial"/>
          <w:sz w:val="16"/>
          <w:szCs w:val="16"/>
          <w:color w:val="auto"/>
        </w:rPr>
        <w:t>This Agreement contains the entire agreement between the Parties regarding any benefit Executive may receive from any type of change of control or separation benefits (as defined in this Agreement or otherwise) at AOI and supersedes and replaces all prior communications and agreements (oral or written) between Executive and the Company regarding any benefit Executive may receive from any type of change of control or separation benefits (as defined in this Agreement or otherwise) at AOI. This Agreement does not extinguish any previous written stock option agreements between Executive and the Company; however, it modifies any previous written stock option agreements as provided in Paragraph 4 of this Agreement. Except as provided in this paragraph C, this Agreement does not extinguish any other agreements between Executive and the Company. Except as expressly provided in this Agreement, no variation, modification, or change of this Agreement shall be binding upon either Party hereto unless set forth in a document duly executed by both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634"/>
        <w:spacing w:after="0" w:line="289" w:lineRule="auto"/>
        <w:tabs>
          <w:tab w:leader="none" w:pos="1323" w:val="left"/>
        </w:tabs>
        <w:numPr>
          <w:ilvl w:val="0"/>
          <w:numId w:val="785"/>
        </w:numPr>
        <w:rPr>
          <w:rFonts w:ascii="Arial" w:cs="Arial" w:eastAsia="Arial" w:hAnsi="Arial"/>
          <w:sz w:val="17"/>
          <w:szCs w:val="17"/>
          <w:color w:val="auto"/>
        </w:rPr>
      </w:pPr>
      <w:r>
        <w:rPr>
          <w:rFonts w:ascii="Arial" w:cs="Arial" w:eastAsia="Arial" w:hAnsi="Arial"/>
          <w:sz w:val="17"/>
          <w:szCs w:val="17"/>
          <w:color w:val="auto"/>
        </w:rPr>
        <w:t>This Agreement is intended to express the Parties’ mutual intent, and irrespective of the Party preparing this document, no rule of construction shall be applied against such Party, as both Parties have actively participated in the preparation and negotiation of this Agreement.</w:t>
      </w:r>
    </w:p>
    <w:p>
      <w:pPr>
        <w:spacing w:after="0" w:line="158" w:lineRule="exact"/>
        <w:rPr>
          <w:rFonts w:ascii="Arial" w:cs="Arial" w:eastAsia="Arial" w:hAnsi="Arial"/>
          <w:sz w:val="17"/>
          <w:szCs w:val="17"/>
          <w:color w:val="auto"/>
        </w:rPr>
      </w:pPr>
    </w:p>
    <w:p>
      <w:pPr>
        <w:ind w:right="20" w:firstLine="634"/>
        <w:spacing w:after="0" w:line="268" w:lineRule="auto"/>
        <w:tabs>
          <w:tab w:leader="none" w:pos="1304" w:val="left"/>
        </w:tabs>
        <w:numPr>
          <w:ilvl w:val="0"/>
          <w:numId w:val="785"/>
        </w:numPr>
        <w:rPr>
          <w:rFonts w:ascii="Arial" w:cs="Arial" w:eastAsia="Arial" w:hAnsi="Arial"/>
          <w:sz w:val="17"/>
          <w:szCs w:val="17"/>
          <w:color w:val="auto"/>
        </w:rPr>
      </w:pPr>
      <w:r>
        <w:rPr>
          <w:rFonts w:ascii="Arial" w:cs="Arial" w:eastAsia="Arial" w:hAnsi="Arial"/>
          <w:sz w:val="17"/>
          <w:szCs w:val="17"/>
          <w:color w:val="auto"/>
        </w:rPr>
        <w:t>No Party’s waiver of the other Party’s breach of any condition or provision of this Agreement shall be deemed a waiver of similar or dissimilar provisions or conditions at the same or at any prior or subsequent time. Failure on either Party’s part to complain of any act or failure to act of the other Party or to declare the other Party in default, irrespective of how long such failure or default continues, shall not constitute a waiver by such Party of such Party’s rights under this Agreement.</w:t>
      </w:r>
    </w:p>
    <w:p>
      <w:pPr>
        <w:spacing w:after="0" w:line="175" w:lineRule="exact"/>
        <w:rPr>
          <w:rFonts w:ascii="Arial" w:cs="Arial" w:eastAsia="Arial" w:hAnsi="Arial"/>
          <w:sz w:val="17"/>
          <w:szCs w:val="17"/>
          <w:color w:val="auto"/>
        </w:rPr>
      </w:pPr>
    </w:p>
    <w:p>
      <w:pPr>
        <w:ind w:right="140" w:firstLine="634"/>
        <w:spacing w:after="0" w:line="273" w:lineRule="auto"/>
        <w:tabs>
          <w:tab w:leader="none" w:pos="1324" w:val="left"/>
        </w:tabs>
        <w:numPr>
          <w:ilvl w:val="0"/>
          <w:numId w:val="785"/>
        </w:numPr>
        <w:rPr>
          <w:rFonts w:ascii="Arial" w:cs="Arial" w:eastAsia="Arial" w:hAnsi="Arial"/>
          <w:sz w:val="17"/>
          <w:szCs w:val="17"/>
          <w:color w:val="auto"/>
        </w:rPr>
      </w:pPr>
      <w:r>
        <w:rPr>
          <w:rFonts w:ascii="Arial" w:cs="Arial" w:eastAsia="Arial" w:hAnsi="Arial"/>
          <w:sz w:val="17"/>
          <w:szCs w:val="17"/>
          <w:color w:val="auto"/>
        </w:rPr>
        <w:t>If any provision of this Agreement or the application thereof to any person or circumstance shall be invalid or unenforceable to any extent, the remainder of this Agreement and the application of such provision to other persons or circumstances shall not be affected thereby and shall be enforced to the greatest extent permitted by law.</w:t>
      </w:r>
    </w:p>
    <w:p>
      <w:pPr>
        <w:spacing w:after="0" w:line="171" w:lineRule="exact"/>
        <w:rPr>
          <w:rFonts w:ascii="Arial" w:cs="Arial" w:eastAsia="Arial" w:hAnsi="Arial"/>
          <w:sz w:val="17"/>
          <w:szCs w:val="17"/>
          <w:color w:val="auto"/>
        </w:rPr>
      </w:pPr>
    </w:p>
    <w:p>
      <w:pPr>
        <w:ind w:right="20" w:firstLine="634"/>
        <w:spacing w:after="0" w:line="314" w:lineRule="auto"/>
        <w:tabs>
          <w:tab w:leader="none" w:pos="1323" w:val="left"/>
        </w:tabs>
        <w:numPr>
          <w:ilvl w:val="0"/>
          <w:numId w:val="785"/>
        </w:numPr>
        <w:rPr>
          <w:rFonts w:ascii="Arial" w:cs="Arial" w:eastAsia="Arial" w:hAnsi="Arial"/>
          <w:sz w:val="15"/>
          <w:szCs w:val="15"/>
          <w:color w:val="auto"/>
        </w:rPr>
      </w:pPr>
      <w:r>
        <w:rPr>
          <w:rFonts w:ascii="Arial" w:cs="Arial" w:eastAsia="Arial" w:hAnsi="Arial"/>
          <w:sz w:val="15"/>
          <w:szCs w:val="15"/>
          <w:color w:val="auto"/>
        </w:rPr>
        <w:t>This Agreement shall inure to the benefit of and be binding on the undersigned Parties and their respective permitted successors and permitted assigns. Whenever, in this Agreement, a reference to any Party is made, such reference shall be deemed to include a reference to such Party’s permitted successors and permitted assigns; however, neither this Paragraph 7.G. nor any other portion of this Agreement shall be interpreted to constitute a consent to any assignment or other transfer of this Agreement or any part hereof other than pursuant to and in accordance with this Agreement’s other provisions.</w:t>
      </w:r>
    </w:p>
    <w:p>
      <w:pPr>
        <w:spacing w:after="0" w:line="146" w:lineRule="exact"/>
        <w:rPr>
          <w:rFonts w:ascii="Arial" w:cs="Arial" w:eastAsia="Arial" w:hAnsi="Arial"/>
          <w:sz w:val="15"/>
          <w:szCs w:val="15"/>
          <w:color w:val="auto"/>
        </w:rPr>
      </w:pPr>
    </w:p>
    <w:p>
      <w:pPr>
        <w:ind w:right="180" w:firstLine="634"/>
        <w:spacing w:after="0" w:line="268" w:lineRule="auto"/>
        <w:tabs>
          <w:tab w:leader="none" w:pos="1323" w:val="left"/>
        </w:tabs>
        <w:numPr>
          <w:ilvl w:val="0"/>
          <w:numId w:val="785"/>
        </w:numPr>
        <w:rPr>
          <w:rFonts w:ascii="Arial" w:cs="Arial" w:eastAsia="Arial" w:hAnsi="Arial"/>
          <w:sz w:val="17"/>
          <w:szCs w:val="17"/>
          <w:color w:val="auto"/>
        </w:rPr>
      </w:pPr>
      <w:r>
        <w:rPr>
          <w:rFonts w:ascii="Arial" w:cs="Arial" w:eastAsia="Arial" w:hAnsi="Arial"/>
          <w:sz w:val="17"/>
          <w:szCs w:val="17"/>
          <w:color w:val="auto"/>
        </w:rPr>
        <w:t>The prevailing Party in any dispute between the Parties to this Agreement, arising out of the interpretation, application, or enforcement of any provision of this Agreement, shall be entitled to recover all of its reasonable attorneys’ fees and costs, whether suit be filed or not, including, without limitation, costs and attorneys’ fees related to or arising out of any arbitration, administrative proceedings, trial, or appellate proceedings, or petition for review before any other court or administrative body.</w:t>
      </w:r>
    </w:p>
    <w:p>
      <w:pPr>
        <w:spacing w:after="0" w:line="175" w:lineRule="exact"/>
        <w:rPr>
          <w:rFonts w:ascii="Arial" w:cs="Arial" w:eastAsia="Arial" w:hAnsi="Arial"/>
          <w:sz w:val="17"/>
          <w:szCs w:val="17"/>
          <w:color w:val="auto"/>
        </w:rPr>
      </w:pPr>
    </w:p>
    <w:p>
      <w:pPr>
        <w:jc w:val="both"/>
        <w:ind w:right="20" w:firstLine="634"/>
        <w:spacing w:after="0" w:line="268" w:lineRule="auto"/>
        <w:tabs>
          <w:tab w:leader="none" w:pos="1299" w:val="left"/>
        </w:tabs>
        <w:numPr>
          <w:ilvl w:val="0"/>
          <w:numId w:val="785"/>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Executive and the Company shall in good faith amend this Agreement to the limited extent necessary to comply with the requirements under Section 409A of the Code, and any regulations or other guidance issued thereunder, in order to ensure that any amounts paid or payable hereunder are not subject to the additional 20% income tax thereunder while maintaining to the maximum extent practicable the original intent of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 xml:space="preserve">EXECUTED, in multiple counterparts, </w:t>
      </w:r>
      <w:r>
        <w:rPr>
          <w:rFonts w:ascii="Arial" w:cs="Arial" w:eastAsia="Arial" w:hAnsi="Arial"/>
          <w:sz w:val="17"/>
          <w:szCs w:val="17"/>
          <w:color w:val="auto"/>
        </w:rPr>
        <w:t>each of which shall have the force and effect of an original, on the Effective Date.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APPLIED OPTOELECTRONICS, INC.</w:t>
            </w:r>
          </w:p>
        </w:tc>
        <w:tc>
          <w:tcPr>
            <w:tcW w:w="4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7"/>
                <w:szCs w:val="17"/>
                <w:b w:val="1"/>
                <w:bCs w:val="1"/>
                <w:i w:val="1"/>
                <w:iCs w:val="1"/>
                <w:color w:val="auto"/>
              </w:rPr>
              <w:t>EXECUTIVE</w:t>
            </w:r>
          </w:p>
        </w:tc>
      </w:tr>
      <w:tr>
        <w:trPr>
          <w:trHeight w:val="222"/>
        </w:trPr>
        <w:tc>
          <w:tcPr>
            <w:tcW w:w="7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7"/>
                <w:szCs w:val="17"/>
                <w:b w:val="1"/>
                <w:bCs w:val="1"/>
                <w:i w:val="1"/>
                <w:iCs w:val="1"/>
                <w:color w:val="auto"/>
              </w:rPr>
              <w:t>CHIH-HSIANG (THOMPSON) LIN</w:t>
            </w:r>
          </w:p>
        </w:tc>
      </w:tr>
      <w:tr>
        <w:trPr>
          <w:trHeight w:val="629"/>
        </w:trPr>
        <w:tc>
          <w:tcPr>
            <w:tcW w:w="760" w:type="dxa"/>
            <w:vAlign w:val="bottom"/>
          </w:tcPr>
          <w:p>
            <w:pPr>
              <w:spacing w:after="0"/>
              <w:rPr>
                <w:sz w:val="20"/>
                <w:szCs w:val="20"/>
                <w:color w:val="auto"/>
              </w:rPr>
            </w:pPr>
            <w:r>
              <w:rPr>
                <w:rFonts w:ascii="Arial" w:cs="Arial" w:eastAsia="Arial" w:hAnsi="Arial"/>
                <w:sz w:val="17"/>
                <w:szCs w:val="17"/>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/s/William H. Yeh</w:t>
            </w:r>
          </w:p>
        </w:tc>
        <w:tc>
          <w:tcPr>
            <w:tcW w:w="460" w:type="dxa"/>
            <w:vAlign w:val="bottom"/>
          </w:tcPr>
          <w:p>
            <w:pPr>
              <w:spacing w:after="0"/>
              <w:rPr>
                <w:sz w:val="24"/>
                <w:szCs w:val="24"/>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Chih-Hsiang (Thompson) Lin</w:t>
            </w:r>
          </w:p>
        </w:tc>
      </w:tr>
      <w:tr>
        <w:trPr>
          <w:trHeight w:val="191"/>
        </w:trPr>
        <w:tc>
          <w:tcPr>
            <w:tcW w:w="760" w:type="dxa"/>
            <w:vAlign w:val="bottom"/>
          </w:tcPr>
          <w:p>
            <w:pPr>
              <w:spacing w:after="0" w:line="191" w:lineRule="exact"/>
              <w:rPr>
                <w:sz w:val="20"/>
                <w:szCs w:val="20"/>
                <w:color w:val="auto"/>
              </w:rPr>
            </w:pPr>
            <w:r>
              <w:rPr>
                <w:rFonts w:ascii="Arial" w:cs="Arial" w:eastAsia="Arial" w:hAnsi="Arial"/>
                <w:sz w:val="17"/>
                <w:szCs w:val="17"/>
                <w:color w:val="auto"/>
              </w:rPr>
              <w:t>Printed</w:t>
            </w:r>
          </w:p>
        </w:tc>
        <w:tc>
          <w:tcPr>
            <w:tcW w:w="4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80" w:type="dxa"/>
            <w:vAlign w:val="bottom"/>
          </w:tcPr>
          <w:p>
            <w:pPr>
              <w:spacing w:after="0" w:line="191" w:lineRule="exact"/>
              <w:rPr>
                <w:sz w:val="20"/>
                <w:szCs w:val="20"/>
                <w:color w:val="auto"/>
              </w:rPr>
            </w:pPr>
            <w:r>
              <w:rPr>
                <w:rFonts w:ascii="Arial" w:cs="Arial" w:eastAsia="Arial" w:hAnsi="Arial"/>
                <w:sz w:val="17"/>
                <w:szCs w:val="17"/>
                <w:color w:val="auto"/>
              </w:rPr>
              <w:t>signature</w:t>
            </w:r>
          </w:p>
        </w:tc>
      </w:tr>
      <w:tr>
        <w:trPr>
          <w:trHeight w:val="222"/>
        </w:trPr>
        <w:tc>
          <w:tcPr>
            <w:tcW w:w="760" w:type="dxa"/>
            <w:vAlign w:val="bottom"/>
          </w:tcPr>
          <w:p>
            <w:pPr>
              <w:spacing w:after="0"/>
              <w:rPr>
                <w:sz w:val="20"/>
                <w:szCs w:val="20"/>
                <w:color w:val="auto"/>
              </w:rPr>
            </w:pPr>
            <w:r>
              <w:rPr>
                <w:rFonts w:ascii="Arial" w:cs="Arial" w:eastAsia="Arial" w:hAnsi="Arial"/>
                <w:sz w:val="17"/>
                <w:szCs w:val="17"/>
                <w:color w:val="auto"/>
              </w:rPr>
              <w:t>Name: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William H. Yeh</w:t>
            </w:r>
          </w:p>
        </w:tc>
        <w:tc>
          <w:tcPr>
            <w:tcW w:w="460" w:type="dxa"/>
            <w:vAlign w:val="bottom"/>
          </w:tcPr>
          <w:p>
            <w:pPr>
              <w:spacing w:after="0"/>
              <w:rPr>
                <w:sz w:val="19"/>
                <w:szCs w:val="19"/>
                <w:color w:val="auto"/>
              </w:rPr>
            </w:pPr>
          </w:p>
        </w:tc>
        <w:tc>
          <w:tcPr>
            <w:tcW w:w="5680" w:type="dxa"/>
            <w:vAlign w:val="bottom"/>
          </w:tcPr>
          <w:p>
            <w:pPr>
              <w:spacing w:after="0"/>
              <w:rPr>
                <w:sz w:val="19"/>
                <w:szCs w:val="19"/>
                <w:color w:val="auto"/>
              </w:rPr>
            </w:pPr>
          </w:p>
        </w:tc>
      </w:tr>
      <w:tr>
        <w:trPr>
          <w:trHeight w:val="203"/>
        </w:trPr>
        <w:tc>
          <w:tcPr>
            <w:tcW w:w="760" w:type="dxa"/>
            <w:vAlign w:val="bottom"/>
          </w:tcPr>
          <w:p>
            <w:pPr>
              <w:spacing w:after="0"/>
              <w:rPr>
                <w:sz w:val="20"/>
                <w:szCs w:val="20"/>
                <w:color w:val="auto"/>
              </w:rPr>
            </w:pPr>
            <w:r>
              <w:rPr>
                <w:rFonts w:ascii="Arial" w:cs="Arial" w:eastAsia="Arial" w:hAnsi="Arial"/>
                <w:sz w:val="17"/>
                <w:szCs w:val="17"/>
                <w:color w:val="auto"/>
              </w:rPr>
              <w:t>Title: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Director</w:t>
            </w:r>
          </w:p>
        </w:tc>
        <w:tc>
          <w:tcPr>
            <w:tcW w:w="460" w:type="dxa"/>
            <w:vAlign w:val="bottom"/>
          </w:tcPr>
          <w:p>
            <w:pPr>
              <w:spacing w:after="0"/>
              <w:rPr>
                <w:sz w:val="17"/>
                <w:szCs w:val="17"/>
                <w:color w:val="auto"/>
              </w:rPr>
            </w:pPr>
          </w:p>
        </w:tc>
        <w:tc>
          <w:tcPr>
            <w:tcW w:w="5680" w:type="dxa"/>
            <w:vAlign w:val="bottom"/>
          </w:tcPr>
          <w:p>
            <w:pPr>
              <w:spacing w:after="0"/>
              <w:rPr>
                <w:sz w:val="17"/>
                <w:szCs w:val="17"/>
                <w:color w:val="auto"/>
              </w:rPr>
            </w:pPr>
          </w:p>
        </w:tc>
      </w:tr>
      <w:tr>
        <w:trPr>
          <w:trHeight w:val="399"/>
        </w:trPr>
        <w:tc>
          <w:tcPr>
            <w:tcW w:w="5280" w:type="dxa"/>
            <w:vAlign w:val="bottom"/>
            <w:gridSpan w:val="2"/>
          </w:tcPr>
          <w:p>
            <w:pPr>
              <w:spacing w:after="0"/>
              <w:rPr>
                <w:sz w:val="20"/>
                <w:szCs w:val="20"/>
                <w:color w:val="auto"/>
              </w:rPr>
            </w:pPr>
            <w:r>
              <w:rPr>
                <w:rFonts w:ascii="Arial" w:cs="Arial" w:eastAsia="Arial" w:hAnsi="Arial"/>
                <w:sz w:val="17"/>
                <w:szCs w:val="17"/>
                <w:color w:val="auto"/>
              </w:rPr>
              <w:t>Date: Jan. 28, 2007</w:t>
            </w:r>
          </w:p>
        </w:tc>
        <w:tc>
          <w:tcPr>
            <w:tcW w:w="46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7"/>
                <w:szCs w:val="17"/>
                <w:color w:val="auto"/>
              </w:rPr>
              <w:t>Date: Jan. 28, 2007</w:t>
            </w:r>
          </w:p>
        </w:tc>
      </w:tr>
      <w:tr>
        <w:trPr>
          <w:trHeight w:val="629"/>
        </w:trPr>
        <w:tc>
          <w:tcPr>
            <w:tcW w:w="52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APPLIED OPTOELECTRONICS, INC.</w:t>
            </w:r>
          </w:p>
        </w:tc>
        <w:tc>
          <w:tcPr>
            <w:tcW w:w="46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629"/>
        </w:trPr>
        <w:tc>
          <w:tcPr>
            <w:tcW w:w="760" w:type="dxa"/>
            <w:vAlign w:val="bottom"/>
          </w:tcPr>
          <w:p>
            <w:pPr>
              <w:spacing w:after="0"/>
              <w:rPr>
                <w:sz w:val="20"/>
                <w:szCs w:val="20"/>
                <w:color w:val="auto"/>
              </w:rPr>
            </w:pPr>
            <w:r>
              <w:rPr>
                <w:rFonts w:ascii="Arial" w:cs="Arial" w:eastAsia="Arial" w:hAnsi="Arial"/>
                <w:sz w:val="17"/>
                <w:szCs w:val="17"/>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Chih-Hsiang (Thompson) Lin</w:t>
            </w:r>
          </w:p>
        </w:tc>
        <w:tc>
          <w:tcPr>
            <w:tcW w:w="46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178"/>
        </w:trPr>
        <w:tc>
          <w:tcPr>
            <w:tcW w:w="760" w:type="dxa"/>
            <w:vAlign w:val="bottom"/>
          </w:tcPr>
          <w:p>
            <w:pPr>
              <w:spacing w:after="0" w:line="178" w:lineRule="exact"/>
              <w:rPr>
                <w:sz w:val="20"/>
                <w:szCs w:val="20"/>
                <w:color w:val="auto"/>
              </w:rPr>
            </w:pPr>
            <w:r>
              <w:rPr>
                <w:rFonts w:ascii="Arial" w:cs="Arial" w:eastAsia="Arial" w:hAnsi="Arial"/>
                <w:sz w:val="17"/>
                <w:szCs w:val="17"/>
                <w:color w:val="auto"/>
              </w:rPr>
              <w:t>Printed</w:t>
            </w:r>
          </w:p>
        </w:tc>
        <w:tc>
          <w:tcPr>
            <w:tcW w:w="4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80" w:type="dxa"/>
            <w:vAlign w:val="bottom"/>
          </w:tcPr>
          <w:p>
            <w:pPr>
              <w:spacing w:after="0"/>
              <w:rPr>
                <w:sz w:val="15"/>
                <w:szCs w:val="15"/>
                <w:color w:val="auto"/>
              </w:rPr>
            </w:pPr>
          </w:p>
        </w:tc>
      </w:tr>
      <w:tr>
        <w:trPr>
          <w:trHeight w:val="222"/>
        </w:trPr>
        <w:tc>
          <w:tcPr>
            <w:tcW w:w="760" w:type="dxa"/>
            <w:vAlign w:val="bottom"/>
          </w:tcPr>
          <w:p>
            <w:pPr>
              <w:spacing w:after="0"/>
              <w:rPr>
                <w:sz w:val="20"/>
                <w:szCs w:val="20"/>
                <w:color w:val="auto"/>
              </w:rPr>
            </w:pPr>
            <w:r>
              <w:rPr>
                <w:rFonts w:ascii="Arial" w:cs="Arial" w:eastAsia="Arial" w:hAnsi="Arial"/>
                <w:sz w:val="17"/>
                <w:szCs w:val="17"/>
                <w:color w:val="auto"/>
              </w:rPr>
              <w:t>Name: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Chih-Hsiang (Thompson) Lin</w:t>
            </w:r>
          </w:p>
        </w:tc>
        <w:tc>
          <w:tcPr>
            <w:tcW w:w="460" w:type="dxa"/>
            <w:vAlign w:val="bottom"/>
          </w:tcPr>
          <w:p>
            <w:pPr>
              <w:spacing w:after="0"/>
              <w:rPr>
                <w:sz w:val="19"/>
                <w:szCs w:val="19"/>
                <w:color w:val="auto"/>
              </w:rPr>
            </w:pPr>
          </w:p>
        </w:tc>
        <w:tc>
          <w:tcPr>
            <w:tcW w:w="5680" w:type="dxa"/>
            <w:vAlign w:val="bottom"/>
          </w:tcPr>
          <w:p>
            <w:pPr>
              <w:spacing w:after="0"/>
              <w:rPr>
                <w:sz w:val="19"/>
                <w:szCs w:val="19"/>
                <w:color w:val="auto"/>
              </w:rPr>
            </w:pPr>
          </w:p>
        </w:tc>
      </w:tr>
      <w:tr>
        <w:trPr>
          <w:trHeight w:val="203"/>
        </w:trPr>
        <w:tc>
          <w:tcPr>
            <w:tcW w:w="760" w:type="dxa"/>
            <w:vAlign w:val="bottom"/>
          </w:tcPr>
          <w:p>
            <w:pPr>
              <w:spacing w:after="0"/>
              <w:rPr>
                <w:sz w:val="20"/>
                <w:szCs w:val="20"/>
                <w:color w:val="auto"/>
              </w:rPr>
            </w:pPr>
            <w:r>
              <w:rPr>
                <w:rFonts w:ascii="Arial" w:cs="Arial" w:eastAsia="Arial" w:hAnsi="Arial"/>
                <w:sz w:val="17"/>
                <w:szCs w:val="17"/>
                <w:color w:val="auto"/>
              </w:rPr>
              <w:t>Title: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President</w:t>
            </w:r>
          </w:p>
        </w:tc>
        <w:tc>
          <w:tcPr>
            <w:tcW w:w="460" w:type="dxa"/>
            <w:vAlign w:val="bottom"/>
          </w:tcPr>
          <w:p>
            <w:pPr>
              <w:spacing w:after="0"/>
              <w:rPr>
                <w:sz w:val="17"/>
                <w:szCs w:val="17"/>
                <w:color w:val="auto"/>
              </w:rPr>
            </w:pPr>
          </w:p>
        </w:tc>
        <w:tc>
          <w:tcPr>
            <w:tcW w:w="5680" w:type="dxa"/>
            <w:vAlign w:val="bottom"/>
          </w:tcPr>
          <w:p>
            <w:pPr>
              <w:spacing w:after="0"/>
              <w:rPr>
                <w:sz w:val="17"/>
                <w:szCs w:val="17"/>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Date: Jan. 28, 2007</w:t>
      </w:r>
    </w:p>
    <w:p>
      <w:pPr>
        <w:sectPr>
          <w:pgSz w:w="11900" w:h="16838" w:orient="portrait"/>
          <w:cols w:equalWidth="0" w:num="1">
            <w:col w:w="11420"/>
          </w:cols>
          <w:pgMar w:left="240" w:top="127"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446" w:name="page447"/>
    <w:bookmarkEnd w:id="446"/>
    <w:p>
      <w:pPr>
        <w:jc w:val="right"/>
        <w:spacing w:after="0"/>
        <w:rPr>
          <w:sz w:val="20"/>
          <w:szCs w:val="20"/>
          <w:color w:val="auto"/>
        </w:rPr>
      </w:pPr>
      <w:r>
        <w:rPr>
          <w:rFonts w:ascii="Arial" w:cs="Arial" w:eastAsia="Arial" w:hAnsi="Arial"/>
          <w:sz w:val="17"/>
          <w:szCs w:val="17"/>
          <w:b w:val="1"/>
          <w:bCs w:val="1"/>
          <w:color w:val="auto"/>
        </w:rPr>
        <w:t>Exhibit 10.12.1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EMPLOYMENT AGREEMENT REGARDING</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CHANGE OF CONTROL OR SEPARATION OF SERVICE</w:t>
      </w:r>
    </w:p>
    <w:p>
      <w:pPr>
        <w:spacing w:after="0" w:line="212"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color w:val="auto"/>
        </w:rPr>
        <w:t>This amended and restated employment agreement (“Agreement”) is made and entered into effective as of April 16, 2013 (“Effective Date”), by and between Applied Optoelectronics, Inc. (“AOI” or the “Company”), whose address is 13111 Jess Pirtle Boulevard, Sugar Land, Texas 77478, and Chih-Hsiang (Thompson) Lin (“Executive”), whose address is 1906 Lake Front Drive, Missouri City, TX 77459. This Agreement supersedes and replaces in its entirety that certain Employment Agreement effective as of January 28, 2007 by and between the Company and Executive. This Agreement may sometimes refer to AOI and Executive singularly as a “Party” or collectively as the “Parties.”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1. Confirmation of Employment At-Will</w:t>
      </w:r>
    </w:p>
    <w:p>
      <w:pPr>
        <w:spacing w:after="0" w:line="224" w:lineRule="exact"/>
        <w:rPr>
          <w:sz w:val="20"/>
          <w:szCs w:val="20"/>
          <w:color w:val="auto"/>
        </w:rPr>
      </w:pPr>
    </w:p>
    <w:p>
      <w:pPr>
        <w:ind w:right="300" w:firstLine="629"/>
        <w:spacing w:after="0" w:line="265" w:lineRule="auto"/>
        <w:rPr>
          <w:sz w:val="20"/>
          <w:szCs w:val="20"/>
          <w:color w:val="auto"/>
        </w:rPr>
      </w:pPr>
      <w:r>
        <w:rPr>
          <w:rFonts w:ascii="Arial" w:cs="Arial" w:eastAsia="Arial" w:hAnsi="Arial"/>
          <w:sz w:val="17"/>
          <w:szCs w:val="17"/>
          <w:color w:val="auto"/>
        </w:rPr>
        <w:t>Executive’s employment with AOI has been, is, and shall continue to be on an at-will basis. This means that either Executive or AOI may terminate Executive’s employment with the Company at any time and for any reason or no reason at all, except that if (i) a Change of Control of the Company shall have occurred and Executive’s employment by the Company is thereafter terminated (whether by Executive with Good Reason or the Company without Cause as provided in Paragraph 3), or (ii) Executive’s employment is terminated in certain other circumstances delineated in this Agreement, then Executive shall be entitled to receive certain benefits as provided in this Agreement.</w:t>
      </w:r>
    </w:p>
    <w:p>
      <w:pPr>
        <w:spacing w:after="0" w:line="179" w:lineRule="exact"/>
        <w:rPr>
          <w:sz w:val="20"/>
          <w:szCs w:val="20"/>
          <w:color w:val="auto"/>
        </w:rPr>
      </w:pPr>
    </w:p>
    <w:p>
      <w:pPr>
        <w:ind w:left="5140" w:hanging="210"/>
        <w:spacing w:after="0"/>
        <w:tabs>
          <w:tab w:leader="none" w:pos="5140" w:val="left"/>
        </w:tabs>
        <w:numPr>
          <w:ilvl w:val="2"/>
          <w:numId w:val="78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Change of Control</w:t>
      </w:r>
    </w:p>
    <w:p>
      <w:pPr>
        <w:spacing w:after="0" w:line="224" w:lineRule="exact"/>
        <w:rPr>
          <w:rFonts w:ascii="Arial" w:cs="Arial" w:eastAsia="Arial" w:hAnsi="Arial"/>
          <w:sz w:val="17"/>
          <w:szCs w:val="17"/>
          <w:b w:val="1"/>
          <w:bCs w:val="1"/>
          <w:i w:val="1"/>
          <w:iCs w:val="1"/>
          <w:color w:val="auto"/>
        </w:rPr>
      </w:pPr>
    </w:p>
    <w:p>
      <w:pPr>
        <w:ind w:left="640"/>
        <w:spacing w:after="0"/>
        <w:rPr>
          <w:rFonts w:ascii="Arial" w:cs="Arial" w:eastAsia="Arial" w:hAnsi="Arial"/>
          <w:sz w:val="17"/>
          <w:szCs w:val="17"/>
          <w:b w:val="1"/>
          <w:bCs w:val="1"/>
          <w:i w:val="1"/>
          <w:iCs w:val="1"/>
          <w:color w:val="auto"/>
        </w:rPr>
      </w:pPr>
      <w:r>
        <w:rPr>
          <w:rFonts w:ascii="Arial" w:cs="Arial" w:eastAsia="Arial" w:hAnsi="Arial"/>
          <w:sz w:val="17"/>
          <w:szCs w:val="17"/>
          <w:color w:val="auto"/>
        </w:rPr>
        <w:t>A.</w:t>
      </w:r>
      <w:r>
        <w:rPr>
          <w:rFonts w:ascii="Arial" w:cs="Arial" w:eastAsia="Arial" w:hAnsi="Arial"/>
          <w:sz w:val="15"/>
          <w:szCs w:val="15"/>
          <w:color w:val="auto"/>
        </w:rPr>
        <w:t>“Change of Control” shall be deemed to have occurred on the date that one or more of the following occurs:</w:t>
      </w:r>
    </w:p>
    <w:p>
      <w:pPr>
        <w:spacing w:after="0" w:line="224" w:lineRule="exact"/>
        <w:rPr>
          <w:rFonts w:ascii="Arial" w:cs="Arial" w:eastAsia="Arial" w:hAnsi="Arial"/>
          <w:sz w:val="17"/>
          <w:szCs w:val="17"/>
          <w:b w:val="1"/>
          <w:bCs w:val="1"/>
          <w:i w:val="1"/>
          <w:iCs w:val="1"/>
          <w:color w:val="auto"/>
        </w:rPr>
      </w:pPr>
    </w:p>
    <w:p>
      <w:pPr>
        <w:ind w:left="1260" w:right="220" w:firstLine="633"/>
        <w:spacing w:after="0" w:line="281" w:lineRule="auto"/>
        <w:tabs>
          <w:tab w:leader="none" w:pos="2539" w:val="left"/>
        </w:tabs>
        <w:numPr>
          <w:ilvl w:val="1"/>
          <w:numId w:val="787"/>
        </w:numPr>
        <w:rPr>
          <w:rFonts w:ascii="Arial" w:cs="Arial" w:eastAsia="Arial" w:hAnsi="Arial"/>
          <w:sz w:val="16"/>
          <w:szCs w:val="16"/>
          <w:color w:val="auto"/>
        </w:rPr>
      </w:pPr>
      <w:r>
        <w:rPr>
          <w:rFonts w:ascii="Arial" w:cs="Arial" w:eastAsia="Arial" w:hAnsi="Arial"/>
          <w:sz w:val="16"/>
          <w:szCs w:val="16"/>
          <w:color w:val="auto"/>
        </w:rPr>
        <w:t>Individuals who, on the date hereof, constitute the entire Board of Directors of the Company (“Incumbent Directors”) cease for any reason to constitute at least a majority of the Board; provided, however, that any individual becoming a director subsequent to the date hereof whose election, or nomination for election by the Company’s shareholders, was approved by a vote of at least a majority of the then Incumbent Directors shall be considered as though such individual was an Incumbent Director, but excluding, for this purpose any such individual whose initial assumption of office occurs as a result of either an actual or threatened election contest, as such terms are used in Rule 14a-11 under the Securities Exchange Act of 1934, as amended (“Exchange Act”) or other actual or threatened solicitation of proxies or consents by or on behalf of any Person (as defined below) other than the Board; or</w:t>
      </w:r>
    </w:p>
    <w:p>
      <w:pPr>
        <w:spacing w:after="0" w:line="170" w:lineRule="exact"/>
        <w:rPr>
          <w:rFonts w:ascii="Arial" w:cs="Arial" w:eastAsia="Arial" w:hAnsi="Arial"/>
          <w:sz w:val="16"/>
          <w:szCs w:val="16"/>
          <w:color w:val="auto"/>
        </w:rPr>
      </w:pPr>
    </w:p>
    <w:p>
      <w:pPr>
        <w:ind w:left="1260" w:right="240" w:firstLine="633"/>
        <w:spacing w:after="0" w:line="268" w:lineRule="auto"/>
        <w:tabs>
          <w:tab w:leader="none" w:pos="2548" w:val="left"/>
        </w:tabs>
        <w:numPr>
          <w:ilvl w:val="1"/>
          <w:numId w:val="787"/>
        </w:numPr>
        <w:rPr>
          <w:rFonts w:ascii="Arial" w:cs="Arial" w:eastAsia="Arial" w:hAnsi="Arial"/>
          <w:sz w:val="17"/>
          <w:szCs w:val="17"/>
          <w:color w:val="auto"/>
        </w:rPr>
      </w:pPr>
      <w:r>
        <w:rPr>
          <w:rFonts w:ascii="Arial" w:cs="Arial" w:eastAsia="Arial" w:hAnsi="Arial"/>
          <w:sz w:val="17"/>
          <w:szCs w:val="17"/>
          <w:color w:val="auto"/>
        </w:rPr>
        <w:t>(a) The consummation of any merger, consolidation or recapitalization of the Company (or, if the capital stock of the Company is affected, any subsidiary of the Company), or any sale, lease, or other transfer (in one transaction or a series of transactions contemplated or arranged by any party as a single plan) of all or substantially all of the assets of the Company (each of the foregoing being an “Acquisition Transaction”) where (1) the shareholders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7271385" cy="2921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60" w:right="40"/>
        <w:spacing w:after="0" w:line="280" w:lineRule="auto"/>
        <w:rPr>
          <w:sz w:val="20"/>
          <w:szCs w:val="20"/>
          <w:color w:val="auto"/>
        </w:rPr>
      </w:pPr>
      <w:r>
        <w:rPr>
          <w:rFonts w:ascii="Arial" w:cs="Arial" w:eastAsia="Arial" w:hAnsi="Arial"/>
          <w:sz w:val="16"/>
          <w:szCs w:val="16"/>
          <w:color w:val="auto"/>
        </w:rPr>
        <w:t>the Company immediately prior to such Acquisition Transaction would not immediately after such Acquisition Transaction beneficially own, directly or indirectly, shares or other ownership interests representing in the aggregate fifty-one percent (51%) or more of (a) the then outstanding common stock or other equity interests of the corporation or other entity surviving or resulting from such merger, consolidation or recapitalization or acquiring such assets of the Company, as the case may be (the “Surviving Entity”) (or of its ultimate parent corporation or other entity, if any), and (b) the Combined Voting Power of the then outstanding Voting Securities of the Surviving Entity (or of its ultimate parent corporation or other entity, if any) or (2) the Incumbent Directors at the time of the initial approval of such Acquisition Transaction would not immediately after such Acquisition Transaction constitute a majority of the Board of Directors, or similar managing group, of the Surviving Entity (or of its ultimate parent corporation or other entity, if any), or (b) the filing of any plan for the liquidation or dissolution of the Company.</w:t>
      </w:r>
    </w:p>
    <w:p>
      <w:pPr>
        <w:spacing w:after="0" w:line="171" w:lineRule="exact"/>
        <w:rPr>
          <w:sz w:val="20"/>
          <w:szCs w:val="20"/>
          <w:color w:val="auto"/>
        </w:rPr>
      </w:pPr>
    </w:p>
    <w:p>
      <w:pPr>
        <w:ind w:left="1260" w:hanging="626"/>
        <w:spacing w:after="0"/>
        <w:tabs>
          <w:tab w:leader="none" w:pos="1260" w:val="left"/>
        </w:tabs>
        <w:numPr>
          <w:ilvl w:val="0"/>
          <w:numId w:val="788"/>
        </w:numPr>
        <w:rPr>
          <w:rFonts w:ascii="Arial" w:cs="Arial" w:eastAsia="Arial" w:hAnsi="Arial"/>
          <w:sz w:val="17"/>
          <w:szCs w:val="17"/>
          <w:color w:val="auto"/>
        </w:rPr>
      </w:pPr>
      <w:r>
        <w:rPr>
          <w:rFonts w:ascii="Arial" w:cs="Arial" w:eastAsia="Arial" w:hAnsi="Arial"/>
          <w:sz w:val="17"/>
          <w:szCs w:val="17"/>
          <w:color w:val="auto"/>
        </w:rPr>
        <w:t>For purposes of the definition of “Change of Control”:</w:t>
      </w:r>
    </w:p>
    <w:p>
      <w:pPr>
        <w:spacing w:after="0" w:line="224" w:lineRule="exact"/>
        <w:rPr>
          <w:rFonts w:ascii="Arial" w:cs="Arial" w:eastAsia="Arial" w:hAnsi="Arial"/>
          <w:sz w:val="17"/>
          <w:szCs w:val="17"/>
          <w:color w:val="auto"/>
        </w:rPr>
      </w:pPr>
    </w:p>
    <w:p>
      <w:pPr>
        <w:jc w:val="both"/>
        <w:ind w:left="1260" w:right="100" w:firstLine="633"/>
        <w:spacing w:after="0" w:line="273" w:lineRule="auto"/>
        <w:tabs>
          <w:tab w:leader="none" w:pos="2539" w:val="left"/>
        </w:tabs>
        <w:numPr>
          <w:ilvl w:val="1"/>
          <w:numId w:val="788"/>
        </w:numPr>
        <w:rPr>
          <w:rFonts w:ascii="Arial" w:cs="Arial" w:eastAsia="Arial" w:hAnsi="Arial"/>
          <w:sz w:val="17"/>
          <w:szCs w:val="17"/>
          <w:color w:val="auto"/>
        </w:rPr>
      </w:pPr>
      <w:r>
        <w:rPr>
          <w:rFonts w:ascii="Arial" w:cs="Arial" w:eastAsia="Arial" w:hAnsi="Arial"/>
          <w:sz w:val="17"/>
          <w:szCs w:val="17"/>
          <w:color w:val="auto"/>
        </w:rPr>
        <w:t>“Affiliate” shall mean, as to a specified Person, another Person that directly, or indirectly through one or more intermediaries, controls or is controlled by, or is under common control with, the specified Person, within the meaning of such terms as used in Rule 405 under the Securities Act of 1933, as amended (“Securities Act”), or any successor rule.</w:t>
      </w:r>
    </w:p>
    <w:p>
      <w:pPr>
        <w:spacing w:after="0" w:line="171" w:lineRule="exact"/>
        <w:rPr>
          <w:rFonts w:ascii="Arial" w:cs="Arial" w:eastAsia="Arial" w:hAnsi="Arial"/>
          <w:sz w:val="17"/>
          <w:szCs w:val="17"/>
          <w:color w:val="auto"/>
        </w:rPr>
      </w:pPr>
    </w:p>
    <w:p>
      <w:pPr>
        <w:ind w:left="1260" w:right="320" w:firstLine="633"/>
        <w:spacing w:after="0" w:line="273" w:lineRule="auto"/>
        <w:tabs>
          <w:tab w:leader="none" w:pos="2548" w:val="left"/>
        </w:tabs>
        <w:numPr>
          <w:ilvl w:val="1"/>
          <w:numId w:val="788"/>
        </w:numPr>
        <w:rPr>
          <w:rFonts w:ascii="Arial" w:cs="Arial" w:eastAsia="Arial" w:hAnsi="Arial"/>
          <w:sz w:val="17"/>
          <w:szCs w:val="17"/>
          <w:color w:val="auto"/>
        </w:rPr>
      </w:pPr>
      <w:r>
        <w:rPr>
          <w:rFonts w:ascii="Arial" w:cs="Arial" w:eastAsia="Arial" w:hAnsi="Arial"/>
          <w:sz w:val="17"/>
          <w:szCs w:val="17"/>
          <w:color w:val="auto"/>
        </w:rPr>
        <w:t>“Combined Voting Power” shall mean the aggregate votes entitled to be cast generally in the election of the Board of Directors, or similar managing group, of a corporation or other entity by holders of then outstanding Voting Securities of such corporation or other entity.</w:t>
      </w:r>
    </w:p>
    <w:p>
      <w:pPr>
        <w:spacing w:after="0" w:line="171" w:lineRule="exact"/>
        <w:rPr>
          <w:rFonts w:ascii="Arial" w:cs="Arial" w:eastAsia="Arial" w:hAnsi="Arial"/>
          <w:sz w:val="17"/>
          <w:szCs w:val="17"/>
          <w:color w:val="auto"/>
        </w:rPr>
      </w:pPr>
    </w:p>
    <w:p>
      <w:pPr>
        <w:ind w:left="1260" w:right="20" w:firstLine="633"/>
        <w:spacing w:after="0" w:line="265" w:lineRule="auto"/>
        <w:tabs>
          <w:tab w:leader="none" w:pos="2558" w:val="left"/>
        </w:tabs>
        <w:numPr>
          <w:ilvl w:val="1"/>
          <w:numId w:val="788"/>
        </w:numPr>
        <w:rPr>
          <w:rFonts w:ascii="Arial" w:cs="Arial" w:eastAsia="Arial" w:hAnsi="Arial"/>
          <w:sz w:val="17"/>
          <w:szCs w:val="17"/>
          <w:color w:val="auto"/>
        </w:rPr>
      </w:pPr>
      <w:r>
        <w:rPr>
          <w:rFonts w:ascii="Arial" w:cs="Arial" w:eastAsia="Arial" w:hAnsi="Arial"/>
          <w:sz w:val="17"/>
          <w:szCs w:val="17"/>
          <w:color w:val="auto"/>
        </w:rPr>
        <w:t>“Person” shall mean any individual, entity (including, without limitation, any corporation, partnership, trust, joint venture, association or governmental body) or group (as defined in Sections 14(d)(3) or 15(d)(2) of the Exchange Act and the rules and regulations thereunder); provided, however, that Person shall not include the Company, any of its subsidiaries, any employee benefit plan of the Company or any of its majority-owned subsidiaries or any entity organized, appointed or established by the Company or such subsidiaries for or pursuant to the terms of any such plan.</w:t>
      </w:r>
    </w:p>
    <w:p>
      <w:pPr>
        <w:spacing w:after="0" w:line="179" w:lineRule="exact"/>
        <w:rPr>
          <w:rFonts w:ascii="Arial" w:cs="Arial" w:eastAsia="Arial" w:hAnsi="Arial"/>
          <w:sz w:val="17"/>
          <w:szCs w:val="17"/>
          <w:color w:val="auto"/>
        </w:rPr>
      </w:pPr>
    </w:p>
    <w:p>
      <w:pPr>
        <w:ind w:left="1260" w:right="180" w:firstLine="633"/>
        <w:spacing w:after="0" w:line="289" w:lineRule="auto"/>
        <w:tabs>
          <w:tab w:leader="none" w:pos="2535" w:val="left"/>
        </w:tabs>
        <w:numPr>
          <w:ilvl w:val="1"/>
          <w:numId w:val="788"/>
        </w:numPr>
        <w:rPr>
          <w:rFonts w:ascii="Arial" w:cs="Arial" w:eastAsia="Arial" w:hAnsi="Arial"/>
          <w:sz w:val="17"/>
          <w:szCs w:val="17"/>
          <w:color w:val="auto"/>
        </w:rPr>
      </w:pPr>
      <w:r>
        <w:rPr>
          <w:rFonts w:ascii="Arial" w:cs="Arial" w:eastAsia="Arial" w:hAnsi="Arial"/>
          <w:sz w:val="17"/>
          <w:szCs w:val="17"/>
          <w:color w:val="auto"/>
        </w:rPr>
        <w:t>“Voting Securities” shall mean all securities of a corporation or other entity having the right under ordinary circumstances to vote in an election of the Board of Directors, or similar managing group, of such corporation or other entity.</w:t>
      </w:r>
    </w:p>
    <w:p>
      <w:pPr>
        <w:spacing w:after="0" w:line="158" w:lineRule="exact"/>
        <w:rPr>
          <w:sz w:val="20"/>
          <w:szCs w:val="20"/>
          <w:color w:val="auto"/>
        </w:rPr>
      </w:pPr>
    </w:p>
    <w:p>
      <w:pPr>
        <w:ind w:left="4220" w:hanging="212"/>
        <w:spacing w:after="0"/>
        <w:tabs>
          <w:tab w:leader="none" w:pos="4220" w:val="left"/>
        </w:tabs>
        <w:numPr>
          <w:ilvl w:val="1"/>
          <w:numId w:val="78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Termination Following a Change of Control</w:t>
      </w:r>
    </w:p>
    <w:p>
      <w:pPr>
        <w:spacing w:after="0" w:line="224" w:lineRule="exact"/>
        <w:rPr>
          <w:rFonts w:ascii="Arial" w:cs="Arial" w:eastAsia="Arial" w:hAnsi="Arial"/>
          <w:sz w:val="17"/>
          <w:szCs w:val="17"/>
          <w:b w:val="1"/>
          <w:bCs w:val="1"/>
          <w:i w:val="1"/>
          <w:iCs w:val="1"/>
          <w:color w:val="auto"/>
        </w:rPr>
      </w:pPr>
    </w:p>
    <w:p>
      <w:pPr>
        <w:ind w:right="240" w:firstLine="629"/>
        <w:spacing w:after="0" w:line="289" w:lineRule="auto"/>
        <w:rPr>
          <w:rFonts w:ascii="Arial" w:cs="Arial" w:eastAsia="Arial" w:hAnsi="Arial"/>
          <w:sz w:val="17"/>
          <w:szCs w:val="17"/>
          <w:b w:val="1"/>
          <w:bCs w:val="1"/>
          <w:i w:val="1"/>
          <w:iCs w:val="1"/>
          <w:color w:val="auto"/>
        </w:rPr>
      </w:pPr>
      <w:r>
        <w:rPr>
          <w:rFonts w:ascii="Arial" w:cs="Arial" w:eastAsia="Arial" w:hAnsi="Arial"/>
          <w:sz w:val="17"/>
          <w:szCs w:val="17"/>
          <w:color w:val="auto"/>
        </w:rPr>
        <w:t>A. If a Change of Control of the Company shall have occurred, any subsequent termination of Executive’s employment (i) by Executive upon an Event of Termination for Good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547" w:gutter="0" w:footer="0" w:header="0"/>
        </w:sectPr>
      </w:pPr>
    </w:p>
    <w:bookmarkStart w:id="447" w:name="page448"/>
    <w:bookmarkEnd w:id="447"/>
    <w:p>
      <w:pPr>
        <w:spacing w:after="0" w:line="3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Reason (hereafter defined) or (ii) by the Company upon an Event of Termination for Cause (hereafter defined), shall be communicated by written notice to the other party. If the notice is from the Company and states that Executive’s employment by the Company is terminated by the Company as a result of the occurrence of an Event of Termination for Cause, the notice shall specifically describe the action or inaction of Executive that the Company believes constitutes an Event of Termination for Cause. If the notice is from Executive and states that Executive’s employment by the Company is terminated by Executive as a result of the occurrence of an Event of Termination for Good Reason, the notice shall specifically describe the action or inaction of the Company that Executive believes constitutes an Event of Termination for Good Reason.</w:t>
      </w:r>
    </w:p>
    <w:p>
      <w:pPr>
        <w:spacing w:after="0" w:line="183" w:lineRule="exact"/>
        <w:rPr>
          <w:sz w:val="20"/>
          <w:szCs w:val="20"/>
          <w:color w:val="auto"/>
        </w:rPr>
      </w:pPr>
    </w:p>
    <w:p>
      <w:pPr>
        <w:ind w:firstLine="634"/>
        <w:spacing w:after="0" w:line="278" w:lineRule="auto"/>
        <w:tabs>
          <w:tab w:leader="none" w:pos="1261" w:val="left"/>
        </w:tabs>
        <w:numPr>
          <w:ilvl w:val="0"/>
          <w:numId w:val="790"/>
        </w:numPr>
        <w:rPr>
          <w:rFonts w:ascii="Arial" w:cs="Arial" w:eastAsia="Arial" w:hAnsi="Arial"/>
          <w:sz w:val="16"/>
          <w:szCs w:val="16"/>
          <w:color w:val="auto"/>
        </w:rPr>
      </w:pPr>
      <w:r>
        <w:rPr>
          <w:rFonts w:ascii="Arial" w:cs="Arial" w:eastAsia="Arial" w:hAnsi="Arial"/>
          <w:sz w:val="16"/>
          <w:szCs w:val="16"/>
          <w:color w:val="auto"/>
        </w:rPr>
        <w:t xml:space="preserve">An “Event of Termination for Cause” shall have occurred: (i) if Executive should be convicted of or pleads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offense or to a crime that the Board determines, in its sole discretion, is a crime of moral turpitude (whether or not a felony); (ii) if Executive should commit willful misconduct (that is, done in bad faith or without reasonable belief that such action is in the best interest of the Company) or violate any law in connection with the performance of any of Executive’s duties, including, without limitation, (a) misappropriation of funds or property of the Company or any of its affiliates or customers, (b) securing or attempting to secure personally any profit in connection with any transaction entered into on behalf of the Company or any of its affiliates, or (c) making any material misrepresentation to the Board, the Company, or any of the Company’s affiliates; (iii) if Executive materially violates or fails to comply with any written Company policy; (iv) if Executive materially breaches any term of this Agreement; or (v) the willful and continued failure or neglect of Executive to substantially perform his/her duties with the Company (other than any such failure resulting from incapacity due to physical or mental illness). The Board shall not have Cause to terminate Executive’s employment under Paragraph 3.B. (iii), (iv), or (v) of this Agreement unless and until the Board provides written notice to Executive identifying Executive’s alleged violation of policy, breach of this Agreement, or failure to perform (or neglect of) any duty and Executive fails to cure such violation of policy, breach of this Agreement or failure to perform (or neglect of) any duty within 60 days.</w:t>
      </w:r>
    </w:p>
    <w:p>
      <w:pPr>
        <w:spacing w:after="0" w:line="172" w:lineRule="exact"/>
        <w:rPr>
          <w:rFonts w:ascii="Arial" w:cs="Arial" w:eastAsia="Arial" w:hAnsi="Arial"/>
          <w:sz w:val="16"/>
          <w:szCs w:val="16"/>
          <w:color w:val="auto"/>
        </w:rPr>
      </w:pPr>
    </w:p>
    <w:p>
      <w:pPr>
        <w:ind w:left="1260" w:hanging="626"/>
        <w:spacing w:after="0"/>
        <w:tabs>
          <w:tab w:leader="none" w:pos="1260" w:val="left"/>
        </w:tabs>
        <w:numPr>
          <w:ilvl w:val="0"/>
          <w:numId w:val="790"/>
        </w:numPr>
        <w:rPr>
          <w:rFonts w:ascii="Arial" w:cs="Arial" w:eastAsia="Arial" w:hAnsi="Arial"/>
          <w:sz w:val="17"/>
          <w:szCs w:val="17"/>
          <w:color w:val="auto"/>
        </w:rPr>
      </w:pPr>
      <w:r>
        <w:rPr>
          <w:rFonts w:ascii="Arial" w:cs="Arial" w:eastAsia="Arial" w:hAnsi="Arial"/>
          <w:sz w:val="17"/>
          <w:szCs w:val="17"/>
          <w:color w:val="auto"/>
        </w:rPr>
        <w:t>An “Event of Termination for Good Reason” shall have occurred in the event of any of the following:</w:t>
      </w:r>
    </w:p>
    <w:p>
      <w:pPr>
        <w:spacing w:after="0" w:line="224" w:lineRule="exact"/>
        <w:rPr>
          <w:rFonts w:ascii="Arial" w:cs="Arial" w:eastAsia="Arial" w:hAnsi="Arial"/>
          <w:sz w:val="17"/>
          <w:szCs w:val="17"/>
          <w:color w:val="auto"/>
        </w:rPr>
      </w:pPr>
    </w:p>
    <w:p>
      <w:pPr>
        <w:ind w:left="1260" w:right="140" w:firstLine="633"/>
        <w:spacing w:after="0" w:line="265" w:lineRule="auto"/>
        <w:tabs>
          <w:tab w:leader="none" w:pos="2539" w:val="left"/>
        </w:tabs>
        <w:numPr>
          <w:ilvl w:val="1"/>
          <w:numId w:val="790"/>
        </w:numPr>
        <w:rPr>
          <w:rFonts w:ascii="Arial" w:cs="Arial" w:eastAsia="Arial" w:hAnsi="Arial"/>
          <w:sz w:val="17"/>
          <w:szCs w:val="17"/>
          <w:color w:val="auto"/>
        </w:rPr>
      </w:pPr>
      <w:r>
        <w:rPr>
          <w:rFonts w:ascii="Arial" w:cs="Arial" w:eastAsia="Arial" w:hAnsi="Arial"/>
          <w:sz w:val="17"/>
          <w:szCs w:val="17"/>
          <w:color w:val="auto"/>
        </w:rPr>
        <w:t>Executive’s assignment to any duties or the significant reduction of Executive’s duties or a significant change of Executive’s title, any of which is inconsistent with his or her position or title with the Company and responsibilities in effect immediately prior to such assignment, except in each case in connection with a promotion. For purposes of clarification, if Executive is not the President and CEO of the successor entity or its ultimate parent, if any, then Executive will have suffered a significant reduction of his/her duties which qualifies as an Event of Termination for Good Reason pursuant to this paragraph;</w:t>
      </w:r>
    </w:p>
    <w:p>
      <w:pPr>
        <w:spacing w:after="0" w:line="179" w:lineRule="exact"/>
        <w:rPr>
          <w:rFonts w:ascii="Arial" w:cs="Arial" w:eastAsia="Arial" w:hAnsi="Arial"/>
          <w:sz w:val="17"/>
          <w:szCs w:val="17"/>
          <w:color w:val="auto"/>
        </w:rPr>
      </w:pPr>
    </w:p>
    <w:p>
      <w:pPr>
        <w:ind w:left="1260" w:right="20" w:firstLine="633"/>
        <w:spacing w:after="0" w:line="273" w:lineRule="auto"/>
        <w:tabs>
          <w:tab w:leader="none" w:pos="2548" w:val="left"/>
        </w:tabs>
        <w:numPr>
          <w:ilvl w:val="1"/>
          <w:numId w:val="790"/>
        </w:numPr>
        <w:rPr>
          <w:rFonts w:ascii="Arial" w:cs="Arial" w:eastAsia="Arial" w:hAnsi="Arial"/>
          <w:sz w:val="17"/>
          <w:szCs w:val="17"/>
          <w:color w:val="auto"/>
        </w:rPr>
      </w:pPr>
      <w:r>
        <w:rPr>
          <w:rFonts w:ascii="Arial" w:cs="Arial" w:eastAsia="Arial" w:hAnsi="Arial"/>
          <w:sz w:val="17"/>
          <w:szCs w:val="17"/>
          <w:color w:val="auto"/>
        </w:rPr>
        <w:t>reduction by the Company in Executive’s base compensation as in effect immediately prior to such reduction, provided that an Event of Termination for Good Reason shall not be deemed to have occurred where Executive’s base compensation is reduced as part of an overall cost reduction program that affects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all senior executives of the Company and does not disproportionately affect Executive;</w:t>
      </w:r>
    </w:p>
    <w:p>
      <w:pPr>
        <w:spacing w:after="0" w:line="224" w:lineRule="exact"/>
        <w:rPr>
          <w:sz w:val="20"/>
          <w:szCs w:val="20"/>
          <w:color w:val="auto"/>
        </w:rPr>
      </w:pPr>
    </w:p>
    <w:p>
      <w:pPr>
        <w:ind w:left="1260" w:right="80" w:firstLine="633"/>
        <w:spacing w:after="0" w:line="322" w:lineRule="auto"/>
        <w:tabs>
          <w:tab w:leader="none" w:pos="2558" w:val="left"/>
        </w:tabs>
        <w:numPr>
          <w:ilvl w:val="2"/>
          <w:numId w:val="791"/>
        </w:numPr>
        <w:rPr>
          <w:rFonts w:ascii="Arial" w:cs="Arial" w:eastAsia="Arial" w:hAnsi="Arial"/>
          <w:sz w:val="16"/>
          <w:szCs w:val="16"/>
          <w:color w:val="auto"/>
        </w:rPr>
      </w:pPr>
      <w:r>
        <w:rPr>
          <w:rFonts w:ascii="Arial" w:cs="Arial" w:eastAsia="Arial" w:hAnsi="Arial"/>
          <w:sz w:val="16"/>
          <w:szCs w:val="16"/>
          <w:color w:val="auto"/>
        </w:rPr>
        <w:t>any purported termination of Executive by the Company (other than a voluntary resignation initiated by Executive, except for a voluntary termination initiated by Executive for the reasons described in this paragraph) which is not effected for disability or for Cause;</w:t>
      </w:r>
    </w:p>
    <w:p>
      <w:pPr>
        <w:spacing w:after="0" w:line="135" w:lineRule="exact"/>
        <w:rPr>
          <w:rFonts w:ascii="Arial" w:cs="Arial" w:eastAsia="Arial" w:hAnsi="Arial"/>
          <w:sz w:val="16"/>
          <w:szCs w:val="16"/>
          <w:color w:val="auto"/>
        </w:rPr>
      </w:pPr>
    </w:p>
    <w:p>
      <w:pPr>
        <w:ind w:left="2540" w:hanging="647"/>
        <w:spacing w:after="0"/>
        <w:tabs>
          <w:tab w:leader="none" w:pos="2540" w:val="left"/>
        </w:tabs>
        <w:numPr>
          <w:ilvl w:val="2"/>
          <w:numId w:val="791"/>
        </w:numPr>
        <w:rPr>
          <w:rFonts w:ascii="Arial" w:cs="Arial" w:eastAsia="Arial" w:hAnsi="Arial"/>
          <w:sz w:val="17"/>
          <w:szCs w:val="17"/>
          <w:color w:val="auto"/>
        </w:rPr>
      </w:pPr>
      <w:r>
        <w:rPr>
          <w:rFonts w:ascii="Arial" w:cs="Arial" w:eastAsia="Arial" w:hAnsi="Arial"/>
          <w:sz w:val="17"/>
          <w:szCs w:val="17"/>
          <w:color w:val="auto"/>
        </w:rPr>
        <w:t>the failure of any successor entity to the Company to expressly assume in writing the terms of this agreement; and</w:t>
      </w:r>
    </w:p>
    <w:p>
      <w:pPr>
        <w:spacing w:after="0" w:line="224" w:lineRule="exact"/>
        <w:rPr>
          <w:rFonts w:ascii="Arial" w:cs="Arial" w:eastAsia="Arial" w:hAnsi="Arial"/>
          <w:sz w:val="17"/>
          <w:szCs w:val="17"/>
          <w:color w:val="auto"/>
        </w:rPr>
      </w:pPr>
    </w:p>
    <w:p>
      <w:pPr>
        <w:ind w:left="1260" w:right="180" w:firstLine="633"/>
        <w:spacing w:after="0" w:line="289" w:lineRule="auto"/>
        <w:tabs>
          <w:tab w:leader="none" w:pos="2525" w:val="left"/>
        </w:tabs>
        <w:numPr>
          <w:ilvl w:val="2"/>
          <w:numId w:val="791"/>
        </w:numPr>
        <w:rPr>
          <w:rFonts w:ascii="Arial" w:cs="Arial" w:eastAsia="Arial" w:hAnsi="Arial"/>
          <w:sz w:val="17"/>
          <w:szCs w:val="17"/>
          <w:color w:val="auto"/>
        </w:rPr>
      </w:pPr>
      <w:r>
        <w:rPr>
          <w:rFonts w:ascii="Arial" w:cs="Arial" w:eastAsia="Arial" w:hAnsi="Arial"/>
          <w:sz w:val="17"/>
          <w:szCs w:val="17"/>
          <w:color w:val="auto"/>
        </w:rPr>
        <w:t>any material breach by the Company of any material provision of this agreement which has not been cured within 30 days of written notice to the Company by Executive of such breach.</w:t>
      </w:r>
    </w:p>
    <w:p>
      <w:pPr>
        <w:spacing w:after="0" w:line="158" w:lineRule="exact"/>
        <w:rPr>
          <w:rFonts w:ascii="Arial" w:cs="Arial" w:eastAsia="Arial" w:hAnsi="Arial"/>
          <w:sz w:val="17"/>
          <w:szCs w:val="17"/>
          <w:color w:val="auto"/>
        </w:rPr>
      </w:pPr>
    </w:p>
    <w:p>
      <w:pPr>
        <w:ind w:left="5140" w:hanging="222"/>
        <w:spacing w:after="0"/>
        <w:tabs>
          <w:tab w:leader="none" w:pos="5140" w:val="left"/>
        </w:tabs>
        <w:numPr>
          <w:ilvl w:val="3"/>
          <w:numId w:val="79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Severance Benefits</w:t>
      </w:r>
    </w:p>
    <w:p>
      <w:pPr>
        <w:spacing w:after="0" w:line="224" w:lineRule="exact"/>
        <w:rPr>
          <w:rFonts w:ascii="Arial" w:cs="Arial" w:eastAsia="Arial" w:hAnsi="Arial"/>
          <w:sz w:val="17"/>
          <w:szCs w:val="17"/>
          <w:b w:val="1"/>
          <w:bCs w:val="1"/>
          <w:i w:val="1"/>
          <w:iCs w:val="1"/>
          <w:color w:val="auto"/>
        </w:rPr>
      </w:pPr>
    </w:p>
    <w:p>
      <w:pPr>
        <w:ind w:right="20" w:firstLine="634"/>
        <w:spacing w:after="0" w:line="271" w:lineRule="auto"/>
        <w:tabs>
          <w:tab w:leader="none" w:pos="1271" w:val="left"/>
        </w:tabs>
        <w:numPr>
          <w:ilvl w:val="1"/>
          <w:numId w:val="792"/>
        </w:numPr>
        <w:rPr>
          <w:rFonts w:ascii="Arial" w:cs="Arial" w:eastAsia="Arial" w:hAnsi="Arial"/>
          <w:sz w:val="16"/>
          <w:szCs w:val="16"/>
          <w:color w:val="auto"/>
        </w:rPr>
      </w:pPr>
      <w:r>
        <w:rPr>
          <w:rFonts w:ascii="Arial" w:cs="Arial" w:eastAsia="Arial" w:hAnsi="Arial"/>
          <w:sz w:val="16"/>
          <w:szCs w:val="16"/>
          <w:color w:val="auto"/>
        </w:rPr>
        <w:t>If a Change of Control occurs and, within one year thereafter, Executive’s employment by the Company is terminated by Executive following an Event of Termination for Good Reason or by the Company otherwise than as a result of an Event of Termination for Cause, Executive will be entitled to receive benefits (“Change of Control Severance Benefits”) consisting of: (a) a lump sum payment equal to one year of Executive’s base salary as in effect immediately prior to the Change of Control (minus lawful withholdings); (b) a lump sum payment equal to the dollar amount of Executive’s full target bonus percentage as in effect immediately prior to the Change of Control (minus lawful withholdings); (c) a lump sum payment of $10,000 (minus lawful withholdings) that Executive may use for benefit continuation under COBRA or for any other purpose; and (d) accelerated vesting of Executive’s stock options under any stock option agreement(s) between Executive and AOI, meaning that all outstanding but unvested stock options shall be accelerated and fully vested, and all vested options shall be exercisable until the later of (i)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the third month following the date at which the stock options would otherwise have expired in accordance with their original terms, (ii) December 31 of the calendar year in which the stock options would otherwise have expired in accordance with their original terms and (iii) such longer period (not to exceed twelve months following the Separation from Service (as defined in paragraph 4.0 below) as may be provided by the Treasury Department in the final regulations addressing Section 409A of the Internal Revenue Code of 1986, as amended (the “Code”); provided, however, that the foregoing shall not be construed to cause an incentive stock option to fail to meet the statutory requirements of Section 422 of the Code.</w:t>
      </w:r>
    </w:p>
    <w:p>
      <w:pPr>
        <w:spacing w:after="0" w:line="181" w:lineRule="exact"/>
        <w:rPr>
          <w:rFonts w:ascii="Arial" w:cs="Arial" w:eastAsia="Arial" w:hAnsi="Arial"/>
          <w:sz w:val="16"/>
          <w:szCs w:val="16"/>
          <w:color w:val="auto"/>
        </w:rPr>
      </w:pPr>
    </w:p>
    <w:p>
      <w:pPr>
        <w:ind w:right="220" w:firstLine="634"/>
        <w:spacing w:after="0" w:line="296" w:lineRule="auto"/>
        <w:tabs>
          <w:tab w:leader="none" w:pos="1261" w:val="left"/>
        </w:tabs>
        <w:numPr>
          <w:ilvl w:val="1"/>
          <w:numId w:val="792"/>
        </w:numPr>
        <w:rPr>
          <w:rFonts w:ascii="Arial" w:cs="Arial" w:eastAsia="Arial" w:hAnsi="Arial"/>
          <w:sz w:val="15"/>
          <w:szCs w:val="15"/>
          <w:color w:val="auto"/>
        </w:rPr>
      </w:pPr>
      <w:r>
        <w:rPr>
          <w:rFonts w:ascii="Arial" w:cs="Arial" w:eastAsia="Arial" w:hAnsi="Arial"/>
          <w:sz w:val="15"/>
          <w:szCs w:val="15"/>
          <w:color w:val="auto"/>
        </w:rPr>
        <w:t>If at any time prior to a Change of Control Executive’s employment is terminated by the Company for any reason other than an Event of Termination for Cause or if Executive resigns because of an Event of Termination for Good Reason, Executive shall be entitled to receive payment equal to (i) a lump sum payment equal to one year of Executive’s base salary as in effect immediately prior to such termination (minus lawful withholdings); (ii) a lump sum payment equal to the dollar amount of Executive’s full target bonus percentage as in effect immediately prior to such termination (minus lawful withholdings);</w:t>
      </w:r>
    </w:p>
    <w:p>
      <w:pPr>
        <w:ind w:left="320" w:hanging="315"/>
        <w:spacing w:after="0"/>
        <w:tabs>
          <w:tab w:leader="none" w:pos="320" w:val="left"/>
        </w:tabs>
        <w:numPr>
          <w:ilvl w:val="0"/>
          <w:numId w:val="793"/>
        </w:numPr>
        <w:rPr>
          <w:rFonts w:ascii="Arial" w:cs="Arial" w:eastAsia="Arial" w:hAnsi="Arial"/>
          <w:sz w:val="17"/>
          <w:szCs w:val="17"/>
          <w:color w:val="auto"/>
        </w:rPr>
      </w:pPr>
      <w:r>
        <w:rPr>
          <w:rFonts w:ascii="Arial" w:cs="Arial" w:eastAsia="Arial" w:hAnsi="Arial"/>
          <w:sz w:val="17"/>
          <w:szCs w:val="17"/>
          <w:color w:val="auto"/>
        </w:rPr>
        <w:t>a lump sum payment of</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$15,000 (minus lawful withholdings) that Executive may use for benefit continuation under COBRA or for any other purpose (“Separation Benefits”).</w:t>
      </w:r>
    </w:p>
    <w:p>
      <w:pPr>
        <w:spacing w:after="0" w:line="224" w:lineRule="exact"/>
        <w:rPr>
          <w:sz w:val="20"/>
          <w:szCs w:val="20"/>
          <w:color w:val="auto"/>
        </w:rPr>
      </w:pPr>
    </w:p>
    <w:p>
      <w:pPr>
        <w:ind w:firstLine="634"/>
        <w:spacing w:after="0" w:line="305" w:lineRule="auto"/>
        <w:tabs>
          <w:tab w:leader="none" w:pos="1261" w:val="left"/>
        </w:tabs>
        <w:numPr>
          <w:ilvl w:val="0"/>
          <w:numId w:val="794"/>
        </w:numPr>
        <w:rPr>
          <w:rFonts w:ascii="Arial" w:cs="Arial" w:eastAsia="Arial" w:hAnsi="Arial"/>
          <w:sz w:val="15"/>
          <w:szCs w:val="15"/>
          <w:color w:val="auto"/>
        </w:rPr>
      </w:pPr>
      <w:r>
        <w:rPr>
          <w:rFonts w:ascii="Arial" w:cs="Arial" w:eastAsia="Arial" w:hAnsi="Arial"/>
          <w:sz w:val="15"/>
          <w:szCs w:val="15"/>
          <w:color w:val="auto"/>
        </w:rPr>
        <w:t>In the event Executive receives any payments or distributions, whether payable or distributed or distributable pursuant to the terms of this Agreement or otherwise, that constitute “parachute payments” within the meaning of Section 280G of the Code (“Parachute Payments”) and would be subject to the excise tax imposed by Section 4999 of the Code, Executive shall be entitled to receive an additional payment (a “Gross-Up Payment”) in an amount such that after payment by Executive of all taxes, including the excise tax imposed by Section 4999 of the code (the “Excise Tax”), any interest or penalties (other than interest and penalties imposed by reason of Executive’s failure to timely file a tax return or pay taxes shown due on Executive’s tax return) imposed with respect to such taxes, and including any Excise Tax imposed upon the Gross-Up Payment, Executive retains an amount of the Gross-Up Payment equal to the Excise Tax</w:t>
      </w:r>
    </w:p>
    <w:p>
      <w:pPr>
        <w:sectPr>
          <w:pgSz w:w="11900" w:h="16876" w:orient="portrait"/>
          <w:cols w:equalWidth="0" w:num="1">
            <w:col w:w="11420"/>
          </w:cols>
          <w:pgMar w:left="240" w:top="127" w:right="239" w:bottom="0" w:gutter="0" w:footer="0" w:header="0"/>
        </w:sectPr>
      </w:pPr>
    </w:p>
    <w:bookmarkStart w:id="448" w:name="page449"/>
    <w:bookmarkEnd w:id="448"/>
    <w:p>
      <w:pPr>
        <w:spacing w:after="0" w:line="31"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imposed upon the Parachute Payments. An initial determination as to whether a Gross-Up Payment is required pursuant to this Agreement and the amount of such Gross-Up Payment shall be made by the Company. The Company shall provide its determination (the “Determination”), together with detailed supporting calculations and documentation, to Executive at such time as requested by Executive (provided Executive reasonably believes that any of the Parachute Payments may be subject to the Excise Tax). If requested by Executive, the Company shall furnish Executive, at the Company’s expense, with an opinion that is reasonably acceptable to Executive, such opinion being from the Company’s accounting firm or legal counsel, that there is a reasonable basis for the Determination. Any Gross-Up Payment determined pursuant to this Section 4 shall be paid by the Company to Executive within fifteen (15) days of receipt of the Determination</w:t>
      </w:r>
    </w:p>
    <w:p>
      <w:pPr>
        <w:spacing w:after="0" w:line="153" w:lineRule="exact"/>
        <w:rPr>
          <w:sz w:val="20"/>
          <w:szCs w:val="20"/>
          <w:color w:val="auto"/>
        </w:rPr>
      </w:pPr>
    </w:p>
    <w:p>
      <w:pPr>
        <w:ind w:right="60" w:firstLine="634"/>
        <w:spacing w:after="0" w:line="262" w:lineRule="auto"/>
        <w:tabs>
          <w:tab w:leader="none" w:pos="1271" w:val="left"/>
        </w:tabs>
        <w:numPr>
          <w:ilvl w:val="0"/>
          <w:numId w:val="795"/>
        </w:numPr>
        <w:rPr>
          <w:rFonts w:ascii="Arial" w:cs="Arial" w:eastAsia="Arial" w:hAnsi="Arial"/>
          <w:sz w:val="16"/>
          <w:szCs w:val="16"/>
          <w:color w:val="auto"/>
        </w:rPr>
      </w:pPr>
      <w:r>
        <w:rPr>
          <w:rFonts w:ascii="Arial" w:cs="Arial" w:eastAsia="Arial" w:hAnsi="Arial"/>
          <w:sz w:val="16"/>
          <w:szCs w:val="16"/>
          <w:color w:val="auto"/>
        </w:rPr>
        <w:t>If payable under paragraph 4.A, the Change of Control Severance Benefits shall be paid on the later of the 60 day after the effective date of Executive’s “separation from service” (within the meaning of Section 409A and the regulations issued thereunder) (“Separation from Service”), or six months and one day after Executive’s Separation from Service if Executive is a “specified employee” (as that term is defined under Section 409A of the Code and the regulations issued thereunder) (“Specified Employee”) at the time Executive becomes entitled to Change of Control Severance Benefits under this Paragraph. If payable under paragraph 4.B, the Separation Benefits shall be paid periodically in installments over the twelve months following Executive’s Separation from Service, in accordance with the Company’s regular payroll practices, provided that no payment shall be made prior to the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after the effective date of Executive’s Separation from Service or six months and one day after Executive’s Separation from Service if Executive is a Specified Employee at the time Executive becomes entitled to the Separation Benefits under this Paragraph. Notwithstanding the foregoing, no Change of Control Severance Benefits or Separation Benefits shall be due under this Agreement unless (a) prior to the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after the effective date of Executive’s separation from service, Executive has signed a release agreement (“Release Agreement”) that the Company will provide in which Executive releases any possible claims against the Company and all of its parents, divisions, subsidiaries, affiliates, and related companies, and their present and former agents, employees, officers, directors, attorneys, stockholders, plan fiduciaries, successors, and assigns; and (b) prior to the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after the effective date of Executive’s separation from service, the seven day revocation period in the Release Agreement has expired without Executive’s revocation. In the case of Separation Benefits, the Release Agreement shall also include a reasonable agreement to cooperate for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period of six months following the employment termination date and a mutual non-disparagement clause.</w:t>
      </w:r>
    </w:p>
    <w:p>
      <w:pPr>
        <w:spacing w:after="0" w:line="224" w:lineRule="exact"/>
        <w:rPr>
          <w:sz w:val="20"/>
          <w:szCs w:val="20"/>
          <w:color w:val="auto"/>
        </w:rPr>
      </w:pPr>
    </w:p>
    <w:p>
      <w:pPr>
        <w:ind w:left="4240" w:hanging="219"/>
        <w:spacing w:after="0"/>
        <w:tabs>
          <w:tab w:leader="none" w:pos="4240" w:val="left"/>
        </w:tabs>
        <w:numPr>
          <w:ilvl w:val="2"/>
          <w:numId w:val="79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Confidential Information and Trade Secrets</w:t>
      </w:r>
    </w:p>
    <w:p>
      <w:pPr>
        <w:spacing w:after="0" w:line="224" w:lineRule="exact"/>
        <w:rPr>
          <w:rFonts w:ascii="Arial" w:cs="Arial" w:eastAsia="Arial" w:hAnsi="Arial"/>
          <w:sz w:val="17"/>
          <w:szCs w:val="17"/>
          <w:b w:val="1"/>
          <w:bCs w:val="1"/>
          <w:i w:val="1"/>
          <w:iCs w:val="1"/>
          <w:color w:val="auto"/>
        </w:rPr>
      </w:pPr>
    </w:p>
    <w:p>
      <w:pPr>
        <w:ind w:right="40" w:firstLine="634"/>
        <w:spacing w:after="0" w:line="279" w:lineRule="auto"/>
        <w:tabs>
          <w:tab w:leader="none" w:pos="1271" w:val="left"/>
        </w:tabs>
        <w:numPr>
          <w:ilvl w:val="0"/>
          <w:numId w:val="797"/>
        </w:numPr>
        <w:rPr>
          <w:rFonts w:ascii="Arial" w:cs="Arial" w:eastAsia="Arial" w:hAnsi="Arial"/>
          <w:sz w:val="16"/>
          <w:szCs w:val="16"/>
          <w:color w:val="auto"/>
        </w:rPr>
      </w:pPr>
      <w:r>
        <w:rPr>
          <w:rFonts w:ascii="Arial" w:cs="Arial" w:eastAsia="Arial" w:hAnsi="Arial"/>
          <w:sz w:val="16"/>
          <w:szCs w:val="16"/>
          <w:color w:val="auto"/>
        </w:rPr>
        <w:t>AOI is engaged in the highly competitive business of the design, development, manufacture and sale of advanced optical components, including modules and circuitry, systems and processes (“Company’s Business”). In this business, Company generates a significant amount of Confidential Information and Trade Secrets, certain of which it hereby agrees to share with Executive, and which Executive will have access to and knowledge of through or as a result of Executive’s employment with the Company. As used in this Agreement, “Confidential Information and Trade Secrets” includes any information, data or compilation of information or data developed, acquired or generated by Company, or its employees (including information and materials conceived, originating, discovered, or developed in whole or in part by Executive at the request of or for the benefit of Company or while employed by Company), which is not generally known to persons who are not employees of Company, and which Company generally does not share other than with its employees, or with its customers and suppliers on an individual transactional basis. “Confidential Information and Trade Secrets” may be written, verbal or recorded by electronic, magnetic or other methods, whether or not expressly identified as “Confidential” by Company.</w:t>
      </w:r>
    </w:p>
    <w:p>
      <w:pPr>
        <w:spacing w:after="0" w:line="172" w:lineRule="exact"/>
        <w:rPr>
          <w:rFonts w:ascii="Arial" w:cs="Arial" w:eastAsia="Arial" w:hAnsi="Arial"/>
          <w:sz w:val="16"/>
          <w:szCs w:val="16"/>
          <w:color w:val="auto"/>
        </w:rPr>
      </w:pPr>
    </w:p>
    <w:p>
      <w:pPr>
        <w:ind w:left="1260" w:hanging="626"/>
        <w:spacing w:after="0"/>
        <w:tabs>
          <w:tab w:leader="none" w:pos="1260" w:val="left"/>
        </w:tabs>
        <w:numPr>
          <w:ilvl w:val="0"/>
          <w:numId w:val="797"/>
        </w:numPr>
        <w:rPr>
          <w:rFonts w:ascii="Arial" w:cs="Arial" w:eastAsia="Arial" w:hAnsi="Arial"/>
          <w:sz w:val="17"/>
          <w:szCs w:val="17"/>
          <w:color w:val="auto"/>
        </w:rPr>
      </w:pPr>
      <w:r>
        <w:rPr>
          <w:rFonts w:ascii="Arial" w:cs="Arial" w:eastAsia="Arial" w:hAnsi="Arial"/>
          <w:sz w:val="17"/>
          <w:szCs w:val="17"/>
          <w:color w:val="auto"/>
        </w:rPr>
        <w:t>“Confidential Information and Trade Secrets” includes, but is not limited to, the following information and materials:</w:t>
      </w:r>
    </w:p>
    <w:p>
      <w:pPr>
        <w:spacing w:after="0" w:line="224" w:lineRule="exact"/>
        <w:rPr>
          <w:rFonts w:ascii="Arial" w:cs="Arial" w:eastAsia="Arial" w:hAnsi="Arial"/>
          <w:sz w:val="17"/>
          <w:szCs w:val="17"/>
          <w:color w:val="auto"/>
        </w:rPr>
      </w:pPr>
    </w:p>
    <w:p>
      <w:pPr>
        <w:ind w:left="1260" w:right="100" w:firstLine="633"/>
        <w:spacing w:after="0" w:line="289" w:lineRule="auto"/>
        <w:tabs>
          <w:tab w:leader="none" w:pos="2539" w:val="left"/>
        </w:tabs>
        <w:numPr>
          <w:ilvl w:val="1"/>
          <w:numId w:val="797"/>
        </w:numPr>
        <w:rPr>
          <w:rFonts w:ascii="Arial" w:cs="Arial" w:eastAsia="Arial" w:hAnsi="Arial"/>
          <w:sz w:val="17"/>
          <w:szCs w:val="17"/>
          <w:color w:val="auto"/>
        </w:rPr>
      </w:pPr>
      <w:r>
        <w:rPr>
          <w:rFonts w:ascii="Arial" w:cs="Arial" w:eastAsia="Arial" w:hAnsi="Arial"/>
          <w:sz w:val="17"/>
          <w:szCs w:val="17"/>
          <w:color w:val="auto"/>
        </w:rPr>
        <w:t>Financial information of any kind pertaining to Company, including, without limitation, information about the profit margins, profitability, pricing, income and expenses of Company or any of its products or lines of business;</w:t>
      </w:r>
    </w:p>
    <w:p>
      <w:pPr>
        <w:spacing w:after="0" w:line="158" w:lineRule="exact"/>
        <w:rPr>
          <w:rFonts w:ascii="Arial" w:cs="Arial" w:eastAsia="Arial" w:hAnsi="Arial"/>
          <w:sz w:val="17"/>
          <w:szCs w:val="17"/>
          <w:color w:val="auto"/>
        </w:rPr>
      </w:pPr>
    </w:p>
    <w:p>
      <w:pPr>
        <w:jc w:val="both"/>
        <w:ind w:left="1260" w:firstLine="633"/>
        <w:spacing w:after="0" w:line="268" w:lineRule="auto"/>
        <w:tabs>
          <w:tab w:leader="none" w:pos="2548" w:val="left"/>
        </w:tabs>
        <w:numPr>
          <w:ilvl w:val="1"/>
          <w:numId w:val="797"/>
        </w:numPr>
        <w:rPr>
          <w:rFonts w:ascii="Arial" w:cs="Arial" w:eastAsia="Arial" w:hAnsi="Arial"/>
          <w:sz w:val="17"/>
          <w:szCs w:val="17"/>
          <w:color w:val="auto"/>
        </w:rPr>
      </w:pPr>
      <w:r>
        <w:rPr>
          <w:rFonts w:ascii="Arial" w:cs="Arial" w:eastAsia="Arial" w:hAnsi="Arial"/>
          <w:sz w:val="17"/>
          <w:szCs w:val="17"/>
          <w:color w:val="auto"/>
        </w:rPr>
        <w:t>All information about and all communications received from, sent to or exchanged between Company and any person or entity which has purchased, licensed, exchanged or otherwise entered into a transaction with Company, or to which Company has made a proposal with respect to the purchase, sale, license, exchange or other transaction involving any component, products or services which form any part of Company’s Business (such person or entity being hereinafter referred to as customer or customers);</w:t>
      </w:r>
    </w:p>
    <w:p>
      <w:pPr>
        <w:spacing w:after="0" w:line="175" w:lineRule="exact"/>
        <w:rPr>
          <w:rFonts w:ascii="Arial" w:cs="Arial" w:eastAsia="Arial" w:hAnsi="Arial"/>
          <w:sz w:val="17"/>
          <w:szCs w:val="17"/>
          <w:color w:val="auto"/>
        </w:rPr>
      </w:pPr>
    </w:p>
    <w:p>
      <w:pPr>
        <w:ind w:left="1260" w:right="320" w:firstLine="633"/>
        <w:spacing w:after="0" w:line="268" w:lineRule="auto"/>
        <w:tabs>
          <w:tab w:leader="none" w:pos="2558" w:val="left"/>
        </w:tabs>
        <w:numPr>
          <w:ilvl w:val="1"/>
          <w:numId w:val="797"/>
        </w:numPr>
        <w:rPr>
          <w:rFonts w:ascii="Arial" w:cs="Arial" w:eastAsia="Arial" w:hAnsi="Arial"/>
          <w:sz w:val="17"/>
          <w:szCs w:val="17"/>
          <w:color w:val="auto"/>
        </w:rPr>
      </w:pPr>
      <w:r>
        <w:rPr>
          <w:rFonts w:ascii="Arial" w:cs="Arial" w:eastAsia="Arial" w:hAnsi="Arial"/>
          <w:sz w:val="17"/>
          <w:szCs w:val="17"/>
          <w:color w:val="auto"/>
        </w:rPr>
        <w:t>Any and all information and records relating to Company’s contracts or transactions with, or charges, prices or sales to, its customers, including invoices, proposals, confirmations, bills of ladings, statements, accounting records, bids, payment records or any other information or documents regarding amounts charged to or paid by customers, for any software, products or services which form any part of Company’s Business;</w:t>
      </w:r>
    </w:p>
    <w:p>
      <w:pPr>
        <w:spacing w:after="0" w:line="175" w:lineRule="exact"/>
        <w:rPr>
          <w:rFonts w:ascii="Arial" w:cs="Arial" w:eastAsia="Arial" w:hAnsi="Arial"/>
          <w:sz w:val="17"/>
          <w:szCs w:val="17"/>
          <w:color w:val="auto"/>
        </w:rPr>
      </w:pPr>
    </w:p>
    <w:p>
      <w:pPr>
        <w:ind w:left="1260" w:right="520" w:firstLine="633"/>
        <w:spacing w:after="0" w:line="289" w:lineRule="auto"/>
        <w:tabs>
          <w:tab w:leader="none" w:pos="2535" w:val="left"/>
        </w:tabs>
        <w:numPr>
          <w:ilvl w:val="1"/>
          <w:numId w:val="797"/>
        </w:numPr>
        <w:rPr>
          <w:rFonts w:ascii="Arial" w:cs="Arial" w:eastAsia="Arial" w:hAnsi="Arial"/>
          <w:sz w:val="17"/>
          <w:szCs w:val="17"/>
          <w:color w:val="auto"/>
        </w:rPr>
      </w:pPr>
      <w:r>
        <w:rPr>
          <w:rFonts w:ascii="Arial" w:cs="Arial" w:eastAsia="Arial" w:hAnsi="Arial"/>
          <w:sz w:val="17"/>
          <w:szCs w:val="17"/>
          <w:color w:val="auto"/>
        </w:rPr>
        <w:t>All information regarding Company’s scientific, technical or technological information, designs, processes, procedures, formulas, equipment or systems, including without limitation, any components, modules, circuits,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160"/>
        <w:spacing w:after="0" w:line="265" w:lineRule="auto"/>
        <w:rPr>
          <w:sz w:val="20"/>
          <w:szCs w:val="20"/>
          <w:color w:val="auto"/>
        </w:rPr>
      </w:pPr>
      <w:r>
        <w:rPr>
          <w:rFonts w:ascii="Arial" w:cs="Arial" w:eastAsia="Arial" w:hAnsi="Arial"/>
          <w:sz w:val="17"/>
          <w:szCs w:val="17"/>
          <w:color w:val="auto"/>
        </w:rPr>
        <w:t>software, programs, codes, algorithms, calculations, drawings, plans, or specifications related to the development, design, construction, fabrication, manufacture, operation or furnishing of any software, products, services, or equipment which constitute any part of the Company’s Business, including Company Products. As used in this Agreement, “Company Products” shall mean any and all computer software, optical component, module, circuitry, equipment, products, services, together with any updates, substitutions, enhancements or modifications thereof, and any user manuals, programming manuals and other documentation of any kind.</w:t>
      </w:r>
    </w:p>
    <w:p>
      <w:pPr>
        <w:spacing w:after="0" w:line="179" w:lineRule="exact"/>
        <w:rPr>
          <w:sz w:val="20"/>
          <w:szCs w:val="20"/>
          <w:color w:val="auto"/>
        </w:rPr>
      </w:pPr>
    </w:p>
    <w:p>
      <w:pPr>
        <w:ind w:right="60" w:firstLine="634"/>
        <w:spacing w:after="0" w:line="265" w:lineRule="auto"/>
        <w:tabs>
          <w:tab w:leader="none" w:pos="1261" w:val="left"/>
        </w:tabs>
        <w:numPr>
          <w:ilvl w:val="0"/>
          <w:numId w:val="798"/>
        </w:numPr>
        <w:rPr>
          <w:rFonts w:ascii="Arial" w:cs="Arial" w:eastAsia="Arial" w:hAnsi="Arial"/>
          <w:sz w:val="17"/>
          <w:szCs w:val="17"/>
          <w:color w:val="auto"/>
        </w:rPr>
      </w:pPr>
      <w:r>
        <w:rPr>
          <w:rFonts w:ascii="Arial" w:cs="Arial" w:eastAsia="Arial" w:hAnsi="Arial"/>
          <w:sz w:val="17"/>
          <w:szCs w:val="17"/>
          <w:color w:val="auto"/>
        </w:rPr>
        <w:t>Executive acknowledges that all notes, data, forms, reference and training materials, leads, memoranda, computer programs, computer print-outs, disks and the information contained in any computer, and any other records which contain, reflect or describe any Confidential Information and Trade Secrets, belong exclusively to Company. Upon the termination of Executive’s employment with the Company, Executive shall promptly return such materials and all copies thereof in Executive’s possession to Company, regardless of whether such termination is the result of an Event of Termination for Good Reason or an Event of Termination for Cause (the “Termination Date”).</w:t>
      </w:r>
    </w:p>
    <w:p>
      <w:pPr>
        <w:spacing w:after="0" w:line="179" w:lineRule="exact"/>
        <w:rPr>
          <w:rFonts w:ascii="Arial" w:cs="Arial" w:eastAsia="Arial" w:hAnsi="Arial"/>
          <w:sz w:val="17"/>
          <w:szCs w:val="17"/>
          <w:color w:val="auto"/>
        </w:rPr>
      </w:pPr>
    </w:p>
    <w:p>
      <w:pPr>
        <w:ind w:firstLine="634"/>
        <w:spacing w:after="0" w:line="290" w:lineRule="auto"/>
        <w:tabs>
          <w:tab w:leader="none" w:pos="1271" w:val="left"/>
        </w:tabs>
        <w:numPr>
          <w:ilvl w:val="0"/>
          <w:numId w:val="798"/>
        </w:numPr>
        <w:rPr>
          <w:rFonts w:ascii="Arial" w:cs="Arial" w:eastAsia="Arial" w:hAnsi="Arial"/>
          <w:sz w:val="16"/>
          <w:szCs w:val="16"/>
          <w:color w:val="auto"/>
        </w:rPr>
      </w:pPr>
      <w:r>
        <w:rPr>
          <w:rFonts w:ascii="Arial" w:cs="Arial" w:eastAsia="Arial" w:hAnsi="Arial"/>
          <w:sz w:val="16"/>
          <w:szCs w:val="16"/>
          <w:color w:val="auto"/>
        </w:rPr>
        <w:t>During Executive’s employment with Company and thereafter, Executive will not copy, publish, convey, transfer, disclose nor use, directly or indirectly, for Executive’s own benefit or for the benefit of any other person or entity (except Company) any Confidential Information and Trade Secrets; provided, that any copying or other prohibited use of Confidential Information and Trade Secrets shall not include copying or otherwise using Confidential Information and Trade Secrets in connection with communications with current or potential customers or vendors that Executive reasonably expects to have a direct benefit to the</w:t>
      </w:r>
    </w:p>
    <w:p>
      <w:pPr>
        <w:sectPr>
          <w:pgSz w:w="11900" w:h="16870" w:orient="portrait"/>
          <w:cols w:equalWidth="0" w:num="1">
            <w:col w:w="11420"/>
          </w:cols>
          <w:pgMar w:left="240" w:top="127" w:right="239" w:bottom="0" w:gutter="0" w:footer="0" w:header="0"/>
        </w:sectPr>
      </w:pPr>
    </w:p>
    <w:bookmarkStart w:id="449" w:name="page450"/>
    <w:bookmarkEnd w:id="449"/>
    <w:p>
      <w:pPr>
        <w:ind w:right="520"/>
        <w:spacing w:after="0" w:line="289" w:lineRule="auto"/>
        <w:rPr>
          <w:sz w:val="20"/>
          <w:szCs w:val="20"/>
          <w:color w:val="auto"/>
        </w:rPr>
      </w:pPr>
      <w:r>
        <w:rPr>
          <w:rFonts w:ascii="Arial" w:cs="Arial" w:eastAsia="Arial" w:hAnsi="Arial"/>
          <w:sz w:val="17"/>
          <w:szCs w:val="17"/>
          <w:color w:val="auto"/>
        </w:rPr>
        <w:t>Company. Executive will abide by all rules, guidelines, policies and procedures relating to Confidential Information and Trade Secrets implemented and/or amended from time to time by Company.</w:t>
      </w:r>
    </w:p>
    <w:p>
      <w:pPr>
        <w:spacing w:after="0" w:line="158" w:lineRule="exact"/>
        <w:rPr>
          <w:sz w:val="20"/>
          <w:szCs w:val="20"/>
          <w:color w:val="auto"/>
        </w:rPr>
      </w:pPr>
    </w:p>
    <w:p>
      <w:pPr>
        <w:ind w:right="80" w:firstLine="634"/>
        <w:spacing w:after="0" w:line="283" w:lineRule="auto"/>
        <w:tabs>
          <w:tab w:leader="none" w:pos="1265" w:val="left"/>
        </w:tabs>
        <w:numPr>
          <w:ilvl w:val="0"/>
          <w:numId w:val="799"/>
        </w:numPr>
        <w:rPr>
          <w:rFonts w:ascii="Arial" w:cs="Arial" w:eastAsia="Arial" w:hAnsi="Arial"/>
          <w:sz w:val="16"/>
          <w:szCs w:val="16"/>
          <w:color w:val="auto"/>
        </w:rPr>
      </w:pPr>
      <w:r>
        <w:rPr>
          <w:rFonts w:ascii="Arial" w:cs="Arial" w:eastAsia="Arial" w:hAnsi="Arial"/>
          <w:sz w:val="16"/>
          <w:szCs w:val="16"/>
          <w:color w:val="auto"/>
        </w:rPr>
        <w:t>Executive acknowledges that any actual or threatened breach of the covenants contained herein will cause Company irreparable harm and that money damages would not provide an adequate remedy to Company for any such breach. For these reasons, and because of the unique nature of the Confidential Information and Trade Secrets and the necessity to preserve such Confidential Information and Trade Secrets in order to protect Company’s property rights in the event of a breach or threatened breach of any of the provisions herein, Company, in addition to any other remedies available to it at law or in equity, shall be entitled to immediate injunctive relief against Executive to enforce the provisions of this Agreement and shall be entitled to recover from Executive its reasonable attorneys’ fees and other expenses incurred in connection with such proceedings.</w:t>
      </w:r>
    </w:p>
    <w:p>
      <w:pPr>
        <w:spacing w:after="0" w:line="166" w:lineRule="exact"/>
        <w:rPr>
          <w:rFonts w:ascii="Arial" w:cs="Arial" w:eastAsia="Arial" w:hAnsi="Arial"/>
          <w:sz w:val="16"/>
          <w:szCs w:val="16"/>
          <w:color w:val="auto"/>
        </w:rPr>
      </w:pPr>
    </w:p>
    <w:p>
      <w:pPr>
        <w:ind w:left="4900" w:hanging="220"/>
        <w:spacing w:after="0"/>
        <w:tabs>
          <w:tab w:leader="none" w:pos="4900" w:val="left"/>
        </w:tabs>
        <w:numPr>
          <w:ilvl w:val="1"/>
          <w:numId w:val="79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Covenant Not to Compete</w:t>
      </w:r>
    </w:p>
    <w:p>
      <w:pPr>
        <w:spacing w:after="0" w:line="224" w:lineRule="exact"/>
        <w:rPr>
          <w:sz w:val="20"/>
          <w:szCs w:val="20"/>
          <w:color w:val="auto"/>
        </w:rPr>
      </w:pPr>
    </w:p>
    <w:p>
      <w:pPr>
        <w:ind w:firstLine="634"/>
        <w:spacing w:after="0" w:line="273" w:lineRule="auto"/>
        <w:tabs>
          <w:tab w:leader="none" w:pos="1271" w:val="left"/>
        </w:tabs>
        <w:numPr>
          <w:ilvl w:val="0"/>
          <w:numId w:val="800"/>
        </w:numPr>
        <w:rPr>
          <w:rFonts w:ascii="Arial" w:cs="Arial" w:eastAsia="Arial" w:hAnsi="Arial"/>
          <w:sz w:val="17"/>
          <w:szCs w:val="17"/>
          <w:color w:val="auto"/>
        </w:rPr>
      </w:pPr>
      <w:r>
        <w:rPr>
          <w:rFonts w:ascii="Arial" w:cs="Arial" w:eastAsia="Arial" w:hAnsi="Arial"/>
          <w:sz w:val="17"/>
          <w:szCs w:val="17"/>
          <w:color w:val="auto"/>
        </w:rPr>
        <w:t>Throughout Executive’s employment with the Company, Company agrees to give Executive access to certain of its Confidential Information and Trade Secrets concerning Company’s Business and its employees, customers and customer representatives, suppliers and supplier representatives, and Company’s transactional histories as well as information about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logistics, details and expenses of Company in connection with any goods, products or services which form any part of Company’s Business. Company agrees to provide this information to Executive in order to allow Executive to perform Executive’s duties under this Agreement, and to develop relationships with customers, customer representatives, suppliers and supplier representatives of the Company.</w:t>
      </w:r>
    </w:p>
    <w:p>
      <w:pPr>
        <w:spacing w:after="0" w:line="172" w:lineRule="exact"/>
        <w:rPr>
          <w:sz w:val="20"/>
          <w:szCs w:val="20"/>
          <w:color w:val="auto"/>
        </w:rPr>
      </w:pPr>
    </w:p>
    <w:p>
      <w:pPr>
        <w:ind w:right="140" w:firstLine="634"/>
        <w:spacing w:after="0" w:line="263" w:lineRule="auto"/>
        <w:tabs>
          <w:tab w:leader="none" w:pos="1261" w:val="left"/>
        </w:tabs>
        <w:numPr>
          <w:ilvl w:val="0"/>
          <w:numId w:val="801"/>
        </w:numPr>
        <w:rPr>
          <w:rFonts w:ascii="Arial" w:cs="Arial" w:eastAsia="Arial" w:hAnsi="Arial"/>
          <w:sz w:val="17"/>
          <w:szCs w:val="17"/>
          <w:color w:val="auto"/>
        </w:rPr>
      </w:pPr>
      <w:r>
        <w:rPr>
          <w:rFonts w:ascii="Arial" w:cs="Arial" w:eastAsia="Arial" w:hAnsi="Arial"/>
          <w:sz w:val="17"/>
          <w:szCs w:val="17"/>
          <w:color w:val="auto"/>
        </w:rPr>
        <w:t>Company agrees to provide, and to continue to provide, Executive with both specialized knowledge and education in Company’s Business, in order to allow Executive to perform Executive’s duties in an efficient, proper and effective manner. Such knowledge and education may consist of verbal instructions and information, the furnishing of written materials, consultation and counseling, sales, staff and employee meetings, training sessions and seminars, in addition to formal or informal information and orientation methodologies and procedures. Executive will have access to certain of Company’s transactional histories, and the details of prior purchases, sales, trades or exchanges, in order that Executive can learn Company’s Business and/or improve Executive’s skills, experience and knowledge.</w:t>
      </w:r>
    </w:p>
    <w:p>
      <w:pPr>
        <w:spacing w:after="0" w:line="183" w:lineRule="exact"/>
        <w:rPr>
          <w:rFonts w:ascii="Arial" w:cs="Arial" w:eastAsia="Arial" w:hAnsi="Arial"/>
          <w:sz w:val="17"/>
          <w:szCs w:val="17"/>
          <w:color w:val="auto"/>
        </w:rPr>
      </w:pPr>
    </w:p>
    <w:p>
      <w:pPr>
        <w:ind w:right="100" w:firstLine="634"/>
        <w:spacing w:after="0" w:line="298" w:lineRule="auto"/>
        <w:tabs>
          <w:tab w:leader="none" w:pos="1261" w:val="left"/>
        </w:tabs>
        <w:numPr>
          <w:ilvl w:val="0"/>
          <w:numId w:val="801"/>
        </w:numPr>
        <w:rPr>
          <w:rFonts w:ascii="Arial" w:cs="Arial" w:eastAsia="Arial" w:hAnsi="Arial"/>
          <w:sz w:val="16"/>
          <w:szCs w:val="16"/>
          <w:color w:val="auto"/>
        </w:rPr>
      </w:pPr>
      <w:r>
        <w:rPr>
          <w:rFonts w:ascii="Arial" w:cs="Arial" w:eastAsia="Arial" w:hAnsi="Arial"/>
          <w:sz w:val="16"/>
          <w:szCs w:val="16"/>
          <w:color w:val="auto"/>
        </w:rPr>
        <w:t>In consideration of Company’s employment of Executive as a highly valued employee, the Company’s agreement to provide Executive with access to certain Confidential Information and Trade Secrets, and the Company’s agreement to provide specialized knowledge and education, Executive agrees to refrain from competing with Company or otherwise engaging in Restricted Activities, as defined below, during the Restricted Period.</w:t>
      </w:r>
    </w:p>
    <w:p>
      <w:pPr>
        <w:spacing w:after="0" w:line="153" w:lineRule="exact"/>
        <w:rPr>
          <w:rFonts w:ascii="Arial" w:cs="Arial" w:eastAsia="Arial" w:hAnsi="Arial"/>
          <w:sz w:val="16"/>
          <w:szCs w:val="16"/>
          <w:color w:val="auto"/>
        </w:rPr>
      </w:pPr>
    </w:p>
    <w:p>
      <w:pPr>
        <w:ind w:right="100" w:firstLine="634"/>
        <w:spacing w:after="0" w:line="268" w:lineRule="auto"/>
        <w:tabs>
          <w:tab w:leader="none" w:pos="1271" w:val="left"/>
        </w:tabs>
        <w:numPr>
          <w:ilvl w:val="0"/>
          <w:numId w:val="801"/>
        </w:numPr>
        <w:rPr>
          <w:rFonts w:ascii="Arial" w:cs="Arial" w:eastAsia="Arial" w:hAnsi="Arial"/>
          <w:sz w:val="17"/>
          <w:szCs w:val="17"/>
          <w:color w:val="auto"/>
        </w:rPr>
      </w:pPr>
      <w:r>
        <w:rPr>
          <w:rFonts w:ascii="Arial" w:cs="Arial" w:eastAsia="Arial" w:hAnsi="Arial"/>
          <w:sz w:val="17"/>
          <w:szCs w:val="17"/>
          <w:color w:val="auto"/>
        </w:rPr>
        <w:t>Executive agrees that during the term of his employment with Company and for a period of one (1) year after Executive’s employment with the Company terminates (the “Restricted Period”), regardless of whether the termination occurs with or without cause and regardless of who terminates this Agreement, Executive will not directly or indirectly, as an employee, officer, director, shareholder, proprietor, agent, partner, recruiter, consultant, independent contractor or in any other individual or representative capacity engage in any of the Restricted Activities.</w:t>
      </w:r>
    </w:p>
    <w:p>
      <w:pPr>
        <w:spacing w:after="0" w:line="175" w:lineRule="exact"/>
        <w:rPr>
          <w:rFonts w:ascii="Arial" w:cs="Arial" w:eastAsia="Arial" w:hAnsi="Arial"/>
          <w:sz w:val="17"/>
          <w:szCs w:val="17"/>
          <w:color w:val="auto"/>
        </w:rPr>
      </w:pPr>
    </w:p>
    <w:p>
      <w:pPr>
        <w:ind w:left="1260" w:hanging="626"/>
        <w:spacing w:after="0"/>
        <w:tabs>
          <w:tab w:leader="none" w:pos="1260" w:val="left"/>
        </w:tabs>
        <w:numPr>
          <w:ilvl w:val="0"/>
          <w:numId w:val="801"/>
        </w:numPr>
        <w:rPr>
          <w:rFonts w:ascii="Arial" w:cs="Arial" w:eastAsia="Arial" w:hAnsi="Arial"/>
          <w:sz w:val="17"/>
          <w:szCs w:val="17"/>
          <w:color w:val="auto"/>
        </w:rPr>
      </w:pPr>
      <w:r>
        <w:rPr>
          <w:rFonts w:ascii="Arial" w:cs="Arial" w:eastAsia="Arial" w:hAnsi="Arial"/>
          <w:sz w:val="17"/>
          <w:szCs w:val="17"/>
          <w:color w:val="auto"/>
        </w:rPr>
        <w:t>“Restricted Activities” means and includes the following:</w:t>
      </w:r>
    </w:p>
    <w:p>
      <w:pPr>
        <w:spacing w:after="0" w:line="224" w:lineRule="exact"/>
        <w:rPr>
          <w:rFonts w:ascii="Arial" w:cs="Arial" w:eastAsia="Arial" w:hAnsi="Arial"/>
          <w:sz w:val="17"/>
          <w:szCs w:val="17"/>
          <w:color w:val="auto"/>
        </w:rPr>
      </w:pPr>
    </w:p>
    <w:p>
      <w:pPr>
        <w:jc w:val="both"/>
        <w:ind w:left="1260" w:firstLine="633"/>
        <w:spacing w:after="0" w:line="273" w:lineRule="auto"/>
        <w:tabs>
          <w:tab w:leader="none" w:pos="2539" w:val="left"/>
        </w:tabs>
        <w:numPr>
          <w:ilvl w:val="1"/>
          <w:numId w:val="801"/>
        </w:numPr>
        <w:rPr>
          <w:rFonts w:ascii="Arial" w:cs="Arial" w:eastAsia="Arial" w:hAnsi="Arial"/>
          <w:sz w:val="17"/>
          <w:szCs w:val="17"/>
          <w:color w:val="auto"/>
        </w:rPr>
      </w:pPr>
      <w:r>
        <w:rPr>
          <w:rFonts w:ascii="Arial" w:cs="Arial" w:eastAsia="Arial" w:hAnsi="Arial"/>
          <w:sz w:val="17"/>
          <w:szCs w:val="17"/>
          <w:color w:val="auto"/>
        </w:rPr>
        <w:t>Conducting, engaging or participating, directly or indirectly, as the chief executive officer or division head, agent, independent contractor, consultant, partner, shareholder, investor, lender, underwriter, supplier, customer or in any other similar capacity, in any business that competes with any part of the Company’s Business;</w:t>
      </w:r>
    </w:p>
    <w:p>
      <w:pPr>
        <w:spacing w:after="0" w:line="171" w:lineRule="exact"/>
        <w:rPr>
          <w:rFonts w:ascii="Arial" w:cs="Arial" w:eastAsia="Arial" w:hAnsi="Arial"/>
          <w:sz w:val="17"/>
          <w:szCs w:val="17"/>
          <w:color w:val="auto"/>
        </w:rPr>
      </w:pPr>
    </w:p>
    <w:p>
      <w:pPr>
        <w:jc w:val="both"/>
        <w:ind w:left="1260" w:right="60" w:firstLine="633"/>
        <w:spacing w:after="0" w:line="265" w:lineRule="auto"/>
        <w:tabs>
          <w:tab w:leader="none" w:pos="2548" w:val="left"/>
        </w:tabs>
        <w:numPr>
          <w:ilvl w:val="1"/>
          <w:numId w:val="801"/>
        </w:numPr>
        <w:rPr>
          <w:rFonts w:ascii="Arial" w:cs="Arial" w:eastAsia="Arial" w:hAnsi="Arial"/>
          <w:sz w:val="17"/>
          <w:szCs w:val="17"/>
          <w:color w:val="auto"/>
        </w:rPr>
      </w:pPr>
      <w:r>
        <w:rPr>
          <w:rFonts w:ascii="Arial" w:cs="Arial" w:eastAsia="Arial" w:hAnsi="Arial"/>
          <w:sz w:val="17"/>
          <w:szCs w:val="17"/>
          <w:color w:val="auto"/>
        </w:rPr>
        <w:t>Recruiting, hiring, and/or attempting to recruit or hire, directly or by assisting others, any other employee, temporary or permanent, contract, part time or full time of the Company. For purposes of this covenant “any other employee” shall refer to employees, consultants or others who are under contract to provide services to the Company and who are still actively employed by, or doing business with, the Company at the time of the attempted recruiting or hiring, or were so employed or doing business at any time within six (6) months prior to the time of such attempted recruiting or hiring;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140" w:firstLine="633"/>
        <w:spacing w:after="0" w:line="289" w:lineRule="auto"/>
        <w:tabs>
          <w:tab w:leader="none" w:pos="2558" w:val="left"/>
        </w:tabs>
        <w:numPr>
          <w:ilvl w:val="1"/>
          <w:numId w:val="802"/>
        </w:numPr>
        <w:rPr>
          <w:rFonts w:ascii="Arial" w:cs="Arial" w:eastAsia="Arial" w:hAnsi="Arial"/>
          <w:sz w:val="17"/>
          <w:szCs w:val="17"/>
          <w:color w:val="auto"/>
        </w:rPr>
      </w:pPr>
      <w:r>
        <w:rPr>
          <w:rFonts w:ascii="Arial" w:cs="Arial" w:eastAsia="Arial" w:hAnsi="Arial"/>
          <w:sz w:val="17"/>
          <w:szCs w:val="17"/>
          <w:color w:val="auto"/>
        </w:rPr>
        <w:t>Using, disclosing, publishing, copying, distributing or communicating any Confidential Information and Trade Secrets to, or for the use or benefit of Executive or any other person or entity other than Company.</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803"/>
        </w:numPr>
        <w:rPr>
          <w:rFonts w:ascii="Arial" w:cs="Arial" w:eastAsia="Arial" w:hAnsi="Arial"/>
          <w:sz w:val="17"/>
          <w:szCs w:val="17"/>
          <w:color w:val="auto"/>
        </w:rPr>
      </w:pPr>
      <w:r>
        <w:rPr>
          <w:rFonts w:ascii="Arial" w:cs="Arial" w:eastAsia="Arial" w:hAnsi="Arial"/>
          <w:sz w:val="17"/>
          <w:szCs w:val="17"/>
          <w:color w:val="auto"/>
        </w:rPr>
        <w:t>“Restricted Area” shall mean and include each of the following:</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1"/>
          <w:numId w:val="803"/>
        </w:numPr>
        <w:rPr>
          <w:rFonts w:ascii="Arial" w:cs="Arial" w:eastAsia="Arial" w:hAnsi="Arial"/>
          <w:sz w:val="17"/>
          <w:szCs w:val="17"/>
          <w:color w:val="auto"/>
        </w:rPr>
      </w:pPr>
      <w:r>
        <w:rPr>
          <w:rFonts w:ascii="Arial" w:cs="Arial" w:eastAsia="Arial" w:hAnsi="Arial"/>
          <w:sz w:val="17"/>
          <w:szCs w:val="17"/>
          <w:color w:val="auto"/>
        </w:rPr>
        <w:t>Fort Bend County, Texas and Harris County, Texas;</w:t>
      </w:r>
    </w:p>
    <w:p>
      <w:pPr>
        <w:spacing w:after="0" w:line="224" w:lineRule="exact"/>
        <w:rPr>
          <w:rFonts w:ascii="Arial" w:cs="Arial" w:eastAsia="Arial" w:hAnsi="Arial"/>
          <w:sz w:val="17"/>
          <w:szCs w:val="17"/>
          <w:color w:val="auto"/>
        </w:rPr>
      </w:pPr>
    </w:p>
    <w:p>
      <w:pPr>
        <w:ind w:left="1260" w:right="640" w:firstLine="633"/>
        <w:spacing w:after="0" w:line="289" w:lineRule="auto"/>
        <w:tabs>
          <w:tab w:leader="none" w:pos="2548" w:val="left"/>
        </w:tabs>
        <w:numPr>
          <w:ilvl w:val="1"/>
          <w:numId w:val="803"/>
        </w:numPr>
        <w:rPr>
          <w:rFonts w:ascii="Arial" w:cs="Arial" w:eastAsia="Arial" w:hAnsi="Arial"/>
          <w:sz w:val="17"/>
          <w:szCs w:val="17"/>
          <w:color w:val="auto"/>
        </w:rPr>
      </w:pPr>
      <w:r>
        <w:rPr>
          <w:rFonts w:ascii="Arial" w:cs="Arial" w:eastAsia="Arial" w:hAnsi="Arial"/>
          <w:sz w:val="17"/>
          <w:szCs w:val="17"/>
          <w:color w:val="auto"/>
        </w:rPr>
        <w:t>Within a twenty-five (25) mile radius of the location of any office, facility or other business location of any customer, customer representative, supplier or supplier representative; and</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1"/>
          <w:numId w:val="803"/>
        </w:numPr>
        <w:rPr>
          <w:rFonts w:ascii="Arial" w:cs="Arial" w:eastAsia="Arial" w:hAnsi="Arial"/>
          <w:sz w:val="17"/>
          <w:szCs w:val="17"/>
          <w:color w:val="auto"/>
        </w:rPr>
      </w:pPr>
      <w:r>
        <w:rPr>
          <w:rFonts w:ascii="Arial" w:cs="Arial" w:eastAsia="Arial" w:hAnsi="Arial"/>
          <w:sz w:val="17"/>
          <w:szCs w:val="17"/>
          <w:color w:val="auto"/>
        </w:rPr>
        <w:t>Within a sixty (60) miles radius of any office, facility or other business location of Company.</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803"/>
        </w:numPr>
        <w:rPr>
          <w:rFonts w:ascii="Arial" w:cs="Arial" w:eastAsia="Arial" w:hAnsi="Arial"/>
          <w:sz w:val="16"/>
          <w:szCs w:val="16"/>
          <w:color w:val="auto"/>
        </w:rPr>
      </w:pPr>
      <w:r>
        <w:rPr>
          <w:rFonts w:ascii="Arial" w:cs="Arial" w:eastAsia="Arial" w:hAnsi="Arial"/>
          <w:sz w:val="16"/>
          <w:szCs w:val="16"/>
          <w:color w:val="auto"/>
        </w:rPr>
        <w:t>Executive acknowledges that this Agreement prohibits the performance of Restricted Activities from outside the Restricted Area into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Restricted Area.</w:t>
      </w:r>
    </w:p>
    <w:p>
      <w:pPr>
        <w:spacing w:after="0" w:line="212" w:lineRule="exact"/>
        <w:rPr>
          <w:rFonts w:ascii="Arial" w:cs="Arial" w:eastAsia="Arial" w:hAnsi="Arial"/>
          <w:sz w:val="16"/>
          <w:szCs w:val="16"/>
          <w:color w:val="auto"/>
        </w:rPr>
      </w:pPr>
    </w:p>
    <w:p>
      <w:pPr>
        <w:ind w:right="240" w:firstLine="634"/>
        <w:spacing w:after="0" w:line="298" w:lineRule="auto"/>
        <w:tabs>
          <w:tab w:leader="none" w:pos="1258" w:val="left"/>
        </w:tabs>
        <w:numPr>
          <w:ilvl w:val="0"/>
          <w:numId w:val="803"/>
        </w:numPr>
        <w:rPr>
          <w:rFonts w:ascii="Arial" w:cs="Arial" w:eastAsia="Arial" w:hAnsi="Arial"/>
          <w:sz w:val="16"/>
          <w:szCs w:val="16"/>
          <w:color w:val="auto"/>
        </w:rPr>
      </w:pPr>
      <w:r>
        <w:rPr>
          <w:rFonts w:ascii="Arial" w:cs="Arial" w:eastAsia="Arial" w:hAnsi="Arial"/>
          <w:sz w:val="16"/>
          <w:szCs w:val="16"/>
          <w:color w:val="auto"/>
        </w:rPr>
        <w:t>The Company and Executive acknowledge that the provisions contained in this Article 6 shall not prevent Executive or Executive’s Affiliates from owning solely as an investment, directly or indirectly, securities of any publicly traded corporation engaged in the Company’s Business if Executive and Executive’s Affiliates do not, directly or indirectly, beneficially own in the aggregate more than 5% of all classes of outstanding equity securities of such entity.</w:t>
      </w:r>
    </w:p>
    <w:p>
      <w:pPr>
        <w:spacing w:after="0" w:line="153" w:lineRule="exact"/>
        <w:rPr>
          <w:rFonts w:ascii="Arial" w:cs="Arial" w:eastAsia="Arial" w:hAnsi="Arial"/>
          <w:sz w:val="16"/>
          <w:szCs w:val="16"/>
          <w:color w:val="auto"/>
        </w:rPr>
      </w:pPr>
    </w:p>
    <w:p>
      <w:pPr>
        <w:ind w:right="20" w:firstLine="634"/>
        <w:spacing w:after="0" w:line="273" w:lineRule="auto"/>
        <w:tabs>
          <w:tab w:leader="none" w:pos="1256" w:val="left"/>
        </w:tabs>
        <w:numPr>
          <w:ilvl w:val="0"/>
          <w:numId w:val="803"/>
        </w:numPr>
        <w:rPr>
          <w:rFonts w:ascii="Arial" w:cs="Arial" w:eastAsia="Arial" w:hAnsi="Arial"/>
          <w:sz w:val="17"/>
          <w:szCs w:val="17"/>
          <w:color w:val="auto"/>
        </w:rPr>
      </w:pPr>
      <w:r>
        <w:rPr>
          <w:rFonts w:ascii="Arial" w:cs="Arial" w:eastAsia="Arial" w:hAnsi="Arial"/>
          <w:sz w:val="17"/>
          <w:szCs w:val="17"/>
          <w:color w:val="auto"/>
        </w:rPr>
        <w:t>Executive and the Company agree that this Covenant Not to Compete is ancillary to the Company’s agreement to employ Executive as described by this Agreement, this Agreement’s provisions regarding severance benefits, and this Agreement’s provisions regarding non-disclosure of confidential information and trade secrets.</w:t>
      </w:r>
    </w:p>
    <w:p>
      <w:pPr>
        <w:sectPr>
          <w:pgSz w:w="11900" w:h="16838" w:orient="portrait"/>
          <w:cols w:equalWidth="0" w:num="1">
            <w:col w:w="11400"/>
          </w:cols>
          <w:pgMar w:left="240" w:top="127" w:right="259" w:bottom="0" w:gutter="0" w:footer="0" w:header="0"/>
        </w:sectPr>
      </w:pPr>
    </w:p>
    <w:bookmarkStart w:id="450" w:name="page451"/>
    <w:bookmarkEnd w:id="450"/>
    <w:p>
      <w:pPr>
        <w:spacing w:after="0" w:line="71" w:lineRule="exact"/>
        <w:rPr>
          <w:sz w:val="20"/>
          <w:szCs w:val="20"/>
          <w:color w:val="auto"/>
        </w:rPr>
      </w:pPr>
    </w:p>
    <w:p>
      <w:pPr>
        <w:ind w:right="40" w:firstLine="634"/>
        <w:spacing w:after="0" w:line="289" w:lineRule="auto"/>
        <w:tabs>
          <w:tab w:leader="none" w:pos="1265" w:val="left"/>
        </w:tabs>
        <w:numPr>
          <w:ilvl w:val="0"/>
          <w:numId w:val="804"/>
        </w:numPr>
        <w:rPr>
          <w:rFonts w:ascii="Arial" w:cs="Arial" w:eastAsia="Arial" w:hAnsi="Arial"/>
          <w:sz w:val="17"/>
          <w:szCs w:val="17"/>
          <w:color w:val="auto"/>
        </w:rPr>
      </w:pPr>
      <w:r>
        <w:rPr>
          <w:rFonts w:ascii="Arial" w:cs="Arial" w:eastAsia="Arial" w:hAnsi="Arial"/>
          <w:sz w:val="17"/>
          <w:szCs w:val="17"/>
          <w:color w:val="auto"/>
        </w:rPr>
        <w:t>Executive and the Company agree that the limitations as to time and scope of activity to be restrained are reasonable and do not impose a greater restraint on Executive than is necessary to protect the property rights and other business interests of Company.</w:t>
      </w:r>
    </w:p>
    <w:p>
      <w:pPr>
        <w:spacing w:after="0" w:line="158" w:lineRule="exact"/>
        <w:rPr>
          <w:rFonts w:ascii="Arial" w:cs="Arial" w:eastAsia="Arial" w:hAnsi="Arial"/>
          <w:sz w:val="17"/>
          <w:szCs w:val="17"/>
          <w:color w:val="auto"/>
        </w:rPr>
      </w:pPr>
    </w:p>
    <w:p>
      <w:pPr>
        <w:ind w:right="220" w:firstLine="634"/>
        <w:spacing w:after="0" w:line="273" w:lineRule="auto"/>
        <w:tabs>
          <w:tab w:leader="none" w:pos="1258" w:val="left"/>
        </w:tabs>
        <w:numPr>
          <w:ilvl w:val="0"/>
          <w:numId w:val="804"/>
        </w:numPr>
        <w:rPr>
          <w:rFonts w:ascii="Arial" w:cs="Arial" w:eastAsia="Arial" w:hAnsi="Arial"/>
          <w:sz w:val="17"/>
          <w:szCs w:val="17"/>
          <w:color w:val="auto"/>
        </w:rPr>
      </w:pPr>
      <w:r>
        <w:rPr>
          <w:rFonts w:ascii="Arial" w:cs="Arial" w:eastAsia="Arial" w:hAnsi="Arial"/>
          <w:sz w:val="17"/>
          <w:szCs w:val="17"/>
          <w:color w:val="auto"/>
        </w:rPr>
        <w:t>If Executive fails to comply with, or breaches, or threatens to breach, any of the provisions herein, Company in addition to any other remedies available to it at law or in equity, shall be entitled to immediate injunctive relief to enforce the provisions of this Section 6 and shall be entitled to recover from Executive reasonable attorneys’ fees and other expenses incurred by Company in connection with such proceedings.</w:t>
      </w:r>
    </w:p>
    <w:p>
      <w:pPr>
        <w:spacing w:after="0" w:line="171" w:lineRule="exact"/>
        <w:rPr>
          <w:rFonts w:ascii="Arial" w:cs="Arial" w:eastAsia="Arial" w:hAnsi="Arial"/>
          <w:sz w:val="17"/>
          <w:szCs w:val="17"/>
          <w:color w:val="auto"/>
        </w:rPr>
      </w:pPr>
    </w:p>
    <w:p>
      <w:pPr>
        <w:ind w:left="5140" w:hanging="227"/>
        <w:spacing w:after="0"/>
        <w:tabs>
          <w:tab w:leader="none" w:pos="5140" w:val="left"/>
        </w:tabs>
        <w:numPr>
          <w:ilvl w:val="1"/>
          <w:numId w:val="80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General Provisions</w:t>
      </w:r>
    </w:p>
    <w:p>
      <w:pPr>
        <w:spacing w:after="0" w:line="224" w:lineRule="exact"/>
        <w:rPr>
          <w:sz w:val="20"/>
          <w:szCs w:val="20"/>
          <w:color w:val="auto"/>
        </w:rPr>
      </w:pPr>
    </w:p>
    <w:p>
      <w:pPr>
        <w:ind w:right="80" w:firstLine="634"/>
        <w:spacing w:after="0" w:line="326" w:lineRule="auto"/>
        <w:tabs>
          <w:tab w:leader="none" w:pos="1271" w:val="left"/>
        </w:tabs>
        <w:numPr>
          <w:ilvl w:val="0"/>
          <w:numId w:val="805"/>
        </w:numPr>
        <w:rPr>
          <w:rFonts w:ascii="Arial" w:cs="Arial" w:eastAsia="Arial" w:hAnsi="Arial"/>
          <w:sz w:val="15"/>
          <w:szCs w:val="15"/>
          <w:color w:val="auto"/>
        </w:rPr>
      </w:pPr>
      <w:r>
        <w:rPr>
          <w:rFonts w:ascii="Arial" w:cs="Arial" w:eastAsia="Arial" w:hAnsi="Arial"/>
          <w:sz w:val="15"/>
          <w:szCs w:val="15"/>
          <w:color w:val="auto"/>
        </w:rPr>
        <w:t>This Agreement may not be assigned by Executive. This Agreement may be assigned in whole or in part by the Company to a successor in interest. Executive expressly agrees to honor and accept such assignment or other transfer and, on the consummation thereof, to attorn to the Company’s assignee and to perform Executive’s duties and obligations under this Agreement for the benefit of the Company’s assignee as if the Company’s assignee were the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322" w:lineRule="auto"/>
        <w:rPr>
          <w:sz w:val="20"/>
          <w:szCs w:val="20"/>
          <w:color w:val="auto"/>
        </w:rPr>
      </w:pPr>
      <w:r>
        <w:rPr>
          <w:rFonts w:ascii="Arial" w:cs="Arial" w:eastAsia="Arial" w:hAnsi="Arial"/>
          <w:sz w:val="16"/>
          <w:szCs w:val="16"/>
          <w:color w:val="auto"/>
        </w:rPr>
        <w:t>Company. Executive further agrees that, on the consummation of such assignment or other transfer, all references in this Agreement to the Company shall become and shall be deemed to be references to the Company’s assignee and the Company shall be relieved of all obligations under this Agreement.</w:t>
      </w:r>
    </w:p>
    <w:p>
      <w:pPr>
        <w:spacing w:after="0" w:line="136" w:lineRule="exact"/>
        <w:rPr>
          <w:sz w:val="20"/>
          <w:szCs w:val="20"/>
          <w:color w:val="auto"/>
        </w:rPr>
      </w:pPr>
    </w:p>
    <w:p>
      <w:pPr>
        <w:jc w:val="both"/>
        <w:ind w:right="140" w:firstLine="634"/>
        <w:spacing w:after="0" w:line="273" w:lineRule="auto"/>
        <w:tabs>
          <w:tab w:leader="none" w:pos="1261" w:val="left"/>
        </w:tabs>
        <w:numPr>
          <w:ilvl w:val="0"/>
          <w:numId w:val="806"/>
        </w:numPr>
        <w:rPr>
          <w:rFonts w:ascii="Arial" w:cs="Arial" w:eastAsia="Arial" w:hAnsi="Arial"/>
          <w:sz w:val="17"/>
          <w:szCs w:val="17"/>
          <w:color w:val="auto"/>
        </w:rPr>
      </w:pPr>
      <w:r>
        <w:rPr>
          <w:rFonts w:ascii="Arial" w:cs="Arial" w:eastAsia="Arial" w:hAnsi="Arial"/>
          <w:sz w:val="17"/>
          <w:szCs w:val="17"/>
          <w:color w:val="auto"/>
        </w:rPr>
        <w:t>This Agreement shall be governed by, construed, and enforced in accordance with the internal, local laws, of the State of Texas (without regard to conflicts of law rules) and the obligations of the Company and Executive shall be performable in the State of Texas. The Parties agree that proper jurisdiction and venue for any dispute arising under this Agreement are in state or federal court in Harris County, Texas.</w:t>
      </w:r>
    </w:p>
    <w:p>
      <w:pPr>
        <w:spacing w:after="0" w:line="171" w:lineRule="exact"/>
        <w:rPr>
          <w:rFonts w:ascii="Arial" w:cs="Arial" w:eastAsia="Arial" w:hAnsi="Arial"/>
          <w:sz w:val="17"/>
          <w:szCs w:val="17"/>
          <w:color w:val="auto"/>
        </w:rPr>
      </w:pPr>
    </w:p>
    <w:p>
      <w:pPr>
        <w:ind w:right="20" w:firstLine="634"/>
        <w:spacing w:after="0" w:line="281" w:lineRule="auto"/>
        <w:tabs>
          <w:tab w:leader="none" w:pos="1261" w:val="left"/>
        </w:tabs>
        <w:numPr>
          <w:ilvl w:val="0"/>
          <w:numId w:val="806"/>
        </w:numPr>
        <w:rPr>
          <w:rFonts w:ascii="Arial" w:cs="Arial" w:eastAsia="Arial" w:hAnsi="Arial"/>
          <w:sz w:val="16"/>
          <w:szCs w:val="16"/>
          <w:color w:val="auto"/>
        </w:rPr>
      </w:pPr>
      <w:r>
        <w:rPr>
          <w:rFonts w:ascii="Arial" w:cs="Arial" w:eastAsia="Arial" w:hAnsi="Arial"/>
          <w:sz w:val="16"/>
          <w:szCs w:val="16"/>
          <w:color w:val="auto"/>
        </w:rPr>
        <w:t>This Agreement contains the entire agreement between the Parties regarding any benefit Executive may receive from any type of change of control or separation benefits (as defined in this Agreement or otherwise) at AOI and supersedes and replaces all prior communications and agreements (oral or written) between Executive and the Company regarding any benefit Executive may receive from any type of change of control or separation benefits (as defined in this Agreement or otherwise) at AOI. This Agreement does not extinguish any previous written stock option agreements between Executive and the Company; however, it modifies any previous written stock option agreements as provided in Paragraph 4 of this Agreement. Except as provided in this paragraph C, this Agreement does not extinguish any other agreements between Executive and the Company. Except as expressly provided in this Agreement, no variation, modification, or change of this Agreement shall be binding upon either Party hereto unless set forth in a document duly executed by both Parties.</w:t>
      </w:r>
    </w:p>
    <w:p>
      <w:pPr>
        <w:spacing w:after="0" w:line="170" w:lineRule="exact"/>
        <w:rPr>
          <w:rFonts w:ascii="Arial" w:cs="Arial" w:eastAsia="Arial" w:hAnsi="Arial"/>
          <w:sz w:val="16"/>
          <w:szCs w:val="16"/>
          <w:color w:val="auto"/>
        </w:rPr>
      </w:pPr>
    </w:p>
    <w:p>
      <w:pPr>
        <w:ind w:right="180" w:firstLine="634"/>
        <w:spacing w:after="0" w:line="289" w:lineRule="auto"/>
        <w:tabs>
          <w:tab w:leader="none" w:pos="1271" w:val="left"/>
        </w:tabs>
        <w:numPr>
          <w:ilvl w:val="0"/>
          <w:numId w:val="806"/>
        </w:numPr>
        <w:rPr>
          <w:rFonts w:ascii="Arial" w:cs="Arial" w:eastAsia="Arial" w:hAnsi="Arial"/>
          <w:sz w:val="17"/>
          <w:szCs w:val="17"/>
          <w:color w:val="auto"/>
        </w:rPr>
      </w:pPr>
      <w:r>
        <w:rPr>
          <w:rFonts w:ascii="Arial" w:cs="Arial" w:eastAsia="Arial" w:hAnsi="Arial"/>
          <w:sz w:val="17"/>
          <w:szCs w:val="17"/>
          <w:color w:val="auto"/>
        </w:rPr>
        <w:t>This Agreement is intended to express the Parties’ mutual intent, and irrespective of the Party preparing this document, no rule of construction shall be applied against such Party, as both Parties have actively participated in the preparation and negotiation of this Agreement.</w:t>
      </w:r>
    </w:p>
    <w:p>
      <w:pPr>
        <w:spacing w:after="0" w:line="158" w:lineRule="exact"/>
        <w:rPr>
          <w:rFonts w:ascii="Arial" w:cs="Arial" w:eastAsia="Arial" w:hAnsi="Arial"/>
          <w:sz w:val="17"/>
          <w:szCs w:val="17"/>
          <w:color w:val="auto"/>
        </w:rPr>
      </w:pPr>
    </w:p>
    <w:p>
      <w:pPr>
        <w:ind w:right="20" w:firstLine="634"/>
        <w:spacing w:after="0" w:line="268" w:lineRule="auto"/>
        <w:tabs>
          <w:tab w:leader="none" w:pos="1265" w:val="left"/>
        </w:tabs>
        <w:numPr>
          <w:ilvl w:val="0"/>
          <w:numId w:val="806"/>
        </w:numPr>
        <w:rPr>
          <w:rFonts w:ascii="Arial" w:cs="Arial" w:eastAsia="Arial" w:hAnsi="Arial"/>
          <w:sz w:val="17"/>
          <w:szCs w:val="17"/>
          <w:color w:val="auto"/>
        </w:rPr>
      </w:pPr>
      <w:r>
        <w:rPr>
          <w:rFonts w:ascii="Arial" w:cs="Arial" w:eastAsia="Arial" w:hAnsi="Arial"/>
          <w:sz w:val="17"/>
          <w:szCs w:val="17"/>
          <w:color w:val="auto"/>
        </w:rPr>
        <w:t>No Party’s waiver of the other Party’s breach of any condition or provision of this Agreement shall be deemed a waiver of similar or dissimilar provisions or conditions at the same or at any prior or subsequent time. Failure on either Party’s part to complain of any act or failure to act of the other Party or to declare the other Party in default, irrespective of how long such failure or default continues, shall not constitute a waiver by such Party of such Party’s rights under this Agreement.</w:t>
      </w:r>
    </w:p>
    <w:p>
      <w:pPr>
        <w:spacing w:after="0" w:line="175" w:lineRule="exact"/>
        <w:rPr>
          <w:rFonts w:ascii="Arial" w:cs="Arial" w:eastAsia="Arial" w:hAnsi="Arial"/>
          <w:sz w:val="17"/>
          <w:szCs w:val="17"/>
          <w:color w:val="auto"/>
        </w:rPr>
      </w:pPr>
    </w:p>
    <w:p>
      <w:pPr>
        <w:ind w:right="220" w:firstLine="634"/>
        <w:spacing w:after="0" w:line="273" w:lineRule="auto"/>
        <w:tabs>
          <w:tab w:leader="none" w:pos="1254" w:val="left"/>
        </w:tabs>
        <w:numPr>
          <w:ilvl w:val="0"/>
          <w:numId w:val="806"/>
        </w:numPr>
        <w:rPr>
          <w:rFonts w:ascii="Arial" w:cs="Arial" w:eastAsia="Arial" w:hAnsi="Arial"/>
          <w:sz w:val="17"/>
          <w:szCs w:val="17"/>
          <w:color w:val="auto"/>
        </w:rPr>
      </w:pPr>
      <w:r>
        <w:rPr>
          <w:rFonts w:ascii="Arial" w:cs="Arial" w:eastAsia="Arial" w:hAnsi="Arial"/>
          <w:sz w:val="17"/>
          <w:szCs w:val="17"/>
          <w:color w:val="auto"/>
        </w:rPr>
        <w:t>If any provision of this Agreement or the application thereof to any person or circumstance shall be invalid or unenforceable to any extent, the remainder of this Agreement and the application of such provision to other persons or circumstances shall not be affected thereby and shall be enforced to the greatest extent permitted by law.</w:t>
      </w:r>
    </w:p>
    <w:p>
      <w:pPr>
        <w:spacing w:after="0" w:line="171" w:lineRule="exact"/>
        <w:rPr>
          <w:rFonts w:ascii="Arial" w:cs="Arial" w:eastAsia="Arial" w:hAnsi="Arial"/>
          <w:sz w:val="17"/>
          <w:szCs w:val="17"/>
          <w:color w:val="auto"/>
        </w:rPr>
      </w:pPr>
    </w:p>
    <w:p>
      <w:pPr>
        <w:ind w:right="20" w:firstLine="634"/>
        <w:spacing w:after="0" w:line="290" w:lineRule="auto"/>
        <w:tabs>
          <w:tab w:leader="none" w:pos="1271" w:val="left"/>
        </w:tabs>
        <w:numPr>
          <w:ilvl w:val="0"/>
          <w:numId w:val="806"/>
        </w:numPr>
        <w:rPr>
          <w:rFonts w:ascii="Arial" w:cs="Arial" w:eastAsia="Arial" w:hAnsi="Arial"/>
          <w:sz w:val="16"/>
          <w:szCs w:val="16"/>
          <w:color w:val="auto"/>
        </w:rPr>
      </w:pPr>
      <w:r>
        <w:rPr>
          <w:rFonts w:ascii="Arial" w:cs="Arial" w:eastAsia="Arial" w:hAnsi="Arial"/>
          <w:sz w:val="16"/>
          <w:szCs w:val="16"/>
          <w:color w:val="auto"/>
        </w:rPr>
        <w:t>This Agreement shall inure to the benefit of and be binding on the undersigned Parties and their respective permitted successors and permitted assigns. Whenever, in this Agreement, a reference to any Party is made, such reference shall be deemed to include a reference to such Party’s permitted successors and permitted assigns; however, neither this Paragraph 7.G. nor any other portion of this Agreement shall be interpreted to constitute a consent to any assignment or other transfer of this Agreement or any part hereof other than pursuant to and in accordance with this Agreement’s other provisions.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40" w:firstLine="634"/>
        <w:spacing w:after="0" w:line="268" w:lineRule="auto"/>
        <w:tabs>
          <w:tab w:leader="none" w:pos="1258" w:val="left"/>
        </w:tabs>
        <w:numPr>
          <w:ilvl w:val="0"/>
          <w:numId w:val="807"/>
        </w:numPr>
        <w:rPr>
          <w:rFonts w:ascii="Arial" w:cs="Arial" w:eastAsia="Arial" w:hAnsi="Arial"/>
          <w:sz w:val="17"/>
          <w:szCs w:val="17"/>
          <w:color w:val="auto"/>
        </w:rPr>
      </w:pPr>
      <w:r>
        <w:rPr>
          <w:rFonts w:ascii="Arial" w:cs="Arial" w:eastAsia="Arial" w:hAnsi="Arial"/>
          <w:sz w:val="17"/>
          <w:szCs w:val="17"/>
          <w:color w:val="auto"/>
        </w:rPr>
        <w:t>The prevailing Party in any dispute between the Parties to this Agreement, arising out of the interpretation, application, or enforcement of any provision of this Agreement, shall be entitled to recover all of its reasonable attorneys’ fees and costs, whether suit be filed or not, including, without limitation, costs and attorneys’ fees related to or arising out of any arbitration, administrative proceedings, trial, or appellate proceedings, or petition for review before any other court or administrative body.</w:t>
      </w:r>
    </w:p>
    <w:p>
      <w:pPr>
        <w:spacing w:after="0" w:line="175" w:lineRule="exact"/>
        <w:rPr>
          <w:rFonts w:ascii="Arial" w:cs="Arial" w:eastAsia="Arial" w:hAnsi="Arial"/>
          <w:sz w:val="17"/>
          <w:szCs w:val="17"/>
          <w:color w:val="auto"/>
        </w:rPr>
      </w:pPr>
    </w:p>
    <w:p>
      <w:pPr>
        <w:jc w:val="both"/>
        <w:ind w:right="60" w:firstLine="634"/>
        <w:spacing w:after="0" w:line="268" w:lineRule="auto"/>
        <w:tabs>
          <w:tab w:leader="none" w:pos="1256" w:val="left"/>
        </w:tabs>
        <w:numPr>
          <w:ilvl w:val="0"/>
          <w:numId w:val="807"/>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Executive and the Company shall in good faith amend this Agreement to the limited extent necessary to comply with the requirements under Section 409A of the Code, and any regulations or other guidance issued thereunder, in order to ensure that any amounts paid or payable hereunder are not subject to the additional 20% income tax thereunder while maintaining to the maximum extent practicable the original intent of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 xml:space="preserve">EXECUTED, in multiple counterparts, </w:t>
      </w:r>
      <w:r>
        <w:rPr>
          <w:rFonts w:ascii="Arial" w:cs="Arial" w:eastAsia="Arial" w:hAnsi="Arial"/>
          <w:sz w:val="17"/>
          <w:szCs w:val="17"/>
          <w:color w:val="auto"/>
        </w:rPr>
        <w:t>each of which shall have the force and effect of an original, on the Effective Date.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APPLIED OPTOELECTRONICS, INC.</w:t>
            </w:r>
          </w:p>
        </w:tc>
        <w:tc>
          <w:tcPr>
            <w:tcW w:w="5620" w:type="dxa"/>
            <w:vAlign w:val="bottom"/>
          </w:tcPr>
          <w:p>
            <w:pPr>
              <w:spacing w:after="0"/>
              <w:rPr>
                <w:sz w:val="20"/>
                <w:szCs w:val="20"/>
                <w:color w:val="auto"/>
              </w:rPr>
            </w:pPr>
            <w:r>
              <w:rPr>
                <w:rFonts w:ascii="Arial" w:cs="Arial" w:eastAsia="Arial" w:hAnsi="Arial"/>
                <w:sz w:val="17"/>
                <w:szCs w:val="17"/>
                <w:b w:val="1"/>
                <w:bCs w:val="1"/>
                <w:i w:val="1"/>
                <w:iCs w:val="1"/>
                <w:color w:val="auto"/>
              </w:rPr>
              <w:t>EXECUTIVE</w:t>
            </w:r>
          </w:p>
        </w:tc>
      </w:tr>
      <w:tr>
        <w:trPr>
          <w:trHeight w:val="222"/>
        </w:trPr>
        <w:tc>
          <w:tcPr>
            <w:tcW w:w="4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7"/>
                <w:szCs w:val="17"/>
                <w:b w:val="1"/>
                <w:bCs w:val="1"/>
                <w:i w:val="1"/>
                <w:iCs w:val="1"/>
                <w:color w:val="auto"/>
              </w:rPr>
              <w:t>CHIH-HSIANG (THOMPSON) LIN</w:t>
            </w:r>
          </w:p>
        </w:tc>
      </w:tr>
      <w:tr>
        <w:trPr>
          <w:trHeight w:val="419"/>
        </w:trPr>
        <w:tc>
          <w:tcPr>
            <w:tcW w:w="5800" w:type="dxa"/>
            <w:vAlign w:val="bottom"/>
            <w:gridSpan w:val="3"/>
          </w:tcPr>
          <w:p>
            <w:pPr>
              <w:spacing w:after="0"/>
              <w:rPr>
                <w:sz w:val="20"/>
                <w:szCs w:val="20"/>
                <w:color w:val="auto"/>
              </w:rPr>
            </w:pPr>
            <w:r>
              <w:rPr>
                <w:rFonts w:ascii="Arial" w:cs="Arial" w:eastAsia="Arial" w:hAnsi="Arial"/>
                <w:sz w:val="17"/>
                <w:szCs w:val="17"/>
                <w:color w:val="auto"/>
              </w:rPr>
              <w:t>By:   /s/ William H. Yeh</w:t>
            </w:r>
          </w:p>
        </w:tc>
        <w:tc>
          <w:tcPr>
            <w:tcW w:w="5620" w:type="dxa"/>
            <w:vAlign w:val="bottom"/>
          </w:tcPr>
          <w:p>
            <w:pPr>
              <w:spacing w:after="0"/>
              <w:rPr>
                <w:sz w:val="20"/>
                <w:szCs w:val="20"/>
                <w:color w:val="auto"/>
              </w:rPr>
            </w:pPr>
            <w:r>
              <w:rPr>
                <w:rFonts w:ascii="Arial" w:cs="Arial" w:eastAsia="Arial" w:hAnsi="Arial"/>
                <w:sz w:val="17"/>
                <w:szCs w:val="17"/>
                <w:color w:val="auto"/>
              </w:rPr>
              <w:t>/s/ Chih-Hsiang (Thompson) Lin</w:t>
            </w:r>
          </w:p>
        </w:tc>
      </w:tr>
      <w:tr>
        <w:trPr>
          <w:trHeight w:val="191"/>
        </w:trPr>
        <w:tc>
          <w:tcPr>
            <w:tcW w:w="460" w:type="dxa"/>
            <w:vAlign w:val="bottom"/>
          </w:tcPr>
          <w:p>
            <w:pPr>
              <w:spacing w:after="0" w:line="191" w:lineRule="exact"/>
              <w:rPr>
                <w:sz w:val="20"/>
                <w:szCs w:val="20"/>
                <w:color w:val="auto"/>
              </w:rPr>
            </w:pPr>
            <w:r>
              <w:rPr>
                <w:rFonts w:ascii="Arial" w:cs="Arial" w:eastAsia="Arial" w:hAnsi="Arial"/>
                <w:sz w:val="17"/>
                <w:szCs w:val="17"/>
                <w:color w:val="auto"/>
                <w:w w:val="81"/>
              </w:rPr>
              <w:t>Printed</w:t>
            </w:r>
          </w:p>
        </w:tc>
        <w:tc>
          <w:tcPr>
            <w:tcW w:w="49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562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signature</w:t>
            </w:r>
          </w:p>
        </w:tc>
      </w:tr>
      <w:tr>
        <w:trPr>
          <w:trHeight w:val="210"/>
        </w:trPr>
        <w:tc>
          <w:tcPr>
            <w:tcW w:w="5800" w:type="dxa"/>
            <w:vAlign w:val="bottom"/>
            <w:gridSpan w:val="3"/>
          </w:tcPr>
          <w:p>
            <w:pPr>
              <w:spacing w:after="0"/>
              <w:rPr>
                <w:sz w:val="20"/>
                <w:szCs w:val="20"/>
                <w:color w:val="auto"/>
              </w:rPr>
            </w:pPr>
            <w:r>
              <w:rPr>
                <w:rFonts w:ascii="Arial" w:cs="Arial" w:eastAsia="Arial" w:hAnsi="Arial"/>
                <w:sz w:val="17"/>
                <w:szCs w:val="17"/>
                <w:color w:val="auto"/>
              </w:rPr>
              <w:t>Name: William H. Yeh</w:t>
            </w:r>
          </w:p>
        </w:tc>
        <w:tc>
          <w:tcPr>
            <w:tcW w:w="5620" w:type="dxa"/>
            <w:vAlign w:val="bottom"/>
          </w:tcPr>
          <w:p>
            <w:pPr>
              <w:spacing w:after="0"/>
              <w:rPr>
                <w:sz w:val="18"/>
                <w:szCs w:val="18"/>
                <w:color w:val="auto"/>
              </w:rPr>
            </w:pPr>
          </w:p>
        </w:tc>
      </w:tr>
      <w:tr>
        <w:trPr>
          <w:trHeight w:val="222"/>
        </w:trPr>
        <w:tc>
          <w:tcPr>
            <w:tcW w:w="5800" w:type="dxa"/>
            <w:vAlign w:val="bottom"/>
            <w:gridSpan w:val="3"/>
          </w:tcPr>
          <w:p>
            <w:pPr>
              <w:spacing w:after="0"/>
              <w:rPr>
                <w:sz w:val="20"/>
                <w:szCs w:val="20"/>
                <w:color w:val="auto"/>
              </w:rPr>
            </w:pPr>
            <w:r>
              <w:rPr>
                <w:rFonts w:ascii="Arial" w:cs="Arial" w:eastAsia="Arial" w:hAnsi="Arial"/>
                <w:sz w:val="17"/>
                <w:szCs w:val="17"/>
                <w:color w:val="auto"/>
              </w:rPr>
              <w:t>Title: Director</w:t>
            </w:r>
          </w:p>
        </w:tc>
        <w:tc>
          <w:tcPr>
            <w:tcW w:w="5620" w:type="dxa"/>
            <w:vAlign w:val="bottom"/>
          </w:tcPr>
          <w:p>
            <w:pPr>
              <w:spacing w:after="0"/>
              <w:rPr>
                <w:sz w:val="19"/>
                <w:szCs w:val="19"/>
                <w:color w:val="auto"/>
              </w:rPr>
            </w:pPr>
          </w:p>
        </w:tc>
      </w:tr>
      <w:tr>
        <w:trPr>
          <w:trHeight w:val="419"/>
        </w:trPr>
        <w:tc>
          <w:tcPr>
            <w:tcW w:w="5800" w:type="dxa"/>
            <w:vAlign w:val="bottom"/>
            <w:gridSpan w:val="3"/>
          </w:tcPr>
          <w:p>
            <w:pPr>
              <w:spacing w:after="0"/>
              <w:rPr>
                <w:sz w:val="20"/>
                <w:szCs w:val="20"/>
                <w:color w:val="auto"/>
              </w:rPr>
            </w:pPr>
            <w:r>
              <w:rPr>
                <w:rFonts w:ascii="Arial" w:cs="Arial" w:eastAsia="Arial" w:hAnsi="Arial"/>
                <w:sz w:val="17"/>
                <w:szCs w:val="17"/>
                <w:color w:val="auto"/>
              </w:rPr>
              <w:t>Date: April 16, 2013</w:t>
            </w:r>
          </w:p>
        </w:tc>
        <w:tc>
          <w:tcPr>
            <w:tcW w:w="5620" w:type="dxa"/>
            <w:vAlign w:val="bottom"/>
          </w:tcPr>
          <w:p>
            <w:pPr>
              <w:spacing w:after="0"/>
              <w:rPr>
                <w:sz w:val="20"/>
                <w:szCs w:val="20"/>
                <w:color w:val="auto"/>
              </w:rPr>
            </w:pPr>
            <w:r>
              <w:rPr>
                <w:rFonts w:ascii="Arial" w:cs="Arial" w:eastAsia="Arial" w:hAnsi="Arial"/>
                <w:sz w:val="17"/>
                <w:szCs w:val="17"/>
                <w:color w:val="auto"/>
              </w:rPr>
              <w:t>Date: April 16, 2013</w:t>
            </w:r>
          </w:p>
        </w:tc>
      </w:tr>
    </w:tbl>
    <w:p>
      <w:pPr>
        <w:sectPr>
          <w:pgSz w:w="11900" w:h="16909" w:orient="portrait"/>
          <w:cols w:equalWidth="0" w:num="1">
            <w:col w:w="11420"/>
          </w:cols>
          <w:pgMar w:left="240" w:top="127" w:right="239" w:bottom="0" w:gutter="0" w:footer="0" w:header="0"/>
        </w:sectPr>
      </w:pPr>
    </w:p>
    <w:bookmarkStart w:id="451" w:name="page452"/>
    <w:bookmarkEnd w:id="451"/>
    <w:p>
      <w:pPr>
        <w:spacing w:after="0"/>
        <w:rPr>
          <w:sz w:val="20"/>
          <w:szCs w:val="20"/>
          <w:color w:val="auto"/>
        </w:rPr>
      </w:pPr>
      <w:r>
        <w:rPr>
          <w:rFonts w:ascii="Arial" w:cs="Arial" w:eastAsia="Arial" w:hAnsi="Arial"/>
          <w:sz w:val="17"/>
          <w:szCs w:val="17"/>
          <w:b w:val="1"/>
          <w:bCs w:val="1"/>
          <w:i w:val="1"/>
          <w:iCs w:val="1"/>
          <w:color w:val="auto"/>
        </w:rPr>
        <w:t>APPLIED OPTOELECTRONICS, INC.</w:t>
      </w:r>
    </w:p>
    <w:p>
      <w:pPr>
        <w:spacing w:after="0" w:line="200" w:lineRule="exact"/>
        <w:rPr>
          <w:sz w:val="20"/>
          <w:szCs w:val="20"/>
          <w:color w:val="auto"/>
        </w:rPr>
      </w:pPr>
    </w:p>
    <w:p>
      <w:pPr>
        <w:spacing w:after="0" w:line="234"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Chih-Hsiang (Thompson) Lin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-123190</wp:posOffset>
            </wp:positionV>
            <wp:extent cx="29800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298005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Chih-Hsiang (Thompson) Lin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Title: President and CEO</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Date: April 16, 2013</w:t>
      </w:r>
    </w:p>
    <w:p>
      <w:pPr>
        <w:spacing w:after="0" w:line="224"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219"/>
          </w:cols>
          <w:pgMar w:left="240" w:top="546" w:right="1440" w:bottom="1440" w:gutter="0" w:footer="0" w:header="0"/>
        </w:sectPr>
      </w:pPr>
    </w:p>
    <w:bookmarkStart w:id="452" w:name="page453"/>
    <w:bookmarkEnd w:id="452"/>
    <w:p>
      <w:pPr>
        <w:jc w:val="right"/>
        <w:spacing w:after="0"/>
        <w:rPr>
          <w:sz w:val="20"/>
          <w:szCs w:val="20"/>
          <w:color w:val="auto"/>
        </w:rPr>
      </w:pPr>
      <w:r>
        <w:rPr>
          <w:rFonts w:ascii="Arial" w:cs="Arial" w:eastAsia="Arial" w:hAnsi="Arial"/>
          <w:sz w:val="17"/>
          <w:szCs w:val="17"/>
          <w:b w:val="1"/>
          <w:bCs w:val="1"/>
          <w:color w:val="auto"/>
        </w:rPr>
        <w:t>Exhibit 10.13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EMPLOYMENT AGREEMENT REGARDING</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CHANGE OF CONTROL OR SEPARATION OF SERVICE</w:t>
      </w:r>
    </w:p>
    <w:p>
      <w:pPr>
        <w:spacing w:after="0" w:line="212" w:lineRule="exact"/>
        <w:rPr>
          <w:sz w:val="20"/>
          <w:szCs w:val="20"/>
          <w:color w:val="auto"/>
        </w:rPr>
      </w:pPr>
    </w:p>
    <w:p>
      <w:pPr>
        <w:ind w:right="360" w:firstLine="629"/>
        <w:spacing w:after="0" w:line="268" w:lineRule="auto"/>
        <w:rPr>
          <w:sz w:val="20"/>
          <w:szCs w:val="20"/>
          <w:color w:val="auto"/>
        </w:rPr>
      </w:pPr>
      <w:r>
        <w:rPr>
          <w:rFonts w:ascii="Arial" w:cs="Arial" w:eastAsia="Arial" w:hAnsi="Arial"/>
          <w:sz w:val="17"/>
          <w:szCs w:val="17"/>
          <w:color w:val="auto"/>
        </w:rPr>
        <w:t>This employment agreement (“Agreement”) is made and entered into effective as of January 28, 2007 (“Effective Date”), by and between Applied Optoelectronics, Inc. (“AOI” or the “Company”), whose address is 13111 Jess Pirtle Boulevard, Sugar Land, Texas 77478, and Stefan J. Murry (“Executive”), whose address is 5719 Indigo, Houston TX 77096. This Agreement may sometimes refer to AOI and Executive singularly as a “Party” or collectively as the “Parties.”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1. Confirmation of Employment At-Will</w:t>
      </w:r>
    </w:p>
    <w:p>
      <w:pPr>
        <w:spacing w:after="0" w:line="224"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Executive’s employment with AOI has been, is, and shall continue to be on an at-will basis. This means that either Executive or AOI may terminate Executive’s employment with the Company at any time and for any reason or no reason at all, except that if (i) a Change of Control of the Company shall have occurred and the Executive’s employment by the Company is thereafter terminated (whether by the Executive with Good Reason or the Company without Cause as provided in Paragraph 3), or (ii) Executive’s employment is terminated in certain other circumstances delineated in this Agreement, then the Executive shall be entitled to receive certain benefits as provided in this Agreement.</w:t>
      </w:r>
    </w:p>
    <w:p>
      <w:pPr>
        <w:spacing w:after="0" w:line="179" w:lineRule="exact"/>
        <w:rPr>
          <w:sz w:val="20"/>
          <w:szCs w:val="20"/>
          <w:color w:val="auto"/>
        </w:rPr>
      </w:pPr>
    </w:p>
    <w:p>
      <w:pPr>
        <w:ind w:left="5140" w:hanging="210"/>
        <w:spacing w:after="0"/>
        <w:tabs>
          <w:tab w:leader="none" w:pos="5140" w:val="left"/>
        </w:tabs>
        <w:numPr>
          <w:ilvl w:val="2"/>
          <w:numId w:val="80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Change of Control</w:t>
      </w:r>
    </w:p>
    <w:p>
      <w:pPr>
        <w:spacing w:after="0" w:line="224" w:lineRule="exact"/>
        <w:rPr>
          <w:rFonts w:ascii="Arial" w:cs="Arial" w:eastAsia="Arial" w:hAnsi="Arial"/>
          <w:sz w:val="17"/>
          <w:szCs w:val="17"/>
          <w:b w:val="1"/>
          <w:bCs w:val="1"/>
          <w:i w:val="1"/>
          <w:iCs w:val="1"/>
          <w:color w:val="auto"/>
        </w:rPr>
      </w:pPr>
    </w:p>
    <w:p>
      <w:pPr>
        <w:ind w:left="640"/>
        <w:spacing w:after="0"/>
        <w:rPr>
          <w:rFonts w:ascii="Arial" w:cs="Arial" w:eastAsia="Arial" w:hAnsi="Arial"/>
          <w:sz w:val="17"/>
          <w:szCs w:val="17"/>
          <w:b w:val="1"/>
          <w:bCs w:val="1"/>
          <w:i w:val="1"/>
          <w:iCs w:val="1"/>
          <w:color w:val="auto"/>
        </w:rPr>
      </w:pPr>
      <w:r>
        <w:rPr>
          <w:rFonts w:ascii="Arial" w:cs="Arial" w:eastAsia="Arial" w:hAnsi="Arial"/>
          <w:sz w:val="17"/>
          <w:szCs w:val="17"/>
          <w:color w:val="auto"/>
        </w:rPr>
        <w:t>A.</w:t>
      </w:r>
      <w:r>
        <w:rPr>
          <w:rFonts w:ascii="Arial" w:cs="Arial" w:eastAsia="Arial" w:hAnsi="Arial"/>
          <w:sz w:val="15"/>
          <w:szCs w:val="15"/>
          <w:color w:val="auto"/>
        </w:rPr>
        <w:t>“Change of Control” shall be deemed to have occurred on the date that one or more of the following occurs:</w:t>
      </w:r>
    </w:p>
    <w:p>
      <w:pPr>
        <w:spacing w:after="0" w:line="224" w:lineRule="exact"/>
        <w:rPr>
          <w:rFonts w:ascii="Arial" w:cs="Arial" w:eastAsia="Arial" w:hAnsi="Arial"/>
          <w:sz w:val="17"/>
          <w:szCs w:val="17"/>
          <w:b w:val="1"/>
          <w:bCs w:val="1"/>
          <w:i w:val="1"/>
          <w:iCs w:val="1"/>
          <w:color w:val="auto"/>
        </w:rPr>
      </w:pPr>
    </w:p>
    <w:p>
      <w:pPr>
        <w:ind w:left="1260" w:right="220" w:firstLine="633"/>
        <w:spacing w:after="0" w:line="281" w:lineRule="auto"/>
        <w:tabs>
          <w:tab w:leader="none" w:pos="2539" w:val="left"/>
        </w:tabs>
        <w:numPr>
          <w:ilvl w:val="1"/>
          <w:numId w:val="809"/>
        </w:numPr>
        <w:rPr>
          <w:rFonts w:ascii="Arial" w:cs="Arial" w:eastAsia="Arial" w:hAnsi="Arial"/>
          <w:sz w:val="16"/>
          <w:szCs w:val="16"/>
          <w:color w:val="auto"/>
        </w:rPr>
      </w:pPr>
      <w:r>
        <w:rPr>
          <w:rFonts w:ascii="Arial" w:cs="Arial" w:eastAsia="Arial" w:hAnsi="Arial"/>
          <w:sz w:val="16"/>
          <w:szCs w:val="16"/>
          <w:color w:val="auto"/>
        </w:rPr>
        <w:t>Individuals who, on the date hereof, constitute the entire Board of Directors of the Company (“Incumbent Directors”) cease for any reason to constitute at least a majority of the Board; provided, however, that any individual becoming a director subsequent to the date hereof whose election, or nomination for election by the Company’s shareholders, was approved by a vote of at least a majority of the then Incumbent Directors shall be considered as though such individual was an Incumbent Director, but excluding, for this purpose any such individual whose initial assumption of office occurs as a result of either an actual or threatened election contest, as such terms are used in Rule 14a-11 under the Securities Exchange Act of 1934, as amended (“Exchange Act”) or other actual or threatened solicitation of proxies or consents by or on behalf of any Person (as defined below) other than the Board; or</w:t>
      </w:r>
    </w:p>
    <w:p>
      <w:pPr>
        <w:spacing w:after="0" w:line="170" w:lineRule="exact"/>
        <w:rPr>
          <w:rFonts w:ascii="Arial" w:cs="Arial" w:eastAsia="Arial" w:hAnsi="Arial"/>
          <w:sz w:val="16"/>
          <w:szCs w:val="16"/>
          <w:color w:val="auto"/>
        </w:rPr>
      </w:pPr>
    </w:p>
    <w:p>
      <w:pPr>
        <w:ind w:left="1260" w:right="240" w:firstLine="633"/>
        <w:spacing w:after="0" w:line="265" w:lineRule="auto"/>
        <w:tabs>
          <w:tab w:leader="none" w:pos="2548" w:val="left"/>
        </w:tabs>
        <w:numPr>
          <w:ilvl w:val="1"/>
          <w:numId w:val="809"/>
        </w:numPr>
        <w:rPr>
          <w:rFonts w:ascii="Arial" w:cs="Arial" w:eastAsia="Arial" w:hAnsi="Arial"/>
          <w:sz w:val="17"/>
          <w:szCs w:val="17"/>
          <w:color w:val="auto"/>
        </w:rPr>
      </w:pPr>
      <w:r>
        <w:rPr>
          <w:rFonts w:ascii="Arial" w:cs="Arial" w:eastAsia="Arial" w:hAnsi="Arial"/>
          <w:sz w:val="17"/>
          <w:szCs w:val="17"/>
          <w:color w:val="auto"/>
        </w:rPr>
        <w:t>(a) The consummation of any merger, consolidation or recapitalization of the Company (or, if the capital stock of the Company is affected, any subsidiary of the Company), or any sale, lease, or other transfer (in one transaction or a series of transactions contemplated or arranged by any party as a single plan) of all or substantially all of the assets of the Company (each of the foregoing being an “Acquisition Transaction”) where (1) the shareholders of the Company immediately prior to such Acquisition Transaction would not immediately after such Acquisition Transaction beneficially own, directly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186055</wp:posOffset>
            </wp:positionV>
            <wp:extent cx="7271385" cy="2921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60"/>
        <w:spacing w:after="0" w:line="281" w:lineRule="auto"/>
        <w:rPr>
          <w:sz w:val="20"/>
          <w:szCs w:val="20"/>
          <w:color w:val="auto"/>
        </w:rPr>
      </w:pPr>
      <w:r>
        <w:rPr>
          <w:rFonts w:ascii="Arial" w:cs="Arial" w:eastAsia="Arial" w:hAnsi="Arial"/>
          <w:sz w:val="16"/>
          <w:szCs w:val="16"/>
          <w:color w:val="auto"/>
        </w:rPr>
        <w:t>indirectly, shares or other ownership interests representing in the aggregate fifty-one percent (51%) or more of (a) the then outstanding common stock or other equity interests of the corporation or other entity surviving or resulting from such merger, consolidation or recapitalization or acquiring such assets of the Company, as the case may be (the “Surviving Entity”) (or of its ultimate parent corporation or other entity, if any), and (b) the Combined Voting Power of the then outstanding Voting Securities of the Surviving Entity (or of its ultimate parent corporation or other entity, if any) or (2) the Incumbent Directors at the time of the initial approval of such Acquisition Transaction would not immediately after such Acquisition Transaction constitute a majority of the Board of Directors, or similar managing group, of the Surviving Entity (or of its ultimate parent corporation or other entity, if any), or (b) the filing of any plan for the liquidation or dissolution of the Company.</w:t>
      </w:r>
    </w:p>
    <w:p>
      <w:pPr>
        <w:spacing w:after="0" w:line="170" w:lineRule="exact"/>
        <w:rPr>
          <w:sz w:val="20"/>
          <w:szCs w:val="20"/>
          <w:color w:val="auto"/>
        </w:rPr>
      </w:pPr>
    </w:p>
    <w:p>
      <w:pPr>
        <w:ind w:left="1260" w:hanging="626"/>
        <w:spacing w:after="0"/>
        <w:tabs>
          <w:tab w:leader="none" w:pos="1260" w:val="left"/>
        </w:tabs>
        <w:numPr>
          <w:ilvl w:val="0"/>
          <w:numId w:val="810"/>
        </w:numPr>
        <w:rPr>
          <w:rFonts w:ascii="Arial" w:cs="Arial" w:eastAsia="Arial" w:hAnsi="Arial"/>
          <w:sz w:val="17"/>
          <w:szCs w:val="17"/>
          <w:color w:val="auto"/>
        </w:rPr>
      </w:pPr>
      <w:r>
        <w:rPr>
          <w:rFonts w:ascii="Arial" w:cs="Arial" w:eastAsia="Arial" w:hAnsi="Arial"/>
          <w:sz w:val="17"/>
          <w:szCs w:val="17"/>
          <w:color w:val="auto"/>
        </w:rPr>
        <w:t>For purposes of the definition of “Change of Control”:</w:t>
      </w:r>
    </w:p>
    <w:p>
      <w:pPr>
        <w:spacing w:after="0" w:line="224" w:lineRule="exact"/>
        <w:rPr>
          <w:rFonts w:ascii="Arial" w:cs="Arial" w:eastAsia="Arial" w:hAnsi="Arial"/>
          <w:sz w:val="17"/>
          <w:szCs w:val="17"/>
          <w:color w:val="auto"/>
        </w:rPr>
      </w:pPr>
    </w:p>
    <w:p>
      <w:pPr>
        <w:jc w:val="both"/>
        <w:ind w:left="1260" w:right="100" w:firstLine="633"/>
        <w:spacing w:after="0" w:line="273" w:lineRule="auto"/>
        <w:tabs>
          <w:tab w:leader="none" w:pos="2539" w:val="left"/>
        </w:tabs>
        <w:numPr>
          <w:ilvl w:val="1"/>
          <w:numId w:val="810"/>
        </w:numPr>
        <w:rPr>
          <w:rFonts w:ascii="Arial" w:cs="Arial" w:eastAsia="Arial" w:hAnsi="Arial"/>
          <w:sz w:val="17"/>
          <w:szCs w:val="17"/>
          <w:color w:val="auto"/>
        </w:rPr>
      </w:pPr>
      <w:r>
        <w:rPr>
          <w:rFonts w:ascii="Arial" w:cs="Arial" w:eastAsia="Arial" w:hAnsi="Arial"/>
          <w:sz w:val="17"/>
          <w:szCs w:val="17"/>
          <w:color w:val="auto"/>
        </w:rPr>
        <w:t>“Affiliate” shall mean, as to a specified Person, another Person that directly, or indirectly through one or more intermediaries, controls or is controlled by, or is under common control with, the specified Person, within the meaning of such terms as used in Rule 405 under the Securities Act of 1933, as amended (“Securities Act”), or any successor rule.</w:t>
      </w:r>
    </w:p>
    <w:p>
      <w:pPr>
        <w:spacing w:after="0" w:line="171" w:lineRule="exact"/>
        <w:rPr>
          <w:rFonts w:ascii="Arial" w:cs="Arial" w:eastAsia="Arial" w:hAnsi="Arial"/>
          <w:sz w:val="17"/>
          <w:szCs w:val="17"/>
          <w:color w:val="auto"/>
        </w:rPr>
      </w:pPr>
    </w:p>
    <w:p>
      <w:pPr>
        <w:ind w:left="1260" w:right="320" w:firstLine="633"/>
        <w:spacing w:after="0" w:line="273" w:lineRule="auto"/>
        <w:tabs>
          <w:tab w:leader="none" w:pos="2548" w:val="left"/>
        </w:tabs>
        <w:numPr>
          <w:ilvl w:val="1"/>
          <w:numId w:val="810"/>
        </w:numPr>
        <w:rPr>
          <w:rFonts w:ascii="Arial" w:cs="Arial" w:eastAsia="Arial" w:hAnsi="Arial"/>
          <w:sz w:val="17"/>
          <w:szCs w:val="17"/>
          <w:color w:val="auto"/>
        </w:rPr>
      </w:pPr>
      <w:r>
        <w:rPr>
          <w:rFonts w:ascii="Arial" w:cs="Arial" w:eastAsia="Arial" w:hAnsi="Arial"/>
          <w:sz w:val="17"/>
          <w:szCs w:val="17"/>
          <w:color w:val="auto"/>
        </w:rPr>
        <w:t>“Combined Voting Power” shall mean the aggregate votes entitled to be cast generally in the election of the Board of Directors, or similar managing group, of a corporation or other entity by holders of then outstanding Voting Securities of such corporation or other entity.</w:t>
      </w:r>
    </w:p>
    <w:p>
      <w:pPr>
        <w:spacing w:after="0" w:line="171" w:lineRule="exact"/>
        <w:rPr>
          <w:rFonts w:ascii="Arial" w:cs="Arial" w:eastAsia="Arial" w:hAnsi="Arial"/>
          <w:sz w:val="17"/>
          <w:szCs w:val="17"/>
          <w:color w:val="auto"/>
        </w:rPr>
      </w:pPr>
    </w:p>
    <w:p>
      <w:pPr>
        <w:ind w:left="1260" w:right="20" w:firstLine="633"/>
        <w:spacing w:after="0" w:line="265" w:lineRule="auto"/>
        <w:tabs>
          <w:tab w:leader="none" w:pos="2558" w:val="left"/>
        </w:tabs>
        <w:numPr>
          <w:ilvl w:val="1"/>
          <w:numId w:val="810"/>
        </w:numPr>
        <w:rPr>
          <w:rFonts w:ascii="Arial" w:cs="Arial" w:eastAsia="Arial" w:hAnsi="Arial"/>
          <w:sz w:val="17"/>
          <w:szCs w:val="17"/>
          <w:color w:val="auto"/>
        </w:rPr>
      </w:pPr>
      <w:r>
        <w:rPr>
          <w:rFonts w:ascii="Arial" w:cs="Arial" w:eastAsia="Arial" w:hAnsi="Arial"/>
          <w:sz w:val="17"/>
          <w:szCs w:val="17"/>
          <w:color w:val="auto"/>
        </w:rPr>
        <w:t>“Person” shall mean any individual, entity (including, without limitation, any corporation, partnership, trust, joint venture, association or governmental body) or group (as defined in Sections 14(d)(3) or 15(d)(2) of the Exchange Act and the rules and regulations thereunder); provided, however, that Person shall not include the Company, any of its subsidiaries, any employee benefit plan of the Company or any of its majority-owned subsidiaries or any entity organized, appointed or established by the Company or such subsidiaries for or pursuant to the terms of any such plan.</w:t>
      </w:r>
    </w:p>
    <w:p>
      <w:pPr>
        <w:spacing w:after="0" w:line="179" w:lineRule="exact"/>
        <w:rPr>
          <w:rFonts w:ascii="Arial" w:cs="Arial" w:eastAsia="Arial" w:hAnsi="Arial"/>
          <w:sz w:val="17"/>
          <w:szCs w:val="17"/>
          <w:color w:val="auto"/>
        </w:rPr>
      </w:pPr>
    </w:p>
    <w:p>
      <w:pPr>
        <w:ind w:left="1260" w:right="180" w:firstLine="633"/>
        <w:spacing w:after="0" w:line="289" w:lineRule="auto"/>
        <w:tabs>
          <w:tab w:leader="none" w:pos="2535" w:val="left"/>
        </w:tabs>
        <w:numPr>
          <w:ilvl w:val="1"/>
          <w:numId w:val="810"/>
        </w:numPr>
        <w:rPr>
          <w:rFonts w:ascii="Arial" w:cs="Arial" w:eastAsia="Arial" w:hAnsi="Arial"/>
          <w:sz w:val="17"/>
          <w:szCs w:val="17"/>
          <w:color w:val="auto"/>
        </w:rPr>
      </w:pPr>
      <w:r>
        <w:rPr>
          <w:rFonts w:ascii="Arial" w:cs="Arial" w:eastAsia="Arial" w:hAnsi="Arial"/>
          <w:sz w:val="17"/>
          <w:szCs w:val="17"/>
          <w:color w:val="auto"/>
        </w:rPr>
        <w:t>“Voting Securities” shall mean all securities of a corporation or other entity having the right under ordinary circumstances to vote in an election of the Board of Directors, or similar managing group, of such corporation or other entity.</w:t>
      </w:r>
    </w:p>
    <w:p>
      <w:pPr>
        <w:spacing w:after="0" w:line="158" w:lineRule="exact"/>
        <w:rPr>
          <w:rFonts w:ascii="Arial" w:cs="Arial" w:eastAsia="Arial" w:hAnsi="Arial"/>
          <w:sz w:val="17"/>
          <w:szCs w:val="17"/>
          <w:color w:val="auto"/>
        </w:rPr>
      </w:pPr>
    </w:p>
    <w:p>
      <w:pPr>
        <w:ind w:left="4220" w:hanging="212"/>
        <w:spacing w:after="0"/>
        <w:tabs>
          <w:tab w:leader="none" w:pos="4220" w:val="left"/>
        </w:tabs>
        <w:numPr>
          <w:ilvl w:val="2"/>
          <w:numId w:val="8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Termination Following a Change of Control</w:t>
      </w:r>
    </w:p>
    <w:p>
      <w:pPr>
        <w:spacing w:after="0" w:line="224" w:lineRule="exact"/>
        <w:rPr>
          <w:sz w:val="20"/>
          <w:szCs w:val="20"/>
          <w:color w:val="auto"/>
        </w:rPr>
      </w:pPr>
    </w:p>
    <w:p>
      <w:pPr>
        <w:ind w:right="200" w:firstLine="634"/>
        <w:spacing w:after="0" w:line="273" w:lineRule="auto"/>
        <w:tabs>
          <w:tab w:leader="none" w:pos="1271" w:val="left"/>
        </w:tabs>
        <w:numPr>
          <w:ilvl w:val="0"/>
          <w:numId w:val="811"/>
        </w:numPr>
        <w:rPr>
          <w:rFonts w:ascii="Arial" w:cs="Arial" w:eastAsia="Arial" w:hAnsi="Arial"/>
          <w:sz w:val="17"/>
          <w:szCs w:val="17"/>
          <w:color w:val="auto"/>
        </w:rPr>
      </w:pPr>
      <w:r>
        <w:rPr>
          <w:rFonts w:ascii="Arial" w:cs="Arial" w:eastAsia="Arial" w:hAnsi="Arial"/>
          <w:sz w:val="17"/>
          <w:szCs w:val="17"/>
          <w:color w:val="auto"/>
        </w:rPr>
        <w:t>If a Change of Control of the Company shall have occurred, any subsequent termination of Executive’s employment (i) by the Executive upon an Event of Termination for Good Reason (hereafter defined) or (ii) by the Company upon an Event of Termination for Cause (hereafter defined), shall be communicated by written notice to the other party. If the notice 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548" w:gutter="0" w:footer="0" w:header="0"/>
        </w:sectPr>
      </w:pPr>
    </w:p>
    <w:bookmarkStart w:id="453" w:name="page454"/>
    <w:bookmarkEnd w:id="453"/>
    <w:p>
      <w:pPr>
        <w:spacing w:after="0" w:line="4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from the Company and states that the Executive’s employment by the Company is terminated by the Company as a result of the occurrence of an Event of Termination for Cause, the notice shall specifically describe the action or inaction of the Executive that the Company believes constitutes an Event of Termination for Cause. If the notice is from the Executive and states that the Executive’s employment by the Company is terminated by the Executive as a result of the occurrence of an Event of Termination for Good Reason, the notice shall specifically describe the action or inaction of the Company that the Executive believes constitutes an Event of Termination for Good Reason.</w:t>
      </w:r>
    </w:p>
    <w:p>
      <w:pPr>
        <w:spacing w:after="0" w:line="179" w:lineRule="exact"/>
        <w:rPr>
          <w:sz w:val="20"/>
          <w:szCs w:val="20"/>
          <w:color w:val="auto"/>
        </w:rPr>
      </w:pPr>
    </w:p>
    <w:p>
      <w:pPr>
        <w:ind w:firstLine="634"/>
        <w:spacing w:after="0" w:line="278" w:lineRule="auto"/>
        <w:tabs>
          <w:tab w:leader="none" w:pos="1261" w:val="left"/>
        </w:tabs>
        <w:numPr>
          <w:ilvl w:val="0"/>
          <w:numId w:val="812"/>
        </w:numPr>
        <w:rPr>
          <w:rFonts w:ascii="Arial" w:cs="Arial" w:eastAsia="Arial" w:hAnsi="Arial"/>
          <w:sz w:val="16"/>
          <w:szCs w:val="16"/>
          <w:color w:val="auto"/>
        </w:rPr>
      </w:pPr>
      <w:r>
        <w:rPr>
          <w:rFonts w:ascii="Arial" w:cs="Arial" w:eastAsia="Arial" w:hAnsi="Arial"/>
          <w:sz w:val="16"/>
          <w:szCs w:val="16"/>
          <w:color w:val="auto"/>
        </w:rPr>
        <w:t xml:space="preserve">An “Event of Termination for Cause” shall have occurred: (i) if Executive should be convicted of or pleads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offense or to a crime that the Board determines, in its sole discretion, is a crime of moral turpitude (whether or not a felony); (ii) if Executive should commit willful misconduct (that is, done in bad faith or without reasonable belief that such action is in the best interest of the Company) or violate any law in connection with the performance of any of Executive’s duties, including, without limitation, (a) misappropriation of funds or property of the Company or any of its affiliates or customers, (b) securing or attempting to secure personally any profit in connection with any transaction entered into on behalf of the Company or any of its affiliates, or (c) making any material misrepresentation to the Board, the Company, or any of the Company’s affiliates; (iii) if Executive materially violates or fails to comply with any written Company policy; (iv) if Executive materially breaches any term of this Agreement; or (v) the willful and continued failure or neglect of the Executive to substantially perform his/her duties with the Company (other than any such failure resulting from incapacity due to physical or mental illness). The Board shall not have Cause to terminate Executive’s employment under Paragraph 3.B. (iii), (iv), or (v) of this Agreement unless and until the Board provides written notice to Executive identifying Executive’s alleged violation of policy, breach of this Agreement, or failure to perform (or neglect of) any duty and Executive fails to cure such violation of policy, breach of this Agreement or failure to perform (or neglect of) any duty within 60 days.</w:t>
      </w:r>
    </w:p>
    <w:p>
      <w:pPr>
        <w:spacing w:after="0" w:line="172" w:lineRule="exact"/>
        <w:rPr>
          <w:rFonts w:ascii="Arial" w:cs="Arial" w:eastAsia="Arial" w:hAnsi="Arial"/>
          <w:sz w:val="16"/>
          <w:szCs w:val="16"/>
          <w:color w:val="auto"/>
        </w:rPr>
      </w:pPr>
    </w:p>
    <w:p>
      <w:pPr>
        <w:ind w:left="1260" w:hanging="626"/>
        <w:spacing w:after="0"/>
        <w:tabs>
          <w:tab w:leader="none" w:pos="1260" w:val="left"/>
        </w:tabs>
        <w:numPr>
          <w:ilvl w:val="0"/>
          <w:numId w:val="812"/>
        </w:numPr>
        <w:rPr>
          <w:rFonts w:ascii="Arial" w:cs="Arial" w:eastAsia="Arial" w:hAnsi="Arial"/>
          <w:sz w:val="17"/>
          <w:szCs w:val="17"/>
          <w:color w:val="auto"/>
        </w:rPr>
      </w:pPr>
      <w:r>
        <w:rPr>
          <w:rFonts w:ascii="Arial" w:cs="Arial" w:eastAsia="Arial" w:hAnsi="Arial"/>
          <w:sz w:val="17"/>
          <w:szCs w:val="17"/>
          <w:color w:val="auto"/>
        </w:rPr>
        <w:t>An “Event of Termination for Good Reason” shall have occurred in the event of any of the following:</w:t>
      </w:r>
    </w:p>
    <w:p>
      <w:pPr>
        <w:spacing w:after="0" w:line="224" w:lineRule="exact"/>
        <w:rPr>
          <w:rFonts w:ascii="Arial" w:cs="Arial" w:eastAsia="Arial" w:hAnsi="Arial"/>
          <w:sz w:val="17"/>
          <w:szCs w:val="17"/>
          <w:color w:val="auto"/>
        </w:rPr>
      </w:pPr>
    </w:p>
    <w:p>
      <w:pPr>
        <w:ind w:left="1260" w:right="180" w:firstLine="633"/>
        <w:spacing w:after="0" w:line="285" w:lineRule="auto"/>
        <w:tabs>
          <w:tab w:leader="none" w:pos="2539" w:val="left"/>
        </w:tabs>
        <w:numPr>
          <w:ilvl w:val="1"/>
          <w:numId w:val="812"/>
        </w:numPr>
        <w:rPr>
          <w:rFonts w:ascii="Arial" w:cs="Arial" w:eastAsia="Arial" w:hAnsi="Arial"/>
          <w:sz w:val="16"/>
          <w:szCs w:val="16"/>
          <w:color w:val="auto"/>
        </w:rPr>
      </w:pPr>
      <w:r>
        <w:rPr>
          <w:rFonts w:ascii="Arial" w:cs="Arial" w:eastAsia="Arial" w:hAnsi="Arial"/>
          <w:sz w:val="16"/>
          <w:szCs w:val="16"/>
          <w:color w:val="auto"/>
        </w:rPr>
        <w:t>Executive’s assignment to any duties or the significant reduction of Executive’s duties or a significant change of Executive’s title, any of which is inconsistent with his or her position or title with the Company and responsibilities in effect immediately prior to such assignment, except in each case in connection with a promotion. For purposes of clarification, if Executive is not the Vice President—Global Sales and Marketing of the successor entity or its ultimate parent, if any, then Executive will have suffered a significant reduction of his/her duties which qualifies as an Event of Termination for Good Reason pursuant to this paragraph;</w:t>
      </w:r>
    </w:p>
    <w:p>
      <w:pPr>
        <w:spacing w:after="0" w:line="166" w:lineRule="exact"/>
        <w:rPr>
          <w:rFonts w:ascii="Arial" w:cs="Arial" w:eastAsia="Arial" w:hAnsi="Arial"/>
          <w:sz w:val="16"/>
          <w:szCs w:val="16"/>
          <w:color w:val="auto"/>
        </w:rPr>
      </w:pPr>
    </w:p>
    <w:p>
      <w:pPr>
        <w:ind w:left="1260" w:right="20" w:firstLine="633"/>
        <w:spacing w:after="0" w:line="273" w:lineRule="auto"/>
        <w:tabs>
          <w:tab w:leader="none" w:pos="2548" w:val="left"/>
        </w:tabs>
        <w:numPr>
          <w:ilvl w:val="1"/>
          <w:numId w:val="812"/>
        </w:numPr>
        <w:rPr>
          <w:rFonts w:ascii="Arial" w:cs="Arial" w:eastAsia="Arial" w:hAnsi="Arial"/>
          <w:sz w:val="17"/>
          <w:szCs w:val="17"/>
          <w:color w:val="auto"/>
        </w:rPr>
      </w:pPr>
      <w:r>
        <w:rPr>
          <w:rFonts w:ascii="Arial" w:cs="Arial" w:eastAsia="Arial" w:hAnsi="Arial"/>
          <w:sz w:val="17"/>
          <w:szCs w:val="17"/>
          <w:color w:val="auto"/>
        </w:rPr>
        <w:t>reduction by the Company in Executive’s base compensation as in effect immediately prior to such reduction, provided that an Event of Termination for Good Reason shall not be deemed to have occurred where Executive’s base compensation is reduced as part of an overall cost reduction program that affects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all senior executives of the Company and does not disproportionately affect Executive;</w:t>
      </w:r>
    </w:p>
    <w:p>
      <w:pPr>
        <w:spacing w:after="0" w:line="224" w:lineRule="exact"/>
        <w:rPr>
          <w:sz w:val="20"/>
          <w:szCs w:val="20"/>
          <w:color w:val="auto"/>
        </w:rPr>
      </w:pPr>
    </w:p>
    <w:p>
      <w:pPr>
        <w:ind w:left="1260" w:right="80" w:firstLine="633"/>
        <w:spacing w:after="0" w:line="322" w:lineRule="auto"/>
        <w:tabs>
          <w:tab w:leader="none" w:pos="2558" w:val="left"/>
        </w:tabs>
        <w:numPr>
          <w:ilvl w:val="1"/>
          <w:numId w:val="813"/>
        </w:numPr>
        <w:rPr>
          <w:rFonts w:ascii="Arial" w:cs="Arial" w:eastAsia="Arial" w:hAnsi="Arial"/>
          <w:sz w:val="16"/>
          <w:szCs w:val="16"/>
          <w:color w:val="auto"/>
        </w:rPr>
      </w:pPr>
      <w:r>
        <w:rPr>
          <w:rFonts w:ascii="Arial" w:cs="Arial" w:eastAsia="Arial" w:hAnsi="Arial"/>
          <w:sz w:val="16"/>
          <w:szCs w:val="16"/>
          <w:color w:val="auto"/>
        </w:rPr>
        <w:t>any purported termination of Executive by the Company (other than a voluntary resignation initiated by Executive, except for a voluntary termination initiated by Executive for the reasons described in this paragraph) which is not effected for disability or for Cause;</w:t>
      </w:r>
    </w:p>
    <w:p>
      <w:pPr>
        <w:spacing w:after="0" w:line="135" w:lineRule="exact"/>
        <w:rPr>
          <w:rFonts w:ascii="Arial" w:cs="Arial" w:eastAsia="Arial" w:hAnsi="Arial"/>
          <w:sz w:val="16"/>
          <w:szCs w:val="16"/>
          <w:color w:val="auto"/>
        </w:rPr>
      </w:pPr>
    </w:p>
    <w:p>
      <w:pPr>
        <w:ind w:left="2540" w:hanging="647"/>
        <w:spacing w:after="0"/>
        <w:tabs>
          <w:tab w:leader="none" w:pos="2540" w:val="left"/>
        </w:tabs>
        <w:numPr>
          <w:ilvl w:val="1"/>
          <w:numId w:val="813"/>
        </w:numPr>
        <w:rPr>
          <w:rFonts w:ascii="Arial" w:cs="Arial" w:eastAsia="Arial" w:hAnsi="Arial"/>
          <w:sz w:val="17"/>
          <w:szCs w:val="17"/>
          <w:color w:val="auto"/>
        </w:rPr>
      </w:pPr>
      <w:r>
        <w:rPr>
          <w:rFonts w:ascii="Arial" w:cs="Arial" w:eastAsia="Arial" w:hAnsi="Arial"/>
          <w:sz w:val="17"/>
          <w:szCs w:val="17"/>
          <w:color w:val="auto"/>
        </w:rPr>
        <w:t>the failure of any successor entity to the Company to expressly assume in writing the terms of this agreement; and</w:t>
      </w:r>
    </w:p>
    <w:p>
      <w:pPr>
        <w:spacing w:after="0" w:line="224" w:lineRule="exact"/>
        <w:rPr>
          <w:rFonts w:ascii="Arial" w:cs="Arial" w:eastAsia="Arial" w:hAnsi="Arial"/>
          <w:sz w:val="17"/>
          <w:szCs w:val="17"/>
          <w:color w:val="auto"/>
        </w:rPr>
      </w:pPr>
    </w:p>
    <w:p>
      <w:pPr>
        <w:ind w:left="1260" w:right="180" w:firstLine="633"/>
        <w:spacing w:after="0" w:line="289" w:lineRule="auto"/>
        <w:tabs>
          <w:tab w:leader="none" w:pos="2525" w:val="left"/>
        </w:tabs>
        <w:numPr>
          <w:ilvl w:val="1"/>
          <w:numId w:val="813"/>
        </w:numPr>
        <w:rPr>
          <w:rFonts w:ascii="Arial" w:cs="Arial" w:eastAsia="Arial" w:hAnsi="Arial"/>
          <w:sz w:val="17"/>
          <w:szCs w:val="17"/>
          <w:color w:val="auto"/>
        </w:rPr>
      </w:pPr>
      <w:r>
        <w:rPr>
          <w:rFonts w:ascii="Arial" w:cs="Arial" w:eastAsia="Arial" w:hAnsi="Arial"/>
          <w:sz w:val="17"/>
          <w:szCs w:val="17"/>
          <w:color w:val="auto"/>
        </w:rPr>
        <w:t>any material breach by the Company of any material provision of this agreement which has not been cured within 30 days of written notice to the Company by Executive of such breach.</w:t>
      </w:r>
    </w:p>
    <w:p>
      <w:pPr>
        <w:spacing w:after="0" w:line="158" w:lineRule="exact"/>
        <w:rPr>
          <w:rFonts w:ascii="Arial" w:cs="Arial" w:eastAsia="Arial" w:hAnsi="Arial"/>
          <w:sz w:val="17"/>
          <w:szCs w:val="17"/>
          <w:color w:val="auto"/>
        </w:rPr>
      </w:pPr>
    </w:p>
    <w:p>
      <w:pPr>
        <w:ind w:left="5140" w:hanging="222"/>
        <w:spacing w:after="0"/>
        <w:tabs>
          <w:tab w:leader="none" w:pos="5140" w:val="left"/>
        </w:tabs>
        <w:numPr>
          <w:ilvl w:val="2"/>
          <w:numId w:val="8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Severance Benefits</w:t>
      </w:r>
    </w:p>
    <w:p>
      <w:pPr>
        <w:spacing w:after="0" w:line="224" w:lineRule="exact"/>
        <w:rPr>
          <w:rFonts w:ascii="Arial" w:cs="Arial" w:eastAsia="Arial" w:hAnsi="Arial"/>
          <w:sz w:val="17"/>
          <w:szCs w:val="17"/>
          <w:b w:val="1"/>
          <w:bCs w:val="1"/>
          <w:i w:val="1"/>
          <w:iCs w:val="1"/>
          <w:color w:val="auto"/>
        </w:rPr>
      </w:pPr>
    </w:p>
    <w:p>
      <w:pPr>
        <w:ind w:firstLine="634"/>
        <w:spacing w:after="0" w:line="272" w:lineRule="auto"/>
        <w:tabs>
          <w:tab w:leader="none" w:pos="1271" w:val="left"/>
        </w:tabs>
        <w:numPr>
          <w:ilvl w:val="0"/>
          <w:numId w:val="814"/>
        </w:numPr>
        <w:rPr>
          <w:rFonts w:ascii="Arial" w:cs="Arial" w:eastAsia="Arial" w:hAnsi="Arial"/>
          <w:sz w:val="16"/>
          <w:szCs w:val="16"/>
          <w:color w:val="auto"/>
        </w:rPr>
      </w:pPr>
      <w:r>
        <w:rPr>
          <w:rFonts w:ascii="Arial" w:cs="Arial" w:eastAsia="Arial" w:hAnsi="Arial"/>
          <w:sz w:val="16"/>
          <w:szCs w:val="16"/>
          <w:color w:val="auto"/>
        </w:rPr>
        <w:t>If a Change of Control occurs and, within one year thereafter, the Executive’s employment by the Company is terminated by the Executive following an Event of Termination for Good Reason or by the Company otherwise than as a result of an Event of Termination for Cause, Executive will be entitled to receive benefits (“Change of Control Severance Benefits”) consisting of: (a) a lump sum payment equal to one year of Executive’s base salary as in effect immediately prior to the Change of Control (minus lawful withholdings); (b) a lump sum payment equal to the dollar amount of Executive’s full target bonus percentage as in effect immediately prior to the Change of Control (minus lawful withholdings); (c) a lump sum payment of $10,000 (minus lawful withholdings) that Executive may use for benefit continuation under COBRA or for any other purpose; (d) accelerated vesting of Executive’s stock options under any stock option agreement(s) between Executive and AOI, meaning that all outstanding but unvested stock options shall be accelerated and fully vested, and all vested options shall be exercisable until the later of (i)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the third month following the date at which the stock options would otherwise have expired in accordance with their original terms, (ii) December 31 of the calendar year in which the stock options would otherwise have expired in accordance with their original terms and (iii) such longer period (not to exceed twelve months following the Separation from Service (as defined in paragraph 4.0 below) as may be provided by the Treasury Department in the final regulations addressing Section 409A of the Internal Revenue Code of 1986, as amended (the “Code”); provided, however, that the foregoing shall not be construed to cause an incentive stock option to fail to meet the statutory requirements of Section 422 of the Code; and (e) a lump sum equal to the commissions payable to Executive over the ensuing twelve months following the Termination Date, which amount Executive and the Company agree shall be equal to the sum of Executive’s most recent four (full, quarterly) commission payments”.</w:t>
      </w:r>
    </w:p>
    <w:p>
      <w:pPr>
        <w:spacing w:after="0" w:line="174" w:lineRule="exact"/>
        <w:rPr>
          <w:rFonts w:ascii="Arial" w:cs="Arial" w:eastAsia="Arial" w:hAnsi="Arial"/>
          <w:sz w:val="16"/>
          <w:szCs w:val="16"/>
          <w:color w:val="auto"/>
        </w:rPr>
      </w:pPr>
    </w:p>
    <w:p>
      <w:pPr>
        <w:ind w:right="220" w:firstLine="634"/>
        <w:spacing w:after="0" w:line="298" w:lineRule="auto"/>
        <w:tabs>
          <w:tab w:leader="none" w:pos="1261" w:val="left"/>
        </w:tabs>
        <w:numPr>
          <w:ilvl w:val="0"/>
          <w:numId w:val="814"/>
        </w:numPr>
        <w:rPr>
          <w:rFonts w:ascii="Arial" w:cs="Arial" w:eastAsia="Arial" w:hAnsi="Arial"/>
          <w:sz w:val="16"/>
          <w:szCs w:val="16"/>
          <w:color w:val="auto"/>
        </w:rPr>
      </w:pPr>
      <w:r>
        <w:rPr>
          <w:rFonts w:ascii="Arial" w:cs="Arial" w:eastAsia="Arial" w:hAnsi="Arial"/>
          <w:sz w:val="16"/>
          <w:szCs w:val="16"/>
          <w:color w:val="auto"/>
        </w:rPr>
        <w:t>If at any time prior to a Change of Control the Executive’s employment is terminated by the Company for any reason other than an Event of Termination for Cause or if Executive resigns because of an Event of Termination for Good Reason, Executive shall be entitled to receive payment equal to (i) a lump sum payment equal to one year of Executive’s base salary as in effect immediately prior to such termination (minus lawful withholdings); (ii) 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lump sum payment equal to the dollar amount of Executive’s full target bonus percentage as in effect immediately prior to such termination (minus lawful withholdings); (iii) a lump sum payment of $15,000 (minus lawful withholdings) that Executive may use for benefit continuation under COBRA or for any other purpose; and (iv) a lump sum equal to the commissions payable to Executive over the ensuing twelve months following the Termination Date, which amount Executive and the Company agree shall be equal to the sum of Executive’s most recent four commission payments (collectively, “Separation Benefits”).</w:t>
      </w:r>
    </w:p>
    <w:p>
      <w:pPr>
        <w:spacing w:after="0" w:line="159" w:lineRule="exact"/>
        <w:rPr>
          <w:sz w:val="20"/>
          <w:szCs w:val="20"/>
          <w:color w:val="auto"/>
        </w:rPr>
      </w:pPr>
    </w:p>
    <w:p>
      <w:pPr>
        <w:ind w:right="80" w:firstLine="634"/>
        <w:spacing w:after="0" w:line="314" w:lineRule="auto"/>
        <w:tabs>
          <w:tab w:leader="none" w:pos="1261" w:val="left"/>
        </w:tabs>
        <w:numPr>
          <w:ilvl w:val="0"/>
          <w:numId w:val="815"/>
        </w:numPr>
        <w:rPr>
          <w:rFonts w:ascii="Arial" w:cs="Arial" w:eastAsia="Arial" w:hAnsi="Arial"/>
          <w:sz w:val="15"/>
          <w:szCs w:val="15"/>
          <w:color w:val="auto"/>
        </w:rPr>
      </w:pPr>
      <w:r>
        <w:rPr>
          <w:rFonts w:ascii="Arial" w:cs="Arial" w:eastAsia="Arial" w:hAnsi="Arial"/>
          <w:sz w:val="15"/>
          <w:szCs w:val="15"/>
          <w:color w:val="auto"/>
        </w:rPr>
        <w:t>If payable under paragraph 4.A, the Change of Control Severance Benefits shall be paid on the later of the 60 day after the effective date of Executive’s “separation from service” (within the meaning of Section 409A and the regulations issued thereunder) (“Separation from Service”), or six months and one day after the Executive’s Separation from Service if the Executive is a “specified employee” (as that term is defined under Section 409A of the Code and the regulations issued thereunder) (“Specified Employee”) at the time the Executive becomes entitled to Change of Control Severance Benefits under this Paragraph.</w:t>
      </w:r>
    </w:p>
    <w:p>
      <w:pPr>
        <w:sectPr>
          <w:pgSz w:w="11900" w:h="16883" w:orient="portrait"/>
          <w:cols w:equalWidth="0" w:num="1">
            <w:col w:w="11420"/>
          </w:cols>
          <w:pgMar w:left="240" w:top="127" w:right="239" w:bottom="0" w:gutter="0" w:footer="0" w:header="0"/>
        </w:sectPr>
      </w:pPr>
    </w:p>
    <w:bookmarkStart w:id="454" w:name="page455"/>
    <w:bookmarkEnd w:id="454"/>
    <w:p>
      <w:pPr>
        <w:ind w:right="60"/>
        <w:spacing w:after="0" w:line="275" w:lineRule="auto"/>
        <w:rPr>
          <w:sz w:val="20"/>
          <w:szCs w:val="20"/>
          <w:color w:val="auto"/>
        </w:rPr>
      </w:pPr>
      <w:r>
        <w:rPr>
          <w:rFonts w:ascii="Arial" w:cs="Arial" w:eastAsia="Arial" w:hAnsi="Arial"/>
          <w:sz w:val="15"/>
          <w:szCs w:val="15"/>
          <w:color w:val="auto"/>
        </w:rPr>
        <w:t>If payable under paragraph 4.B, the Separation Benefits shall be paid periodically in installments over the twelve months following the Executive’s Separation from Service, in accordance with the Company’s regular payroll practices, provided that no payment shall be made prior to the 60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after the effective date of Executive’s Separation from Service or six months and one day after the Executive’s Separation from Service if the Executive is a Specified Employee at the time the Executive becomes entitled to the Separation Benefits under this Paragraph. Notwithstanding the foregoing, no Change of Control Severance Benefits or Separation Benefits shall be due under this Agreement unless (a) prior to the 60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after the effective date of Executive’s separation from service, Executive has signed a release agreement (“Release Agreement”) that the Company will provide in which Executive releases any possible claims against the Company and all of its parents, divisions, subsidiaries, affiliates, and related companies, and their present and former agents, employees, officers, directors, attorneys, stockholders, plan fiduciaries, successors, and assigns; and (b) prior to the 60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after the effective date of Executive’s separation from service, the seven day revocation period in the Release Agreement has expired without Executive’s revocation. In the case of Separation Benefits, the Release Agreement shall also include a reasonable agreement to cooperate for a period of six months following the employment termination date and a mutual non-disparagement clause.</w:t>
      </w:r>
    </w:p>
    <w:p>
      <w:pPr>
        <w:spacing w:after="0" w:line="173" w:lineRule="exact"/>
        <w:rPr>
          <w:sz w:val="20"/>
          <w:szCs w:val="20"/>
          <w:color w:val="auto"/>
        </w:rPr>
      </w:pPr>
    </w:p>
    <w:p>
      <w:pPr>
        <w:ind w:left="4240" w:hanging="219"/>
        <w:spacing w:after="0"/>
        <w:tabs>
          <w:tab w:leader="none" w:pos="4240" w:val="left"/>
        </w:tabs>
        <w:numPr>
          <w:ilvl w:val="1"/>
          <w:numId w:val="81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Confidential Information and Trade Secrets</w:t>
      </w:r>
    </w:p>
    <w:p>
      <w:pPr>
        <w:spacing w:after="0" w:line="224" w:lineRule="exact"/>
        <w:rPr>
          <w:rFonts w:ascii="Arial" w:cs="Arial" w:eastAsia="Arial" w:hAnsi="Arial"/>
          <w:sz w:val="17"/>
          <w:szCs w:val="17"/>
          <w:b w:val="1"/>
          <w:bCs w:val="1"/>
          <w:i w:val="1"/>
          <w:iCs w:val="1"/>
          <w:color w:val="auto"/>
        </w:rPr>
      </w:pPr>
    </w:p>
    <w:p>
      <w:pPr>
        <w:ind w:right="40" w:firstLine="629"/>
        <w:spacing w:after="0" w:line="262" w:lineRule="auto"/>
        <w:rPr>
          <w:rFonts w:ascii="Arial" w:cs="Arial" w:eastAsia="Arial" w:hAnsi="Arial"/>
          <w:sz w:val="17"/>
          <w:szCs w:val="17"/>
          <w:b w:val="1"/>
          <w:bCs w:val="1"/>
          <w:i w:val="1"/>
          <w:iCs w:val="1"/>
          <w:color w:val="auto"/>
        </w:rPr>
      </w:pPr>
      <w:r>
        <w:rPr>
          <w:rFonts w:ascii="Arial" w:cs="Arial" w:eastAsia="Arial" w:hAnsi="Arial"/>
          <w:sz w:val="17"/>
          <w:szCs w:val="17"/>
          <w:color w:val="auto"/>
        </w:rPr>
        <w:t>A. AOI is engaged in the highly competitive business of the design, development, manufacture and sale of advanced optical components, including modules and circuitry, systems and processes (“Company’s Business”). In this business, Company generates a significant amount of Confidential Information and Trade Secrets, certain of which it hereby agrees to share with Executive, and which Executive will have access to and knowledge of through or as a result of Executive’s employment with the Company. As used in this Agreement, “Confidential Information and Trade Secrets” includes any information, data or compilation of information or data developed, acquired or generated by Company, or its employees (including information and materials conceived, originating, discovered, or developed in whole or in part by Executive at the request of or for the benefit of Company or while employed by Company), which is not generally known to persons who are not employees of Company, and which Company generally does not share other than with its employees, or with its customers and suppliers on an individual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color w:val="auto"/>
        </w:rPr>
        <w:t>transactional basis. “Confidential Information and Trade Secrets” may be written, verbal or recorded by electronic, magnetic or other methods, whether or not expressly identified as “Confidential” by Company.</w:t>
      </w:r>
    </w:p>
    <w:p>
      <w:pPr>
        <w:spacing w:after="0" w:line="158" w:lineRule="exact"/>
        <w:rPr>
          <w:sz w:val="20"/>
          <w:szCs w:val="20"/>
          <w:color w:val="auto"/>
        </w:rPr>
      </w:pPr>
    </w:p>
    <w:p>
      <w:pPr>
        <w:ind w:left="1260" w:hanging="626"/>
        <w:spacing w:after="0"/>
        <w:tabs>
          <w:tab w:leader="none" w:pos="1260" w:val="left"/>
        </w:tabs>
        <w:numPr>
          <w:ilvl w:val="0"/>
          <w:numId w:val="817"/>
        </w:numPr>
        <w:rPr>
          <w:rFonts w:ascii="Arial" w:cs="Arial" w:eastAsia="Arial" w:hAnsi="Arial"/>
          <w:sz w:val="17"/>
          <w:szCs w:val="17"/>
          <w:color w:val="auto"/>
        </w:rPr>
      </w:pPr>
      <w:r>
        <w:rPr>
          <w:rFonts w:ascii="Arial" w:cs="Arial" w:eastAsia="Arial" w:hAnsi="Arial"/>
          <w:sz w:val="17"/>
          <w:szCs w:val="17"/>
          <w:color w:val="auto"/>
        </w:rPr>
        <w:t>“Confidential Information and Trade Secrets” includes, but is not limited to, the following information and materials:</w:t>
      </w:r>
    </w:p>
    <w:p>
      <w:pPr>
        <w:spacing w:after="0" w:line="224" w:lineRule="exact"/>
        <w:rPr>
          <w:rFonts w:ascii="Arial" w:cs="Arial" w:eastAsia="Arial" w:hAnsi="Arial"/>
          <w:sz w:val="17"/>
          <w:szCs w:val="17"/>
          <w:color w:val="auto"/>
        </w:rPr>
      </w:pPr>
    </w:p>
    <w:p>
      <w:pPr>
        <w:ind w:left="1260" w:right="100" w:firstLine="633"/>
        <w:spacing w:after="0" w:line="289" w:lineRule="auto"/>
        <w:tabs>
          <w:tab w:leader="none" w:pos="2539" w:val="left"/>
        </w:tabs>
        <w:numPr>
          <w:ilvl w:val="1"/>
          <w:numId w:val="817"/>
        </w:numPr>
        <w:rPr>
          <w:rFonts w:ascii="Arial" w:cs="Arial" w:eastAsia="Arial" w:hAnsi="Arial"/>
          <w:sz w:val="17"/>
          <w:szCs w:val="17"/>
          <w:color w:val="auto"/>
        </w:rPr>
      </w:pPr>
      <w:r>
        <w:rPr>
          <w:rFonts w:ascii="Arial" w:cs="Arial" w:eastAsia="Arial" w:hAnsi="Arial"/>
          <w:sz w:val="17"/>
          <w:szCs w:val="17"/>
          <w:color w:val="auto"/>
        </w:rPr>
        <w:t>Financial information of any kind pertaining to Company, including, without limitation, information about the profit margins, profitability, pricing, income and expenses of Company or any of its products or lines of business;</w:t>
      </w:r>
    </w:p>
    <w:p>
      <w:pPr>
        <w:spacing w:after="0" w:line="158" w:lineRule="exact"/>
        <w:rPr>
          <w:rFonts w:ascii="Arial" w:cs="Arial" w:eastAsia="Arial" w:hAnsi="Arial"/>
          <w:sz w:val="17"/>
          <w:szCs w:val="17"/>
          <w:color w:val="auto"/>
        </w:rPr>
      </w:pPr>
    </w:p>
    <w:p>
      <w:pPr>
        <w:jc w:val="both"/>
        <w:ind w:left="1260" w:firstLine="633"/>
        <w:spacing w:after="0" w:line="268" w:lineRule="auto"/>
        <w:tabs>
          <w:tab w:leader="none" w:pos="2548" w:val="left"/>
        </w:tabs>
        <w:numPr>
          <w:ilvl w:val="1"/>
          <w:numId w:val="817"/>
        </w:numPr>
        <w:rPr>
          <w:rFonts w:ascii="Arial" w:cs="Arial" w:eastAsia="Arial" w:hAnsi="Arial"/>
          <w:sz w:val="17"/>
          <w:szCs w:val="17"/>
          <w:color w:val="auto"/>
        </w:rPr>
      </w:pPr>
      <w:r>
        <w:rPr>
          <w:rFonts w:ascii="Arial" w:cs="Arial" w:eastAsia="Arial" w:hAnsi="Arial"/>
          <w:sz w:val="17"/>
          <w:szCs w:val="17"/>
          <w:color w:val="auto"/>
        </w:rPr>
        <w:t>All information about and all communications received from, sent to or exchanged between Company and any person or entity which has purchased, licensed, exchanged or otherwise entered into a transaction with Company, or to which Company has made a proposal with respect to the purchase, sale, license, exchange or other transaction involving any component, products or services which form any part of Company’s Business (such person or entity being hereinafter referred to as customer or customers);</w:t>
      </w:r>
    </w:p>
    <w:p>
      <w:pPr>
        <w:spacing w:after="0" w:line="175" w:lineRule="exact"/>
        <w:rPr>
          <w:rFonts w:ascii="Arial" w:cs="Arial" w:eastAsia="Arial" w:hAnsi="Arial"/>
          <w:sz w:val="17"/>
          <w:szCs w:val="17"/>
          <w:color w:val="auto"/>
        </w:rPr>
      </w:pPr>
    </w:p>
    <w:p>
      <w:pPr>
        <w:ind w:left="1260" w:right="320" w:firstLine="633"/>
        <w:spacing w:after="0" w:line="268" w:lineRule="auto"/>
        <w:tabs>
          <w:tab w:leader="none" w:pos="2558" w:val="left"/>
        </w:tabs>
        <w:numPr>
          <w:ilvl w:val="1"/>
          <w:numId w:val="817"/>
        </w:numPr>
        <w:rPr>
          <w:rFonts w:ascii="Arial" w:cs="Arial" w:eastAsia="Arial" w:hAnsi="Arial"/>
          <w:sz w:val="17"/>
          <w:szCs w:val="17"/>
          <w:color w:val="auto"/>
        </w:rPr>
      </w:pPr>
      <w:r>
        <w:rPr>
          <w:rFonts w:ascii="Arial" w:cs="Arial" w:eastAsia="Arial" w:hAnsi="Arial"/>
          <w:sz w:val="17"/>
          <w:szCs w:val="17"/>
          <w:color w:val="auto"/>
        </w:rPr>
        <w:t>Any and all information and records relating to Company’s contracts or transactions with, or charges, prices or sales to, its customers, including invoices, proposals, confirmations, bills of ladings, statements, accounting records, bids, payment records or any other information or documents regarding amounts charged to or paid by customers, for any software, products or services which form any part of Company’s Business;</w:t>
      </w:r>
    </w:p>
    <w:p>
      <w:pPr>
        <w:spacing w:after="0" w:line="175" w:lineRule="exact"/>
        <w:rPr>
          <w:rFonts w:ascii="Arial" w:cs="Arial" w:eastAsia="Arial" w:hAnsi="Arial"/>
          <w:sz w:val="17"/>
          <w:szCs w:val="17"/>
          <w:color w:val="auto"/>
        </w:rPr>
      </w:pPr>
    </w:p>
    <w:p>
      <w:pPr>
        <w:ind w:left="1260" w:firstLine="633"/>
        <w:spacing w:after="0" w:line="262" w:lineRule="auto"/>
        <w:tabs>
          <w:tab w:leader="none" w:pos="2535" w:val="left"/>
        </w:tabs>
        <w:numPr>
          <w:ilvl w:val="1"/>
          <w:numId w:val="817"/>
        </w:numPr>
        <w:rPr>
          <w:rFonts w:ascii="Arial" w:cs="Arial" w:eastAsia="Arial" w:hAnsi="Arial"/>
          <w:sz w:val="17"/>
          <w:szCs w:val="17"/>
          <w:color w:val="auto"/>
        </w:rPr>
      </w:pPr>
      <w:r>
        <w:rPr>
          <w:rFonts w:ascii="Arial" w:cs="Arial" w:eastAsia="Arial" w:hAnsi="Arial"/>
          <w:sz w:val="17"/>
          <w:szCs w:val="17"/>
          <w:color w:val="auto"/>
        </w:rPr>
        <w:t>All information regarding Company’s scientific, technical or technological information, designs, processes, procedures, formulas, equipment or systems, including without limitation, any components, modules, circuits, software, programs, codes, algorithms, calculations, drawings, plans, or specifications related to the development, design, construction, fabrication, manufacture, operation or furnishing of any software, products, services, or equipment which constitute any part of the Company’s Business, including Company Products. As used in this Agreement, “Company Products” shall mean any and all computer software, optical component, module, circuitry, equipment, products, services, together with any updates, substitutions, enhancements or modifications thereof, and any user manuals, programming manuals and other documentation of any kind.</w:t>
      </w:r>
    </w:p>
    <w:p>
      <w:pPr>
        <w:spacing w:after="0" w:line="184" w:lineRule="exact"/>
        <w:rPr>
          <w:rFonts w:ascii="Arial" w:cs="Arial" w:eastAsia="Arial" w:hAnsi="Arial"/>
          <w:sz w:val="17"/>
          <w:szCs w:val="17"/>
          <w:color w:val="auto"/>
        </w:rPr>
      </w:pPr>
    </w:p>
    <w:p>
      <w:pPr>
        <w:ind w:right="60" w:firstLine="634"/>
        <w:spacing w:after="0" w:line="268" w:lineRule="auto"/>
        <w:tabs>
          <w:tab w:leader="none" w:pos="1261" w:val="left"/>
        </w:tabs>
        <w:numPr>
          <w:ilvl w:val="0"/>
          <w:numId w:val="817"/>
        </w:numPr>
        <w:rPr>
          <w:rFonts w:ascii="Arial" w:cs="Arial" w:eastAsia="Arial" w:hAnsi="Arial"/>
          <w:sz w:val="17"/>
          <w:szCs w:val="17"/>
          <w:color w:val="auto"/>
        </w:rPr>
      </w:pPr>
      <w:r>
        <w:rPr>
          <w:rFonts w:ascii="Arial" w:cs="Arial" w:eastAsia="Arial" w:hAnsi="Arial"/>
          <w:sz w:val="17"/>
          <w:szCs w:val="17"/>
          <w:color w:val="auto"/>
        </w:rPr>
        <w:t>Executive acknowledges that all notes, data, forms, reference and training materials, leads, memoranda, computer programs, computer print-outs, disks and the information contained in any computer, and any other records which contain, reflect or describe any Confidential Information and Trade Secrets, belong exclusively to Company. Upon the termination of Executive’s employment with the Company, Executive shall promptly return such materials and all copies thereof in Executive’s possession to Company, regardless of whether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such termination is the result of an Event of Termination for Good Reason or an Event of Termination for Cause (the “Termination Date”).</w:t>
      </w:r>
    </w:p>
    <w:p>
      <w:pPr>
        <w:spacing w:after="0" w:line="224" w:lineRule="exact"/>
        <w:rPr>
          <w:sz w:val="20"/>
          <w:szCs w:val="20"/>
          <w:color w:val="auto"/>
        </w:rPr>
      </w:pPr>
    </w:p>
    <w:p>
      <w:pPr>
        <w:ind w:firstLine="634"/>
        <w:spacing w:after="0" w:line="263" w:lineRule="auto"/>
        <w:tabs>
          <w:tab w:leader="none" w:pos="1271" w:val="left"/>
        </w:tabs>
        <w:numPr>
          <w:ilvl w:val="0"/>
          <w:numId w:val="818"/>
        </w:numPr>
        <w:rPr>
          <w:rFonts w:ascii="Arial" w:cs="Arial" w:eastAsia="Arial" w:hAnsi="Arial"/>
          <w:sz w:val="17"/>
          <w:szCs w:val="17"/>
          <w:color w:val="auto"/>
        </w:rPr>
      </w:pPr>
      <w:r>
        <w:rPr>
          <w:rFonts w:ascii="Arial" w:cs="Arial" w:eastAsia="Arial" w:hAnsi="Arial"/>
          <w:sz w:val="17"/>
          <w:szCs w:val="17"/>
          <w:color w:val="auto"/>
        </w:rPr>
        <w:t>During Executive’s employment with Company and thereafter, Executive will not copy, publish, convey, transfer, disclose nor use, directly or indirectly, for Executive’s own benefit or for the benefit of any other person or entity (except Company) any Confidential Information and Trade Secrets; provided, that any copying or other prohibited use of Confidential Information and Trade Secrets shall not include copying or otherwise using Confidential Information and Trade Secrets in connection with communications with current or potential customers or vendors that the Executive reasonably expects to have a direct benefit to the Company. Executive will abide by all rules, guidelines, policies and procedures relating to Confidential Information and Trade Secrets implemented and/or amended from time to time by Company.</w:t>
      </w:r>
    </w:p>
    <w:p>
      <w:pPr>
        <w:spacing w:after="0" w:line="183" w:lineRule="exact"/>
        <w:rPr>
          <w:rFonts w:ascii="Arial" w:cs="Arial" w:eastAsia="Arial" w:hAnsi="Arial"/>
          <w:sz w:val="17"/>
          <w:szCs w:val="17"/>
          <w:color w:val="auto"/>
        </w:rPr>
      </w:pPr>
    </w:p>
    <w:p>
      <w:pPr>
        <w:ind w:right="100" w:firstLine="634"/>
        <w:spacing w:after="0" w:line="283" w:lineRule="auto"/>
        <w:tabs>
          <w:tab w:leader="none" w:pos="1265" w:val="left"/>
        </w:tabs>
        <w:numPr>
          <w:ilvl w:val="0"/>
          <w:numId w:val="818"/>
        </w:numPr>
        <w:rPr>
          <w:rFonts w:ascii="Arial" w:cs="Arial" w:eastAsia="Arial" w:hAnsi="Arial"/>
          <w:sz w:val="16"/>
          <w:szCs w:val="16"/>
          <w:color w:val="auto"/>
        </w:rPr>
      </w:pPr>
      <w:r>
        <w:rPr>
          <w:rFonts w:ascii="Arial" w:cs="Arial" w:eastAsia="Arial" w:hAnsi="Arial"/>
          <w:sz w:val="16"/>
          <w:szCs w:val="16"/>
          <w:color w:val="auto"/>
        </w:rPr>
        <w:t>Executive acknowledges that any actual or threatened breach of the covenants contained herein will cause Company irreparable harm and that money damages would not provide an adequate remedy to Company for any such breach. For these reasons, and because of the unique nature of the Confidential Information and Trade Secrets and the necessity to preserve such Confidential Information and Trade Secrets in order to protect Company’s property rights in the event of a breach or threatened breach of any of the provisions herein, Company, in addition to any other remedies available to it at law or in equity, shall be entitled to immediate injunctive relief against Executive to enforce the provisions of this Agreement and shall be entitled to recover from Executive its reasonable attorneys’ fees and other expenses incurred in connection with such proceedings.</w:t>
      </w:r>
    </w:p>
    <w:p>
      <w:pPr>
        <w:spacing w:after="0" w:line="166" w:lineRule="exact"/>
        <w:rPr>
          <w:rFonts w:ascii="Arial" w:cs="Arial" w:eastAsia="Arial" w:hAnsi="Arial"/>
          <w:sz w:val="16"/>
          <w:szCs w:val="16"/>
          <w:color w:val="auto"/>
        </w:rPr>
      </w:pPr>
    </w:p>
    <w:p>
      <w:pPr>
        <w:ind w:left="4900" w:hanging="220"/>
        <w:spacing w:after="0"/>
        <w:tabs>
          <w:tab w:leader="none" w:pos="4900" w:val="left"/>
        </w:tabs>
        <w:numPr>
          <w:ilvl w:val="1"/>
          <w:numId w:val="81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Covenant Not to Compete</w:t>
      </w:r>
    </w:p>
    <w:p>
      <w:pPr>
        <w:sectPr>
          <w:pgSz w:w="11900" w:h="16838" w:orient="portrait"/>
          <w:cols w:equalWidth="0" w:num="1">
            <w:col w:w="11420"/>
          </w:cols>
          <w:pgMar w:left="240" w:top="127" w:right="239" w:bottom="0" w:gutter="0" w:footer="0" w:header="0"/>
        </w:sectPr>
      </w:pPr>
    </w:p>
    <w:bookmarkStart w:id="455" w:name="page456"/>
    <w:bookmarkEnd w:id="455"/>
    <w:p>
      <w:pPr>
        <w:ind w:firstLine="634"/>
        <w:spacing w:after="0" w:line="285" w:lineRule="auto"/>
        <w:tabs>
          <w:tab w:leader="none" w:pos="1271" w:val="left"/>
        </w:tabs>
        <w:numPr>
          <w:ilvl w:val="0"/>
          <w:numId w:val="819"/>
        </w:numPr>
        <w:rPr>
          <w:rFonts w:ascii="Arial" w:cs="Arial" w:eastAsia="Arial" w:hAnsi="Arial"/>
          <w:sz w:val="16"/>
          <w:szCs w:val="16"/>
          <w:color w:val="auto"/>
        </w:rPr>
      </w:pPr>
      <w:r>
        <w:rPr>
          <w:rFonts w:ascii="Arial" w:cs="Arial" w:eastAsia="Arial" w:hAnsi="Arial"/>
          <w:sz w:val="16"/>
          <w:szCs w:val="16"/>
          <w:color w:val="auto"/>
        </w:rPr>
        <w:t>Throughout Executive’s employment with the Company, Company agrees to give Executive access to certain of its Confidential Information and Trade Secrets concerning Company’s Business and its employees, customers and customer representatives, suppliers and supplier representatives, and Company’s transactional histories as well as information about the logistics, details and expenses of Company in connection with any goods, products or services which form any part of Company’s Business. Company agrees to provide this information to Executive in order to allow Executive to perform Executive’s duties under this Agreement, and to develop relationships with customers, customer representatives, suppliers and supplier representatives of the Company.</w:t>
      </w:r>
    </w:p>
    <w:p>
      <w:pPr>
        <w:spacing w:after="0" w:line="166" w:lineRule="exact"/>
        <w:rPr>
          <w:rFonts w:ascii="Arial" w:cs="Arial" w:eastAsia="Arial" w:hAnsi="Arial"/>
          <w:sz w:val="16"/>
          <w:szCs w:val="16"/>
          <w:color w:val="auto"/>
        </w:rPr>
      </w:pPr>
    </w:p>
    <w:p>
      <w:pPr>
        <w:ind w:right="140" w:firstLine="634"/>
        <w:spacing w:after="0" w:line="263" w:lineRule="auto"/>
        <w:tabs>
          <w:tab w:leader="none" w:pos="1261" w:val="left"/>
        </w:tabs>
        <w:numPr>
          <w:ilvl w:val="0"/>
          <w:numId w:val="819"/>
        </w:numPr>
        <w:rPr>
          <w:rFonts w:ascii="Arial" w:cs="Arial" w:eastAsia="Arial" w:hAnsi="Arial"/>
          <w:sz w:val="17"/>
          <w:szCs w:val="17"/>
          <w:color w:val="auto"/>
        </w:rPr>
      </w:pPr>
      <w:r>
        <w:rPr>
          <w:rFonts w:ascii="Arial" w:cs="Arial" w:eastAsia="Arial" w:hAnsi="Arial"/>
          <w:sz w:val="17"/>
          <w:szCs w:val="17"/>
          <w:color w:val="auto"/>
        </w:rPr>
        <w:t>Company agrees to provide, and to continue to provide, Executive with both specialized knowledge and education in Company’s Business, in order to allow Executive to perform Executive’s duties in an efficient, proper and effective manner. Such knowledge and education may consist of verbal instructions and information, the furnishing of written materials, consultation and counseling, sales, staff and employee meetings, training sessions and seminars, in addition to formal or informal information and orientation methodologies and procedures. Executive will have access to certain of Company’s transactional histories, and the details of prior purchases, sales, trades or exchanges, in order that Executive can learn Company’s Business and/or improve Executive’s skills, experience and knowledge.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34"/>
        <w:spacing w:after="0" w:line="298" w:lineRule="auto"/>
        <w:tabs>
          <w:tab w:leader="none" w:pos="1261" w:val="left"/>
        </w:tabs>
        <w:numPr>
          <w:ilvl w:val="0"/>
          <w:numId w:val="820"/>
        </w:numPr>
        <w:rPr>
          <w:rFonts w:ascii="Arial" w:cs="Arial" w:eastAsia="Arial" w:hAnsi="Arial"/>
          <w:sz w:val="16"/>
          <w:szCs w:val="16"/>
          <w:color w:val="auto"/>
        </w:rPr>
      </w:pPr>
      <w:r>
        <w:rPr>
          <w:rFonts w:ascii="Arial" w:cs="Arial" w:eastAsia="Arial" w:hAnsi="Arial"/>
          <w:sz w:val="16"/>
          <w:szCs w:val="16"/>
          <w:color w:val="auto"/>
        </w:rPr>
        <w:t>In consideration of Company’s employment of Executive as a highly valued employee, the Company’s agreement to provide Executive with access to certain Confidential Information and Trade Secrets, and the Company’s agreement to provide specialized knowledge and education, Executive agrees to refrain from competing with Company or otherwise engaging in Restricted Activities, as defined below, during the Restricted Period.</w:t>
      </w:r>
    </w:p>
    <w:p>
      <w:pPr>
        <w:spacing w:after="0" w:line="153" w:lineRule="exact"/>
        <w:rPr>
          <w:rFonts w:ascii="Arial" w:cs="Arial" w:eastAsia="Arial" w:hAnsi="Arial"/>
          <w:sz w:val="16"/>
          <w:szCs w:val="16"/>
          <w:color w:val="auto"/>
        </w:rPr>
      </w:pPr>
    </w:p>
    <w:p>
      <w:pPr>
        <w:ind w:right="100" w:firstLine="634"/>
        <w:spacing w:after="0" w:line="268" w:lineRule="auto"/>
        <w:tabs>
          <w:tab w:leader="none" w:pos="1271" w:val="left"/>
        </w:tabs>
        <w:numPr>
          <w:ilvl w:val="0"/>
          <w:numId w:val="820"/>
        </w:numPr>
        <w:rPr>
          <w:rFonts w:ascii="Arial" w:cs="Arial" w:eastAsia="Arial" w:hAnsi="Arial"/>
          <w:sz w:val="17"/>
          <w:szCs w:val="17"/>
          <w:color w:val="auto"/>
        </w:rPr>
      </w:pPr>
      <w:r>
        <w:rPr>
          <w:rFonts w:ascii="Arial" w:cs="Arial" w:eastAsia="Arial" w:hAnsi="Arial"/>
          <w:sz w:val="17"/>
          <w:szCs w:val="17"/>
          <w:color w:val="auto"/>
        </w:rPr>
        <w:t>Executive agrees that during the term of his employment with Company and for a period of one (1) year after the Executive’s employment with the Company terminates (the “Restricted Period”), regardless of whether the termination occurs with or without cause and regardless of who terminates this Agreement, Executive will not directly or indirectly, as an employee, officer, director, shareholder, proprietor, agent, partner, recruiter, consultant, independent contractor or in any other individual or representative capacity engage in any of the Restricted Activities.</w:t>
      </w:r>
    </w:p>
    <w:p>
      <w:pPr>
        <w:spacing w:after="0" w:line="175" w:lineRule="exact"/>
        <w:rPr>
          <w:rFonts w:ascii="Arial" w:cs="Arial" w:eastAsia="Arial" w:hAnsi="Arial"/>
          <w:sz w:val="17"/>
          <w:szCs w:val="17"/>
          <w:color w:val="auto"/>
        </w:rPr>
      </w:pPr>
    </w:p>
    <w:p>
      <w:pPr>
        <w:ind w:left="1260" w:hanging="626"/>
        <w:spacing w:after="0"/>
        <w:tabs>
          <w:tab w:leader="none" w:pos="1260" w:val="left"/>
        </w:tabs>
        <w:numPr>
          <w:ilvl w:val="0"/>
          <w:numId w:val="820"/>
        </w:numPr>
        <w:rPr>
          <w:rFonts w:ascii="Arial" w:cs="Arial" w:eastAsia="Arial" w:hAnsi="Arial"/>
          <w:sz w:val="17"/>
          <w:szCs w:val="17"/>
          <w:color w:val="auto"/>
        </w:rPr>
      </w:pPr>
      <w:r>
        <w:rPr>
          <w:rFonts w:ascii="Arial" w:cs="Arial" w:eastAsia="Arial" w:hAnsi="Arial"/>
          <w:sz w:val="17"/>
          <w:szCs w:val="17"/>
          <w:color w:val="auto"/>
        </w:rPr>
        <w:t>“Restricted Activities” means and includes the following:</w:t>
      </w:r>
    </w:p>
    <w:p>
      <w:pPr>
        <w:spacing w:after="0" w:line="224" w:lineRule="exact"/>
        <w:rPr>
          <w:rFonts w:ascii="Arial" w:cs="Arial" w:eastAsia="Arial" w:hAnsi="Arial"/>
          <w:sz w:val="17"/>
          <w:szCs w:val="17"/>
          <w:color w:val="auto"/>
        </w:rPr>
      </w:pPr>
    </w:p>
    <w:p>
      <w:pPr>
        <w:ind w:left="1260" w:right="60" w:firstLine="633"/>
        <w:spacing w:after="0" w:line="273" w:lineRule="auto"/>
        <w:tabs>
          <w:tab w:leader="none" w:pos="2539" w:val="left"/>
        </w:tabs>
        <w:numPr>
          <w:ilvl w:val="1"/>
          <w:numId w:val="820"/>
        </w:numPr>
        <w:rPr>
          <w:rFonts w:ascii="Arial" w:cs="Arial" w:eastAsia="Arial" w:hAnsi="Arial"/>
          <w:sz w:val="17"/>
          <w:szCs w:val="17"/>
          <w:color w:val="auto"/>
        </w:rPr>
      </w:pPr>
      <w:r>
        <w:rPr>
          <w:rFonts w:ascii="Arial" w:cs="Arial" w:eastAsia="Arial" w:hAnsi="Arial"/>
          <w:sz w:val="17"/>
          <w:szCs w:val="17"/>
          <w:color w:val="auto"/>
        </w:rPr>
        <w:t>Conducting, engaging or participating, directly or indirectly, as the marketing or sales representative, agent, independent contractor, consultant, partner, shareholder, investor, lender, underwriter, supplier, customer or in any other similar capacity, in any business that competes with any marketing or sales areas of the Company’s Business;</w:t>
      </w:r>
    </w:p>
    <w:p>
      <w:pPr>
        <w:spacing w:after="0" w:line="171" w:lineRule="exact"/>
        <w:rPr>
          <w:rFonts w:ascii="Arial" w:cs="Arial" w:eastAsia="Arial" w:hAnsi="Arial"/>
          <w:sz w:val="17"/>
          <w:szCs w:val="17"/>
          <w:color w:val="auto"/>
        </w:rPr>
      </w:pPr>
    </w:p>
    <w:p>
      <w:pPr>
        <w:jc w:val="both"/>
        <w:ind w:left="1260" w:right="60" w:firstLine="633"/>
        <w:spacing w:after="0" w:line="265" w:lineRule="auto"/>
        <w:tabs>
          <w:tab w:leader="none" w:pos="2548" w:val="left"/>
        </w:tabs>
        <w:numPr>
          <w:ilvl w:val="1"/>
          <w:numId w:val="820"/>
        </w:numPr>
        <w:rPr>
          <w:rFonts w:ascii="Arial" w:cs="Arial" w:eastAsia="Arial" w:hAnsi="Arial"/>
          <w:sz w:val="17"/>
          <w:szCs w:val="17"/>
          <w:color w:val="auto"/>
        </w:rPr>
      </w:pPr>
      <w:r>
        <w:rPr>
          <w:rFonts w:ascii="Arial" w:cs="Arial" w:eastAsia="Arial" w:hAnsi="Arial"/>
          <w:sz w:val="17"/>
          <w:szCs w:val="17"/>
          <w:color w:val="auto"/>
        </w:rPr>
        <w:t>Recruiting, hiring, and/or attempting to recruit or hire, directly or by assisting others, any other employee, temporary or permanent, contract, part time or full time of the Company. For purposes of this covenant “any other employee” shall refer to employees, consultants or others who are under contract to provide services to the Company and who are still actively employed by, or doing business with, the Company at the time of the attempted recruiting or hiring, or were so employed or doing business at any time within six (6) months prior to the time of such attempted recruiting or hiring; and</w:t>
      </w:r>
    </w:p>
    <w:p>
      <w:pPr>
        <w:spacing w:after="0" w:line="179" w:lineRule="exact"/>
        <w:rPr>
          <w:rFonts w:ascii="Arial" w:cs="Arial" w:eastAsia="Arial" w:hAnsi="Arial"/>
          <w:sz w:val="17"/>
          <w:szCs w:val="17"/>
          <w:color w:val="auto"/>
        </w:rPr>
      </w:pPr>
    </w:p>
    <w:p>
      <w:pPr>
        <w:ind w:left="1260" w:right="140" w:firstLine="633"/>
        <w:spacing w:after="0" w:line="289" w:lineRule="auto"/>
        <w:tabs>
          <w:tab w:leader="none" w:pos="2558" w:val="left"/>
        </w:tabs>
        <w:numPr>
          <w:ilvl w:val="1"/>
          <w:numId w:val="820"/>
        </w:numPr>
        <w:rPr>
          <w:rFonts w:ascii="Arial" w:cs="Arial" w:eastAsia="Arial" w:hAnsi="Arial"/>
          <w:sz w:val="17"/>
          <w:szCs w:val="17"/>
          <w:color w:val="auto"/>
        </w:rPr>
      </w:pPr>
      <w:r>
        <w:rPr>
          <w:rFonts w:ascii="Arial" w:cs="Arial" w:eastAsia="Arial" w:hAnsi="Arial"/>
          <w:sz w:val="17"/>
          <w:szCs w:val="17"/>
          <w:color w:val="auto"/>
        </w:rPr>
        <w:t>Using, disclosing, publishing, copying, distributing or communicating any Confidential Information and Trade Secrets to, or for the use or benefit of Executive or any other person or entity other than Company.</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820"/>
        </w:numPr>
        <w:rPr>
          <w:rFonts w:ascii="Arial" w:cs="Arial" w:eastAsia="Arial" w:hAnsi="Arial"/>
          <w:sz w:val="17"/>
          <w:szCs w:val="17"/>
          <w:color w:val="auto"/>
        </w:rPr>
      </w:pPr>
      <w:r>
        <w:rPr>
          <w:rFonts w:ascii="Arial" w:cs="Arial" w:eastAsia="Arial" w:hAnsi="Arial"/>
          <w:sz w:val="17"/>
          <w:szCs w:val="17"/>
          <w:color w:val="auto"/>
        </w:rPr>
        <w:t>“Restricted Area” shall mean and include each of the following:</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1"/>
          <w:numId w:val="820"/>
        </w:numPr>
        <w:rPr>
          <w:rFonts w:ascii="Arial" w:cs="Arial" w:eastAsia="Arial" w:hAnsi="Arial"/>
          <w:sz w:val="17"/>
          <w:szCs w:val="17"/>
          <w:color w:val="auto"/>
        </w:rPr>
      </w:pPr>
      <w:r>
        <w:rPr>
          <w:rFonts w:ascii="Arial" w:cs="Arial" w:eastAsia="Arial" w:hAnsi="Arial"/>
          <w:sz w:val="17"/>
          <w:szCs w:val="17"/>
          <w:color w:val="auto"/>
        </w:rPr>
        <w:t>Fort Bend County, Texas and Harris County, Texas;</w:t>
      </w:r>
    </w:p>
    <w:p>
      <w:pPr>
        <w:spacing w:after="0" w:line="224" w:lineRule="exact"/>
        <w:rPr>
          <w:rFonts w:ascii="Arial" w:cs="Arial" w:eastAsia="Arial" w:hAnsi="Arial"/>
          <w:sz w:val="17"/>
          <w:szCs w:val="17"/>
          <w:color w:val="auto"/>
        </w:rPr>
      </w:pPr>
    </w:p>
    <w:p>
      <w:pPr>
        <w:ind w:left="1260" w:right="640" w:firstLine="633"/>
        <w:spacing w:after="0" w:line="289" w:lineRule="auto"/>
        <w:tabs>
          <w:tab w:leader="none" w:pos="2548" w:val="left"/>
        </w:tabs>
        <w:numPr>
          <w:ilvl w:val="1"/>
          <w:numId w:val="820"/>
        </w:numPr>
        <w:rPr>
          <w:rFonts w:ascii="Arial" w:cs="Arial" w:eastAsia="Arial" w:hAnsi="Arial"/>
          <w:sz w:val="17"/>
          <w:szCs w:val="17"/>
          <w:color w:val="auto"/>
        </w:rPr>
      </w:pPr>
      <w:r>
        <w:rPr>
          <w:rFonts w:ascii="Arial" w:cs="Arial" w:eastAsia="Arial" w:hAnsi="Arial"/>
          <w:sz w:val="17"/>
          <w:szCs w:val="17"/>
          <w:color w:val="auto"/>
        </w:rPr>
        <w:t>Within a twenty-five (25) mile radius of the location of any office, facility or other business location of any customer, customer representative, supplier or supplier representative; and</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1"/>
          <w:numId w:val="820"/>
        </w:numPr>
        <w:rPr>
          <w:rFonts w:ascii="Arial" w:cs="Arial" w:eastAsia="Arial" w:hAnsi="Arial"/>
          <w:sz w:val="17"/>
          <w:szCs w:val="17"/>
          <w:color w:val="auto"/>
        </w:rPr>
      </w:pPr>
      <w:r>
        <w:rPr>
          <w:rFonts w:ascii="Arial" w:cs="Arial" w:eastAsia="Arial" w:hAnsi="Arial"/>
          <w:sz w:val="17"/>
          <w:szCs w:val="17"/>
          <w:color w:val="auto"/>
        </w:rPr>
        <w:t>Within a sixty (60) miles radius of any office, facility or other business location of Company.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hanging="646"/>
        <w:spacing w:after="0"/>
        <w:tabs>
          <w:tab w:leader="none" w:pos="1280" w:val="left"/>
        </w:tabs>
        <w:numPr>
          <w:ilvl w:val="0"/>
          <w:numId w:val="821"/>
        </w:numPr>
        <w:rPr>
          <w:rFonts w:ascii="Arial" w:cs="Arial" w:eastAsia="Arial" w:hAnsi="Arial"/>
          <w:sz w:val="16"/>
          <w:szCs w:val="16"/>
          <w:color w:val="auto"/>
        </w:rPr>
      </w:pPr>
      <w:r>
        <w:rPr>
          <w:rFonts w:ascii="Arial" w:cs="Arial" w:eastAsia="Arial" w:hAnsi="Arial"/>
          <w:sz w:val="16"/>
          <w:szCs w:val="16"/>
          <w:color w:val="auto"/>
        </w:rPr>
        <w:t>Executive acknowledges that this Agreement prohibits the performance of Restricted Activities from outside the Restricted Area into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Restricted Area.</w:t>
      </w:r>
    </w:p>
    <w:p>
      <w:pPr>
        <w:spacing w:after="0" w:line="212" w:lineRule="exact"/>
        <w:rPr>
          <w:rFonts w:ascii="Arial" w:cs="Arial" w:eastAsia="Arial" w:hAnsi="Arial"/>
          <w:sz w:val="16"/>
          <w:szCs w:val="16"/>
          <w:color w:val="auto"/>
        </w:rPr>
      </w:pPr>
    </w:p>
    <w:p>
      <w:pPr>
        <w:ind w:right="240" w:firstLine="634"/>
        <w:spacing w:after="0" w:line="298" w:lineRule="auto"/>
        <w:tabs>
          <w:tab w:leader="none" w:pos="1258" w:val="left"/>
        </w:tabs>
        <w:numPr>
          <w:ilvl w:val="0"/>
          <w:numId w:val="821"/>
        </w:numPr>
        <w:rPr>
          <w:rFonts w:ascii="Arial" w:cs="Arial" w:eastAsia="Arial" w:hAnsi="Arial"/>
          <w:sz w:val="16"/>
          <w:szCs w:val="16"/>
          <w:color w:val="auto"/>
        </w:rPr>
      </w:pPr>
      <w:r>
        <w:rPr>
          <w:rFonts w:ascii="Arial" w:cs="Arial" w:eastAsia="Arial" w:hAnsi="Arial"/>
          <w:sz w:val="16"/>
          <w:szCs w:val="16"/>
          <w:color w:val="auto"/>
        </w:rPr>
        <w:t>The Company and Executive acknowledge that the provisions contained in this Article 6 shall not prevent Executive or Executive’s Affiliates from owning solely as an investment, directly or indirectly, securities of any publicly traded corporation engaged in the Company’s Business if Executive and Executive’s Affiliates do not, directly or indirectly, beneficially own in the aggregate more than 5% of all classes of outstanding equity securities of such entity.</w:t>
      </w:r>
    </w:p>
    <w:p>
      <w:pPr>
        <w:spacing w:after="0" w:line="153" w:lineRule="exact"/>
        <w:rPr>
          <w:rFonts w:ascii="Arial" w:cs="Arial" w:eastAsia="Arial" w:hAnsi="Arial"/>
          <w:sz w:val="16"/>
          <w:szCs w:val="16"/>
          <w:color w:val="auto"/>
        </w:rPr>
      </w:pPr>
    </w:p>
    <w:p>
      <w:pPr>
        <w:ind w:right="100" w:firstLine="634"/>
        <w:spacing w:after="0" w:line="273" w:lineRule="auto"/>
        <w:tabs>
          <w:tab w:leader="none" w:pos="1256" w:val="left"/>
        </w:tabs>
        <w:numPr>
          <w:ilvl w:val="0"/>
          <w:numId w:val="821"/>
        </w:numPr>
        <w:rPr>
          <w:rFonts w:ascii="Arial" w:cs="Arial" w:eastAsia="Arial" w:hAnsi="Arial"/>
          <w:sz w:val="17"/>
          <w:szCs w:val="17"/>
          <w:color w:val="auto"/>
        </w:rPr>
      </w:pPr>
      <w:r>
        <w:rPr>
          <w:rFonts w:ascii="Arial" w:cs="Arial" w:eastAsia="Arial" w:hAnsi="Arial"/>
          <w:sz w:val="17"/>
          <w:szCs w:val="17"/>
          <w:color w:val="auto"/>
        </w:rPr>
        <w:t>Executive and the Company agree that this Covenant Not to Compete is ancillary to the Company’s agreement to employ the Executive as described by this Agreement, this Agreement’s provisions regarding severance benefits, and this Agreement’s provisions regarding non-disclosure of confidential information and trade secrets.</w:t>
      </w:r>
    </w:p>
    <w:p>
      <w:pPr>
        <w:spacing w:after="0" w:line="171" w:lineRule="exact"/>
        <w:rPr>
          <w:rFonts w:ascii="Arial" w:cs="Arial" w:eastAsia="Arial" w:hAnsi="Arial"/>
          <w:sz w:val="17"/>
          <w:szCs w:val="17"/>
          <w:color w:val="auto"/>
        </w:rPr>
      </w:pPr>
    </w:p>
    <w:p>
      <w:pPr>
        <w:ind w:right="20" w:firstLine="634"/>
        <w:spacing w:after="0" w:line="289" w:lineRule="auto"/>
        <w:tabs>
          <w:tab w:leader="none" w:pos="1265" w:val="left"/>
        </w:tabs>
        <w:numPr>
          <w:ilvl w:val="0"/>
          <w:numId w:val="821"/>
        </w:numPr>
        <w:rPr>
          <w:rFonts w:ascii="Arial" w:cs="Arial" w:eastAsia="Arial" w:hAnsi="Arial"/>
          <w:sz w:val="17"/>
          <w:szCs w:val="17"/>
          <w:color w:val="auto"/>
        </w:rPr>
      </w:pPr>
      <w:r>
        <w:rPr>
          <w:rFonts w:ascii="Arial" w:cs="Arial" w:eastAsia="Arial" w:hAnsi="Arial"/>
          <w:sz w:val="17"/>
          <w:szCs w:val="17"/>
          <w:color w:val="auto"/>
        </w:rPr>
        <w:t>Executive and the Company agree that the limitations as to time and scope of activity to be restrained are reasonable and do not impose a greater restraint on Executive than is necessary to protect the property rights and other business interests of Company.</w:t>
      </w:r>
    </w:p>
    <w:p>
      <w:pPr>
        <w:spacing w:after="0" w:line="158" w:lineRule="exact"/>
        <w:rPr>
          <w:rFonts w:ascii="Arial" w:cs="Arial" w:eastAsia="Arial" w:hAnsi="Arial"/>
          <w:sz w:val="17"/>
          <w:szCs w:val="17"/>
          <w:color w:val="auto"/>
        </w:rPr>
      </w:pPr>
    </w:p>
    <w:p>
      <w:pPr>
        <w:ind w:right="200" w:firstLine="634"/>
        <w:spacing w:after="0" w:line="273" w:lineRule="auto"/>
        <w:tabs>
          <w:tab w:leader="none" w:pos="1258" w:val="left"/>
        </w:tabs>
        <w:numPr>
          <w:ilvl w:val="0"/>
          <w:numId w:val="821"/>
        </w:numPr>
        <w:rPr>
          <w:rFonts w:ascii="Arial" w:cs="Arial" w:eastAsia="Arial" w:hAnsi="Arial"/>
          <w:sz w:val="17"/>
          <w:szCs w:val="17"/>
          <w:color w:val="auto"/>
        </w:rPr>
      </w:pPr>
      <w:r>
        <w:rPr>
          <w:rFonts w:ascii="Arial" w:cs="Arial" w:eastAsia="Arial" w:hAnsi="Arial"/>
          <w:sz w:val="17"/>
          <w:szCs w:val="17"/>
          <w:color w:val="auto"/>
        </w:rPr>
        <w:t>If Executive fails to comply with, or breaches, or threatens to breach, any of the provisions herein, Company in addition to any other remedies available to it at law or in equity, shall be entitled to immediate injunctive relief to enforce the provisions of this Section 6 and shall be entitled to recover from Executive reasonable attorneys’ fees and other expenses incurred by Company in connection with such proceedings.</w:t>
      </w:r>
    </w:p>
    <w:p>
      <w:pPr>
        <w:spacing w:after="0" w:line="171" w:lineRule="exact"/>
        <w:rPr>
          <w:rFonts w:ascii="Arial" w:cs="Arial" w:eastAsia="Arial" w:hAnsi="Arial"/>
          <w:sz w:val="17"/>
          <w:szCs w:val="17"/>
          <w:color w:val="auto"/>
        </w:rPr>
      </w:pPr>
    </w:p>
    <w:p>
      <w:pPr>
        <w:ind w:left="5140" w:hanging="227"/>
        <w:spacing w:after="0"/>
        <w:tabs>
          <w:tab w:leader="none" w:pos="5140" w:val="left"/>
        </w:tabs>
        <w:numPr>
          <w:ilvl w:val="1"/>
          <w:numId w:val="82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General Provisions</w:t>
      </w:r>
    </w:p>
    <w:p>
      <w:pPr>
        <w:spacing w:after="0" w:line="224" w:lineRule="exact"/>
        <w:rPr>
          <w:sz w:val="20"/>
          <w:szCs w:val="20"/>
          <w:color w:val="auto"/>
        </w:rPr>
      </w:pPr>
    </w:p>
    <w:p>
      <w:pPr>
        <w:ind w:right="60" w:firstLine="634"/>
        <w:spacing w:after="0" w:line="326" w:lineRule="auto"/>
        <w:tabs>
          <w:tab w:leader="none" w:pos="1271" w:val="left"/>
        </w:tabs>
        <w:numPr>
          <w:ilvl w:val="0"/>
          <w:numId w:val="822"/>
        </w:numPr>
        <w:rPr>
          <w:rFonts w:ascii="Arial" w:cs="Arial" w:eastAsia="Arial" w:hAnsi="Arial"/>
          <w:sz w:val="15"/>
          <w:szCs w:val="15"/>
          <w:color w:val="auto"/>
        </w:rPr>
      </w:pPr>
      <w:r>
        <w:rPr>
          <w:rFonts w:ascii="Arial" w:cs="Arial" w:eastAsia="Arial" w:hAnsi="Arial"/>
          <w:sz w:val="15"/>
          <w:szCs w:val="15"/>
          <w:color w:val="auto"/>
        </w:rPr>
        <w:t>This Agreement may not be assigned by Executive. This Agreement may be assigned in whole or in part by the Company to a successor in interest. Executive expressly agrees to honor and accept such assignment or other transfer and, on the consummation thereof, to attorn to the Company’s assignee and to perform Executive’s duties and obligations under this Agreement for the benefit of the Company’s assignee as if the Company’s assignee were the</w:t>
      </w:r>
    </w:p>
    <w:p>
      <w:pPr>
        <w:sectPr>
          <w:pgSz w:w="11900" w:h="16838" w:orient="portrait"/>
          <w:cols w:equalWidth="0" w:num="1">
            <w:col w:w="11400"/>
          </w:cols>
          <w:pgMar w:left="240" w:top="127" w:right="259" w:bottom="0" w:gutter="0" w:footer="0" w:header="0"/>
        </w:sectPr>
      </w:pPr>
    </w:p>
    <w:bookmarkStart w:id="456" w:name="page457"/>
    <w:bookmarkEnd w:id="456"/>
    <w:p>
      <w:pPr>
        <w:ind w:right="20"/>
        <w:spacing w:after="0" w:line="322" w:lineRule="auto"/>
        <w:rPr>
          <w:sz w:val="20"/>
          <w:szCs w:val="20"/>
          <w:color w:val="auto"/>
        </w:rPr>
      </w:pPr>
      <w:r>
        <w:rPr>
          <w:rFonts w:ascii="Arial" w:cs="Arial" w:eastAsia="Arial" w:hAnsi="Arial"/>
          <w:sz w:val="16"/>
          <w:szCs w:val="16"/>
          <w:color w:val="auto"/>
        </w:rPr>
        <w:t>Company. Executive further agrees that, on the consummation of such assignment or other transfer, all references in this Agreement to the Company shall become and shall be deemed to be references to the Company’s assignee and the Company shall be relieved of all obligations under this Agreement.</w:t>
      </w:r>
    </w:p>
    <w:p>
      <w:pPr>
        <w:spacing w:after="0" w:line="136" w:lineRule="exact"/>
        <w:rPr>
          <w:sz w:val="20"/>
          <w:szCs w:val="20"/>
          <w:color w:val="auto"/>
        </w:rPr>
      </w:pPr>
    </w:p>
    <w:p>
      <w:pPr>
        <w:jc w:val="both"/>
        <w:ind w:right="140" w:firstLine="634"/>
        <w:spacing w:after="0" w:line="273" w:lineRule="auto"/>
        <w:tabs>
          <w:tab w:leader="none" w:pos="1261" w:val="left"/>
        </w:tabs>
        <w:numPr>
          <w:ilvl w:val="0"/>
          <w:numId w:val="823"/>
        </w:numPr>
        <w:rPr>
          <w:rFonts w:ascii="Arial" w:cs="Arial" w:eastAsia="Arial" w:hAnsi="Arial"/>
          <w:sz w:val="17"/>
          <w:szCs w:val="17"/>
          <w:color w:val="auto"/>
        </w:rPr>
      </w:pPr>
      <w:r>
        <w:rPr>
          <w:rFonts w:ascii="Arial" w:cs="Arial" w:eastAsia="Arial" w:hAnsi="Arial"/>
          <w:sz w:val="17"/>
          <w:szCs w:val="17"/>
          <w:color w:val="auto"/>
        </w:rPr>
        <w:t>This Agreement shall be governed by, construed, and enforced in accordance with the internal, local laws, of the State of Texas (without regard to conflicts of law rules) and the obligations of the Company and Executive shall be performable in the State of Texas. The Parties agree that proper jurisdiction and venue for any dispute arising under this Agreement are in state or federal court in Harris County, Texas.</w:t>
      </w:r>
    </w:p>
    <w:p>
      <w:pPr>
        <w:spacing w:after="0" w:line="171" w:lineRule="exact"/>
        <w:rPr>
          <w:rFonts w:ascii="Arial" w:cs="Arial" w:eastAsia="Arial" w:hAnsi="Arial"/>
          <w:sz w:val="17"/>
          <w:szCs w:val="17"/>
          <w:color w:val="auto"/>
        </w:rPr>
      </w:pPr>
    </w:p>
    <w:p>
      <w:pPr>
        <w:ind w:right="260" w:firstLine="634"/>
        <w:spacing w:after="0" w:line="298" w:lineRule="auto"/>
        <w:tabs>
          <w:tab w:leader="none" w:pos="1261" w:val="left"/>
        </w:tabs>
        <w:numPr>
          <w:ilvl w:val="0"/>
          <w:numId w:val="823"/>
        </w:numPr>
        <w:rPr>
          <w:rFonts w:ascii="Arial" w:cs="Arial" w:eastAsia="Arial" w:hAnsi="Arial"/>
          <w:sz w:val="16"/>
          <w:szCs w:val="16"/>
          <w:color w:val="auto"/>
        </w:rPr>
      </w:pPr>
      <w:r>
        <w:rPr>
          <w:rFonts w:ascii="Arial" w:cs="Arial" w:eastAsia="Arial" w:hAnsi="Arial"/>
          <w:sz w:val="16"/>
          <w:szCs w:val="16"/>
          <w:color w:val="auto"/>
        </w:rPr>
        <w:t>This Agreement contains the entire agreement between the Parties regarding any benefit Executive may receive from any type of change of control or separation benefits (as defined in this Agreement or otherwise) at AOI and supersedes and replaces all prior communications and agreements (oral or written) between Executive and the Company regarding any benefit Executive may receive from any type of change of control or separation benefits (as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defined in this Agreement or otherwise) at AOI. This Agreement does not extinguish any previous written stock option agreements between Executive and the Company; however, it modifies any previous written stock option agreements as provided in Paragraph 4 of this Agreement. Except as provided in this paragraph C, this Agreement does not extinguish any other agreements between Executive and the Company. Except as expressly provided in this Agreement, no variation, modification, or change of this Agreement shall be binding upon either Party hereto unless set forth in a document duly executed by both Parties.</w:t>
      </w:r>
    </w:p>
    <w:p>
      <w:pPr>
        <w:spacing w:after="0" w:line="159" w:lineRule="exact"/>
        <w:rPr>
          <w:sz w:val="20"/>
          <w:szCs w:val="20"/>
          <w:color w:val="auto"/>
        </w:rPr>
      </w:pPr>
    </w:p>
    <w:p>
      <w:pPr>
        <w:ind w:right="180" w:firstLine="634"/>
        <w:spacing w:after="0" w:line="289" w:lineRule="auto"/>
        <w:tabs>
          <w:tab w:leader="none" w:pos="1271" w:val="left"/>
        </w:tabs>
        <w:numPr>
          <w:ilvl w:val="0"/>
          <w:numId w:val="824"/>
        </w:numPr>
        <w:rPr>
          <w:rFonts w:ascii="Arial" w:cs="Arial" w:eastAsia="Arial" w:hAnsi="Arial"/>
          <w:sz w:val="17"/>
          <w:szCs w:val="17"/>
          <w:color w:val="auto"/>
        </w:rPr>
      </w:pPr>
      <w:r>
        <w:rPr>
          <w:rFonts w:ascii="Arial" w:cs="Arial" w:eastAsia="Arial" w:hAnsi="Arial"/>
          <w:sz w:val="17"/>
          <w:szCs w:val="17"/>
          <w:color w:val="auto"/>
        </w:rPr>
        <w:t>This Agreement is intended to express the Parties’ mutual intent, and irrespective of the Party preparing this document, no rule of construction shall be applied against such Party, as both Parties have actively participated in the preparation and negotiation of this Agreement.</w:t>
      </w:r>
    </w:p>
    <w:p>
      <w:pPr>
        <w:spacing w:after="0" w:line="158" w:lineRule="exact"/>
        <w:rPr>
          <w:rFonts w:ascii="Arial" w:cs="Arial" w:eastAsia="Arial" w:hAnsi="Arial"/>
          <w:sz w:val="17"/>
          <w:szCs w:val="17"/>
          <w:color w:val="auto"/>
        </w:rPr>
      </w:pPr>
    </w:p>
    <w:p>
      <w:pPr>
        <w:ind w:right="20" w:firstLine="634"/>
        <w:spacing w:after="0" w:line="268" w:lineRule="auto"/>
        <w:tabs>
          <w:tab w:leader="none" w:pos="1265" w:val="left"/>
        </w:tabs>
        <w:numPr>
          <w:ilvl w:val="0"/>
          <w:numId w:val="824"/>
        </w:numPr>
        <w:rPr>
          <w:rFonts w:ascii="Arial" w:cs="Arial" w:eastAsia="Arial" w:hAnsi="Arial"/>
          <w:sz w:val="17"/>
          <w:szCs w:val="17"/>
          <w:color w:val="auto"/>
        </w:rPr>
      </w:pPr>
      <w:r>
        <w:rPr>
          <w:rFonts w:ascii="Arial" w:cs="Arial" w:eastAsia="Arial" w:hAnsi="Arial"/>
          <w:sz w:val="17"/>
          <w:szCs w:val="17"/>
          <w:color w:val="auto"/>
        </w:rPr>
        <w:t>No Party’s waiver of the other Party’s breach of any condition or provision of this Agreement shall be deemed a waiver of similar or dissimilar provisions or conditions at the same or at any prior or subsequent time. Failure on either Party’s part to complain of any act or failure to act of the other Party or to declare the other Party in default, irrespective of how long such failure or default continues, shall not constitute a waiver by such Party of such Party’s rights under this Agreement.</w:t>
      </w:r>
    </w:p>
    <w:p>
      <w:pPr>
        <w:spacing w:after="0" w:line="175" w:lineRule="exact"/>
        <w:rPr>
          <w:rFonts w:ascii="Arial" w:cs="Arial" w:eastAsia="Arial" w:hAnsi="Arial"/>
          <w:sz w:val="17"/>
          <w:szCs w:val="17"/>
          <w:color w:val="auto"/>
        </w:rPr>
      </w:pPr>
    </w:p>
    <w:p>
      <w:pPr>
        <w:ind w:right="220" w:firstLine="634"/>
        <w:spacing w:after="0" w:line="273" w:lineRule="auto"/>
        <w:tabs>
          <w:tab w:leader="none" w:pos="1254" w:val="left"/>
        </w:tabs>
        <w:numPr>
          <w:ilvl w:val="0"/>
          <w:numId w:val="824"/>
        </w:numPr>
        <w:rPr>
          <w:rFonts w:ascii="Arial" w:cs="Arial" w:eastAsia="Arial" w:hAnsi="Arial"/>
          <w:sz w:val="17"/>
          <w:szCs w:val="17"/>
          <w:color w:val="auto"/>
        </w:rPr>
      </w:pPr>
      <w:r>
        <w:rPr>
          <w:rFonts w:ascii="Arial" w:cs="Arial" w:eastAsia="Arial" w:hAnsi="Arial"/>
          <w:sz w:val="17"/>
          <w:szCs w:val="17"/>
          <w:color w:val="auto"/>
        </w:rPr>
        <w:t>If any provision of this Agreement or the application thereof to any person or circumstance shall be invalid or unenforceable to any extent, the remainder of this Agreement and the application of such provision to other persons or circumstances shall not be affected thereby and shall be enforced to the greatest extent permitted by law.</w:t>
      </w:r>
    </w:p>
    <w:p>
      <w:pPr>
        <w:spacing w:after="0" w:line="171" w:lineRule="exact"/>
        <w:rPr>
          <w:rFonts w:ascii="Arial" w:cs="Arial" w:eastAsia="Arial" w:hAnsi="Arial"/>
          <w:sz w:val="17"/>
          <w:szCs w:val="17"/>
          <w:color w:val="auto"/>
        </w:rPr>
      </w:pPr>
    </w:p>
    <w:p>
      <w:pPr>
        <w:ind w:right="20" w:firstLine="634"/>
        <w:spacing w:after="0" w:line="290" w:lineRule="auto"/>
        <w:tabs>
          <w:tab w:leader="none" w:pos="1271" w:val="left"/>
        </w:tabs>
        <w:numPr>
          <w:ilvl w:val="0"/>
          <w:numId w:val="824"/>
        </w:numPr>
        <w:rPr>
          <w:rFonts w:ascii="Arial" w:cs="Arial" w:eastAsia="Arial" w:hAnsi="Arial"/>
          <w:sz w:val="16"/>
          <w:szCs w:val="16"/>
          <w:color w:val="auto"/>
        </w:rPr>
      </w:pPr>
      <w:r>
        <w:rPr>
          <w:rFonts w:ascii="Arial" w:cs="Arial" w:eastAsia="Arial" w:hAnsi="Arial"/>
          <w:sz w:val="16"/>
          <w:szCs w:val="16"/>
          <w:color w:val="auto"/>
        </w:rPr>
        <w:t>This Agreement shall inure to the benefit of and be binding on the undersigned Parties and their respective permitted successors and permitted assigns. Whenever, in this Agreement, a reference to any Party is made, such reference shall be deemed to include a reference to such Party’s permitted successors and permitted assigns; however, neither this Paragraph 7.G. nor any other portion of this Agreement shall be interpreted to constitute a consent to any assignment or other transfer of this Agreement or any part hereof other than pursuant to and in accordance with this Agreement’s other provisions.</w:t>
      </w:r>
    </w:p>
    <w:p>
      <w:pPr>
        <w:spacing w:after="0" w:line="159" w:lineRule="exact"/>
        <w:rPr>
          <w:rFonts w:ascii="Arial" w:cs="Arial" w:eastAsia="Arial" w:hAnsi="Arial"/>
          <w:sz w:val="16"/>
          <w:szCs w:val="16"/>
          <w:color w:val="auto"/>
        </w:rPr>
      </w:pPr>
    </w:p>
    <w:p>
      <w:pPr>
        <w:jc w:val="both"/>
        <w:ind w:right="240" w:firstLine="634"/>
        <w:spacing w:after="0" w:line="268" w:lineRule="auto"/>
        <w:tabs>
          <w:tab w:leader="none" w:pos="1258" w:val="left"/>
        </w:tabs>
        <w:numPr>
          <w:ilvl w:val="0"/>
          <w:numId w:val="824"/>
        </w:numPr>
        <w:rPr>
          <w:rFonts w:ascii="Arial" w:cs="Arial" w:eastAsia="Arial" w:hAnsi="Arial"/>
          <w:sz w:val="17"/>
          <w:szCs w:val="17"/>
          <w:color w:val="auto"/>
        </w:rPr>
      </w:pPr>
      <w:r>
        <w:rPr>
          <w:rFonts w:ascii="Arial" w:cs="Arial" w:eastAsia="Arial" w:hAnsi="Arial"/>
          <w:sz w:val="17"/>
          <w:szCs w:val="17"/>
          <w:color w:val="auto"/>
        </w:rPr>
        <w:t>The prevailing Party in any dispute between the Parties to this Agreement, arising out of the interpretation, application, or enforcement of any provision of this Agreement, shall be entitled to recover all of its reasonable attorneys’ fees and costs, whether suit be filed or not, including, without limitation, costs and attorneys’ fees related to or arising out of any arbitration, administrative proceedings, trial, or appellate proceedings, or petition for review before any other court or administrative body.</w:t>
      </w:r>
    </w:p>
    <w:p>
      <w:pPr>
        <w:spacing w:after="0" w:line="175" w:lineRule="exact"/>
        <w:rPr>
          <w:rFonts w:ascii="Arial" w:cs="Arial" w:eastAsia="Arial" w:hAnsi="Arial"/>
          <w:sz w:val="17"/>
          <w:szCs w:val="17"/>
          <w:color w:val="auto"/>
        </w:rPr>
      </w:pPr>
    </w:p>
    <w:p>
      <w:pPr>
        <w:jc w:val="both"/>
        <w:ind w:right="60" w:firstLine="634"/>
        <w:spacing w:after="0" w:line="268" w:lineRule="auto"/>
        <w:tabs>
          <w:tab w:leader="none" w:pos="1256" w:val="left"/>
        </w:tabs>
        <w:numPr>
          <w:ilvl w:val="0"/>
          <w:numId w:val="824"/>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Executive and the Company shall in good faith amend this Agreement to the limited extent necessary to comply with the requirements under Section 409A of the Code, and any regulations or other guidance issued thereunder, in order to ensure that any amounts paid or payable hereunder are not subject to the additional 20% income tax thereunder while maintaining to the maximum extent practicable the original intent of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10840" w:type="dxa"/>
            <w:vAlign w:val="bottom"/>
            <w:gridSpan w:val="4"/>
          </w:tcPr>
          <w:p>
            <w:pPr>
              <w:ind w:left="60"/>
              <w:spacing w:after="0"/>
              <w:rPr>
                <w:sz w:val="20"/>
                <w:szCs w:val="20"/>
                <w:color w:val="auto"/>
              </w:rPr>
            </w:pPr>
            <w:r>
              <w:rPr>
                <w:rFonts w:ascii="Arial" w:cs="Arial" w:eastAsia="Arial" w:hAnsi="Arial"/>
                <w:sz w:val="17"/>
                <w:szCs w:val="17"/>
                <w:b w:val="1"/>
                <w:bCs w:val="1"/>
                <w:i w:val="1"/>
                <w:iCs w:val="1"/>
                <w:color w:val="auto"/>
              </w:rPr>
              <w:t xml:space="preserve">EXECUTED, in multiple counterparts, </w:t>
            </w:r>
            <w:r>
              <w:rPr>
                <w:rFonts w:ascii="Arial" w:cs="Arial" w:eastAsia="Arial" w:hAnsi="Arial"/>
                <w:sz w:val="17"/>
                <w:szCs w:val="17"/>
                <w:color w:val="auto"/>
              </w:rPr>
              <w:t>each of which shall have the force and effect of an original, on the Effective Date.</w:t>
            </w:r>
          </w:p>
        </w:tc>
      </w:tr>
      <w:tr>
        <w:trPr>
          <w:trHeight w:val="408"/>
        </w:trPr>
        <w:tc>
          <w:tcPr>
            <w:tcW w:w="534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APPLIED OPTOELECTRONICS, INC.</w:t>
            </w:r>
          </w:p>
        </w:tc>
        <w:tc>
          <w:tcPr>
            <w:tcW w:w="3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7"/>
                <w:szCs w:val="17"/>
                <w:b w:val="1"/>
                <w:bCs w:val="1"/>
                <w:i w:val="1"/>
                <w:iCs w:val="1"/>
                <w:color w:val="auto"/>
              </w:rPr>
              <w:t>EXECUTIVE</w:t>
            </w:r>
          </w:p>
        </w:tc>
      </w:tr>
      <w:tr>
        <w:trPr>
          <w:trHeight w:val="222"/>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7"/>
                <w:szCs w:val="17"/>
                <w:b w:val="1"/>
                <w:bCs w:val="1"/>
                <w:i w:val="1"/>
                <w:iCs w:val="1"/>
                <w:color w:val="auto"/>
              </w:rPr>
              <w:t>STEFAN J. MURRY</w:t>
            </w:r>
          </w:p>
        </w:tc>
      </w:tr>
      <w:tr>
        <w:trPr>
          <w:trHeight w:val="629"/>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60" w:type="dxa"/>
            <w:vAlign w:val="bottom"/>
          </w:tcPr>
          <w:p>
            <w:pPr>
              <w:spacing w:after="0"/>
              <w:rPr>
                <w:sz w:val="24"/>
                <w:szCs w:val="24"/>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William H. Yeh</w:t>
            </w:r>
          </w:p>
        </w:tc>
        <w:tc>
          <w:tcPr>
            <w:tcW w:w="38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Stefan J. Murry</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7"/>
                <w:szCs w:val="17"/>
                <w:color w:val="auto"/>
              </w:rPr>
              <w:t>Printed</w:t>
            </w:r>
          </w:p>
        </w:tc>
        <w:tc>
          <w:tcPr>
            <w:tcW w:w="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700" w:type="dxa"/>
            <w:vAlign w:val="bottom"/>
          </w:tcPr>
          <w:p>
            <w:pPr>
              <w:spacing w:after="0" w:line="191" w:lineRule="exact"/>
              <w:rPr>
                <w:sz w:val="20"/>
                <w:szCs w:val="20"/>
                <w:color w:val="auto"/>
              </w:rPr>
            </w:pPr>
            <w:r>
              <w:rPr>
                <w:rFonts w:ascii="Arial" w:cs="Arial" w:eastAsia="Arial" w:hAnsi="Arial"/>
                <w:sz w:val="17"/>
                <w:szCs w:val="17"/>
                <w:color w:val="auto"/>
              </w:rPr>
              <w:t>signature</w:t>
            </w:r>
          </w:p>
        </w:tc>
      </w:tr>
      <w:tr>
        <w:trPr>
          <w:trHeight w:val="222"/>
        </w:trPr>
        <w:tc>
          <w:tcPr>
            <w:tcW w:w="580" w:type="dxa"/>
            <w:vAlign w:val="bottom"/>
          </w:tcPr>
          <w:p>
            <w:pPr>
              <w:spacing w:after="0"/>
              <w:rPr>
                <w:sz w:val="20"/>
                <w:szCs w:val="20"/>
                <w:color w:val="auto"/>
              </w:rPr>
            </w:pPr>
            <w:r>
              <w:rPr>
                <w:rFonts w:ascii="Arial" w:cs="Arial" w:eastAsia="Arial" w:hAnsi="Arial"/>
                <w:sz w:val="17"/>
                <w:szCs w:val="17"/>
                <w:color w:val="auto"/>
              </w:rPr>
              <w:t>Name:</w:t>
            </w:r>
          </w:p>
        </w:tc>
        <w:tc>
          <w:tcPr>
            <w:tcW w:w="60" w:type="dxa"/>
            <w:vAlign w:val="bottom"/>
          </w:tcPr>
          <w:p>
            <w:pPr>
              <w:spacing w:after="0"/>
              <w:rPr>
                <w:sz w:val="19"/>
                <w:szCs w:val="19"/>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William H. Yeh</w:t>
            </w:r>
          </w:p>
        </w:tc>
        <w:tc>
          <w:tcPr>
            <w:tcW w:w="3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203"/>
        </w:trPr>
        <w:tc>
          <w:tcPr>
            <w:tcW w:w="580" w:type="dxa"/>
            <w:vAlign w:val="bottom"/>
          </w:tcPr>
          <w:p>
            <w:pPr>
              <w:spacing w:after="0"/>
              <w:rPr>
                <w:sz w:val="20"/>
                <w:szCs w:val="20"/>
                <w:color w:val="auto"/>
              </w:rPr>
            </w:pPr>
            <w:r>
              <w:rPr>
                <w:rFonts w:ascii="Arial" w:cs="Arial" w:eastAsia="Arial" w:hAnsi="Arial"/>
                <w:sz w:val="17"/>
                <w:szCs w:val="17"/>
                <w:color w:val="auto"/>
              </w:rPr>
              <w:t>Title:</w:t>
            </w:r>
          </w:p>
        </w:tc>
        <w:tc>
          <w:tcPr>
            <w:tcW w:w="60" w:type="dxa"/>
            <w:vAlign w:val="bottom"/>
          </w:tcPr>
          <w:p>
            <w:pPr>
              <w:spacing w:after="0"/>
              <w:rPr>
                <w:sz w:val="17"/>
                <w:szCs w:val="17"/>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Director</w:t>
            </w:r>
          </w:p>
        </w:tc>
        <w:tc>
          <w:tcPr>
            <w:tcW w:w="380" w:type="dxa"/>
            <w:vAlign w:val="bottom"/>
          </w:tcPr>
          <w:p>
            <w:pPr>
              <w:spacing w:after="0"/>
              <w:rPr>
                <w:sz w:val="17"/>
                <w:szCs w:val="17"/>
                <w:color w:val="auto"/>
              </w:rPr>
            </w:pPr>
          </w:p>
        </w:tc>
        <w:tc>
          <w:tcPr>
            <w:tcW w:w="5700" w:type="dxa"/>
            <w:vAlign w:val="bottom"/>
          </w:tcPr>
          <w:p>
            <w:pPr>
              <w:spacing w:after="0"/>
              <w:rPr>
                <w:sz w:val="17"/>
                <w:szCs w:val="17"/>
                <w:color w:val="auto"/>
              </w:rPr>
            </w:pPr>
          </w:p>
        </w:tc>
      </w:tr>
      <w:tr>
        <w:trPr>
          <w:trHeight w:val="399"/>
        </w:trPr>
        <w:tc>
          <w:tcPr>
            <w:tcW w:w="5340" w:type="dxa"/>
            <w:vAlign w:val="bottom"/>
            <w:gridSpan w:val="3"/>
          </w:tcPr>
          <w:p>
            <w:pPr>
              <w:spacing w:after="0"/>
              <w:rPr>
                <w:sz w:val="20"/>
                <w:szCs w:val="20"/>
                <w:color w:val="auto"/>
              </w:rPr>
            </w:pPr>
            <w:r>
              <w:rPr>
                <w:rFonts w:ascii="Arial" w:cs="Arial" w:eastAsia="Arial" w:hAnsi="Arial"/>
                <w:sz w:val="17"/>
                <w:szCs w:val="17"/>
                <w:color w:val="auto"/>
              </w:rPr>
              <w:t>Date: Jan. 28, 2007</w:t>
            </w:r>
          </w:p>
        </w:tc>
        <w:tc>
          <w:tcPr>
            <w:tcW w:w="3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Date: Jan. 28, 2007</w:t>
            </w:r>
          </w:p>
        </w:tc>
      </w:tr>
      <w:tr>
        <w:trPr>
          <w:trHeight w:val="629"/>
        </w:trPr>
        <w:tc>
          <w:tcPr>
            <w:tcW w:w="534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APPLIED OPTOELECTRONICS, INC.</w:t>
            </w:r>
          </w:p>
        </w:tc>
        <w:tc>
          <w:tcPr>
            <w:tcW w:w="38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629"/>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60" w:type="dxa"/>
            <w:vAlign w:val="bottom"/>
          </w:tcPr>
          <w:p>
            <w:pPr>
              <w:spacing w:after="0"/>
              <w:rPr>
                <w:sz w:val="24"/>
                <w:szCs w:val="24"/>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Chih-Hsiang (Thompson) Lin</w:t>
            </w:r>
          </w:p>
        </w:tc>
        <w:tc>
          <w:tcPr>
            <w:tcW w:w="38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178"/>
        </w:trPr>
        <w:tc>
          <w:tcPr>
            <w:tcW w:w="580" w:type="dxa"/>
            <w:vAlign w:val="bottom"/>
          </w:tcPr>
          <w:p>
            <w:pPr>
              <w:spacing w:after="0" w:line="178" w:lineRule="exact"/>
              <w:rPr>
                <w:sz w:val="20"/>
                <w:szCs w:val="20"/>
                <w:color w:val="auto"/>
              </w:rPr>
            </w:pPr>
            <w:r>
              <w:rPr>
                <w:rFonts w:ascii="Arial" w:cs="Arial" w:eastAsia="Arial" w:hAnsi="Arial"/>
                <w:sz w:val="17"/>
                <w:szCs w:val="17"/>
                <w:color w:val="auto"/>
              </w:rPr>
              <w:t>Printed</w:t>
            </w:r>
          </w:p>
        </w:tc>
        <w:tc>
          <w:tcPr>
            <w:tcW w:w="6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700" w:type="dxa"/>
            <w:vAlign w:val="bottom"/>
          </w:tcPr>
          <w:p>
            <w:pPr>
              <w:spacing w:after="0"/>
              <w:rPr>
                <w:sz w:val="15"/>
                <w:szCs w:val="15"/>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7"/>
                <w:szCs w:val="17"/>
                <w:color w:val="auto"/>
              </w:rPr>
              <w:t>Name:</w:t>
            </w:r>
          </w:p>
        </w:tc>
        <w:tc>
          <w:tcPr>
            <w:tcW w:w="60" w:type="dxa"/>
            <w:vAlign w:val="bottom"/>
          </w:tcPr>
          <w:p>
            <w:pPr>
              <w:spacing w:after="0"/>
              <w:rPr>
                <w:sz w:val="19"/>
                <w:szCs w:val="19"/>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Chih-Hsiang (Thompson) Lin</w:t>
            </w:r>
          </w:p>
        </w:tc>
        <w:tc>
          <w:tcPr>
            <w:tcW w:w="3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203"/>
        </w:trPr>
        <w:tc>
          <w:tcPr>
            <w:tcW w:w="580" w:type="dxa"/>
            <w:vAlign w:val="bottom"/>
          </w:tcPr>
          <w:p>
            <w:pPr>
              <w:spacing w:after="0"/>
              <w:rPr>
                <w:sz w:val="20"/>
                <w:szCs w:val="20"/>
                <w:color w:val="auto"/>
              </w:rPr>
            </w:pPr>
            <w:r>
              <w:rPr>
                <w:rFonts w:ascii="Arial" w:cs="Arial" w:eastAsia="Arial" w:hAnsi="Arial"/>
                <w:sz w:val="17"/>
                <w:szCs w:val="17"/>
                <w:color w:val="auto"/>
              </w:rPr>
              <w:t>Title:</w:t>
            </w:r>
          </w:p>
        </w:tc>
        <w:tc>
          <w:tcPr>
            <w:tcW w:w="60" w:type="dxa"/>
            <w:vAlign w:val="bottom"/>
          </w:tcPr>
          <w:p>
            <w:pPr>
              <w:spacing w:after="0"/>
              <w:rPr>
                <w:sz w:val="17"/>
                <w:szCs w:val="17"/>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President</w:t>
            </w:r>
          </w:p>
        </w:tc>
        <w:tc>
          <w:tcPr>
            <w:tcW w:w="380" w:type="dxa"/>
            <w:vAlign w:val="bottom"/>
          </w:tcPr>
          <w:p>
            <w:pPr>
              <w:spacing w:after="0"/>
              <w:rPr>
                <w:sz w:val="17"/>
                <w:szCs w:val="17"/>
                <w:color w:val="auto"/>
              </w:rPr>
            </w:pPr>
          </w:p>
        </w:tc>
        <w:tc>
          <w:tcPr>
            <w:tcW w:w="5700" w:type="dxa"/>
            <w:vAlign w:val="bottom"/>
          </w:tcPr>
          <w:p>
            <w:pPr>
              <w:spacing w:after="0"/>
              <w:rPr>
                <w:sz w:val="17"/>
                <w:szCs w:val="17"/>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Date: Jan. 28, 2007</w:t>
      </w:r>
    </w:p>
    <w:p>
      <w:pPr>
        <w:sectPr>
          <w:pgSz w:w="11900" w:h="16838" w:orient="portrait"/>
          <w:cols w:equalWidth="0" w:num="1">
            <w:col w:w="11420"/>
          </w:cols>
          <w:pgMar w:left="240" w:top="127" w:right="239" w:bottom="61"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61" w:gutter="0" w:footer="0" w:header="0"/>
          <w:type w:val="continuous"/>
        </w:sectPr>
      </w:pPr>
    </w:p>
    <w:bookmarkStart w:id="457" w:name="page458"/>
    <w:bookmarkEnd w:id="45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8" w:name="page459"/>
    <w:bookmarkEnd w:id="458"/>
    <w:p>
      <w:pPr>
        <w:jc w:val="right"/>
        <w:spacing w:after="0"/>
        <w:rPr>
          <w:sz w:val="20"/>
          <w:szCs w:val="20"/>
          <w:color w:val="auto"/>
        </w:rPr>
      </w:pPr>
      <w:r>
        <w:rPr>
          <w:rFonts w:ascii="Arial" w:cs="Arial" w:eastAsia="Arial" w:hAnsi="Arial"/>
          <w:sz w:val="17"/>
          <w:szCs w:val="17"/>
          <w:b w:val="1"/>
          <w:bCs w:val="1"/>
          <w:color w:val="auto"/>
        </w:rPr>
        <w:t>Exhibit 10.14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EMPLOYMENT AGREEMENT REGARDING</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CHANGE OF CONTROL OR SEPARATION OF SERVICE</w:t>
      </w:r>
    </w:p>
    <w:p>
      <w:pPr>
        <w:spacing w:after="0" w:line="212" w:lineRule="exact"/>
        <w:rPr>
          <w:sz w:val="20"/>
          <w:szCs w:val="20"/>
          <w:color w:val="auto"/>
        </w:rPr>
      </w:pPr>
    </w:p>
    <w:p>
      <w:pPr>
        <w:ind w:right="200" w:firstLine="629"/>
        <w:spacing w:after="0" w:line="268" w:lineRule="auto"/>
        <w:rPr>
          <w:sz w:val="20"/>
          <w:szCs w:val="20"/>
          <w:color w:val="auto"/>
        </w:rPr>
      </w:pPr>
      <w:r>
        <w:rPr>
          <w:rFonts w:ascii="Arial" w:cs="Arial" w:eastAsia="Arial" w:hAnsi="Arial"/>
          <w:sz w:val="17"/>
          <w:szCs w:val="17"/>
          <w:color w:val="auto"/>
        </w:rPr>
        <w:t>This employment agreement (“Agreement”) is made and entered into effective as of June 1, 2012 (“Effective Date”), by and between Applied Optoelectronics, Inc. (“AOI” or the “Company”), whose address is 13115 Jess Pirtle Boulevard, Sugar Land, Texas 77478, and Shu-Hua (Joshua) Yeh (“Executive”), whose address is 4F., No.111, Ln.20, Sec.2, Zhiyu Rd., Shilin Dist., Taipei City 11154, Taiwan (R.O.C.) This Agreement may sometimes refer to AOI and Executive singularly as a “Party” or collectively as the “Parties.”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1. Confirmation of Employment At-Will</w:t>
      </w:r>
    </w:p>
    <w:p>
      <w:pPr>
        <w:spacing w:after="0" w:line="224"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Executive’s employment with AOI has been, is, and shall continue to be on an at-will basis. This means that either Executive or AOI may terminate Executive’s employment with the Company at any time and for any reason or no reason at all, except that if (i) a Change of Control of the Company shall have occurred and the Executive’s employment by the Company is thereafter terminated (whether by the Executive with Good Reason or the Company without Cause as provided in Paragraph 3), or (ii) Executive’s employment is terminated in certain other circumstances delineated in this Agreement, then the Executive shall be entitled to receive certain benefits as provided in this Agreement.</w:t>
      </w:r>
    </w:p>
    <w:p>
      <w:pPr>
        <w:spacing w:after="0" w:line="179" w:lineRule="exact"/>
        <w:rPr>
          <w:sz w:val="20"/>
          <w:szCs w:val="20"/>
          <w:color w:val="auto"/>
        </w:rPr>
      </w:pPr>
    </w:p>
    <w:p>
      <w:pPr>
        <w:ind w:left="5140" w:hanging="210"/>
        <w:spacing w:after="0"/>
        <w:tabs>
          <w:tab w:leader="none" w:pos="5140" w:val="left"/>
        </w:tabs>
        <w:numPr>
          <w:ilvl w:val="2"/>
          <w:numId w:val="82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Change of Control</w:t>
      </w:r>
    </w:p>
    <w:p>
      <w:pPr>
        <w:spacing w:after="0" w:line="224" w:lineRule="exact"/>
        <w:rPr>
          <w:rFonts w:ascii="Arial" w:cs="Arial" w:eastAsia="Arial" w:hAnsi="Arial"/>
          <w:sz w:val="17"/>
          <w:szCs w:val="17"/>
          <w:b w:val="1"/>
          <w:bCs w:val="1"/>
          <w:i w:val="1"/>
          <w:iCs w:val="1"/>
          <w:color w:val="auto"/>
        </w:rPr>
      </w:pPr>
    </w:p>
    <w:p>
      <w:pPr>
        <w:ind w:left="640"/>
        <w:spacing w:after="0"/>
        <w:rPr>
          <w:rFonts w:ascii="Arial" w:cs="Arial" w:eastAsia="Arial" w:hAnsi="Arial"/>
          <w:sz w:val="17"/>
          <w:szCs w:val="17"/>
          <w:b w:val="1"/>
          <w:bCs w:val="1"/>
          <w:i w:val="1"/>
          <w:iCs w:val="1"/>
          <w:color w:val="auto"/>
        </w:rPr>
      </w:pPr>
      <w:r>
        <w:rPr>
          <w:rFonts w:ascii="Arial" w:cs="Arial" w:eastAsia="Arial" w:hAnsi="Arial"/>
          <w:sz w:val="17"/>
          <w:szCs w:val="17"/>
          <w:color w:val="auto"/>
        </w:rPr>
        <w:t>A.</w:t>
      </w:r>
      <w:r>
        <w:rPr>
          <w:rFonts w:ascii="Arial" w:cs="Arial" w:eastAsia="Arial" w:hAnsi="Arial"/>
          <w:sz w:val="15"/>
          <w:szCs w:val="15"/>
          <w:color w:val="auto"/>
        </w:rPr>
        <w:t>“Change of Control” shall be deemed to have occurred on the date that one or more of the following occurs:</w:t>
      </w:r>
    </w:p>
    <w:p>
      <w:pPr>
        <w:spacing w:after="0" w:line="224" w:lineRule="exact"/>
        <w:rPr>
          <w:rFonts w:ascii="Arial" w:cs="Arial" w:eastAsia="Arial" w:hAnsi="Arial"/>
          <w:sz w:val="17"/>
          <w:szCs w:val="17"/>
          <w:b w:val="1"/>
          <w:bCs w:val="1"/>
          <w:i w:val="1"/>
          <w:iCs w:val="1"/>
          <w:color w:val="auto"/>
        </w:rPr>
      </w:pPr>
    </w:p>
    <w:p>
      <w:pPr>
        <w:ind w:left="1260" w:right="220" w:firstLine="633"/>
        <w:spacing w:after="0" w:line="281" w:lineRule="auto"/>
        <w:tabs>
          <w:tab w:leader="none" w:pos="2539" w:val="left"/>
        </w:tabs>
        <w:numPr>
          <w:ilvl w:val="1"/>
          <w:numId w:val="826"/>
        </w:numPr>
        <w:rPr>
          <w:rFonts w:ascii="Arial" w:cs="Arial" w:eastAsia="Arial" w:hAnsi="Arial"/>
          <w:sz w:val="16"/>
          <w:szCs w:val="16"/>
          <w:color w:val="auto"/>
        </w:rPr>
      </w:pPr>
      <w:r>
        <w:rPr>
          <w:rFonts w:ascii="Arial" w:cs="Arial" w:eastAsia="Arial" w:hAnsi="Arial"/>
          <w:sz w:val="16"/>
          <w:szCs w:val="16"/>
          <w:color w:val="auto"/>
        </w:rPr>
        <w:t>Individuals who, on the date hereof, constitute the entire Board of Directors of the Company (“Incumbent Directors”) cease for any reason to constitute at least a majority of the Board; provided, however, that any individual becoming a director subsequent to the date hereof whose election, or nomination for election by the Company’s shareholders, was approved by a vote of at least a majority of the then Incumbent Directors shall be considered as though such individual was an Incumbent Director, but excluding, for this purpose any such individual whose initial assumption of office occurs as a result of either an actual or threatened election contest, as such terms are used in Rule 14a-11 under the Securities Exchange Act of 1934, as amended (“Exchange Act”) or other actual or threatened solicitation of proxies or consents by or on behalf of any Person (as defined below) other than the Board; or</w:t>
      </w:r>
    </w:p>
    <w:p>
      <w:pPr>
        <w:spacing w:after="0" w:line="170" w:lineRule="exact"/>
        <w:rPr>
          <w:rFonts w:ascii="Arial" w:cs="Arial" w:eastAsia="Arial" w:hAnsi="Arial"/>
          <w:sz w:val="16"/>
          <w:szCs w:val="16"/>
          <w:color w:val="auto"/>
        </w:rPr>
      </w:pPr>
    </w:p>
    <w:p>
      <w:pPr>
        <w:ind w:left="1260" w:right="240" w:firstLine="633"/>
        <w:spacing w:after="0" w:line="265" w:lineRule="auto"/>
        <w:tabs>
          <w:tab w:leader="none" w:pos="2548" w:val="left"/>
        </w:tabs>
        <w:numPr>
          <w:ilvl w:val="1"/>
          <w:numId w:val="826"/>
        </w:numPr>
        <w:rPr>
          <w:rFonts w:ascii="Arial" w:cs="Arial" w:eastAsia="Arial" w:hAnsi="Arial"/>
          <w:sz w:val="17"/>
          <w:szCs w:val="17"/>
          <w:color w:val="auto"/>
        </w:rPr>
      </w:pPr>
      <w:r>
        <w:rPr>
          <w:rFonts w:ascii="Arial" w:cs="Arial" w:eastAsia="Arial" w:hAnsi="Arial"/>
          <w:sz w:val="17"/>
          <w:szCs w:val="17"/>
          <w:color w:val="auto"/>
        </w:rPr>
        <w:t>(a) The consummation of any merger, consolidation or recapitalization of the Company (or, if the capital stock of the Company is affected, any subsidiary of the Company), or any sale, lease, or other transfer (in one transaction or a series of transactions contemplated or arranged by any party as a single plan) of all or substantially all of the assets of the Company (each of the foregoing being an “Acquisition Transaction”) where (1) the shareholders of the Company immediately prior to such Acquisition Transaction would not immediately after such Acquisition Transaction beneficially own, directly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186055</wp:posOffset>
            </wp:positionV>
            <wp:extent cx="7271385" cy="2921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60"/>
        <w:spacing w:after="0" w:line="281" w:lineRule="auto"/>
        <w:rPr>
          <w:sz w:val="20"/>
          <w:szCs w:val="20"/>
          <w:color w:val="auto"/>
        </w:rPr>
      </w:pPr>
      <w:r>
        <w:rPr>
          <w:rFonts w:ascii="Arial" w:cs="Arial" w:eastAsia="Arial" w:hAnsi="Arial"/>
          <w:sz w:val="16"/>
          <w:szCs w:val="16"/>
          <w:color w:val="auto"/>
        </w:rPr>
        <w:t>indirectly, shares or other ownership interests representing in the aggregate fifty-one percent (51%) or more of (a) the then outstanding common stock or other equity interests of the corporation or other entity surviving or resulting from such merger, consolidation or recapitalization or acquiring such assets of the Company, as the case may be (the “Surviving Entity”) (or of its ultimate parent corporation or other entity, if any), and (b) the Combined Voting Power of the then outstanding Voting Securities of the Surviving Entity (or of its ultimate parent corporation or other entity, if any) or (2) the Incumbent Directors at the time of the initial approval of such Acquisition Transaction would not immediately after such Acquisition Transaction constitute a majority of the Board of Directors, or similar managing group, of the Surviving Entity (or of its ultimate parent corporation or other entity, if any), or (b) the filing of any plan for the liquidation or dissolution of the Company.</w:t>
      </w:r>
    </w:p>
    <w:p>
      <w:pPr>
        <w:spacing w:after="0" w:line="170" w:lineRule="exact"/>
        <w:rPr>
          <w:sz w:val="20"/>
          <w:szCs w:val="20"/>
          <w:color w:val="auto"/>
        </w:rPr>
      </w:pPr>
    </w:p>
    <w:p>
      <w:pPr>
        <w:ind w:left="1260" w:hanging="626"/>
        <w:spacing w:after="0"/>
        <w:tabs>
          <w:tab w:leader="none" w:pos="1260" w:val="left"/>
        </w:tabs>
        <w:numPr>
          <w:ilvl w:val="0"/>
          <w:numId w:val="827"/>
        </w:numPr>
        <w:rPr>
          <w:rFonts w:ascii="Arial" w:cs="Arial" w:eastAsia="Arial" w:hAnsi="Arial"/>
          <w:sz w:val="17"/>
          <w:szCs w:val="17"/>
          <w:color w:val="auto"/>
        </w:rPr>
      </w:pPr>
      <w:r>
        <w:rPr>
          <w:rFonts w:ascii="Arial" w:cs="Arial" w:eastAsia="Arial" w:hAnsi="Arial"/>
          <w:sz w:val="17"/>
          <w:szCs w:val="17"/>
          <w:color w:val="auto"/>
        </w:rPr>
        <w:t>For purposes of the definition of “Change of Control”:</w:t>
      </w:r>
    </w:p>
    <w:p>
      <w:pPr>
        <w:spacing w:after="0" w:line="224" w:lineRule="exact"/>
        <w:rPr>
          <w:rFonts w:ascii="Arial" w:cs="Arial" w:eastAsia="Arial" w:hAnsi="Arial"/>
          <w:sz w:val="17"/>
          <w:szCs w:val="17"/>
          <w:color w:val="auto"/>
        </w:rPr>
      </w:pPr>
    </w:p>
    <w:p>
      <w:pPr>
        <w:jc w:val="both"/>
        <w:ind w:left="1260" w:right="100" w:firstLine="633"/>
        <w:spacing w:after="0" w:line="273" w:lineRule="auto"/>
        <w:tabs>
          <w:tab w:leader="none" w:pos="2539" w:val="left"/>
        </w:tabs>
        <w:numPr>
          <w:ilvl w:val="1"/>
          <w:numId w:val="827"/>
        </w:numPr>
        <w:rPr>
          <w:rFonts w:ascii="Arial" w:cs="Arial" w:eastAsia="Arial" w:hAnsi="Arial"/>
          <w:sz w:val="17"/>
          <w:szCs w:val="17"/>
          <w:color w:val="auto"/>
        </w:rPr>
      </w:pPr>
      <w:r>
        <w:rPr>
          <w:rFonts w:ascii="Arial" w:cs="Arial" w:eastAsia="Arial" w:hAnsi="Arial"/>
          <w:sz w:val="17"/>
          <w:szCs w:val="17"/>
          <w:color w:val="auto"/>
        </w:rPr>
        <w:t>“Affiliate” shall mean, as to a specified Person, another Person that directly, or indirectly through one or more intermediaries, controls or is controlled by, or is under common control with, the specified Person, within the meaning of such terms as used in Rule 405 under the Securities Act of 1933, as amended (“Securities Act”), or any successor rule.</w:t>
      </w:r>
    </w:p>
    <w:p>
      <w:pPr>
        <w:spacing w:after="0" w:line="171" w:lineRule="exact"/>
        <w:rPr>
          <w:rFonts w:ascii="Arial" w:cs="Arial" w:eastAsia="Arial" w:hAnsi="Arial"/>
          <w:sz w:val="17"/>
          <w:szCs w:val="17"/>
          <w:color w:val="auto"/>
        </w:rPr>
      </w:pPr>
    </w:p>
    <w:p>
      <w:pPr>
        <w:ind w:left="1260" w:right="320" w:firstLine="633"/>
        <w:spacing w:after="0" w:line="273" w:lineRule="auto"/>
        <w:tabs>
          <w:tab w:leader="none" w:pos="2548" w:val="left"/>
        </w:tabs>
        <w:numPr>
          <w:ilvl w:val="1"/>
          <w:numId w:val="827"/>
        </w:numPr>
        <w:rPr>
          <w:rFonts w:ascii="Arial" w:cs="Arial" w:eastAsia="Arial" w:hAnsi="Arial"/>
          <w:sz w:val="17"/>
          <w:szCs w:val="17"/>
          <w:color w:val="auto"/>
        </w:rPr>
      </w:pPr>
      <w:r>
        <w:rPr>
          <w:rFonts w:ascii="Arial" w:cs="Arial" w:eastAsia="Arial" w:hAnsi="Arial"/>
          <w:sz w:val="17"/>
          <w:szCs w:val="17"/>
          <w:color w:val="auto"/>
        </w:rPr>
        <w:t>“Combined Voting Power” shall mean the aggregate votes entitled to be cast generally in the election of the Board of Directors, or similar managing group, of a corporation or other entity by holders of then outstanding Voting Securities of such corporation or other entity.</w:t>
      </w:r>
    </w:p>
    <w:p>
      <w:pPr>
        <w:spacing w:after="0" w:line="171" w:lineRule="exact"/>
        <w:rPr>
          <w:rFonts w:ascii="Arial" w:cs="Arial" w:eastAsia="Arial" w:hAnsi="Arial"/>
          <w:sz w:val="17"/>
          <w:szCs w:val="17"/>
          <w:color w:val="auto"/>
        </w:rPr>
      </w:pPr>
    </w:p>
    <w:p>
      <w:pPr>
        <w:ind w:left="1260" w:right="20" w:firstLine="633"/>
        <w:spacing w:after="0" w:line="265" w:lineRule="auto"/>
        <w:tabs>
          <w:tab w:leader="none" w:pos="2558" w:val="left"/>
        </w:tabs>
        <w:numPr>
          <w:ilvl w:val="1"/>
          <w:numId w:val="827"/>
        </w:numPr>
        <w:rPr>
          <w:rFonts w:ascii="Arial" w:cs="Arial" w:eastAsia="Arial" w:hAnsi="Arial"/>
          <w:sz w:val="17"/>
          <w:szCs w:val="17"/>
          <w:color w:val="auto"/>
        </w:rPr>
      </w:pPr>
      <w:r>
        <w:rPr>
          <w:rFonts w:ascii="Arial" w:cs="Arial" w:eastAsia="Arial" w:hAnsi="Arial"/>
          <w:sz w:val="17"/>
          <w:szCs w:val="17"/>
          <w:color w:val="auto"/>
        </w:rPr>
        <w:t>“Person” shall mean any individual, entity (including, without limitation, any corporation, partnership, trust, joint venture, association or governmental body) or group (as defined in Sections 14(d)(3) or 15(d)(2) of the Exchange Act and the rules and regulations thereunder); provided, however, that Person shall not include the Company, any of its subsidiaries, any employee benefit plan of the Company or any of its majority-owned subsidiaries or any entity organized, appointed or established by the Company or such subsidiaries for or pursuant to the terms of any such plan.</w:t>
      </w:r>
    </w:p>
    <w:p>
      <w:pPr>
        <w:spacing w:after="0" w:line="179" w:lineRule="exact"/>
        <w:rPr>
          <w:rFonts w:ascii="Arial" w:cs="Arial" w:eastAsia="Arial" w:hAnsi="Arial"/>
          <w:sz w:val="17"/>
          <w:szCs w:val="17"/>
          <w:color w:val="auto"/>
        </w:rPr>
      </w:pPr>
    </w:p>
    <w:p>
      <w:pPr>
        <w:ind w:left="1260" w:right="180" w:firstLine="633"/>
        <w:spacing w:after="0" w:line="289" w:lineRule="auto"/>
        <w:tabs>
          <w:tab w:leader="none" w:pos="2535" w:val="left"/>
        </w:tabs>
        <w:numPr>
          <w:ilvl w:val="1"/>
          <w:numId w:val="827"/>
        </w:numPr>
        <w:rPr>
          <w:rFonts w:ascii="Arial" w:cs="Arial" w:eastAsia="Arial" w:hAnsi="Arial"/>
          <w:sz w:val="17"/>
          <w:szCs w:val="17"/>
          <w:color w:val="auto"/>
        </w:rPr>
      </w:pPr>
      <w:r>
        <w:rPr>
          <w:rFonts w:ascii="Arial" w:cs="Arial" w:eastAsia="Arial" w:hAnsi="Arial"/>
          <w:sz w:val="17"/>
          <w:szCs w:val="17"/>
          <w:color w:val="auto"/>
        </w:rPr>
        <w:t>“Voting Securities” shall mean all securities of a corporation or other entity having the right under ordinary circumstances to vote in an election of the Board of Directors, or similar managing group, of such corporation or other entity.</w:t>
      </w:r>
    </w:p>
    <w:p>
      <w:pPr>
        <w:spacing w:after="0" w:line="158" w:lineRule="exact"/>
        <w:rPr>
          <w:sz w:val="20"/>
          <w:szCs w:val="20"/>
          <w:color w:val="auto"/>
        </w:rPr>
      </w:pPr>
    </w:p>
    <w:p>
      <w:pPr>
        <w:ind w:left="4220" w:hanging="212"/>
        <w:spacing w:after="0"/>
        <w:tabs>
          <w:tab w:leader="none" w:pos="4220" w:val="left"/>
        </w:tabs>
        <w:numPr>
          <w:ilvl w:val="1"/>
          <w:numId w:val="82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Termination Following a Change of Control</w:t>
      </w:r>
    </w:p>
    <w:p>
      <w:pPr>
        <w:spacing w:after="0" w:line="224" w:lineRule="exact"/>
        <w:rPr>
          <w:rFonts w:ascii="Arial" w:cs="Arial" w:eastAsia="Arial" w:hAnsi="Arial"/>
          <w:sz w:val="17"/>
          <w:szCs w:val="17"/>
          <w:b w:val="1"/>
          <w:bCs w:val="1"/>
          <w:i w:val="1"/>
          <w:iCs w:val="1"/>
          <w:color w:val="auto"/>
        </w:rPr>
      </w:pPr>
    </w:p>
    <w:p>
      <w:pPr>
        <w:ind w:right="200" w:firstLine="629"/>
        <w:spacing w:after="0" w:line="273" w:lineRule="auto"/>
        <w:rPr>
          <w:rFonts w:ascii="Arial" w:cs="Arial" w:eastAsia="Arial" w:hAnsi="Arial"/>
          <w:sz w:val="17"/>
          <w:szCs w:val="17"/>
          <w:b w:val="1"/>
          <w:bCs w:val="1"/>
          <w:i w:val="1"/>
          <w:iCs w:val="1"/>
          <w:color w:val="auto"/>
        </w:rPr>
      </w:pPr>
      <w:r>
        <w:rPr>
          <w:rFonts w:ascii="Arial" w:cs="Arial" w:eastAsia="Arial" w:hAnsi="Arial"/>
          <w:sz w:val="17"/>
          <w:szCs w:val="17"/>
          <w:color w:val="auto"/>
        </w:rPr>
        <w:t>A. If a Change of Control of the Company shall have occurred, any subsequent termination of Executive’s employment (i) by the Executive upon an Event of Termination for Good Reason (hereafter defined) or (ii) by the Company upon an Event of Termination for Cause (hereafter defined), shall be communicated by written notice to the other party. If the notice 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547" w:gutter="0" w:footer="0" w:header="0"/>
        </w:sectPr>
      </w:pPr>
    </w:p>
    <w:bookmarkStart w:id="459" w:name="page460"/>
    <w:bookmarkEnd w:id="459"/>
    <w:p>
      <w:pPr>
        <w:spacing w:after="0" w:line="2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from the Company and states that the Executive’s employment by the Company is terminated by the Company as a result of the occurrence of an Event of Termination for Cause, the notice shall specifically describe the action or inaction of the Executive that the Company believes constitutes an Event of Termination for Cause. If the notice is from the Executive and states that the Executive’s employment by the Company is terminated by the Executive as a result of the occurrence of an Event of Termination for Good Reason, the notice shall specifically describe the action or inaction of the Company that the Executive believes constitutes an Event of Termination for Good Reason.</w:t>
      </w:r>
    </w:p>
    <w:p>
      <w:pPr>
        <w:spacing w:after="0" w:line="179" w:lineRule="exact"/>
        <w:rPr>
          <w:sz w:val="20"/>
          <w:szCs w:val="20"/>
          <w:color w:val="auto"/>
        </w:rPr>
      </w:pPr>
    </w:p>
    <w:p>
      <w:pPr>
        <w:ind w:firstLine="634"/>
        <w:spacing w:after="0" w:line="278" w:lineRule="auto"/>
        <w:tabs>
          <w:tab w:leader="none" w:pos="1261" w:val="left"/>
        </w:tabs>
        <w:numPr>
          <w:ilvl w:val="0"/>
          <w:numId w:val="829"/>
        </w:numPr>
        <w:rPr>
          <w:rFonts w:ascii="Arial" w:cs="Arial" w:eastAsia="Arial" w:hAnsi="Arial"/>
          <w:sz w:val="16"/>
          <w:szCs w:val="16"/>
          <w:color w:val="auto"/>
        </w:rPr>
      </w:pPr>
      <w:r>
        <w:rPr>
          <w:rFonts w:ascii="Arial" w:cs="Arial" w:eastAsia="Arial" w:hAnsi="Arial"/>
          <w:sz w:val="16"/>
          <w:szCs w:val="16"/>
          <w:color w:val="auto"/>
        </w:rPr>
        <w:t xml:space="preserve">An “Event of Termination for Cause” shall have occurred: (i) if Executive should be convicted of or pleads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offense or to a crime that the Board determines, in its sole discretion, is a crime of moral turpitude (whether or not a felony); (ii) if Executive should commit willful misconduct (that is, done in bad faith or without reasonable belief that such action is in the best interest of the Company) or violate any law in connection with the performance of any of Executive’s duties, including, without limitation, (a) misappropriation of funds or property of the Company or any of its affiliates or customers, (b) securing or attempting to secure personally any profit in connection with any transaction entered into on behalf of the Company or any of its affiliates, or (c) making any material misrepresentation to the Board, the Company, or any of the Company’s affiliates; (iii) if Executive materially violates or fails to comply with any written Company policy; (iv) if Executive materially breaches any term of this Agreement; or (v) the willful and continued failure or neglect of the Executive to substantially perform his/her duties with the Company (other than any such failure resulting from incapacity due to physical or mental illness). The Board shall not have Cause to terminate Executive’s employment under Paragraph 3.B. (iii), (iv), or (v) of this Agreement unless and until the Board provides written notice to Executive identifying Executive’s alleged violation of policy, breach of this Agreement, or failure to perform (or neglect of) any duty and Executive fails to cure such violation of policy, breach of this Agreement or failure to perform (or neglect of) any duty within 60 days.</w:t>
      </w:r>
    </w:p>
    <w:p>
      <w:pPr>
        <w:spacing w:after="0" w:line="172" w:lineRule="exact"/>
        <w:rPr>
          <w:rFonts w:ascii="Arial" w:cs="Arial" w:eastAsia="Arial" w:hAnsi="Arial"/>
          <w:sz w:val="16"/>
          <w:szCs w:val="16"/>
          <w:color w:val="auto"/>
        </w:rPr>
      </w:pPr>
    </w:p>
    <w:p>
      <w:pPr>
        <w:ind w:left="1260" w:hanging="626"/>
        <w:spacing w:after="0"/>
        <w:tabs>
          <w:tab w:leader="none" w:pos="1260" w:val="left"/>
        </w:tabs>
        <w:numPr>
          <w:ilvl w:val="0"/>
          <w:numId w:val="829"/>
        </w:numPr>
        <w:rPr>
          <w:rFonts w:ascii="Arial" w:cs="Arial" w:eastAsia="Arial" w:hAnsi="Arial"/>
          <w:sz w:val="17"/>
          <w:szCs w:val="17"/>
          <w:color w:val="auto"/>
        </w:rPr>
      </w:pPr>
      <w:r>
        <w:rPr>
          <w:rFonts w:ascii="Arial" w:cs="Arial" w:eastAsia="Arial" w:hAnsi="Arial"/>
          <w:sz w:val="17"/>
          <w:szCs w:val="17"/>
          <w:color w:val="auto"/>
        </w:rPr>
        <w:t>An “Event of Termination for Good Reason” shall have occurred in the event of any of the following:</w:t>
      </w:r>
    </w:p>
    <w:p>
      <w:pPr>
        <w:spacing w:after="0" w:line="224" w:lineRule="exact"/>
        <w:rPr>
          <w:rFonts w:ascii="Arial" w:cs="Arial" w:eastAsia="Arial" w:hAnsi="Arial"/>
          <w:sz w:val="17"/>
          <w:szCs w:val="17"/>
          <w:color w:val="auto"/>
        </w:rPr>
      </w:pPr>
    </w:p>
    <w:p>
      <w:pPr>
        <w:ind w:left="1260" w:right="160" w:firstLine="633"/>
        <w:spacing w:after="0" w:line="265" w:lineRule="auto"/>
        <w:tabs>
          <w:tab w:leader="none" w:pos="2539" w:val="left"/>
        </w:tabs>
        <w:numPr>
          <w:ilvl w:val="1"/>
          <w:numId w:val="829"/>
        </w:numPr>
        <w:rPr>
          <w:rFonts w:ascii="Arial" w:cs="Arial" w:eastAsia="Arial" w:hAnsi="Arial"/>
          <w:sz w:val="17"/>
          <w:szCs w:val="17"/>
          <w:color w:val="auto"/>
        </w:rPr>
      </w:pPr>
      <w:r>
        <w:rPr>
          <w:rFonts w:ascii="Arial" w:cs="Arial" w:eastAsia="Arial" w:hAnsi="Arial"/>
          <w:sz w:val="17"/>
          <w:szCs w:val="17"/>
          <w:color w:val="auto"/>
        </w:rPr>
        <w:t>Executive’s assignment to any duties or the significant reduction of Executive’s duties or a significant change of Executive’s title, any of which is inconsistent with his or her position or title with the Company and responsibilities in effect immediately prior to such assignment, except in each case in connection with a promotion. For purposes of clarification, if Executive is not the General Manager or Vice President of the successor entity or its ultimate parent, if any, then Executive will have suffered a significant reduction of his/her duties which qualifies as an Event of Termination for Good Reason pursuant to this paragraph;</w:t>
      </w:r>
    </w:p>
    <w:p>
      <w:pPr>
        <w:spacing w:after="0" w:line="179" w:lineRule="exact"/>
        <w:rPr>
          <w:rFonts w:ascii="Arial" w:cs="Arial" w:eastAsia="Arial" w:hAnsi="Arial"/>
          <w:sz w:val="17"/>
          <w:szCs w:val="17"/>
          <w:color w:val="auto"/>
        </w:rPr>
      </w:pPr>
    </w:p>
    <w:p>
      <w:pPr>
        <w:ind w:left="1260" w:right="20" w:firstLine="633"/>
        <w:spacing w:after="0" w:line="298" w:lineRule="auto"/>
        <w:tabs>
          <w:tab w:leader="none" w:pos="2548" w:val="left"/>
        </w:tabs>
        <w:numPr>
          <w:ilvl w:val="1"/>
          <w:numId w:val="829"/>
        </w:numPr>
        <w:rPr>
          <w:rFonts w:ascii="Arial" w:cs="Arial" w:eastAsia="Arial" w:hAnsi="Arial"/>
          <w:sz w:val="16"/>
          <w:szCs w:val="16"/>
          <w:color w:val="auto"/>
        </w:rPr>
      </w:pPr>
      <w:r>
        <w:rPr>
          <w:rFonts w:ascii="Arial" w:cs="Arial" w:eastAsia="Arial" w:hAnsi="Arial"/>
          <w:sz w:val="16"/>
          <w:szCs w:val="16"/>
          <w:color w:val="auto"/>
        </w:rPr>
        <w:t>reduction by the Company in Executive’s base compensation as in effect immediately prior to such reduction, provided that an Event of Termination for Good Reason shall not be deemed to have occurred where Executive’s base compensation is reduced as part of an overall cost reduction program that affects all senior executives of the Company and does not disproportionately affect Executive;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80" w:firstLine="633"/>
        <w:spacing w:after="0" w:line="322" w:lineRule="auto"/>
        <w:tabs>
          <w:tab w:leader="none" w:pos="2558" w:val="left"/>
        </w:tabs>
        <w:numPr>
          <w:ilvl w:val="2"/>
          <w:numId w:val="830"/>
        </w:numPr>
        <w:rPr>
          <w:rFonts w:ascii="Arial" w:cs="Arial" w:eastAsia="Arial" w:hAnsi="Arial"/>
          <w:sz w:val="16"/>
          <w:szCs w:val="16"/>
          <w:color w:val="auto"/>
        </w:rPr>
      </w:pPr>
      <w:r>
        <w:rPr>
          <w:rFonts w:ascii="Arial" w:cs="Arial" w:eastAsia="Arial" w:hAnsi="Arial"/>
          <w:sz w:val="16"/>
          <w:szCs w:val="16"/>
          <w:color w:val="auto"/>
        </w:rPr>
        <w:t>any purported termination of Executive by the Company (other than a voluntary resignation initiated by Executive, except for a voluntary termination initiated by Executive for the reasons described in this paragraph) which is not effected for disability or for Cause;</w:t>
      </w:r>
    </w:p>
    <w:p>
      <w:pPr>
        <w:spacing w:after="0" w:line="135" w:lineRule="exact"/>
        <w:rPr>
          <w:rFonts w:ascii="Arial" w:cs="Arial" w:eastAsia="Arial" w:hAnsi="Arial"/>
          <w:sz w:val="16"/>
          <w:szCs w:val="16"/>
          <w:color w:val="auto"/>
        </w:rPr>
      </w:pPr>
    </w:p>
    <w:p>
      <w:pPr>
        <w:ind w:left="2540" w:hanging="647"/>
        <w:spacing w:after="0"/>
        <w:tabs>
          <w:tab w:leader="none" w:pos="2540" w:val="left"/>
        </w:tabs>
        <w:numPr>
          <w:ilvl w:val="2"/>
          <w:numId w:val="830"/>
        </w:numPr>
        <w:rPr>
          <w:rFonts w:ascii="Arial" w:cs="Arial" w:eastAsia="Arial" w:hAnsi="Arial"/>
          <w:sz w:val="17"/>
          <w:szCs w:val="17"/>
          <w:color w:val="auto"/>
        </w:rPr>
      </w:pPr>
      <w:r>
        <w:rPr>
          <w:rFonts w:ascii="Arial" w:cs="Arial" w:eastAsia="Arial" w:hAnsi="Arial"/>
          <w:sz w:val="17"/>
          <w:szCs w:val="17"/>
          <w:color w:val="auto"/>
        </w:rPr>
        <w:t>the failure of any successor entity to the Company to expressly assume in writing the terms of this agreement; and</w:t>
      </w:r>
    </w:p>
    <w:p>
      <w:pPr>
        <w:spacing w:after="0" w:line="224" w:lineRule="exact"/>
        <w:rPr>
          <w:rFonts w:ascii="Arial" w:cs="Arial" w:eastAsia="Arial" w:hAnsi="Arial"/>
          <w:sz w:val="17"/>
          <w:szCs w:val="17"/>
          <w:color w:val="auto"/>
        </w:rPr>
      </w:pPr>
    </w:p>
    <w:p>
      <w:pPr>
        <w:ind w:left="1260" w:right="180" w:firstLine="633"/>
        <w:spacing w:after="0" w:line="289" w:lineRule="auto"/>
        <w:tabs>
          <w:tab w:leader="none" w:pos="2525" w:val="left"/>
        </w:tabs>
        <w:numPr>
          <w:ilvl w:val="2"/>
          <w:numId w:val="830"/>
        </w:numPr>
        <w:rPr>
          <w:rFonts w:ascii="Arial" w:cs="Arial" w:eastAsia="Arial" w:hAnsi="Arial"/>
          <w:sz w:val="17"/>
          <w:szCs w:val="17"/>
          <w:color w:val="auto"/>
        </w:rPr>
      </w:pPr>
      <w:r>
        <w:rPr>
          <w:rFonts w:ascii="Arial" w:cs="Arial" w:eastAsia="Arial" w:hAnsi="Arial"/>
          <w:sz w:val="17"/>
          <w:szCs w:val="17"/>
          <w:color w:val="auto"/>
        </w:rPr>
        <w:t>any material breach by the Company of any material provision of this agreement which has not been cured within 30 days of written notice to the Company by Executive of such breach.</w:t>
      </w:r>
    </w:p>
    <w:p>
      <w:pPr>
        <w:spacing w:after="0" w:line="158" w:lineRule="exact"/>
        <w:rPr>
          <w:rFonts w:ascii="Arial" w:cs="Arial" w:eastAsia="Arial" w:hAnsi="Arial"/>
          <w:sz w:val="17"/>
          <w:szCs w:val="17"/>
          <w:color w:val="auto"/>
        </w:rPr>
      </w:pPr>
    </w:p>
    <w:p>
      <w:pPr>
        <w:ind w:left="5140" w:hanging="222"/>
        <w:spacing w:after="0"/>
        <w:tabs>
          <w:tab w:leader="none" w:pos="5140" w:val="left"/>
        </w:tabs>
        <w:numPr>
          <w:ilvl w:val="3"/>
          <w:numId w:val="83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Severance Benefits</w:t>
      </w:r>
    </w:p>
    <w:p>
      <w:pPr>
        <w:spacing w:after="0" w:line="224" w:lineRule="exact"/>
        <w:rPr>
          <w:rFonts w:ascii="Arial" w:cs="Arial" w:eastAsia="Arial" w:hAnsi="Arial"/>
          <w:sz w:val="17"/>
          <w:szCs w:val="17"/>
          <w:b w:val="1"/>
          <w:bCs w:val="1"/>
          <w:i w:val="1"/>
          <w:iCs w:val="1"/>
          <w:color w:val="auto"/>
        </w:rPr>
      </w:pPr>
    </w:p>
    <w:p>
      <w:pPr>
        <w:ind w:right="20" w:firstLine="634"/>
        <w:spacing w:after="0" w:line="291" w:lineRule="auto"/>
        <w:tabs>
          <w:tab w:leader="none" w:pos="1271" w:val="left"/>
        </w:tabs>
        <w:numPr>
          <w:ilvl w:val="1"/>
          <w:numId w:val="831"/>
        </w:numPr>
        <w:rPr>
          <w:rFonts w:ascii="Arial" w:cs="Arial" w:eastAsia="Arial" w:hAnsi="Arial"/>
          <w:sz w:val="15"/>
          <w:szCs w:val="15"/>
          <w:color w:val="auto"/>
        </w:rPr>
      </w:pPr>
      <w:r>
        <w:rPr>
          <w:rFonts w:ascii="Arial" w:cs="Arial" w:eastAsia="Arial" w:hAnsi="Arial"/>
          <w:sz w:val="15"/>
          <w:szCs w:val="15"/>
          <w:color w:val="auto"/>
        </w:rPr>
        <w:t>If a Change of Control occurs and, within one year thereafter, the Executive’s employment by the Company is terminated by the Executive following an Event of Termination for Good Reason or by the Company otherwise than as a result of an Event of Termination for Cause, Executive will be entitled to receive benefits (“Change of Control Severance Benefits”) consisting of: (a) a lump sum payment equal to one year of Executive’s base salary as in effect immediately prior to the Change of Control (minus lawful withholdings); (b) a lump sum payment equal to the dollar amount of Executive’s full target bonus percentage as in effect immediately prior to the Change of Control (minus lawful withholdings); (c) a lump sum payment of $10,000 (minus lawful withholdings) that Executive may use for benefit continuation under COBRA or for any other purpose; and (d) accelerated vesting of Executive’s stock options under any stock option agreement(s) between Executive and AOI, meaning that all outstanding but unvested stock options shall be accelerated and fully vested, and all vested options shall be exercisable until the later of (i) the 15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of the third month following the date at which the stock options would otherwise have expired in accordance with their original terms, (ii) December 31 of the calendar year in which the stock options would otherwise have expired in accordance with their original terms and (iii) such longer period (not to exceed twelve months following the Separation from Service (as defined in paragraph 4.0 below) as may be provided by the Treasury Department in the final regulations addressing Section 409A of the Internal Revenue Code of 1986, as amended (the “Code”); provided, however, that the foregoing shall not be construed to cause an incentive stock option to fail to meet the statutory requirements of Section 422 of the Code.</w:t>
      </w:r>
    </w:p>
    <w:p>
      <w:pPr>
        <w:spacing w:after="0" w:line="161" w:lineRule="exact"/>
        <w:rPr>
          <w:rFonts w:ascii="Arial" w:cs="Arial" w:eastAsia="Arial" w:hAnsi="Arial"/>
          <w:sz w:val="15"/>
          <w:szCs w:val="15"/>
          <w:color w:val="auto"/>
        </w:rPr>
      </w:pPr>
    </w:p>
    <w:p>
      <w:pPr>
        <w:ind w:right="220" w:firstLine="634"/>
        <w:spacing w:after="0" w:line="296" w:lineRule="auto"/>
        <w:tabs>
          <w:tab w:leader="none" w:pos="1261" w:val="left"/>
        </w:tabs>
        <w:numPr>
          <w:ilvl w:val="1"/>
          <w:numId w:val="831"/>
        </w:numPr>
        <w:rPr>
          <w:rFonts w:ascii="Arial" w:cs="Arial" w:eastAsia="Arial" w:hAnsi="Arial"/>
          <w:sz w:val="15"/>
          <w:szCs w:val="15"/>
          <w:color w:val="auto"/>
        </w:rPr>
      </w:pPr>
      <w:r>
        <w:rPr>
          <w:rFonts w:ascii="Arial" w:cs="Arial" w:eastAsia="Arial" w:hAnsi="Arial"/>
          <w:sz w:val="15"/>
          <w:szCs w:val="15"/>
          <w:color w:val="auto"/>
        </w:rPr>
        <w:t>If at any time prior to a Change of Control the Executive’s employment is terminated by the Company for any reason other than an Event of Termination for Cause or if Executive resigns because of an Event of Termination for Good Reason, Executive shall be entitled to receive payment equal to (i) a lump sum payment equal to one year of Executive’s base salary as in effect immediately prior to such termination (minus lawful withholdings); (ii) a lump sum payment equal to the dollar amount of Executive’s full target bonus percentage as in effect immediately prior to such termination (minus lawful withholdings);</w:t>
      </w:r>
    </w:p>
    <w:p>
      <w:pPr>
        <w:ind w:right="640" w:firstLine="5"/>
        <w:spacing w:after="0" w:line="275" w:lineRule="auto"/>
        <w:tabs>
          <w:tab w:leader="none" w:pos="306" w:val="left"/>
        </w:tabs>
        <w:numPr>
          <w:ilvl w:val="0"/>
          <w:numId w:val="832"/>
        </w:numPr>
        <w:rPr>
          <w:rFonts w:ascii="Arial" w:cs="Arial" w:eastAsia="Arial" w:hAnsi="Arial"/>
          <w:sz w:val="17"/>
          <w:szCs w:val="17"/>
          <w:color w:val="auto"/>
        </w:rPr>
      </w:pPr>
      <w:r>
        <w:rPr>
          <w:rFonts w:ascii="Arial" w:cs="Arial" w:eastAsia="Arial" w:hAnsi="Arial"/>
          <w:sz w:val="17"/>
          <w:szCs w:val="17"/>
          <w:color w:val="auto"/>
        </w:rPr>
        <w:t>a lump sum payment of $15,000 (minus lawful withholdings) that Executive may use for benefit continuation under COBRA or for any other purpose (“Separation Benefits”).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34"/>
        <w:spacing w:after="0" w:line="283" w:lineRule="auto"/>
        <w:tabs>
          <w:tab w:leader="none" w:pos="1261" w:val="left"/>
        </w:tabs>
        <w:numPr>
          <w:ilvl w:val="0"/>
          <w:numId w:val="833"/>
        </w:numPr>
        <w:rPr>
          <w:rFonts w:ascii="Arial" w:cs="Arial" w:eastAsia="Arial" w:hAnsi="Arial"/>
          <w:sz w:val="15"/>
          <w:szCs w:val="15"/>
          <w:color w:val="auto"/>
        </w:rPr>
      </w:pPr>
      <w:r>
        <w:rPr>
          <w:rFonts w:ascii="Arial" w:cs="Arial" w:eastAsia="Arial" w:hAnsi="Arial"/>
          <w:sz w:val="15"/>
          <w:szCs w:val="15"/>
          <w:color w:val="auto"/>
        </w:rPr>
        <w:t>If payable under paragraph 4.A, the Change of Control Severance Benefits shall be paid on the later of the 60 day after the effective date of Executive’s “separation from service” (within the meaning of Section 409A and the regulations issued thereunder) (“Separation from Service”), or six months and one day after the Executive’s Separation from Service if the Executive is a “specified employee” (as that term is defined under Section 409A of the Code and the regulations issued thereunder) (“Specified Employee”) at the time the Executive becomes entitled to Change of Control Severance Benefits under this Paragraph. If payable under paragraph 4.B, the Separation Benefits shall be paid periodically in installments over the twelve months following the Executive’s Separation from Service, in accordance with the Company’s regular payroll practices, provided that no payment shall be made prior to the 60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after the effective date of Executive’s Separation from Service or six months and one day after the Executive’s Separation from Service if the Executive is a Specified Employee at the time the Executive becomes entitled to the Separation Benefits under this Paragraph. Notwithstanding the foregoing, no Change of Control Severance Benefits or Separation Benefits shall be due under this Agreement unless (a) prior to the 60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after the effective date of Executive’s separation from service, Executive has signed a release agreement (“Release Agreement”) that the Company will provide in which Executive releases any possible claims against the Company and all of</w:t>
      </w:r>
    </w:p>
    <w:p>
      <w:pPr>
        <w:sectPr>
          <w:pgSz w:w="11900" w:h="16864" w:orient="portrait"/>
          <w:cols w:equalWidth="0" w:num="1">
            <w:col w:w="11420"/>
          </w:cols>
          <w:pgMar w:left="240" w:top="127" w:right="239" w:bottom="0" w:gutter="0" w:footer="0" w:header="0"/>
        </w:sectPr>
      </w:pPr>
    </w:p>
    <w:bookmarkStart w:id="460" w:name="page461"/>
    <w:bookmarkEnd w:id="460"/>
    <w:p>
      <w:pPr>
        <w:spacing w:after="0" w:line="29" w:lineRule="exact"/>
        <w:rPr>
          <w:sz w:val="20"/>
          <w:szCs w:val="20"/>
          <w:color w:val="auto"/>
        </w:rPr>
      </w:pPr>
    </w:p>
    <w:p>
      <w:pPr>
        <w:ind w:right="280"/>
        <w:spacing w:after="0" w:line="288" w:lineRule="auto"/>
        <w:rPr>
          <w:sz w:val="20"/>
          <w:szCs w:val="20"/>
          <w:color w:val="auto"/>
        </w:rPr>
      </w:pPr>
      <w:r>
        <w:rPr>
          <w:rFonts w:ascii="Arial" w:cs="Arial" w:eastAsia="Arial" w:hAnsi="Arial"/>
          <w:sz w:val="15"/>
          <w:szCs w:val="15"/>
          <w:color w:val="auto"/>
        </w:rPr>
        <w:t>its parents, divisions, subsidiaries, affiliates, and related companies, and their present and former agents, employees, officers, directors, attorneys, stockholders, plan fiduciaries, successors, and assigns; and (b) prior to the 60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after the effective date of Executive’s separation from service, the seven day revocation period in the Release Agreement has expired without Executive’s revocation. In the case of Separation Benefits, the Release Agreement shall also include a reasonable agreement to cooperate for a period of six months following the employment termination date and a mutual non-disparagement clause.</w:t>
      </w:r>
    </w:p>
    <w:p>
      <w:pPr>
        <w:spacing w:after="0" w:line="166" w:lineRule="exact"/>
        <w:rPr>
          <w:sz w:val="20"/>
          <w:szCs w:val="20"/>
          <w:color w:val="auto"/>
        </w:rPr>
      </w:pPr>
    </w:p>
    <w:p>
      <w:pPr>
        <w:ind w:left="4240" w:hanging="219"/>
        <w:spacing w:after="0"/>
        <w:tabs>
          <w:tab w:leader="none" w:pos="4240" w:val="left"/>
        </w:tabs>
        <w:numPr>
          <w:ilvl w:val="1"/>
          <w:numId w:val="83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Confidential Information and Trade Secrets</w:t>
      </w:r>
    </w:p>
    <w:p>
      <w:pPr>
        <w:spacing w:after="0" w:line="224" w:lineRule="exact"/>
        <w:rPr>
          <w:rFonts w:ascii="Arial" w:cs="Arial" w:eastAsia="Arial" w:hAnsi="Arial"/>
          <w:sz w:val="17"/>
          <w:szCs w:val="17"/>
          <w:b w:val="1"/>
          <w:bCs w:val="1"/>
          <w:i w:val="1"/>
          <w:iCs w:val="1"/>
          <w:color w:val="auto"/>
        </w:rPr>
      </w:pPr>
    </w:p>
    <w:p>
      <w:pPr>
        <w:ind w:right="40" w:firstLine="634"/>
        <w:spacing w:after="0" w:line="279" w:lineRule="auto"/>
        <w:tabs>
          <w:tab w:leader="none" w:pos="1271" w:val="left"/>
        </w:tabs>
        <w:numPr>
          <w:ilvl w:val="0"/>
          <w:numId w:val="835"/>
        </w:numPr>
        <w:rPr>
          <w:rFonts w:ascii="Arial" w:cs="Arial" w:eastAsia="Arial" w:hAnsi="Arial"/>
          <w:sz w:val="16"/>
          <w:szCs w:val="16"/>
          <w:color w:val="auto"/>
        </w:rPr>
      </w:pPr>
      <w:r>
        <w:rPr>
          <w:rFonts w:ascii="Arial" w:cs="Arial" w:eastAsia="Arial" w:hAnsi="Arial"/>
          <w:sz w:val="16"/>
          <w:szCs w:val="16"/>
          <w:color w:val="auto"/>
        </w:rPr>
        <w:t>AOI is engaged in the highly competitive business of the design, development, manufacture and sale of advanced optical components, including modules and circuitry, systems and processes (“Company’s Business”). In this business, Company generates a significant amount of Confidential Information and Trade Secrets, certain of which it hereby agrees to share with Executive, and which Executive will have access to and knowledge of through or as a result of Executive’s employment with the Company. As used in this Agreement, “Confidential Information and Trade Secrets” includes any information, data or compilation of information or data developed, acquired or generated by Company, or its employees (including information and materials conceived, originating, discovered, or developed in whole or in part by Executive at the request of or for the benefit of Company or while employed by Company), which is not generally known to persons who are not employees of Company, and which Company generally does not share other than with its employees, or with its customers and suppliers on an individual transactional basis. “Confidential Information and Trade Secrets” may be written, verbal or recorded by electronic, magnetic or other methods, whether or not expressly identified as “Confidential” by Company.</w:t>
      </w:r>
    </w:p>
    <w:p>
      <w:pPr>
        <w:spacing w:after="0" w:line="172" w:lineRule="exact"/>
        <w:rPr>
          <w:rFonts w:ascii="Arial" w:cs="Arial" w:eastAsia="Arial" w:hAnsi="Arial"/>
          <w:sz w:val="16"/>
          <w:szCs w:val="16"/>
          <w:color w:val="auto"/>
        </w:rPr>
      </w:pPr>
    </w:p>
    <w:p>
      <w:pPr>
        <w:ind w:left="1260" w:hanging="626"/>
        <w:spacing w:after="0"/>
        <w:tabs>
          <w:tab w:leader="none" w:pos="1260" w:val="left"/>
        </w:tabs>
        <w:numPr>
          <w:ilvl w:val="0"/>
          <w:numId w:val="835"/>
        </w:numPr>
        <w:rPr>
          <w:rFonts w:ascii="Arial" w:cs="Arial" w:eastAsia="Arial" w:hAnsi="Arial"/>
          <w:sz w:val="17"/>
          <w:szCs w:val="17"/>
          <w:color w:val="auto"/>
        </w:rPr>
      </w:pPr>
      <w:r>
        <w:rPr>
          <w:rFonts w:ascii="Arial" w:cs="Arial" w:eastAsia="Arial" w:hAnsi="Arial"/>
          <w:sz w:val="17"/>
          <w:szCs w:val="17"/>
          <w:color w:val="auto"/>
        </w:rPr>
        <w:t>“Confidential Information and Trade Secrets” includes, but is not limited to, the following information and materials: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100" w:firstLine="633"/>
        <w:spacing w:after="0" w:line="289" w:lineRule="auto"/>
        <w:tabs>
          <w:tab w:leader="none" w:pos="2539" w:val="left"/>
        </w:tabs>
        <w:numPr>
          <w:ilvl w:val="1"/>
          <w:numId w:val="836"/>
        </w:numPr>
        <w:rPr>
          <w:rFonts w:ascii="Arial" w:cs="Arial" w:eastAsia="Arial" w:hAnsi="Arial"/>
          <w:sz w:val="17"/>
          <w:szCs w:val="17"/>
          <w:color w:val="auto"/>
        </w:rPr>
      </w:pPr>
      <w:r>
        <w:rPr>
          <w:rFonts w:ascii="Arial" w:cs="Arial" w:eastAsia="Arial" w:hAnsi="Arial"/>
          <w:sz w:val="17"/>
          <w:szCs w:val="17"/>
          <w:color w:val="auto"/>
        </w:rPr>
        <w:t>Financial information of any kind pertaining to Company, including, without limitation, information about the profit margins, profitability, pricing, income and expenses of Company or any of its products or lines of business;</w:t>
      </w:r>
    </w:p>
    <w:p>
      <w:pPr>
        <w:spacing w:after="0" w:line="158" w:lineRule="exact"/>
        <w:rPr>
          <w:rFonts w:ascii="Arial" w:cs="Arial" w:eastAsia="Arial" w:hAnsi="Arial"/>
          <w:sz w:val="17"/>
          <w:szCs w:val="17"/>
          <w:color w:val="auto"/>
        </w:rPr>
      </w:pPr>
    </w:p>
    <w:p>
      <w:pPr>
        <w:jc w:val="both"/>
        <w:ind w:left="1260" w:firstLine="633"/>
        <w:spacing w:after="0" w:line="268" w:lineRule="auto"/>
        <w:tabs>
          <w:tab w:leader="none" w:pos="2548" w:val="left"/>
        </w:tabs>
        <w:numPr>
          <w:ilvl w:val="1"/>
          <w:numId w:val="836"/>
        </w:numPr>
        <w:rPr>
          <w:rFonts w:ascii="Arial" w:cs="Arial" w:eastAsia="Arial" w:hAnsi="Arial"/>
          <w:sz w:val="17"/>
          <w:szCs w:val="17"/>
          <w:color w:val="auto"/>
        </w:rPr>
      </w:pPr>
      <w:r>
        <w:rPr>
          <w:rFonts w:ascii="Arial" w:cs="Arial" w:eastAsia="Arial" w:hAnsi="Arial"/>
          <w:sz w:val="17"/>
          <w:szCs w:val="17"/>
          <w:color w:val="auto"/>
        </w:rPr>
        <w:t>All information about and all communications received from, sent to or exchanged between Company and any person or entity which has purchased, licensed, exchanged or otherwise entered into a transaction with Company, or to which Company has made a proposal with respect to the purchase, sale, license, exchange or other transaction involving any component, products or services which form any part of Company’s Business (such person or entity being hereinafter referred to as customer or customers);</w:t>
      </w:r>
    </w:p>
    <w:p>
      <w:pPr>
        <w:spacing w:after="0" w:line="175" w:lineRule="exact"/>
        <w:rPr>
          <w:rFonts w:ascii="Arial" w:cs="Arial" w:eastAsia="Arial" w:hAnsi="Arial"/>
          <w:sz w:val="17"/>
          <w:szCs w:val="17"/>
          <w:color w:val="auto"/>
        </w:rPr>
      </w:pPr>
    </w:p>
    <w:p>
      <w:pPr>
        <w:ind w:left="1260" w:right="320" w:firstLine="633"/>
        <w:spacing w:after="0" w:line="268" w:lineRule="auto"/>
        <w:tabs>
          <w:tab w:leader="none" w:pos="2558" w:val="left"/>
        </w:tabs>
        <w:numPr>
          <w:ilvl w:val="1"/>
          <w:numId w:val="836"/>
        </w:numPr>
        <w:rPr>
          <w:rFonts w:ascii="Arial" w:cs="Arial" w:eastAsia="Arial" w:hAnsi="Arial"/>
          <w:sz w:val="17"/>
          <w:szCs w:val="17"/>
          <w:color w:val="auto"/>
        </w:rPr>
      </w:pPr>
      <w:r>
        <w:rPr>
          <w:rFonts w:ascii="Arial" w:cs="Arial" w:eastAsia="Arial" w:hAnsi="Arial"/>
          <w:sz w:val="17"/>
          <w:szCs w:val="17"/>
          <w:color w:val="auto"/>
        </w:rPr>
        <w:t>Any and all information and records relating to Company’s contracts or transactions with, or charges, prices or sales to, its customers, including invoices, proposals, confirmations, bills of ladings, statements, accounting records, bids, payment records or any other information or documents regarding amounts charged to or paid by customers, for any software, products or services which form any part of Company’s Business;</w:t>
      </w:r>
    </w:p>
    <w:p>
      <w:pPr>
        <w:spacing w:after="0" w:line="175" w:lineRule="exact"/>
        <w:rPr>
          <w:rFonts w:ascii="Arial" w:cs="Arial" w:eastAsia="Arial" w:hAnsi="Arial"/>
          <w:sz w:val="17"/>
          <w:szCs w:val="17"/>
          <w:color w:val="auto"/>
        </w:rPr>
      </w:pPr>
    </w:p>
    <w:p>
      <w:pPr>
        <w:ind w:left="1260" w:firstLine="633"/>
        <w:spacing w:after="0" w:line="262" w:lineRule="auto"/>
        <w:tabs>
          <w:tab w:leader="none" w:pos="2535" w:val="left"/>
        </w:tabs>
        <w:numPr>
          <w:ilvl w:val="1"/>
          <w:numId w:val="836"/>
        </w:numPr>
        <w:rPr>
          <w:rFonts w:ascii="Arial" w:cs="Arial" w:eastAsia="Arial" w:hAnsi="Arial"/>
          <w:sz w:val="17"/>
          <w:szCs w:val="17"/>
          <w:color w:val="auto"/>
        </w:rPr>
      </w:pPr>
      <w:r>
        <w:rPr>
          <w:rFonts w:ascii="Arial" w:cs="Arial" w:eastAsia="Arial" w:hAnsi="Arial"/>
          <w:sz w:val="17"/>
          <w:szCs w:val="17"/>
          <w:color w:val="auto"/>
        </w:rPr>
        <w:t>All information regarding Company’s scientific, technical or technological information, designs, processes, procedures, formulas, equipment or systems, including without limitation, any components, modules, circuits, software, programs, codes, algorithms, calculations, drawings, plans, or specifications related to the development, design, construction, fabrication, manufacture, operation or furnishing of any software, products, services, or equipment which constitute any part of the Company’s Business, including Company Products. As used in this Agreement, “Company Products” shall mean any and all computer software, optical component, module, circuitry, equipment, products, services, together with any updates, substitutions, enhancements or modifications thereof, and any user manuals, programming manuals and other documentation of any kind.</w:t>
      </w:r>
    </w:p>
    <w:p>
      <w:pPr>
        <w:spacing w:after="0" w:line="184" w:lineRule="exact"/>
        <w:rPr>
          <w:rFonts w:ascii="Arial" w:cs="Arial" w:eastAsia="Arial" w:hAnsi="Arial"/>
          <w:sz w:val="17"/>
          <w:szCs w:val="17"/>
          <w:color w:val="auto"/>
        </w:rPr>
      </w:pPr>
    </w:p>
    <w:p>
      <w:pPr>
        <w:ind w:right="60" w:firstLine="634"/>
        <w:spacing w:after="0" w:line="265" w:lineRule="auto"/>
        <w:tabs>
          <w:tab w:leader="none" w:pos="1261" w:val="left"/>
        </w:tabs>
        <w:numPr>
          <w:ilvl w:val="0"/>
          <w:numId w:val="837"/>
        </w:numPr>
        <w:rPr>
          <w:rFonts w:ascii="Arial" w:cs="Arial" w:eastAsia="Arial" w:hAnsi="Arial"/>
          <w:sz w:val="17"/>
          <w:szCs w:val="17"/>
          <w:color w:val="auto"/>
        </w:rPr>
      </w:pPr>
      <w:r>
        <w:rPr>
          <w:rFonts w:ascii="Arial" w:cs="Arial" w:eastAsia="Arial" w:hAnsi="Arial"/>
          <w:sz w:val="17"/>
          <w:szCs w:val="17"/>
          <w:color w:val="auto"/>
        </w:rPr>
        <w:t>Executive acknowledges that all notes, data, forms, reference and training materials, leads, memoranda, computer programs, computer print-outs, disks and the information contained in any computer, and any other records which contain, reflect or describe any Confidential Information and Trade Secrets, belong exclusively to Company. Upon the termination of Executive’s employment with the Company, Executive shall promptly return such materials and all copies thereof in Executive’s possession to Company, regardless of whether such termination is the result of an Event of Termination for Good Reason or an Event of Termination for Cause (the “Termination Date”).</w:t>
      </w:r>
    </w:p>
    <w:p>
      <w:pPr>
        <w:spacing w:after="0" w:line="179" w:lineRule="exact"/>
        <w:rPr>
          <w:rFonts w:ascii="Arial" w:cs="Arial" w:eastAsia="Arial" w:hAnsi="Arial"/>
          <w:sz w:val="17"/>
          <w:szCs w:val="17"/>
          <w:color w:val="auto"/>
        </w:rPr>
      </w:pPr>
    </w:p>
    <w:p>
      <w:pPr>
        <w:ind w:firstLine="634"/>
        <w:spacing w:after="0" w:line="298" w:lineRule="auto"/>
        <w:tabs>
          <w:tab w:leader="none" w:pos="1271" w:val="left"/>
        </w:tabs>
        <w:numPr>
          <w:ilvl w:val="0"/>
          <w:numId w:val="837"/>
        </w:numPr>
        <w:rPr>
          <w:rFonts w:ascii="Arial" w:cs="Arial" w:eastAsia="Arial" w:hAnsi="Arial"/>
          <w:sz w:val="16"/>
          <w:szCs w:val="16"/>
          <w:color w:val="auto"/>
        </w:rPr>
      </w:pPr>
      <w:r>
        <w:rPr>
          <w:rFonts w:ascii="Arial" w:cs="Arial" w:eastAsia="Arial" w:hAnsi="Arial"/>
          <w:sz w:val="16"/>
          <w:szCs w:val="16"/>
          <w:color w:val="auto"/>
        </w:rPr>
        <w:t>During Executive’s employment with Company and thereafter, Executive will not copy, publish, convey, transfer, disclose nor use, directly or indirectly, for Executive’s own benefit or for the benefit of any other person or entity (except Company) any Confidential Information and Trade Secrets; provided, that any copying or other prohibited use of Confidential Information and Trade Secrets shall not include copying or otherwise using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Confidential Information and Trade Secrets in connection with communications with current or potential customers or vendors that the Executive reasonably expects to have a direct benefit to the Company. Executive will abide by all rules, guidelines, policies and procedures relating to Confidential Information and Trade Secrets implemented and/or amended from time to time by Company.</w:t>
      </w:r>
    </w:p>
    <w:p>
      <w:pPr>
        <w:spacing w:after="0" w:line="172" w:lineRule="exact"/>
        <w:rPr>
          <w:sz w:val="20"/>
          <w:szCs w:val="20"/>
          <w:color w:val="auto"/>
        </w:rPr>
      </w:pPr>
    </w:p>
    <w:p>
      <w:pPr>
        <w:ind w:right="100" w:firstLine="634"/>
        <w:spacing w:after="0" w:line="283" w:lineRule="auto"/>
        <w:tabs>
          <w:tab w:leader="none" w:pos="1265" w:val="left"/>
        </w:tabs>
        <w:numPr>
          <w:ilvl w:val="0"/>
          <w:numId w:val="838"/>
        </w:numPr>
        <w:rPr>
          <w:rFonts w:ascii="Arial" w:cs="Arial" w:eastAsia="Arial" w:hAnsi="Arial"/>
          <w:sz w:val="16"/>
          <w:szCs w:val="16"/>
          <w:color w:val="auto"/>
        </w:rPr>
      </w:pPr>
      <w:r>
        <w:rPr>
          <w:rFonts w:ascii="Arial" w:cs="Arial" w:eastAsia="Arial" w:hAnsi="Arial"/>
          <w:sz w:val="16"/>
          <w:szCs w:val="16"/>
          <w:color w:val="auto"/>
        </w:rPr>
        <w:t>Executive acknowledges that any actual or threatened breach of the covenants contained herein will cause Company irreparable harm and that money damages would not provide an adequate remedy to Company for any such breach. For these reasons, and because of the unique nature of the Confidential Information and Trade Secrets and the necessity to preserve such Confidential Information and Trade Secrets in order to protect Company’s property rights in the event of a breach or threatened breach of any of the provisions herein, Company, in addition to any other remedies available to it at law or in equity, shall be entitled to immediate injunctive relief against Executive to enforce the provisions of this Agreement and shall be entitled to recover from Executive its reasonable attorneys’ fees and other expenses incurred in connection with such proceedings.</w:t>
      </w:r>
    </w:p>
    <w:p>
      <w:pPr>
        <w:spacing w:after="0" w:line="167" w:lineRule="exact"/>
        <w:rPr>
          <w:sz w:val="20"/>
          <w:szCs w:val="20"/>
          <w:color w:val="auto"/>
        </w:rPr>
      </w:pPr>
    </w:p>
    <w:p>
      <w:pPr>
        <w:ind w:left="4900" w:hanging="220"/>
        <w:spacing w:after="0"/>
        <w:tabs>
          <w:tab w:leader="none" w:pos="4900" w:val="left"/>
        </w:tabs>
        <w:numPr>
          <w:ilvl w:val="1"/>
          <w:numId w:val="83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Covenant Not to Compete</w:t>
      </w:r>
    </w:p>
    <w:p>
      <w:pPr>
        <w:spacing w:after="0" w:line="224" w:lineRule="exact"/>
        <w:rPr>
          <w:rFonts w:ascii="Arial" w:cs="Arial" w:eastAsia="Arial" w:hAnsi="Arial"/>
          <w:sz w:val="17"/>
          <w:szCs w:val="17"/>
          <w:b w:val="1"/>
          <w:bCs w:val="1"/>
          <w:i w:val="1"/>
          <w:iCs w:val="1"/>
          <w:color w:val="auto"/>
        </w:rPr>
      </w:pPr>
    </w:p>
    <w:p>
      <w:pPr>
        <w:ind w:right="20" w:firstLine="634"/>
        <w:spacing w:after="0" w:line="285" w:lineRule="auto"/>
        <w:tabs>
          <w:tab w:leader="none" w:pos="1271" w:val="left"/>
        </w:tabs>
        <w:numPr>
          <w:ilvl w:val="0"/>
          <w:numId w:val="840"/>
        </w:numPr>
        <w:rPr>
          <w:rFonts w:ascii="Arial" w:cs="Arial" w:eastAsia="Arial" w:hAnsi="Arial"/>
          <w:sz w:val="16"/>
          <w:szCs w:val="16"/>
          <w:color w:val="auto"/>
        </w:rPr>
      </w:pPr>
      <w:r>
        <w:rPr>
          <w:rFonts w:ascii="Arial" w:cs="Arial" w:eastAsia="Arial" w:hAnsi="Arial"/>
          <w:sz w:val="16"/>
          <w:szCs w:val="16"/>
          <w:color w:val="auto"/>
        </w:rPr>
        <w:t>Throughout Executive’s employment with the Company, Company agrees to give Executive access to certain of its Confidential Information and Trade Secrets concerning Company’s Business and its employees, customers and customer representatives, suppliers and supplier representatives, and Company’s transactional histories as well as information about the logistics, details and expenses of Company in connection with any goods, products or services which form any part of Company’s Business. Company agrees to provide this information to Executive in order to allow Executive to perform Executive’s duties under this Agreement, and to develop relationships with customers, customer representatives, suppliers and supplier representatives of the Company.</w:t>
      </w:r>
    </w:p>
    <w:p>
      <w:pPr>
        <w:spacing w:after="0" w:line="166" w:lineRule="exact"/>
        <w:rPr>
          <w:rFonts w:ascii="Arial" w:cs="Arial" w:eastAsia="Arial" w:hAnsi="Arial"/>
          <w:sz w:val="16"/>
          <w:szCs w:val="16"/>
          <w:color w:val="auto"/>
        </w:rPr>
      </w:pPr>
    </w:p>
    <w:p>
      <w:pPr>
        <w:ind w:right="260" w:firstLine="634"/>
        <w:spacing w:after="0" w:line="322" w:lineRule="auto"/>
        <w:tabs>
          <w:tab w:leader="none" w:pos="1261" w:val="left"/>
        </w:tabs>
        <w:numPr>
          <w:ilvl w:val="0"/>
          <w:numId w:val="840"/>
        </w:numPr>
        <w:rPr>
          <w:rFonts w:ascii="Arial" w:cs="Arial" w:eastAsia="Arial" w:hAnsi="Arial"/>
          <w:sz w:val="16"/>
          <w:szCs w:val="16"/>
          <w:color w:val="auto"/>
        </w:rPr>
      </w:pPr>
      <w:r>
        <w:rPr>
          <w:rFonts w:ascii="Arial" w:cs="Arial" w:eastAsia="Arial" w:hAnsi="Arial"/>
          <w:sz w:val="16"/>
          <w:szCs w:val="16"/>
          <w:color w:val="auto"/>
        </w:rPr>
        <w:t>Company agrees to provide, and to continue to provide, Executive with both specialized knowledge and education in Company’s Business, in order to allow Executive to perform Executive’s duties in an efficient, proper and effective manner. Such knowledge and education may consist of verbal</w:t>
      </w:r>
    </w:p>
    <w:p>
      <w:pPr>
        <w:sectPr>
          <w:pgSz w:w="11900" w:h="16868" w:orient="portrait"/>
          <w:cols w:equalWidth="0" w:num="1">
            <w:col w:w="11420"/>
          </w:cols>
          <w:pgMar w:left="240" w:top="128" w:right="239" w:bottom="0" w:gutter="0" w:footer="0" w:header="0"/>
        </w:sectPr>
      </w:pPr>
    </w:p>
    <w:bookmarkStart w:id="461" w:name="page462"/>
    <w:bookmarkEnd w:id="461"/>
    <w:p>
      <w:pPr>
        <w:ind w:right="140"/>
        <w:spacing w:after="0" w:line="268" w:lineRule="auto"/>
        <w:rPr>
          <w:sz w:val="20"/>
          <w:szCs w:val="20"/>
          <w:color w:val="auto"/>
        </w:rPr>
      </w:pPr>
      <w:r>
        <w:rPr>
          <w:rFonts w:ascii="Arial" w:cs="Arial" w:eastAsia="Arial" w:hAnsi="Arial"/>
          <w:sz w:val="17"/>
          <w:szCs w:val="17"/>
          <w:color w:val="auto"/>
        </w:rPr>
        <w:t>instructions and information, the furnishing of written materials, consultation and counseling, sales, staff and employee meetings, training sessions and seminars, in addition to formal or informal information and orientation methodologies and procedures. Executive will have access to certain of Company’s transactional histories, and the details of prior purchases, sales, trades or exchanges, in order that Executive can learn Company’s Business and/or improve Executive’s skills, experience and knowledge.</w:t>
      </w:r>
    </w:p>
    <w:p>
      <w:pPr>
        <w:spacing w:after="0" w:line="176" w:lineRule="exact"/>
        <w:rPr>
          <w:sz w:val="20"/>
          <w:szCs w:val="20"/>
          <w:color w:val="auto"/>
        </w:rPr>
      </w:pPr>
    </w:p>
    <w:p>
      <w:pPr>
        <w:ind w:right="100" w:firstLine="634"/>
        <w:spacing w:after="0" w:line="298" w:lineRule="auto"/>
        <w:tabs>
          <w:tab w:leader="none" w:pos="1261" w:val="left"/>
        </w:tabs>
        <w:numPr>
          <w:ilvl w:val="0"/>
          <w:numId w:val="841"/>
        </w:numPr>
        <w:rPr>
          <w:rFonts w:ascii="Arial" w:cs="Arial" w:eastAsia="Arial" w:hAnsi="Arial"/>
          <w:sz w:val="16"/>
          <w:szCs w:val="16"/>
          <w:color w:val="auto"/>
        </w:rPr>
      </w:pPr>
      <w:r>
        <w:rPr>
          <w:rFonts w:ascii="Arial" w:cs="Arial" w:eastAsia="Arial" w:hAnsi="Arial"/>
          <w:sz w:val="16"/>
          <w:szCs w:val="16"/>
          <w:color w:val="auto"/>
        </w:rPr>
        <w:t>In consideration of Company’s employment of Executive as a highly valued employee, the Company’s agreement to provide Executive with access to certain Confidential Information and Trade Secrets, and the Company’s agreement to provide specialized knowledge and education, Executive agrees to refrain from competing with Company or otherwise engaging in Restricted Activities, as defined below, during the Restricted Period.</w:t>
      </w:r>
    </w:p>
    <w:p>
      <w:pPr>
        <w:spacing w:after="0" w:line="153" w:lineRule="exact"/>
        <w:rPr>
          <w:rFonts w:ascii="Arial" w:cs="Arial" w:eastAsia="Arial" w:hAnsi="Arial"/>
          <w:sz w:val="16"/>
          <w:szCs w:val="16"/>
          <w:color w:val="auto"/>
        </w:rPr>
      </w:pPr>
    </w:p>
    <w:p>
      <w:pPr>
        <w:ind w:right="100" w:firstLine="634"/>
        <w:spacing w:after="0" w:line="289" w:lineRule="auto"/>
        <w:tabs>
          <w:tab w:leader="none" w:pos="1271" w:val="left"/>
        </w:tabs>
        <w:numPr>
          <w:ilvl w:val="0"/>
          <w:numId w:val="841"/>
        </w:numPr>
        <w:rPr>
          <w:rFonts w:ascii="Arial" w:cs="Arial" w:eastAsia="Arial" w:hAnsi="Arial"/>
          <w:sz w:val="17"/>
          <w:szCs w:val="17"/>
          <w:color w:val="auto"/>
        </w:rPr>
      </w:pPr>
      <w:r>
        <w:rPr>
          <w:rFonts w:ascii="Arial" w:cs="Arial" w:eastAsia="Arial" w:hAnsi="Arial"/>
          <w:sz w:val="17"/>
          <w:szCs w:val="17"/>
          <w:color w:val="auto"/>
        </w:rPr>
        <w:t>Executive agrees that during the term of his employment with Company and for a period of one (1) year after the Executive’s employment with the Company terminates (the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“Restricted Period”), regardless of whether the termination occurs with or without cause and regardless of who terminates this Agreement, Executive will not directly or indirectly, as an employee, officer, director, shareholder, proprietor, agent, partner, recruiter, consultant, independent contractor or in any other individual or representative capacity engage in any of the Restricted Activities.</w:t>
      </w:r>
    </w:p>
    <w:p>
      <w:pPr>
        <w:spacing w:after="0" w:line="172" w:lineRule="exact"/>
        <w:rPr>
          <w:sz w:val="20"/>
          <w:szCs w:val="20"/>
          <w:color w:val="auto"/>
        </w:rPr>
      </w:pPr>
    </w:p>
    <w:p>
      <w:pPr>
        <w:ind w:left="1260" w:hanging="626"/>
        <w:spacing w:after="0"/>
        <w:tabs>
          <w:tab w:leader="none" w:pos="1260" w:val="left"/>
        </w:tabs>
        <w:numPr>
          <w:ilvl w:val="0"/>
          <w:numId w:val="842"/>
        </w:numPr>
        <w:rPr>
          <w:rFonts w:ascii="Arial" w:cs="Arial" w:eastAsia="Arial" w:hAnsi="Arial"/>
          <w:sz w:val="17"/>
          <w:szCs w:val="17"/>
          <w:color w:val="auto"/>
        </w:rPr>
      </w:pPr>
      <w:r>
        <w:rPr>
          <w:rFonts w:ascii="Arial" w:cs="Arial" w:eastAsia="Arial" w:hAnsi="Arial"/>
          <w:sz w:val="17"/>
          <w:szCs w:val="17"/>
          <w:color w:val="auto"/>
        </w:rPr>
        <w:t>“Restricted Activities” means and includes the following:</w:t>
      </w:r>
    </w:p>
    <w:p>
      <w:pPr>
        <w:spacing w:after="0" w:line="224" w:lineRule="exact"/>
        <w:rPr>
          <w:rFonts w:ascii="Arial" w:cs="Arial" w:eastAsia="Arial" w:hAnsi="Arial"/>
          <w:sz w:val="17"/>
          <w:szCs w:val="17"/>
          <w:color w:val="auto"/>
        </w:rPr>
      </w:pPr>
    </w:p>
    <w:p>
      <w:pPr>
        <w:ind w:left="1260" w:right="60" w:firstLine="633"/>
        <w:spacing w:after="0" w:line="273" w:lineRule="auto"/>
        <w:tabs>
          <w:tab w:leader="none" w:pos="2539" w:val="left"/>
        </w:tabs>
        <w:numPr>
          <w:ilvl w:val="1"/>
          <w:numId w:val="842"/>
        </w:numPr>
        <w:rPr>
          <w:rFonts w:ascii="Arial" w:cs="Arial" w:eastAsia="Arial" w:hAnsi="Arial"/>
          <w:sz w:val="17"/>
          <w:szCs w:val="17"/>
          <w:color w:val="auto"/>
        </w:rPr>
      </w:pPr>
      <w:r>
        <w:rPr>
          <w:rFonts w:ascii="Arial" w:cs="Arial" w:eastAsia="Arial" w:hAnsi="Arial"/>
          <w:sz w:val="17"/>
          <w:szCs w:val="17"/>
          <w:color w:val="auto"/>
        </w:rPr>
        <w:t>Conducting, engaging or participating, directly or indirectly, as the general manager or division head, agent, independent contractor, consultant, partner, shareholder, investor, lender, underwriter, supplier, customer or in any other similar capacity, in any business that competes with any part of the Company’s Business;</w:t>
      </w:r>
    </w:p>
    <w:p>
      <w:pPr>
        <w:spacing w:after="0" w:line="171" w:lineRule="exact"/>
        <w:rPr>
          <w:rFonts w:ascii="Arial" w:cs="Arial" w:eastAsia="Arial" w:hAnsi="Arial"/>
          <w:sz w:val="17"/>
          <w:szCs w:val="17"/>
          <w:color w:val="auto"/>
        </w:rPr>
      </w:pPr>
    </w:p>
    <w:p>
      <w:pPr>
        <w:jc w:val="both"/>
        <w:ind w:left="1260" w:right="60" w:firstLine="633"/>
        <w:spacing w:after="0" w:line="265" w:lineRule="auto"/>
        <w:tabs>
          <w:tab w:leader="none" w:pos="2548" w:val="left"/>
        </w:tabs>
        <w:numPr>
          <w:ilvl w:val="1"/>
          <w:numId w:val="842"/>
        </w:numPr>
        <w:rPr>
          <w:rFonts w:ascii="Arial" w:cs="Arial" w:eastAsia="Arial" w:hAnsi="Arial"/>
          <w:sz w:val="17"/>
          <w:szCs w:val="17"/>
          <w:color w:val="auto"/>
        </w:rPr>
      </w:pPr>
      <w:r>
        <w:rPr>
          <w:rFonts w:ascii="Arial" w:cs="Arial" w:eastAsia="Arial" w:hAnsi="Arial"/>
          <w:sz w:val="17"/>
          <w:szCs w:val="17"/>
          <w:color w:val="auto"/>
        </w:rPr>
        <w:t>Recruiting, hiring, and/or attempting to recruit or hire, directly or by assisting others, any other employee, temporary or permanent, contract, part time or full time of the Company. For purposes of this covenant “any other employee” shall refer to employees, consultants or others who are under contract to provide services to the Company and who are still actively employed by, or doing business with, the Company at the time of the attempted recruiting or hiring, or were so employed or doing business at any time within six (6) months prior to the time of such attempted recruiting or hiring; and</w:t>
      </w:r>
    </w:p>
    <w:p>
      <w:pPr>
        <w:spacing w:after="0" w:line="179" w:lineRule="exact"/>
        <w:rPr>
          <w:rFonts w:ascii="Arial" w:cs="Arial" w:eastAsia="Arial" w:hAnsi="Arial"/>
          <w:sz w:val="17"/>
          <w:szCs w:val="17"/>
          <w:color w:val="auto"/>
        </w:rPr>
      </w:pPr>
    </w:p>
    <w:p>
      <w:pPr>
        <w:ind w:left="1260" w:right="140" w:firstLine="633"/>
        <w:spacing w:after="0" w:line="289" w:lineRule="auto"/>
        <w:tabs>
          <w:tab w:leader="none" w:pos="2558" w:val="left"/>
        </w:tabs>
        <w:numPr>
          <w:ilvl w:val="1"/>
          <w:numId w:val="842"/>
        </w:numPr>
        <w:rPr>
          <w:rFonts w:ascii="Arial" w:cs="Arial" w:eastAsia="Arial" w:hAnsi="Arial"/>
          <w:sz w:val="17"/>
          <w:szCs w:val="17"/>
          <w:color w:val="auto"/>
        </w:rPr>
      </w:pPr>
      <w:r>
        <w:rPr>
          <w:rFonts w:ascii="Arial" w:cs="Arial" w:eastAsia="Arial" w:hAnsi="Arial"/>
          <w:sz w:val="17"/>
          <w:szCs w:val="17"/>
          <w:color w:val="auto"/>
        </w:rPr>
        <w:t>Using, disclosing, publishing, copying, distributing or communicating any Confidential Information and Trade Secrets to, or for the use or benefit of Executive or any other person or entity other than Company.</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842"/>
        </w:numPr>
        <w:rPr>
          <w:rFonts w:ascii="Arial" w:cs="Arial" w:eastAsia="Arial" w:hAnsi="Arial"/>
          <w:sz w:val="17"/>
          <w:szCs w:val="17"/>
          <w:color w:val="auto"/>
        </w:rPr>
      </w:pPr>
      <w:r>
        <w:rPr>
          <w:rFonts w:ascii="Arial" w:cs="Arial" w:eastAsia="Arial" w:hAnsi="Arial"/>
          <w:sz w:val="17"/>
          <w:szCs w:val="17"/>
          <w:color w:val="auto"/>
        </w:rPr>
        <w:t>“Restricted Area” shall mean and include each of the following:</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1"/>
          <w:numId w:val="842"/>
        </w:numPr>
        <w:rPr>
          <w:rFonts w:ascii="Arial" w:cs="Arial" w:eastAsia="Arial" w:hAnsi="Arial"/>
          <w:sz w:val="17"/>
          <w:szCs w:val="17"/>
          <w:color w:val="auto"/>
        </w:rPr>
      </w:pPr>
      <w:r>
        <w:rPr>
          <w:rFonts w:ascii="Arial" w:cs="Arial" w:eastAsia="Arial" w:hAnsi="Arial"/>
          <w:sz w:val="17"/>
          <w:szCs w:val="17"/>
          <w:color w:val="auto"/>
        </w:rPr>
        <w:t>Fort Bend County, Texas and Harris County, Texas;</w:t>
      </w:r>
    </w:p>
    <w:p>
      <w:pPr>
        <w:spacing w:after="0" w:line="224" w:lineRule="exact"/>
        <w:rPr>
          <w:rFonts w:ascii="Arial" w:cs="Arial" w:eastAsia="Arial" w:hAnsi="Arial"/>
          <w:sz w:val="17"/>
          <w:szCs w:val="17"/>
          <w:color w:val="auto"/>
        </w:rPr>
      </w:pPr>
    </w:p>
    <w:p>
      <w:pPr>
        <w:ind w:left="1260" w:right="640" w:firstLine="633"/>
        <w:spacing w:after="0" w:line="289" w:lineRule="auto"/>
        <w:tabs>
          <w:tab w:leader="none" w:pos="2548" w:val="left"/>
        </w:tabs>
        <w:numPr>
          <w:ilvl w:val="1"/>
          <w:numId w:val="842"/>
        </w:numPr>
        <w:rPr>
          <w:rFonts w:ascii="Arial" w:cs="Arial" w:eastAsia="Arial" w:hAnsi="Arial"/>
          <w:sz w:val="17"/>
          <w:szCs w:val="17"/>
          <w:color w:val="auto"/>
        </w:rPr>
      </w:pPr>
      <w:r>
        <w:rPr>
          <w:rFonts w:ascii="Arial" w:cs="Arial" w:eastAsia="Arial" w:hAnsi="Arial"/>
          <w:sz w:val="17"/>
          <w:szCs w:val="17"/>
          <w:color w:val="auto"/>
        </w:rPr>
        <w:t>Within a twenty-five (25) mile radius of the location of any office, facility or other business location of any customer, customer representative, supplier or supplier representative; and</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1"/>
          <w:numId w:val="842"/>
        </w:numPr>
        <w:rPr>
          <w:rFonts w:ascii="Arial" w:cs="Arial" w:eastAsia="Arial" w:hAnsi="Arial"/>
          <w:sz w:val="17"/>
          <w:szCs w:val="17"/>
          <w:color w:val="auto"/>
        </w:rPr>
      </w:pPr>
      <w:r>
        <w:rPr>
          <w:rFonts w:ascii="Arial" w:cs="Arial" w:eastAsia="Arial" w:hAnsi="Arial"/>
          <w:sz w:val="17"/>
          <w:szCs w:val="17"/>
          <w:color w:val="auto"/>
        </w:rPr>
        <w:t>Within a sixty (60) miles radius of any office, facility or other business location of Company.</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842"/>
        </w:numPr>
        <w:rPr>
          <w:rFonts w:ascii="Arial" w:cs="Arial" w:eastAsia="Arial" w:hAnsi="Arial"/>
          <w:sz w:val="16"/>
          <w:szCs w:val="16"/>
          <w:color w:val="auto"/>
        </w:rPr>
      </w:pPr>
      <w:r>
        <w:rPr>
          <w:rFonts w:ascii="Arial" w:cs="Arial" w:eastAsia="Arial" w:hAnsi="Arial"/>
          <w:sz w:val="16"/>
          <w:szCs w:val="16"/>
          <w:color w:val="auto"/>
        </w:rPr>
        <w:t>Executive acknowledges that this Agreement prohibits the performance of Restricted Activities from outside the Restricted Area into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Restricted Area.</w:t>
      </w:r>
    </w:p>
    <w:p>
      <w:pPr>
        <w:spacing w:after="0" w:line="212" w:lineRule="exact"/>
        <w:rPr>
          <w:rFonts w:ascii="Arial" w:cs="Arial" w:eastAsia="Arial" w:hAnsi="Arial"/>
          <w:sz w:val="16"/>
          <w:szCs w:val="16"/>
          <w:color w:val="auto"/>
        </w:rPr>
      </w:pPr>
    </w:p>
    <w:p>
      <w:pPr>
        <w:ind w:right="240" w:firstLine="634"/>
        <w:spacing w:after="0" w:line="298" w:lineRule="auto"/>
        <w:tabs>
          <w:tab w:leader="none" w:pos="1258" w:val="left"/>
        </w:tabs>
        <w:numPr>
          <w:ilvl w:val="0"/>
          <w:numId w:val="842"/>
        </w:numPr>
        <w:rPr>
          <w:rFonts w:ascii="Arial" w:cs="Arial" w:eastAsia="Arial" w:hAnsi="Arial"/>
          <w:sz w:val="16"/>
          <w:szCs w:val="16"/>
          <w:color w:val="auto"/>
        </w:rPr>
      </w:pPr>
      <w:r>
        <w:rPr>
          <w:rFonts w:ascii="Arial" w:cs="Arial" w:eastAsia="Arial" w:hAnsi="Arial"/>
          <w:sz w:val="16"/>
          <w:szCs w:val="16"/>
          <w:color w:val="auto"/>
        </w:rPr>
        <w:t>The Company and Executive acknowledge that the provisions contained in this Article 6 shall not prevent Executive or Executive’s Affiliates from owning solely as an investment, directly or indirectly, securities of any publicly traded corporation engaged in the Company’s Business if Executive and Executive’s Affiliates do not, directly or indirectly, beneficially own in the aggregate more than 5% of all classes of outstanding equity securities of such entity.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34"/>
        <w:spacing w:after="0" w:line="273" w:lineRule="auto"/>
        <w:tabs>
          <w:tab w:leader="none" w:pos="1256" w:val="left"/>
        </w:tabs>
        <w:numPr>
          <w:ilvl w:val="0"/>
          <w:numId w:val="843"/>
        </w:numPr>
        <w:rPr>
          <w:rFonts w:ascii="Arial" w:cs="Arial" w:eastAsia="Arial" w:hAnsi="Arial"/>
          <w:sz w:val="17"/>
          <w:szCs w:val="17"/>
          <w:color w:val="auto"/>
        </w:rPr>
      </w:pPr>
      <w:r>
        <w:rPr>
          <w:rFonts w:ascii="Arial" w:cs="Arial" w:eastAsia="Arial" w:hAnsi="Arial"/>
          <w:sz w:val="17"/>
          <w:szCs w:val="17"/>
          <w:color w:val="auto"/>
        </w:rPr>
        <w:t>Executive and the Company agree that this Covenant Not to Compete is ancillary to the Company’s agreement to employ the Executive as described by this Agreement, this Agreement’s provisions regarding severance benefits, and this Agreement’s provisions regarding non-disclosure of confidential information and trade secrets.</w:t>
      </w:r>
    </w:p>
    <w:p>
      <w:pPr>
        <w:spacing w:after="0" w:line="171" w:lineRule="exact"/>
        <w:rPr>
          <w:rFonts w:ascii="Arial" w:cs="Arial" w:eastAsia="Arial" w:hAnsi="Arial"/>
          <w:sz w:val="17"/>
          <w:szCs w:val="17"/>
          <w:color w:val="auto"/>
        </w:rPr>
      </w:pPr>
    </w:p>
    <w:p>
      <w:pPr>
        <w:ind w:right="20" w:firstLine="634"/>
        <w:spacing w:after="0" w:line="289" w:lineRule="auto"/>
        <w:tabs>
          <w:tab w:leader="none" w:pos="1265" w:val="left"/>
        </w:tabs>
        <w:numPr>
          <w:ilvl w:val="0"/>
          <w:numId w:val="843"/>
        </w:numPr>
        <w:rPr>
          <w:rFonts w:ascii="Arial" w:cs="Arial" w:eastAsia="Arial" w:hAnsi="Arial"/>
          <w:sz w:val="17"/>
          <w:szCs w:val="17"/>
          <w:color w:val="auto"/>
        </w:rPr>
      </w:pPr>
      <w:r>
        <w:rPr>
          <w:rFonts w:ascii="Arial" w:cs="Arial" w:eastAsia="Arial" w:hAnsi="Arial"/>
          <w:sz w:val="17"/>
          <w:szCs w:val="17"/>
          <w:color w:val="auto"/>
        </w:rPr>
        <w:t>Executive and the Company agree that the limitations as to time and scope of activity to be restrained are reasonable and do not impose a greater restraint on Executive than is necessary to protect the property rights and other business interests of Company.</w:t>
      </w:r>
    </w:p>
    <w:p>
      <w:pPr>
        <w:spacing w:after="0" w:line="158" w:lineRule="exact"/>
        <w:rPr>
          <w:rFonts w:ascii="Arial" w:cs="Arial" w:eastAsia="Arial" w:hAnsi="Arial"/>
          <w:sz w:val="17"/>
          <w:szCs w:val="17"/>
          <w:color w:val="auto"/>
        </w:rPr>
      </w:pPr>
    </w:p>
    <w:p>
      <w:pPr>
        <w:ind w:right="200" w:firstLine="634"/>
        <w:spacing w:after="0" w:line="273" w:lineRule="auto"/>
        <w:tabs>
          <w:tab w:leader="none" w:pos="1258" w:val="left"/>
        </w:tabs>
        <w:numPr>
          <w:ilvl w:val="0"/>
          <w:numId w:val="843"/>
        </w:numPr>
        <w:rPr>
          <w:rFonts w:ascii="Arial" w:cs="Arial" w:eastAsia="Arial" w:hAnsi="Arial"/>
          <w:sz w:val="17"/>
          <w:szCs w:val="17"/>
          <w:color w:val="auto"/>
        </w:rPr>
      </w:pPr>
      <w:r>
        <w:rPr>
          <w:rFonts w:ascii="Arial" w:cs="Arial" w:eastAsia="Arial" w:hAnsi="Arial"/>
          <w:sz w:val="17"/>
          <w:szCs w:val="17"/>
          <w:color w:val="auto"/>
        </w:rPr>
        <w:t>If Executive fails to comply with, or breaches, or threatens to breach, any of the provisions herein, Company in addition to any other remedies available to it at law or in equity, shall be entitled to immediate injunctive relief to enforce the provisions of this Section 6 and shall be entitled to recover from Executive reasonable attorneys’ fees and other expenses incurred by Company in connection with such proceedings.</w:t>
      </w:r>
    </w:p>
    <w:p>
      <w:pPr>
        <w:spacing w:after="0" w:line="172" w:lineRule="exact"/>
        <w:rPr>
          <w:sz w:val="20"/>
          <w:szCs w:val="20"/>
          <w:color w:val="auto"/>
        </w:rPr>
      </w:pPr>
    </w:p>
    <w:p>
      <w:pPr>
        <w:ind w:left="5140" w:hanging="227"/>
        <w:spacing w:after="0"/>
        <w:tabs>
          <w:tab w:leader="none" w:pos="5140" w:val="left"/>
        </w:tabs>
        <w:numPr>
          <w:ilvl w:val="1"/>
          <w:numId w:val="84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General Provisions</w:t>
      </w:r>
    </w:p>
    <w:p>
      <w:pPr>
        <w:spacing w:after="0" w:line="224" w:lineRule="exact"/>
        <w:rPr>
          <w:rFonts w:ascii="Arial" w:cs="Arial" w:eastAsia="Arial" w:hAnsi="Arial"/>
          <w:sz w:val="17"/>
          <w:szCs w:val="17"/>
          <w:b w:val="1"/>
          <w:bCs w:val="1"/>
          <w:i w:val="1"/>
          <w:iCs w:val="1"/>
          <w:color w:val="auto"/>
        </w:rPr>
      </w:pPr>
    </w:p>
    <w:p>
      <w:pPr>
        <w:ind w:firstLine="634"/>
        <w:spacing w:after="0" w:line="285" w:lineRule="auto"/>
        <w:tabs>
          <w:tab w:leader="none" w:pos="1271" w:val="left"/>
        </w:tabs>
        <w:numPr>
          <w:ilvl w:val="0"/>
          <w:numId w:val="845"/>
        </w:numPr>
        <w:rPr>
          <w:rFonts w:ascii="Arial" w:cs="Arial" w:eastAsia="Arial" w:hAnsi="Arial"/>
          <w:sz w:val="16"/>
          <w:szCs w:val="16"/>
          <w:color w:val="auto"/>
        </w:rPr>
      </w:pPr>
      <w:r>
        <w:rPr>
          <w:rFonts w:ascii="Arial" w:cs="Arial" w:eastAsia="Arial" w:hAnsi="Arial"/>
          <w:sz w:val="16"/>
          <w:szCs w:val="16"/>
          <w:color w:val="auto"/>
        </w:rPr>
        <w:t>This Agreement may not be assigned by Executive. This Agreement may be assigned in whole or in part by the Company to a successor in interest. Executive expressly agrees to honor and accept such assignment or other transfer and, on the consummation thereof, to attorn to the Company’s assignee and to perform Executive’s duties and obligations under this Agreement for the benefit of the Company’s assignee as if the Company’s assignee were the Company. Executive further agrees that, on the consummation of such assignment or other transfer, all references in this Agreement to the Company shall become and shall be deemed to be references to the Company’s assignee and the Company shall be relieved of all obligations under this Agreement.</w:t>
      </w:r>
    </w:p>
    <w:p>
      <w:pPr>
        <w:spacing w:after="0" w:line="166" w:lineRule="exact"/>
        <w:rPr>
          <w:rFonts w:ascii="Arial" w:cs="Arial" w:eastAsia="Arial" w:hAnsi="Arial"/>
          <w:sz w:val="16"/>
          <w:szCs w:val="16"/>
          <w:color w:val="auto"/>
        </w:rPr>
      </w:pPr>
    </w:p>
    <w:p>
      <w:pPr>
        <w:jc w:val="both"/>
        <w:ind w:right="120" w:firstLine="634"/>
        <w:spacing w:after="0" w:line="273" w:lineRule="auto"/>
        <w:tabs>
          <w:tab w:leader="none" w:pos="1261" w:val="left"/>
        </w:tabs>
        <w:numPr>
          <w:ilvl w:val="0"/>
          <w:numId w:val="845"/>
        </w:numPr>
        <w:rPr>
          <w:rFonts w:ascii="Arial" w:cs="Arial" w:eastAsia="Arial" w:hAnsi="Arial"/>
          <w:sz w:val="17"/>
          <w:szCs w:val="17"/>
          <w:color w:val="auto"/>
        </w:rPr>
      </w:pPr>
      <w:r>
        <w:rPr>
          <w:rFonts w:ascii="Arial" w:cs="Arial" w:eastAsia="Arial" w:hAnsi="Arial"/>
          <w:sz w:val="17"/>
          <w:szCs w:val="17"/>
          <w:color w:val="auto"/>
        </w:rPr>
        <w:t>This Agreement shall be governed by, construed, and enforced in accordance with the internal, local laws, of the State of Texas (without regard to conflicts of law rules) and the obligations of the Company and Executive shall be performable in the State of Texas. The Parties agree that proper jurisdiction and venue for any dispute arising under this Agreement are in state or federal court in Harris County, Texas.</w:t>
      </w:r>
    </w:p>
    <w:p>
      <w:pPr>
        <w:sectPr>
          <w:pgSz w:w="11900" w:h="16838" w:orient="portrait"/>
          <w:cols w:equalWidth="0" w:num="1">
            <w:col w:w="11400"/>
          </w:cols>
          <w:pgMar w:left="240" w:top="127" w:right="259" w:bottom="0" w:gutter="0" w:footer="0" w:header="0"/>
        </w:sectPr>
      </w:pPr>
    </w:p>
    <w:bookmarkStart w:id="462" w:name="page463"/>
    <w:bookmarkEnd w:id="462"/>
    <w:p>
      <w:pPr>
        <w:ind w:right="60" w:firstLine="634"/>
        <w:spacing w:after="0" w:line="281" w:lineRule="auto"/>
        <w:tabs>
          <w:tab w:leader="none" w:pos="1261" w:val="left"/>
        </w:tabs>
        <w:numPr>
          <w:ilvl w:val="0"/>
          <w:numId w:val="846"/>
        </w:numPr>
        <w:rPr>
          <w:rFonts w:ascii="Arial" w:cs="Arial" w:eastAsia="Arial" w:hAnsi="Arial"/>
          <w:sz w:val="16"/>
          <w:szCs w:val="16"/>
          <w:color w:val="auto"/>
        </w:rPr>
      </w:pPr>
      <w:r>
        <w:rPr>
          <w:rFonts w:ascii="Arial" w:cs="Arial" w:eastAsia="Arial" w:hAnsi="Arial"/>
          <w:sz w:val="16"/>
          <w:szCs w:val="16"/>
          <w:color w:val="auto"/>
        </w:rPr>
        <w:t>This Agreement contains the entire agreement between the Parties regarding any benefit Executive may receive from any type of change of control or separation benefits (as defined in this Agreement or otherwise) at AOI and supersedes and replaces all prior communications and agreements (oral or written) between Executive and the Company regarding any benefit Executive may receive from any type of change of control or separation benefits (as defined in this Agreement or otherwise) at AOI. This Agreement does not extinguish any previous written stock option agreements between Executive and the Company; however, it modifies any previous written stock option agreements as provided in Paragraph 4 of this Agreement. Except as provided in this paragraph C, this Agreement does not extinguish any other agreements between Executive and the Company. Except as expressly provided in this Agreement, no variation, modification, or change of this Agreement shall be binding upon either Party hereto unless set forth in a document duly executed by both Parties.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firstLine="634"/>
        <w:spacing w:after="0" w:line="289" w:lineRule="auto"/>
        <w:tabs>
          <w:tab w:leader="none" w:pos="1271" w:val="left"/>
        </w:tabs>
        <w:numPr>
          <w:ilvl w:val="0"/>
          <w:numId w:val="847"/>
        </w:numPr>
        <w:rPr>
          <w:rFonts w:ascii="Arial" w:cs="Arial" w:eastAsia="Arial" w:hAnsi="Arial"/>
          <w:sz w:val="17"/>
          <w:szCs w:val="17"/>
          <w:color w:val="auto"/>
        </w:rPr>
      </w:pPr>
      <w:r>
        <w:rPr>
          <w:rFonts w:ascii="Arial" w:cs="Arial" w:eastAsia="Arial" w:hAnsi="Arial"/>
          <w:sz w:val="17"/>
          <w:szCs w:val="17"/>
          <w:color w:val="auto"/>
        </w:rPr>
        <w:t>This Agreement is intended to express the Parties’ mutual intent, and irrespective of the Party preparing this document, no rule of construction shall be applied against such Party, as both Parties have actively participated in the preparation and negotiation of this Agreement.</w:t>
      </w:r>
    </w:p>
    <w:p>
      <w:pPr>
        <w:spacing w:after="0" w:line="158" w:lineRule="exact"/>
        <w:rPr>
          <w:rFonts w:ascii="Arial" w:cs="Arial" w:eastAsia="Arial" w:hAnsi="Arial"/>
          <w:sz w:val="17"/>
          <w:szCs w:val="17"/>
          <w:color w:val="auto"/>
        </w:rPr>
      </w:pPr>
    </w:p>
    <w:p>
      <w:pPr>
        <w:ind w:right="60" w:firstLine="634"/>
        <w:spacing w:after="0" w:line="268" w:lineRule="auto"/>
        <w:tabs>
          <w:tab w:leader="none" w:pos="1265" w:val="left"/>
        </w:tabs>
        <w:numPr>
          <w:ilvl w:val="0"/>
          <w:numId w:val="847"/>
        </w:numPr>
        <w:rPr>
          <w:rFonts w:ascii="Arial" w:cs="Arial" w:eastAsia="Arial" w:hAnsi="Arial"/>
          <w:sz w:val="17"/>
          <w:szCs w:val="17"/>
          <w:color w:val="auto"/>
        </w:rPr>
      </w:pPr>
      <w:r>
        <w:rPr>
          <w:rFonts w:ascii="Arial" w:cs="Arial" w:eastAsia="Arial" w:hAnsi="Arial"/>
          <w:sz w:val="17"/>
          <w:szCs w:val="17"/>
          <w:color w:val="auto"/>
        </w:rPr>
        <w:t>No Party’s waiver of the other Party’s breach of any condition or provision of this Agreement shall be deemed a waiver of similar or dissimilar provisions or conditions at the same or at any prior or subsequent time. Failure on either Party’s part to complain of any act or failure to act of the other Party or to declare the other Party in default, irrespective of how long such failure or default continues, shall not constitute a waiver by such Party of such Party’s rights under this Agreement.</w:t>
      </w:r>
    </w:p>
    <w:p>
      <w:pPr>
        <w:spacing w:after="0" w:line="175" w:lineRule="exact"/>
        <w:rPr>
          <w:rFonts w:ascii="Arial" w:cs="Arial" w:eastAsia="Arial" w:hAnsi="Arial"/>
          <w:sz w:val="17"/>
          <w:szCs w:val="17"/>
          <w:color w:val="auto"/>
        </w:rPr>
      </w:pPr>
    </w:p>
    <w:p>
      <w:pPr>
        <w:ind w:right="260" w:firstLine="634"/>
        <w:spacing w:after="0" w:line="273" w:lineRule="auto"/>
        <w:tabs>
          <w:tab w:leader="none" w:pos="1254" w:val="left"/>
        </w:tabs>
        <w:numPr>
          <w:ilvl w:val="0"/>
          <w:numId w:val="847"/>
        </w:numPr>
        <w:rPr>
          <w:rFonts w:ascii="Arial" w:cs="Arial" w:eastAsia="Arial" w:hAnsi="Arial"/>
          <w:sz w:val="17"/>
          <w:szCs w:val="17"/>
          <w:color w:val="auto"/>
        </w:rPr>
      </w:pPr>
      <w:r>
        <w:rPr>
          <w:rFonts w:ascii="Arial" w:cs="Arial" w:eastAsia="Arial" w:hAnsi="Arial"/>
          <w:sz w:val="17"/>
          <w:szCs w:val="17"/>
          <w:color w:val="auto"/>
        </w:rPr>
        <w:t>If any provision of this Agreement or the application thereof to any person or circumstance shall be invalid or unenforceable to any extent, the remainder of this Agreement and the application of such provision to other persons or circumstances shall not be affected thereby and shall be enforced to the greatest extent permitted by law.</w:t>
      </w:r>
    </w:p>
    <w:p>
      <w:pPr>
        <w:spacing w:after="0" w:line="171" w:lineRule="exact"/>
        <w:rPr>
          <w:rFonts w:ascii="Arial" w:cs="Arial" w:eastAsia="Arial" w:hAnsi="Arial"/>
          <w:sz w:val="17"/>
          <w:szCs w:val="17"/>
          <w:color w:val="auto"/>
        </w:rPr>
      </w:pPr>
    </w:p>
    <w:p>
      <w:pPr>
        <w:ind w:right="60" w:firstLine="634"/>
        <w:spacing w:after="0" w:line="290" w:lineRule="auto"/>
        <w:tabs>
          <w:tab w:leader="none" w:pos="1271" w:val="left"/>
        </w:tabs>
        <w:numPr>
          <w:ilvl w:val="0"/>
          <w:numId w:val="847"/>
        </w:numPr>
        <w:rPr>
          <w:rFonts w:ascii="Arial" w:cs="Arial" w:eastAsia="Arial" w:hAnsi="Arial"/>
          <w:sz w:val="16"/>
          <w:szCs w:val="16"/>
          <w:color w:val="auto"/>
        </w:rPr>
      </w:pPr>
      <w:r>
        <w:rPr>
          <w:rFonts w:ascii="Arial" w:cs="Arial" w:eastAsia="Arial" w:hAnsi="Arial"/>
          <w:sz w:val="16"/>
          <w:szCs w:val="16"/>
          <w:color w:val="auto"/>
        </w:rPr>
        <w:t>This Agreement shall inure to the benefit of and be binding on the undersigned Parties and their respective permitted successors and permitted assigns. Whenever, in this Agreement, a reference to any Party is made, such reference shall be deemed to include a reference to such Party’s permitted successors and permitted assigns; however, neither this Paragraph 7.G. nor any other portion of this Agreement shall be interpreted to constitute a consent to any assignment or other transfer of this Agreement or any part hereof other than pursuant to and in accordance with this Agreement’s other provisions.</w:t>
      </w:r>
    </w:p>
    <w:p>
      <w:pPr>
        <w:spacing w:after="0" w:line="159" w:lineRule="exact"/>
        <w:rPr>
          <w:rFonts w:ascii="Arial" w:cs="Arial" w:eastAsia="Arial" w:hAnsi="Arial"/>
          <w:sz w:val="16"/>
          <w:szCs w:val="16"/>
          <w:color w:val="auto"/>
        </w:rPr>
      </w:pPr>
    </w:p>
    <w:p>
      <w:pPr>
        <w:jc w:val="both"/>
        <w:ind w:right="280" w:firstLine="634"/>
        <w:spacing w:after="0" w:line="268" w:lineRule="auto"/>
        <w:tabs>
          <w:tab w:leader="none" w:pos="1258" w:val="left"/>
        </w:tabs>
        <w:numPr>
          <w:ilvl w:val="0"/>
          <w:numId w:val="847"/>
        </w:numPr>
        <w:rPr>
          <w:rFonts w:ascii="Arial" w:cs="Arial" w:eastAsia="Arial" w:hAnsi="Arial"/>
          <w:sz w:val="17"/>
          <w:szCs w:val="17"/>
          <w:color w:val="auto"/>
        </w:rPr>
      </w:pPr>
      <w:r>
        <w:rPr>
          <w:rFonts w:ascii="Arial" w:cs="Arial" w:eastAsia="Arial" w:hAnsi="Arial"/>
          <w:sz w:val="17"/>
          <w:szCs w:val="17"/>
          <w:color w:val="auto"/>
        </w:rPr>
        <w:t>The prevailing Party in any dispute between the Parties to this Agreement, arising out of the interpretation, application, or enforcement of any provision of this Agreement, shall be entitled to recover all of its reasonable attorneys’ fees and costs, whether suit be filed or not, including, without limitation, costs and attorneys’ fees related to or arising out of any arbitration, administrative proceedings, trial, or appellate proceedings, or petition for review before any other court or administrative body.</w:t>
      </w:r>
    </w:p>
    <w:p>
      <w:pPr>
        <w:spacing w:after="0" w:line="175" w:lineRule="exact"/>
        <w:rPr>
          <w:rFonts w:ascii="Arial" w:cs="Arial" w:eastAsia="Arial" w:hAnsi="Arial"/>
          <w:sz w:val="17"/>
          <w:szCs w:val="17"/>
          <w:color w:val="auto"/>
        </w:rPr>
      </w:pPr>
    </w:p>
    <w:p>
      <w:pPr>
        <w:jc w:val="both"/>
        <w:ind w:right="100" w:firstLine="634"/>
        <w:spacing w:after="0" w:line="268" w:lineRule="auto"/>
        <w:tabs>
          <w:tab w:leader="none" w:pos="1256" w:val="left"/>
        </w:tabs>
        <w:numPr>
          <w:ilvl w:val="0"/>
          <w:numId w:val="847"/>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Executive and the Company shall in good faith amend this Agreement to the limited extent necessary to comply with the requirements under Section 409A of the Code, and any regulations or other guidance issued thereunder, in order to ensure that any amounts paid or payable hereunder are not subject to the additional 20% income tax thereunder while maintaining to the maximum extent practicable the original intent of this Agreement.</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10980" w:type="dxa"/>
            <w:vAlign w:val="bottom"/>
            <w:gridSpan w:val="5"/>
          </w:tcPr>
          <w:p>
            <w:pPr>
              <w:ind w:left="200"/>
              <w:spacing w:after="0"/>
              <w:rPr>
                <w:sz w:val="20"/>
                <w:szCs w:val="20"/>
                <w:color w:val="auto"/>
              </w:rPr>
            </w:pPr>
            <w:r>
              <w:rPr>
                <w:rFonts w:ascii="Arial" w:cs="Arial" w:eastAsia="Arial" w:hAnsi="Arial"/>
                <w:sz w:val="17"/>
                <w:szCs w:val="17"/>
                <w:b w:val="1"/>
                <w:bCs w:val="1"/>
                <w:i w:val="1"/>
                <w:iCs w:val="1"/>
                <w:color w:val="auto"/>
              </w:rPr>
              <w:t xml:space="preserve">EXECUTED, in multiple counterparts, </w:t>
            </w:r>
            <w:r>
              <w:rPr>
                <w:rFonts w:ascii="Arial" w:cs="Arial" w:eastAsia="Arial" w:hAnsi="Arial"/>
                <w:sz w:val="17"/>
                <w:szCs w:val="17"/>
                <w:color w:val="auto"/>
              </w:rPr>
              <w:t>each of which shall have the force and effect of an original, on the Effective Date.</w:t>
            </w:r>
          </w:p>
        </w:tc>
        <w:tc>
          <w:tcPr>
            <w:tcW w:w="40" w:type="dxa"/>
            <w:vAlign w:val="bottom"/>
          </w:tcPr>
          <w:p>
            <w:pPr>
              <w:spacing w:after="0"/>
              <w:rPr>
                <w:sz w:val="19"/>
                <w:szCs w:val="19"/>
                <w:color w:val="auto"/>
              </w:rPr>
            </w:pPr>
          </w:p>
        </w:tc>
      </w:tr>
      <w:tr>
        <w:trPr>
          <w:trHeight w:val="408"/>
        </w:trPr>
        <w:tc>
          <w:tcPr>
            <w:tcW w:w="5340" w:type="dxa"/>
            <w:vAlign w:val="bottom"/>
            <w:gridSpan w:val="4"/>
          </w:tcPr>
          <w:p>
            <w:pPr>
              <w:spacing w:after="0"/>
              <w:rPr>
                <w:sz w:val="20"/>
                <w:szCs w:val="20"/>
                <w:color w:val="auto"/>
              </w:rPr>
            </w:pPr>
            <w:r>
              <w:rPr>
                <w:rFonts w:ascii="Arial" w:cs="Arial" w:eastAsia="Arial" w:hAnsi="Arial"/>
                <w:sz w:val="17"/>
                <w:szCs w:val="17"/>
                <w:b w:val="1"/>
                <w:bCs w:val="1"/>
                <w:i w:val="1"/>
                <w:iCs w:val="1"/>
                <w:color w:val="auto"/>
              </w:rPr>
              <w:t>APPLIED OPTOELECTRONICS, INC.</w:t>
            </w:r>
          </w:p>
        </w:tc>
        <w:tc>
          <w:tcPr>
            <w:tcW w:w="3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7"/>
                <w:szCs w:val="17"/>
                <w:b w:val="1"/>
                <w:bCs w:val="1"/>
                <w:i w:val="1"/>
                <w:iCs w:val="1"/>
                <w:color w:val="auto"/>
              </w:rPr>
              <w:t>EXECUTIVE</w:t>
            </w:r>
          </w:p>
        </w:tc>
        <w:tc>
          <w:tcPr>
            <w:tcW w:w="40" w:type="dxa"/>
            <w:vAlign w:val="bottom"/>
          </w:tcPr>
          <w:p>
            <w:pPr>
              <w:spacing w:after="0"/>
              <w:rPr>
                <w:sz w:val="24"/>
                <w:szCs w:val="24"/>
                <w:color w:val="auto"/>
              </w:rPr>
            </w:pPr>
          </w:p>
        </w:tc>
      </w:tr>
      <w:tr>
        <w:trPr>
          <w:trHeight w:val="222"/>
        </w:trPr>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Shu-Hua (Joshua) Yeh</w:t>
            </w:r>
          </w:p>
        </w:tc>
        <w:tc>
          <w:tcPr>
            <w:tcW w:w="40" w:type="dxa"/>
            <w:vAlign w:val="bottom"/>
          </w:tcPr>
          <w:p>
            <w:pPr>
              <w:spacing w:after="0"/>
              <w:rPr>
                <w:sz w:val="19"/>
                <w:szCs w:val="19"/>
                <w:color w:val="auto"/>
              </w:rPr>
            </w:pPr>
          </w:p>
        </w:tc>
      </w:tr>
      <w:tr>
        <w:trPr>
          <w:trHeight w:val="629"/>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7"/>
                <w:szCs w:val="17"/>
                <w:color w:val="auto"/>
              </w:rPr>
              <w:t>/s/Chih-Hsiang (Thompson) Lin</w:t>
            </w:r>
          </w:p>
        </w:tc>
        <w:tc>
          <w:tcPr>
            <w:tcW w:w="3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/s/ Shu-Hua (Joshua) Yeh</w:t>
            </w:r>
          </w:p>
        </w:tc>
        <w:tc>
          <w:tcPr>
            <w:tcW w:w="40" w:type="dxa"/>
            <w:vAlign w:val="bottom"/>
          </w:tcPr>
          <w:p>
            <w:pPr>
              <w:spacing w:after="0"/>
              <w:rPr>
                <w:sz w:val="24"/>
                <w:szCs w:val="24"/>
                <w:color w:val="auto"/>
              </w:rPr>
            </w:pPr>
          </w:p>
        </w:tc>
      </w:tr>
      <w:tr>
        <w:trPr>
          <w:trHeight w:val="203"/>
        </w:trPr>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Chih-Hsiang (Thompson) Lin</w:t>
            </w:r>
          </w:p>
        </w:tc>
        <w:tc>
          <w:tcPr>
            <w:tcW w:w="380" w:type="dxa"/>
            <w:vAlign w:val="bottom"/>
          </w:tcPr>
          <w:p>
            <w:pPr>
              <w:spacing w:after="0"/>
              <w:rPr>
                <w:sz w:val="17"/>
                <w:szCs w:val="17"/>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signature</w:t>
            </w:r>
          </w:p>
        </w:tc>
        <w:tc>
          <w:tcPr>
            <w:tcW w:w="40" w:type="dxa"/>
            <w:vAlign w:val="bottom"/>
          </w:tcPr>
          <w:p>
            <w:pPr>
              <w:spacing w:after="0"/>
              <w:rPr>
                <w:sz w:val="17"/>
                <w:szCs w:val="17"/>
                <w:color w:val="auto"/>
              </w:rPr>
            </w:pPr>
          </w:p>
        </w:tc>
      </w:tr>
      <w:tr>
        <w:trPr>
          <w:trHeight w:val="203"/>
        </w:trPr>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President</w:t>
            </w:r>
          </w:p>
        </w:tc>
        <w:tc>
          <w:tcPr>
            <w:tcW w:w="38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99"/>
        </w:trPr>
        <w:tc>
          <w:tcPr>
            <w:tcW w:w="5340" w:type="dxa"/>
            <w:vAlign w:val="bottom"/>
            <w:gridSpan w:val="4"/>
          </w:tcPr>
          <w:p>
            <w:pPr>
              <w:spacing w:after="0"/>
              <w:rPr>
                <w:sz w:val="20"/>
                <w:szCs w:val="20"/>
                <w:color w:val="auto"/>
              </w:rPr>
            </w:pPr>
            <w:r>
              <w:rPr>
                <w:rFonts w:ascii="Arial" w:cs="Arial" w:eastAsia="Arial" w:hAnsi="Arial"/>
                <w:sz w:val="17"/>
                <w:szCs w:val="17"/>
                <w:color w:val="auto"/>
              </w:rPr>
              <w:t>Date: January 25, 2013</w:t>
            </w:r>
          </w:p>
        </w:tc>
        <w:tc>
          <w:tcPr>
            <w:tcW w:w="3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Date: January 25, 2013</w:t>
            </w:r>
          </w:p>
        </w:tc>
        <w:tc>
          <w:tcPr>
            <w:tcW w:w="40" w:type="dxa"/>
            <w:vAlign w:val="bottom"/>
          </w:tcPr>
          <w:p>
            <w:pPr>
              <w:spacing w:after="0"/>
              <w:rPr>
                <w:sz w:val="24"/>
                <w:szCs w:val="24"/>
                <w:color w:val="auto"/>
              </w:rPr>
            </w:pPr>
          </w:p>
        </w:tc>
      </w:tr>
      <w:tr>
        <w:trPr>
          <w:trHeight w:val="419"/>
        </w:trPr>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6080" w:type="dxa"/>
            <w:vAlign w:val="bottom"/>
            <w:gridSpan w:val="2"/>
          </w:tcPr>
          <w:p>
            <w:pPr>
              <w:jc w:val="right"/>
              <w:ind w:right="5533"/>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24"/>
                <w:szCs w:val="24"/>
                <w:color w:val="auto"/>
              </w:rPr>
            </w:pPr>
          </w:p>
        </w:tc>
      </w:tr>
      <w:tr>
        <w:trPr>
          <w:trHeight w:val="128"/>
        </w:trPr>
        <w:tc>
          <w:tcPr>
            <w:tcW w:w="4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6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463" w:name="page464"/>
    <w:bookmarkEnd w:id="463"/>
    <w:p>
      <w:pPr>
        <w:jc w:val="right"/>
        <w:spacing w:after="0"/>
        <w:rPr>
          <w:sz w:val="20"/>
          <w:szCs w:val="20"/>
          <w:color w:val="auto"/>
        </w:rPr>
      </w:pPr>
      <w:r>
        <w:rPr>
          <w:rFonts w:ascii="Arial" w:cs="Arial" w:eastAsia="Arial" w:hAnsi="Arial"/>
          <w:sz w:val="17"/>
          <w:szCs w:val="17"/>
          <w:b w:val="1"/>
          <w:bCs w:val="1"/>
          <w:color w:val="auto"/>
        </w:rPr>
        <w:t>Exhibit 10.15</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EMPLOYMENT AGREEMENT</w:t>
      </w:r>
    </w:p>
    <w:p>
      <w:pPr>
        <w:spacing w:after="0" w:line="224" w:lineRule="exact"/>
        <w:rPr>
          <w:sz w:val="20"/>
          <w:szCs w:val="20"/>
          <w:color w:val="auto"/>
        </w:rPr>
      </w:pPr>
    </w:p>
    <w:p>
      <w:pPr>
        <w:ind w:right="540" w:firstLine="629"/>
        <w:spacing w:after="0" w:line="289" w:lineRule="auto"/>
        <w:rPr>
          <w:sz w:val="20"/>
          <w:szCs w:val="20"/>
          <w:color w:val="auto"/>
        </w:rPr>
      </w:pPr>
      <w:r>
        <w:rPr>
          <w:rFonts w:ascii="Arial" w:cs="Arial" w:eastAsia="Arial" w:hAnsi="Arial"/>
          <w:sz w:val="17"/>
          <w:szCs w:val="17"/>
          <w:color w:val="auto"/>
        </w:rPr>
        <w:t>This EMPLOYMENT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dated as of April 16, 2013 by and between Applied Optoelectronics,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James L. Dunn, Jr., an individual currently residing at Houston, Texas 77024 (the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w:t>
      </w:r>
    </w:p>
    <w:p>
      <w:pPr>
        <w:spacing w:after="0" w:line="152"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 desires to employ the Executive on the terms and conditions and for the consideration hereinafter set forth and the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is willing to serve as an employee of the Company on such terms and conditions and for such consideration.</w:t>
      </w:r>
    </w:p>
    <w:p>
      <w:pPr>
        <w:spacing w:after="0" w:line="145" w:lineRule="exact"/>
        <w:rPr>
          <w:sz w:val="20"/>
          <w:szCs w:val="20"/>
          <w:color w:val="auto"/>
        </w:rPr>
      </w:pPr>
    </w:p>
    <w:p>
      <w:pPr>
        <w:ind w:right="380" w:firstLine="629"/>
        <w:spacing w:after="0" w:line="297"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for and in consideration of the mutual promises, covenants and obligations contained herein, the Company and the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agree as follows:</w:t>
      </w:r>
    </w:p>
    <w:p>
      <w:pPr>
        <w:spacing w:after="0" w:line="145" w:lineRule="exact"/>
        <w:rPr>
          <w:sz w:val="20"/>
          <w:szCs w:val="20"/>
          <w:color w:val="auto"/>
        </w:rPr>
      </w:pPr>
    </w:p>
    <w:p>
      <w:pPr>
        <w:ind w:left="1260" w:hanging="626"/>
        <w:spacing w:after="0"/>
        <w:tabs>
          <w:tab w:leader="none" w:pos="1260" w:val="left"/>
        </w:tabs>
        <w:numPr>
          <w:ilvl w:val="0"/>
          <w:numId w:val="848"/>
        </w:numPr>
        <w:rPr>
          <w:rFonts w:ascii="Arial" w:cs="Arial" w:eastAsia="Arial" w:hAnsi="Arial"/>
          <w:sz w:val="17"/>
          <w:szCs w:val="17"/>
          <w:color w:val="auto"/>
        </w:rPr>
      </w:pPr>
      <w:r>
        <w:rPr>
          <w:rFonts w:ascii="Arial" w:cs="Arial" w:eastAsia="Arial" w:hAnsi="Arial"/>
          <w:sz w:val="17"/>
          <w:szCs w:val="17"/>
          <w:b w:val="1"/>
          <w:bCs w:val="1"/>
          <w:u w:val="single" w:color="auto"/>
          <w:color w:val="auto"/>
        </w:rPr>
        <w:t>Employment and Duties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color w:val="auto"/>
        </w:rPr>
      </w:pPr>
    </w:p>
    <w:p>
      <w:pPr>
        <w:ind w:right="180" w:firstLine="1263"/>
        <w:spacing w:after="0" w:line="298" w:lineRule="auto"/>
        <w:tabs>
          <w:tab w:leader="none" w:pos="1885" w:val="left"/>
        </w:tabs>
        <w:numPr>
          <w:ilvl w:val="1"/>
          <w:numId w:val="848"/>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Executive shall serve as Senior Vice President and Chief Financial Officer of the Company, reporting to the Company’s CEO. The Executive shall have such duties and responsibilities, commensurate with the Executive’s position, as may be reasonably assigned to the Executive from time to time by the Company’s CEO. The Executive’s principal place of employment shall be in the Houston, Texas area.</w:t>
      </w:r>
    </w:p>
    <w:p>
      <w:pPr>
        <w:spacing w:after="0" w:line="153" w:lineRule="exact"/>
        <w:rPr>
          <w:rFonts w:ascii="Arial" w:cs="Arial" w:eastAsia="Arial" w:hAnsi="Arial"/>
          <w:sz w:val="16"/>
          <w:szCs w:val="16"/>
          <w:color w:val="auto"/>
        </w:rPr>
      </w:pPr>
    </w:p>
    <w:p>
      <w:pPr>
        <w:ind w:right="20" w:firstLine="1263"/>
        <w:spacing w:after="0" w:line="262" w:lineRule="auto"/>
        <w:tabs>
          <w:tab w:leader="none" w:pos="1895" w:val="left"/>
        </w:tabs>
        <w:numPr>
          <w:ilvl w:val="1"/>
          <w:numId w:val="848"/>
        </w:numPr>
        <w:rPr>
          <w:rFonts w:ascii="Arial" w:cs="Arial" w:eastAsia="Arial" w:hAnsi="Arial"/>
          <w:sz w:val="17"/>
          <w:szCs w:val="17"/>
          <w:color w:val="auto"/>
        </w:rPr>
      </w:pPr>
      <w:r>
        <w:rPr>
          <w:rFonts w:ascii="Arial" w:cs="Arial" w:eastAsia="Arial" w:hAnsi="Arial"/>
          <w:sz w:val="17"/>
          <w:szCs w:val="17"/>
          <w:u w:val="single" w:color="auto"/>
          <w:color w:val="auto"/>
        </w:rPr>
        <w:t>Exclusive Services</w:t>
      </w:r>
      <w:r>
        <w:rPr>
          <w:rFonts w:ascii="Arial" w:cs="Arial" w:eastAsia="Arial" w:hAnsi="Arial"/>
          <w:sz w:val="17"/>
          <w:szCs w:val="17"/>
          <w:color w:val="auto"/>
        </w:rPr>
        <w:t xml:space="preserve">. For so long as the Executive is employed by the Company, the Executive shall devote his full attention to his duties hereunder, shall faithfully serve the Company, shall in all respects conform to and comply with the lawful and good faith directions and instructions given to him by the CEO and shall use his best efforts to promote and serve the interests of the Company. Further, the Executive shall not, directly or indirectly, render services to any other person or organization without the consent of the Company or otherwise engage in activities that would interfere significantly with his faithful performance of his duties hereunder. Notwithstanding the foregoing, the Executive may (i) serve on corporate, civic, children sports organization or charitable boards or engage in charitable activities without remuneration therefor and (ii) manage personal investments,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activity does not contravene the first sentence of this Section 1(b) or any other provision of this Agreement.</w:t>
      </w:r>
    </w:p>
    <w:p>
      <w:pPr>
        <w:spacing w:after="0" w:line="178" w:lineRule="exact"/>
        <w:rPr>
          <w:rFonts w:ascii="Arial" w:cs="Arial" w:eastAsia="Arial" w:hAnsi="Arial"/>
          <w:sz w:val="17"/>
          <w:szCs w:val="17"/>
          <w:color w:val="auto"/>
        </w:rPr>
      </w:pPr>
    </w:p>
    <w:p>
      <w:pPr>
        <w:ind w:right="220" w:firstLine="634"/>
        <w:spacing w:after="0" w:line="302" w:lineRule="auto"/>
        <w:tabs>
          <w:tab w:leader="none" w:pos="1258" w:val="left"/>
        </w:tabs>
        <w:numPr>
          <w:ilvl w:val="0"/>
          <w:numId w:val="848"/>
        </w:numPr>
        <w:rPr>
          <w:rFonts w:ascii="Arial" w:cs="Arial" w:eastAsia="Arial" w:hAnsi="Arial"/>
          <w:sz w:val="16"/>
          <w:szCs w:val="16"/>
          <w:color w:val="auto"/>
        </w:rPr>
      </w:pPr>
      <w:r>
        <w:rPr>
          <w:rFonts w:ascii="Arial" w:cs="Arial" w:eastAsia="Arial" w:hAnsi="Arial"/>
          <w:sz w:val="16"/>
          <w:szCs w:val="16"/>
          <w:b w:val="1"/>
          <w:bCs w:val="1"/>
          <w:u w:val="single" w:color="auto"/>
          <w:color w:val="auto"/>
        </w:rPr>
        <w:t>Term of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Executive’s employment under this Agreement shall commence as of April 16, 2013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terminate on the earlier of (i) the fifth-year anniversary of the Effective Date and (ii) the termination of the Executive’s employment under this Agreement. The period from the Effective Date until the termination of the Executive’s employment under this Agreement is referred to as the “</w:t>
      </w:r>
      <w:r>
        <w:rPr>
          <w:rFonts w:ascii="Arial" w:cs="Arial" w:eastAsia="Arial" w:hAnsi="Arial"/>
          <w:sz w:val="16"/>
          <w:szCs w:val="16"/>
          <w:b w:val="1"/>
          <w:bCs w:val="1"/>
          <w:i w:val="1"/>
          <w:iCs w:val="1"/>
          <w:color w:val="auto"/>
        </w:rPr>
        <w:t>Term</w:t>
      </w:r>
      <w:r>
        <w:rPr>
          <w:rFonts w:ascii="Arial" w:cs="Arial" w:eastAsia="Arial" w:hAnsi="Arial"/>
          <w:sz w:val="16"/>
          <w:szCs w:val="16"/>
          <w:color w:val="auto"/>
        </w:rPr>
        <w:t>”.</w:t>
      </w:r>
    </w:p>
    <w:p>
      <w:pPr>
        <w:spacing w:after="0" w:line="144" w:lineRule="exact"/>
        <w:rPr>
          <w:rFonts w:ascii="Arial" w:cs="Arial" w:eastAsia="Arial" w:hAnsi="Arial"/>
          <w:sz w:val="16"/>
          <w:szCs w:val="16"/>
          <w:color w:val="auto"/>
        </w:rPr>
      </w:pPr>
    </w:p>
    <w:p>
      <w:pPr>
        <w:ind w:right="900" w:firstLine="634"/>
        <w:spacing w:after="0" w:line="297" w:lineRule="auto"/>
        <w:tabs>
          <w:tab w:leader="none" w:pos="1258" w:val="left"/>
        </w:tabs>
        <w:numPr>
          <w:ilvl w:val="0"/>
          <w:numId w:val="848"/>
        </w:numPr>
        <w:rPr>
          <w:rFonts w:ascii="Arial" w:cs="Arial" w:eastAsia="Arial" w:hAnsi="Arial"/>
          <w:sz w:val="17"/>
          <w:szCs w:val="17"/>
          <w:color w:val="auto"/>
        </w:rPr>
      </w:pPr>
      <w:r>
        <w:rPr>
          <w:rFonts w:ascii="Arial" w:cs="Arial" w:eastAsia="Arial" w:hAnsi="Arial"/>
          <w:sz w:val="17"/>
          <w:szCs w:val="17"/>
          <w:b w:val="1"/>
          <w:bCs w:val="1"/>
          <w:u w:val="single" w:color="auto"/>
          <w:color w:val="auto"/>
        </w:rPr>
        <w:t>Compensation and Other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this Agreement, the Company shall pay and provide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and other benefits to the Executive during the Term as compensation for services rendered hereunder:</w:t>
      </w:r>
    </w:p>
    <w:p>
      <w:pPr>
        <w:spacing w:after="0" w:line="151" w:lineRule="exact"/>
        <w:rPr>
          <w:rFonts w:ascii="Arial" w:cs="Arial" w:eastAsia="Arial" w:hAnsi="Arial"/>
          <w:sz w:val="17"/>
          <w:szCs w:val="17"/>
          <w:color w:val="auto"/>
        </w:rPr>
      </w:pPr>
    </w:p>
    <w:p>
      <w:pPr>
        <w:ind w:right="100" w:firstLine="1263"/>
        <w:spacing w:after="0" w:line="273" w:lineRule="auto"/>
        <w:tabs>
          <w:tab w:leader="none" w:pos="1885" w:val="left"/>
        </w:tabs>
        <w:numPr>
          <w:ilvl w:val="1"/>
          <w:numId w:val="848"/>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Company shall pay to the Executive an annual salary (the “</w:t>
      </w:r>
      <w:r>
        <w:rPr>
          <w:rFonts w:ascii="Arial" w:cs="Arial" w:eastAsia="Arial" w:hAnsi="Arial"/>
          <w:sz w:val="17"/>
          <w:szCs w:val="17"/>
          <w:b w:val="1"/>
          <w:bCs w:val="1"/>
          <w:i w:val="1"/>
          <w:iCs w:val="1"/>
          <w:color w:val="auto"/>
        </w:rPr>
        <w:t>Base Salary</w:t>
      </w:r>
      <w:r>
        <w:rPr>
          <w:rFonts w:ascii="Arial" w:cs="Arial" w:eastAsia="Arial" w:hAnsi="Arial"/>
          <w:sz w:val="17"/>
          <w:szCs w:val="17"/>
          <w:color w:val="auto"/>
        </w:rPr>
        <w:t>”) at the rate of $200,000, payable in substantially equal installments at such intervals as may be determined by the Company in accordance with the Company’s then current ordinary payroll practices as established from time to time. The Base Salary shall be reviewed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color w:val="auto"/>
        </w:rPr>
        <w:t>good faith by the Compensation Committee of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based upon the Executive’s performance, not less often than annually.</w:t>
      </w:r>
    </w:p>
    <w:p>
      <w:pPr>
        <w:spacing w:after="0" w:line="158" w:lineRule="exact"/>
        <w:rPr>
          <w:sz w:val="20"/>
          <w:szCs w:val="20"/>
          <w:color w:val="auto"/>
        </w:rPr>
      </w:pPr>
    </w:p>
    <w:p>
      <w:pPr>
        <w:jc w:val="both"/>
        <w:ind w:right="40" w:firstLine="1263"/>
        <w:spacing w:after="0" w:line="282" w:lineRule="auto"/>
        <w:tabs>
          <w:tab w:leader="none" w:pos="1895" w:val="left"/>
        </w:tabs>
        <w:numPr>
          <w:ilvl w:val="1"/>
          <w:numId w:val="849"/>
        </w:numPr>
        <w:rPr>
          <w:rFonts w:ascii="Arial" w:cs="Arial" w:eastAsia="Arial" w:hAnsi="Arial"/>
          <w:sz w:val="17"/>
          <w:szCs w:val="17"/>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For each fiscal year during the Term, the Executive shall be eligible to receive an incentive bonus equal to the milestone bonus set by the Company or Compensation Committee for such year if the applicable performance goals are satisfied. Such bonus, if any, shall be paid to the Executive no later than March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the calendar year following the calendar year in which the bonus is earned.</w:t>
      </w:r>
    </w:p>
    <w:p>
      <w:pPr>
        <w:spacing w:after="0" w:line="82" w:lineRule="exact"/>
        <w:rPr>
          <w:rFonts w:ascii="Arial" w:cs="Arial" w:eastAsia="Arial" w:hAnsi="Arial"/>
          <w:sz w:val="17"/>
          <w:szCs w:val="17"/>
          <w:color w:val="auto"/>
        </w:rPr>
      </w:pPr>
    </w:p>
    <w:p>
      <w:pPr>
        <w:ind w:right="100" w:firstLine="1263"/>
        <w:spacing w:after="0" w:line="289" w:lineRule="auto"/>
        <w:tabs>
          <w:tab w:leader="none" w:pos="1898" w:val="left"/>
        </w:tabs>
        <w:numPr>
          <w:ilvl w:val="1"/>
          <w:numId w:val="849"/>
        </w:numPr>
        <w:rPr>
          <w:rFonts w:ascii="Arial" w:cs="Arial" w:eastAsia="Arial" w:hAnsi="Arial"/>
          <w:sz w:val="17"/>
          <w:szCs w:val="17"/>
          <w:color w:val="auto"/>
        </w:rPr>
      </w:pPr>
      <w:r>
        <w:rPr>
          <w:rFonts w:ascii="Arial" w:cs="Arial" w:eastAsia="Arial" w:hAnsi="Arial"/>
          <w:sz w:val="17"/>
          <w:szCs w:val="17"/>
          <w:u w:val="single" w:color="auto"/>
          <w:color w:val="auto"/>
        </w:rPr>
        <w:t>Employee Benefits</w:t>
      </w:r>
      <w:r>
        <w:rPr>
          <w:rFonts w:ascii="Arial" w:cs="Arial" w:eastAsia="Arial" w:hAnsi="Arial"/>
          <w:sz w:val="17"/>
          <w:szCs w:val="17"/>
          <w:color w:val="auto"/>
        </w:rPr>
        <w:t>. The Executive shall be entitled to participate in all employee benefit arrangements that the Company may offer to its executives of a like status from time to time, and as may be amended from time to time.</w:t>
      </w:r>
    </w:p>
    <w:p>
      <w:pPr>
        <w:spacing w:after="0" w:line="158" w:lineRule="exact"/>
        <w:rPr>
          <w:rFonts w:ascii="Arial" w:cs="Arial" w:eastAsia="Arial" w:hAnsi="Arial"/>
          <w:sz w:val="17"/>
          <w:szCs w:val="17"/>
          <w:color w:val="auto"/>
        </w:rPr>
      </w:pPr>
    </w:p>
    <w:p>
      <w:pPr>
        <w:ind w:right="80" w:firstLine="1263"/>
        <w:spacing w:after="0" w:line="273" w:lineRule="auto"/>
        <w:tabs>
          <w:tab w:leader="none" w:pos="1895" w:val="left"/>
        </w:tabs>
        <w:numPr>
          <w:ilvl w:val="1"/>
          <w:numId w:val="849"/>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The Company shall reimburse the Executive for reasonable travel and other business-related expenses incurred by the Executive in the fulfillment of his duties hereunder upon presentation of written documentation thereof, in accordance with the applicable expense reimbursement policies and procedures of the Company as in effect from time to time.</w:t>
      </w:r>
    </w:p>
    <w:p>
      <w:pPr>
        <w:spacing w:after="0" w:line="171" w:lineRule="exact"/>
        <w:rPr>
          <w:rFonts w:ascii="Arial" w:cs="Arial" w:eastAsia="Arial" w:hAnsi="Arial"/>
          <w:sz w:val="17"/>
          <w:szCs w:val="17"/>
          <w:color w:val="auto"/>
        </w:rPr>
      </w:pPr>
    </w:p>
    <w:p>
      <w:pPr>
        <w:ind w:right="20" w:firstLine="1263"/>
        <w:spacing w:after="0" w:line="261" w:lineRule="auto"/>
        <w:tabs>
          <w:tab w:leader="none" w:pos="1898" w:val="left"/>
        </w:tabs>
        <w:numPr>
          <w:ilvl w:val="1"/>
          <w:numId w:val="849"/>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To the fullest extent permitted by the indemnification provisions of the Articles of Incorporation and/or Bylaws of the Company in effect from time to time and the indemnification provisions of the corporation statute of the jurisdiction of the Company’s incorporation in effect from time to time (collectively the “</w:t>
      </w:r>
      <w:r>
        <w:rPr>
          <w:rFonts w:ascii="Arial" w:cs="Arial" w:eastAsia="Arial" w:hAnsi="Arial"/>
          <w:sz w:val="17"/>
          <w:szCs w:val="17"/>
          <w:b w:val="1"/>
          <w:bCs w:val="1"/>
          <w:i w:val="1"/>
          <w:iCs w:val="1"/>
          <w:color w:val="auto"/>
        </w:rPr>
        <w:t>Indemnification Provisions</w:t>
      </w:r>
      <w:r>
        <w:rPr>
          <w:rFonts w:ascii="Arial" w:cs="Arial" w:eastAsia="Arial" w:hAnsi="Arial"/>
          <w:sz w:val="17"/>
          <w:szCs w:val="17"/>
          <w:color w:val="auto"/>
        </w:rPr>
        <w:t>”), and in each case subject to the conditions thereof, the Company shall (i) indemnify the Executive, as a director and officer of the Company or a trustee or fiduciary of an employee benefit plan of the Company against all liabilities and reasonable expenses that the Executive may incur in any threatened, pending, or completed action, suit or proceeding, whether civil, criminal or administrative, or investigative and whether formal or informal, because the Executive is or was a director or officer of the Company or a trustee or fiduciary of such employee benefit plan, and against which the Executive may be indemnified by the Company, and (ii) pay for or reimburse the reasonable expenses incurred by the Executive in the defense of any proceeding to which the Executive is a party because the Executive is or was a director or officer of the Company or a trustee or fiduciary of such employee benefit plan.</w:t>
      </w:r>
    </w:p>
    <w:p>
      <w:pPr>
        <w:spacing w:after="0" w:line="178" w:lineRule="exact"/>
        <w:rPr>
          <w:rFonts w:ascii="Arial" w:cs="Arial" w:eastAsia="Arial" w:hAnsi="Arial"/>
          <w:sz w:val="17"/>
          <w:szCs w:val="17"/>
          <w:color w:val="auto"/>
        </w:rPr>
      </w:pPr>
    </w:p>
    <w:p>
      <w:pPr>
        <w:ind w:left="1260" w:hanging="626"/>
        <w:spacing w:after="0"/>
        <w:tabs>
          <w:tab w:leader="none" w:pos="1260" w:val="left"/>
        </w:tabs>
        <w:numPr>
          <w:ilvl w:val="0"/>
          <w:numId w:val="850"/>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of Employment</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color w:val="auto"/>
        </w:rPr>
      </w:pPr>
    </w:p>
    <w:p>
      <w:pPr>
        <w:ind w:right="140" w:firstLine="1263"/>
        <w:spacing w:after="0" w:line="262" w:lineRule="auto"/>
        <w:tabs>
          <w:tab w:leader="none" w:pos="1885" w:val="left"/>
        </w:tabs>
        <w:numPr>
          <w:ilvl w:val="1"/>
          <w:numId w:val="850"/>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Prior to a Change of Control</w:t>
      </w:r>
      <w:r>
        <w:rPr>
          <w:rFonts w:ascii="Arial" w:cs="Arial" w:eastAsia="Arial" w:hAnsi="Arial"/>
          <w:sz w:val="17"/>
          <w:szCs w:val="17"/>
          <w:color w:val="auto"/>
        </w:rPr>
        <w:t>. Except as provided in Section 4(b), if prior to a Change of Control the Executive’s employment is terminated by the Company (for any reason) or the Executive resigns his or her employment with the Company (for any reason), then the Executive shall only be entitled to payment of unpaid Base Salary through and including the date of termination or resignation. The Executive shall have no further right to receive any other compensation or benefits after such termination or resignation of employment, except for the continuation of health benefits as provided under applicable law. For purposes of this Agreement the term “</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shall be deemed to have occurred on the date that one or more of the following occurs: (i) Individuals who, on the date hereof, constitute the entire Board of the Company (“</w:t>
      </w:r>
      <w:r>
        <w:rPr>
          <w:rFonts w:ascii="Arial" w:cs="Arial" w:eastAsia="Arial" w:hAnsi="Arial"/>
          <w:sz w:val="17"/>
          <w:szCs w:val="17"/>
          <w:b w:val="1"/>
          <w:bCs w:val="1"/>
          <w:i w:val="1"/>
          <w:iCs w:val="1"/>
          <w:color w:val="auto"/>
        </w:rPr>
        <w:t>Incumbent Directors</w:t>
      </w:r>
      <w:r>
        <w:rPr>
          <w:rFonts w:ascii="Arial" w:cs="Arial" w:eastAsia="Arial" w:hAnsi="Arial"/>
          <w:sz w:val="17"/>
          <w:szCs w:val="17"/>
          <w:color w:val="auto"/>
        </w:rPr>
        <w:t>”) cease for any reason to constitute at least a majority of the Board; provided, however, that any individual</w:t>
      </w:r>
    </w:p>
    <w:p>
      <w:pPr>
        <w:sectPr>
          <w:pgSz w:w="11900" w:h="16838" w:orient="portrait"/>
          <w:cols w:equalWidth="0" w:num="1">
            <w:col w:w="11420"/>
          </w:cols>
          <w:pgMar w:left="240" w:top="357" w:right="239" w:bottom="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0" w:gutter="0" w:footer="0" w:header="0"/>
          <w:type w:val="continuous"/>
        </w:sectPr>
      </w:pPr>
    </w:p>
    <w:bookmarkStart w:id="464" w:name="page465"/>
    <w:bookmarkEnd w:id="464"/>
    <w:p>
      <w:pPr>
        <w:spacing w:after="0" w:line="81"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becoming a director subsequent to the date hereof whose election, or nomination for election by the Company’s stockholders, was approved by a vote of at least a majority of the then Incumbent Directors shall be considered as though such individual was an Incumbent Director, but excluding, for this purpose any such individual whose initial assumption of office occurs as a result of either an actual or threatened election contest, as such terms are used in Rule 14a-11 under the Securities Exchange Act of 1934, as amended (“</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or other actual or threatened solicitation of proxies or consents by or on behalf of any Person (as defined below) other than the Board; or (ii) (a) the consummation of any merger, consolidation or recapitalization of the Company (or, if the capital stock of the Company is affected, any subsidiary of the Company), or any sale, lease, or other transfer (in one transaction or a series of transactions contemplated or arranged by any party as a single plan) of all or substantially all of the assets of the Company (each of the foregoing being an “</w:t>
      </w:r>
      <w:r>
        <w:rPr>
          <w:rFonts w:ascii="Arial" w:cs="Arial" w:eastAsia="Arial" w:hAnsi="Arial"/>
          <w:sz w:val="15"/>
          <w:szCs w:val="15"/>
          <w:b w:val="1"/>
          <w:bCs w:val="1"/>
          <w:i w:val="1"/>
          <w:iCs w:val="1"/>
          <w:color w:val="auto"/>
        </w:rPr>
        <w:t>Acquisition Transaction</w:t>
      </w:r>
      <w:r>
        <w:rPr>
          <w:rFonts w:ascii="Arial" w:cs="Arial" w:eastAsia="Arial" w:hAnsi="Arial"/>
          <w:sz w:val="15"/>
          <w:szCs w:val="15"/>
          <w:color w:val="auto"/>
        </w:rPr>
        <w:t>”) where: (A) the stockholders of the Company immediately prior to such Acquisition Transaction would not immediately after such Acquisition Transaction beneficially own, directly or indirectly, shares or other ownership interests representing in the aggregate fifty-one percent (51%) or more of (1) the then outstanding common stock or other equity interests of the corporation or other entity surviving or resulting from such merger, consolidation or recapitalization or acquiring such assets of the Company, as the case may be (the “</w:t>
      </w:r>
      <w:r>
        <w:rPr>
          <w:rFonts w:ascii="Arial" w:cs="Arial" w:eastAsia="Arial" w:hAnsi="Arial"/>
          <w:sz w:val="15"/>
          <w:szCs w:val="15"/>
          <w:b w:val="1"/>
          <w:bCs w:val="1"/>
          <w:i w:val="1"/>
          <w:iCs w:val="1"/>
          <w:color w:val="auto"/>
        </w:rPr>
        <w:t>Surviving Entity</w:t>
      </w:r>
      <w:r>
        <w:rPr>
          <w:rFonts w:ascii="Arial" w:cs="Arial" w:eastAsia="Arial" w:hAnsi="Arial"/>
          <w:sz w:val="15"/>
          <w:szCs w:val="15"/>
          <w:color w:val="auto"/>
        </w:rPr>
        <w:t>”) (or of its ultimate parent corporation or other entity, if any), and (2) the Combined Voting Power of the then outstanding Voting Securities of the Surviving Entity (or of its ultimate parent corporation or other entity, if any) or (B) the Incumbent Directors at the time of the initial approval of such Acquisition Transaction would not immediately after such Acquisition Transaction constitute a majority of the Board, or similar managing group, of the Surviving Entity (or of its ultimate parent corporation or other entity, if any), or (b) the filing of any plan for the liquidation or dissolution of the Company. For purposes of this Section 4(a) and this Agreement, the following terms shall have the following meanings: (i) the term “</w:t>
      </w:r>
      <w:r>
        <w:rPr>
          <w:rFonts w:ascii="Arial" w:cs="Arial" w:eastAsia="Arial" w:hAnsi="Arial"/>
          <w:sz w:val="15"/>
          <w:szCs w:val="15"/>
          <w:b w:val="1"/>
          <w:bCs w:val="1"/>
          <w:i w:val="1"/>
          <w:iCs w:val="1"/>
          <w:color w:val="auto"/>
        </w:rPr>
        <w:t>Affiliate</w:t>
      </w:r>
      <w:r>
        <w:rPr>
          <w:rFonts w:ascii="Arial" w:cs="Arial" w:eastAsia="Arial" w:hAnsi="Arial"/>
          <w:sz w:val="15"/>
          <w:szCs w:val="15"/>
          <w:color w:val="auto"/>
        </w:rPr>
        <w:t>” shall mean, as to a specified Person, another Person that directly, or indirectly through one or more intermediaries, controls or is controlled by, or is under common control with, the specified Person, within the meaning of such terms as used in Rule 405 under the Securities Act of 1933, as amended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or any successor rule;</w:t>
      </w:r>
    </w:p>
    <w:p>
      <w:pPr>
        <w:spacing w:after="0" w:line="10" w:lineRule="exact"/>
        <w:rPr>
          <w:sz w:val="20"/>
          <w:szCs w:val="20"/>
          <w:color w:val="auto"/>
        </w:rPr>
      </w:pPr>
    </w:p>
    <w:p>
      <w:pPr>
        <w:ind w:right="160" w:firstLine="5"/>
        <w:spacing w:after="0" w:line="291" w:lineRule="auto"/>
        <w:tabs>
          <w:tab w:leader="none" w:pos="257" w:val="left"/>
        </w:tabs>
        <w:numPr>
          <w:ilvl w:val="0"/>
          <w:numId w:val="851"/>
        </w:numPr>
        <w:rPr>
          <w:rFonts w:ascii="Arial" w:cs="Arial" w:eastAsia="Arial" w:hAnsi="Arial"/>
          <w:sz w:val="15"/>
          <w:szCs w:val="15"/>
          <w:color w:val="auto"/>
        </w:rPr>
      </w:pPr>
      <w:r>
        <w:rPr>
          <w:rFonts w:ascii="Arial" w:cs="Arial" w:eastAsia="Arial" w:hAnsi="Arial"/>
          <w:sz w:val="15"/>
          <w:szCs w:val="15"/>
          <w:color w:val="auto"/>
        </w:rPr>
        <w:t>the term “</w:t>
      </w:r>
      <w:r>
        <w:rPr>
          <w:rFonts w:ascii="Arial" w:cs="Arial" w:eastAsia="Arial" w:hAnsi="Arial"/>
          <w:sz w:val="15"/>
          <w:szCs w:val="15"/>
          <w:b w:val="1"/>
          <w:bCs w:val="1"/>
          <w:i w:val="1"/>
          <w:iCs w:val="1"/>
          <w:color w:val="auto"/>
        </w:rPr>
        <w:t>Combined Voting Power</w:t>
      </w:r>
      <w:r>
        <w:rPr>
          <w:rFonts w:ascii="Arial" w:cs="Arial" w:eastAsia="Arial" w:hAnsi="Arial"/>
          <w:sz w:val="15"/>
          <w:szCs w:val="15"/>
          <w:color w:val="auto"/>
        </w:rPr>
        <w:t>” shall mean the aggregate votes entitled to be cast generally in the election of the Board, or similar managing group, of a corporation or other entity by holders of then outstanding Voting Securities of such corporation or other entity; (iii) the term “</w:t>
      </w:r>
      <w:r>
        <w:rPr>
          <w:rFonts w:ascii="Arial" w:cs="Arial" w:eastAsia="Arial" w:hAnsi="Arial"/>
          <w:sz w:val="15"/>
          <w:szCs w:val="15"/>
          <w:b w:val="1"/>
          <w:bCs w:val="1"/>
          <w:i w:val="1"/>
          <w:iCs w:val="1"/>
          <w:color w:val="auto"/>
        </w:rPr>
        <w:t>Person</w:t>
      </w:r>
      <w:r>
        <w:rPr>
          <w:rFonts w:ascii="Arial" w:cs="Arial" w:eastAsia="Arial" w:hAnsi="Arial"/>
          <w:sz w:val="15"/>
          <w:szCs w:val="15"/>
          <w:color w:val="auto"/>
        </w:rPr>
        <w:t>” shall mean any individual, entity (including, without limitation, any corporation, partnership, trust, joint venture, association or governmental body) or group (as defined in Sections 14(d)</w:t>
      </w:r>
    </w:p>
    <w:p>
      <w:pPr>
        <w:spacing w:after="0" w:line="1" w:lineRule="exact"/>
        <w:rPr>
          <w:rFonts w:ascii="Arial" w:cs="Arial" w:eastAsia="Arial" w:hAnsi="Arial"/>
          <w:sz w:val="15"/>
          <w:szCs w:val="15"/>
          <w:color w:val="auto"/>
        </w:rPr>
      </w:pPr>
    </w:p>
    <w:p>
      <w:pPr>
        <w:ind w:right="20"/>
        <w:spacing w:after="0" w:line="284" w:lineRule="auto"/>
        <w:rPr>
          <w:rFonts w:ascii="Arial" w:cs="Arial" w:eastAsia="Arial" w:hAnsi="Arial"/>
          <w:sz w:val="15"/>
          <w:szCs w:val="15"/>
          <w:color w:val="auto"/>
        </w:rPr>
      </w:pPr>
      <w:r>
        <w:rPr>
          <w:rFonts w:ascii="Arial" w:cs="Arial" w:eastAsia="Arial" w:hAnsi="Arial"/>
          <w:sz w:val="16"/>
          <w:szCs w:val="16"/>
          <w:color w:val="auto"/>
        </w:rPr>
        <w:t>(3) or 15(d)(2) of the Exchange Act and the rules and regulations thereunder); provided, however, that Person shall not include the Company, any of its subsidiaries, any employee benefit plan of the Company or any of its majority-owned subsidiaries or any entity organized, appointed or established by the Company or such subsidiaries for or pursuant to the terms of any such plan; and (iv) the term “</w:t>
      </w:r>
      <w:r>
        <w:rPr>
          <w:rFonts w:ascii="Arial" w:cs="Arial" w:eastAsia="Arial" w:hAnsi="Arial"/>
          <w:sz w:val="16"/>
          <w:szCs w:val="16"/>
          <w:b w:val="1"/>
          <w:bCs w:val="1"/>
          <w:i w:val="1"/>
          <w:iCs w:val="1"/>
          <w:color w:val="auto"/>
        </w:rPr>
        <w:t>Voting Securities</w:t>
      </w:r>
      <w:r>
        <w:rPr>
          <w:rFonts w:ascii="Arial" w:cs="Arial" w:eastAsia="Arial" w:hAnsi="Arial"/>
          <w:sz w:val="16"/>
          <w:szCs w:val="16"/>
          <w:color w:val="auto"/>
        </w:rPr>
        <w:t>” shall mean all securities of a corporation or other entity having the right under ordinary circumstances to vote in an election of the Board, or similar managing group, of such corporation or other entity.</w:t>
      </w:r>
    </w:p>
    <w:p>
      <w:pPr>
        <w:spacing w:after="0" w:line="165" w:lineRule="exact"/>
        <w:rPr>
          <w:rFonts w:ascii="Arial" w:cs="Arial" w:eastAsia="Arial" w:hAnsi="Arial"/>
          <w:sz w:val="15"/>
          <w:szCs w:val="15"/>
          <w:color w:val="auto"/>
        </w:rPr>
      </w:pPr>
    </w:p>
    <w:p>
      <w:pPr>
        <w:ind w:right="240" w:firstLine="1263"/>
        <w:spacing w:after="0" w:line="273" w:lineRule="auto"/>
        <w:tabs>
          <w:tab w:leader="none" w:pos="1895" w:val="left"/>
        </w:tabs>
        <w:numPr>
          <w:ilvl w:val="1"/>
          <w:numId w:val="851"/>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after a Change of Control</w:t>
      </w:r>
      <w:r>
        <w:rPr>
          <w:rFonts w:ascii="Arial" w:cs="Arial" w:eastAsia="Arial" w:hAnsi="Arial"/>
          <w:sz w:val="17"/>
          <w:szCs w:val="17"/>
          <w:color w:val="auto"/>
        </w:rPr>
        <w:t>. Subject to satisfaction of Section 4(d), if, within six (6) months immediately preceding a Change of Control or within twelve (12) months immediately following a Change of Control, the Executive’s employment is terminated by the Company for any reason other than Cause or is terminated by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00"/>
        <w:spacing w:after="0" w:line="297" w:lineRule="auto"/>
        <w:rPr>
          <w:sz w:val="20"/>
          <w:szCs w:val="20"/>
          <w:color w:val="auto"/>
        </w:rPr>
      </w:pPr>
      <w:r>
        <w:rPr>
          <w:rFonts w:ascii="Arial" w:cs="Arial" w:eastAsia="Arial" w:hAnsi="Arial"/>
          <w:sz w:val="15"/>
          <w:szCs w:val="15"/>
          <w:color w:val="auto"/>
        </w:rPr>
        <w:t>the Executive for Good Reason, then the Executive shall be entitled to receive the following benefits (collectively, the “</w:t>
      </w:r>
      <w:r>
        <w:rPr>
          <w:rFonts w:ascii="Arial" w:cs="Arial" w:eastAsia="Arial" w:hAnsi="Arial"/>
          <w:sz w:val="15"/>
          <w:szCs w:val="15"/>
          <w:b w:val="1"/>
          <w:bCs w:val="1"/>
          <w:i w:val="1"/>
          <w:iCs w:val="1"/>
          <w:color w:val="auto"/>
        </w:rPr>
        <w:t>Severance Benefits</w:t>
      </w:r>
      <w:r>
        <w:rPr>
          <w:rFonts w:ascii="Arial" w:cs="Arial" w:eastAsia="Arial" w:hAnsi="Arial"/>
          <w:sz w:val="15"/>
          <w:szCs w:val="15"/>
          <w:color w:val="auto"/>
        </w:rPr>
        <w:t>”): (i) a payment equal to one times (1x) the then current annual Base Salary; (ii) a payment equal to the dollar amount of the Executive’s full target bonus percentage as in effect for the twelve (12) month period immediately prior to such termination (for this purpose any performance targets shall be deemed immediately and fully satisfied); and</w:t>
      </w:r>
    </w:p>
    <w:p>
      <w:pPr>
        <w:spacing w:after="0" w:line="1" w:lineRule="exact"/>
        <w:rPr>
          <w:sz w:val="20"/>
          <w:szCs w:val="20"/>
          <w:color w:val="auto"/>
        </w:rPr>
      </w:pPr>
    </w:p>
    <w:p>
      <w:pPr>
        <w:ind w:right="20" w:firstLine="5"/>
        <w:spacing w:after="0" w:line="268" w:lineRule="auto"/>
        <w:tabs>
          <w:tab w:leader="none" w:pos="306" w:val="left"/>
        </w:tabs>
        <w:numPr>
          <w:ilvl w:val="0"/>
          <w:numId w:val="852"/>
        </w:numPr>
        <w:rPr>
          <w:rFonts w:ascii="Arial" w:cs="Arial" w:eastAsia="Arial" w:hAnsi="Arial"/>
          <w:sz w:val="16"/>
          <w:szCs w:val="16"/>
          <w:color w:val="auto"/>
        </w:rPr>
      </w:pPr>
      <w:r>
        <w:rPr>
          <w:rFonts w:ascii="Arial" w:cs="Arial" w:eastAsia="Arial" w:hAnsi="Arial"/>
          <w:sz w:val="16"/>
          <w:szCs w:val="16"/>
          <w:color w:val="auto"/>
        </w:rPr>
        <w:t>$15,000 for the purpose of the Executive to fund health coverage continuation benefits. Severance Benefits shall be paid to the Executive no later than the thirtieth (30</w:t>
      </w:r>
      <w:r>
        <w:rPr>
          <w:rFonts w:ascii="Arial" w:cs="Arial" w:eastAsia="Arial" w:hAnsi="Arial"/>
          <w:sz w:val="20"/>
          <w:szCs w:val="20"/>
          <w:color w:val="auto"/>
          <w:vertAlign w:val="superscript"/>
        </w:rPr>
        <w:t>th</w:t>
      </w:r>
      <w:r>
        <w:rPr>
          <w:rFonts w:ascii="Arial" w:cs="Arial" w:eastAsia="Arial" w:hAnsi="Arial"/>
          <w:sz w:val="16"/>
          <w:szCs w:val="16"/>
          <w:color w:val="auto"/>
        </w:rPr>
        <w:t>) day immediately following the Executive’s “separation from service” (as defined under Section 409A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provided the Executive first executes a release of any and all claims against the Company (set forth in Section 4(d), below) and the revocation period specified therein has expired without the Executive revoking such release. Notwithstanding the foregoing and for avoidance of doubt, if (i) the Executive’s employment is terminated for Cause within six (6) months immediately preceding a Change of Control or within twelve (12) months immediately following a Change of Control, or (ii) the Executive’s employment is terminated by the Company for Cause or by the Executive for any reason after the expiration of twelve (12) months from a Change of Control; then the Executive shall be entitled to only any unpaid then current annual Base Salary through and including the date of termination as set forth in Section 4(a) of this Agreement and the Executive shall not be entitled to or receive any Severance Benefits.</w:t>
      </w:r>
    </w:p>
    <w:p>
      <w:pPr>
        <w:spacing w:after="0" w:line="181" w:lineRule="exact"/>
        <w:rPr>
          <w:sz w:val="20"/>
          <w:szCs w:val="20"/>
          <w:color w:val="auto"/>
        </w:rPr>
      </w:pPr>
    </w:p>
    <w:p>
      <w:pPr>
        <w:ind w:right="20" w:firstLine="629"/>
        <w:spacing w:after="0" w:line="278" w:lineRule="auto"/>
        <w:rPr>
          <w:sz w:val="20"/>
          <w:szCs w:val="20"/>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shall mean to include: (i) the Executive’s conviction of or plea of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offense or to a crime that the Board determines, in its sole discretion, is a crime of moral turpitude (whether or not a felony); (ii) the Executive commits willful misconduct (that is, done in bad faith or without reasonable belief that such action is in the best interest of the Company) or violates any law in connection with the performance of any of his or her duties, including, without limitation, (A) misappropriation of funds or property of the Company or any of its affiliates or customers, (B) securing or attempting to secure personally any profit in connection with any transaction entered into on behalf of the Company or any of its affiliates, or (C) making any material misrepresentation to the Board, the Company, or any of the Company’s affiliates; (iii) the Executive materially violates or fails to comply with any written Company policy; (iv) the Executive materially breaches any term of this Agreement; or (v) the willful and continued failure or neglect of the Executive to substantially perform his or her duties with the Company (other than any such failure resulting from incapacity due to physical or mental illness). The Board shall not have Cause to terminate the Executive’s employment under this Section 4 unless and until the Board provides written notice to the Executive that identifies the Executive’s alleged violation of policy, breach of this Agreement, or failure to perform (or neglect of) any duty and the Executive fails to cure such violation of policy, breach of this Agreement or failure to perform (or neglect of) any duty within 60 days therefrom.</w:t>
      </w:r>
    </w:p>
    <w:p>
      <w:pPr>
        <w:spacing w:after="0" w:line="173"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For purposes of this Agreement, the term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shall mean to include: (i) the Executive being assigned any duties or the significant reduction of the Executive’s duties or a significant change of the Executive’s title, any of which is inconsistent with his or her position or title with the Company and responsibilities in effect immediately prior to such assignment, except in each case in connection with a promotion; (ii) a reduction by the Company in the Executive’s Base Salary as in effect immediately prior to such reduction, provided that Good Reason shall not be deemed to exist where the Executive’s Base Salary is reduced as part of 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520"/>
        <w:spacing w:after="0" w:line="298" w:lineRule="auto"/>
        <w:rPr>
          <w:sz w:val="20"/>
          <w:szCs w:val="20"/>
          <w:color w:val="auto"/>
        </w:rPr>
      </w:pPr>
      <w:r>
        <w:rPr>
          <w:rFonts w:ascii="Arial" w:cs="Arial" w:eastAsia="Arial" w:hAnsi="Arial"/>
          <w:sz w:val="16"/>
          <w:szCs w:val="16"/>
          <w:color w:val="auto"/>
        </w:rPr>
        <w:t>overall cost reduction program that affects all senior executives of the Company and does not disproportionately affect the Executive; (iii) the failure of any successor entity to the Company to expressly assume in writing the terms of this Agreement; and (iv) any material breach by the Company of any material provision of this agreement which has not been cured within 30 days of the Executive providing the Company with written notice of such breach.</w:t>
      </w:r>
    </w:p>
    <w:p>
      <w:pPr>
        <w:spacing w:after="0" w:line="154" w:lineRule="exact"/>
        <w:rPr>
          <w:sz w:val="20"/>
          <w:szCs w:val="20"/>
          <w:color w:val="auto"/>
        </w:rPr>
      </w:pPr>
    </w:p>
    <w:p>
      <w:pPr>
        <w:jc w:val="both"/>
        <w:ind w:right="180" w:firstLine="1263"/>
        <w:spacing w:after="0" w:line="360" w:lineRule="auto"/>
        <w:tabs>
          <w:tab w:leader="none" w:pos="1898" w:val="left"/>
        </w:tabs>
        <w:numPr>
          <w:ilvl w:val="0"/>
          <w:numId w:val="853"/>
        </w:numPr>
        <w:rPr>
          <w:rFonts w:ascii="Arial" w:cs="Arial" w:eastAsia="Arial" w:hAnsi="Arial"/>
          <w:sz w:val="15"/>
          <w:szCs w:val="15"/>
          <w:color w:val="auto"/>
        </w:rPr>
      </w:pPr>
      <w:r>
        <w:rPr>
          <w:rFonts w:ascii="Arial" w:cs="Arial" w:eastAsia="Arial" w:hAnsi="Arial"/>
          <w:sz w:val="15"/>
          <w:szCs w:val="15"/>
          <w:u w:val="single" w:color="auto"/>
          <w:color w:val="auto"/>
        </w:rPr>
        <w:t>Board Resignation</w:t>
      </w:r>
      <w:r>
        <w:rPr>
          <w:rFonts w:ascii="Arial" w:cs="Arial" w:eastAsia="Arial" w:hAnsi="Arial"/>
          <w:sz w:val="15"/>
          <w:szCs w:val="15"/>
          <w:color w:val="auto"/>
        </w:rPr>
        <w:t>. Upon termination of the Executive’s employment for any reason, the Executive shall be deemed to have resigned from any Board position (and any committees thereof) and from any and all positions with the Company’s affiliates, effective as of the date of such termination.</w:t>
      </w:r>
    </w:p>
    <w:p>
      <w:pPr>
        <w:spacing w:after="0" w:line="111" w:lineRule="exact"/>
        <w:rPr>
          <w:rFonts w:ascii="Arial" w:cs="Arial" w:eastAsia="Arial" w:hAnsi="Arial"/>
          <w:sz w:val="15"/>
          <w:szCs w:val="15"/>
          <w:color w:val="auto"/>
        </w:rPr>
      </w:pPr>
    </w:p>
    <w:p>
      <w:pPr>
        <w:ind w:right="40" w:firstLine="1263"/>
        <w:spacing w:after="0" w:line="322" w:lineRule="auto"/>
        <w:tabs>
          <w:tab w:leader="none" w:pos="1895" w:val="left"/>
        </w:tabs>
        <w:numPr>
          <w:ilvl w:val="0"/>
          <w:numId w:val="853"/>
        </w:numPr>
        <w:rPr>
          <w:rFonts w:ascii="Arial" w:cs="Arial" w:eastAsia="Arial" w:hAnsi="Arial"/>
          <w:sz w:val="16"/>
          <w:szCs w:val="16"/>
          <w:color w:val="auto"/>
        </w:rPr>
      </w:pPr>
      <w:r>
        <w:rPr>
          <w:rFonts w:ascii="Arial" w:cs="Arial" w:eastAsia="Arial" w:hAnsi="Arial"/>
          <w:sz w:val="16"/>
          <w:szCs w:val="16"/>
          <w:u w:val="single" w:color="auto"/>
          <w:color w:val="auto"/>
        </w:rPr>
        <w:t>Waiver and Release</w:t>
      </w:r>
      <w:r>
        <w:rPr>
          <w:rFonts w:ascii="Arial" w:cs="Arial" w:eastAsia="Arial" w:hAnsi="Arial"/>
          <w:sz w:val="16"/>
          <w:szCs w:val="16"/>
          <w:color w:val="auto"/>
        </w:rPr>
        <w:t>. Notwithstanding any other provisions of this Agreement to the contrary, unless expressly waived in writing by the Board in its sole discretion, the Company shall not make or provide any Severance Benefits under this Section 4 (other than accrued Base Salary as of the</w:t>
      </w:r>
    </w:p>
    <w:p>
      <w:pPr>
        <w:sectPr>
          <w:pgSz w:w="11900" w:h="16920" w:orient="portrait"/>
          <w:cols w:equalWidth="0" w:num="1">
            <w:col w:w="11420"/>
          </w:cols>
          <w:pgMar w:left="240" w:top="573" w:right="239" w:bottom="0" w:gutter="0" w:footer="0" w:header="0"/>
        </w:sectPr>
      </w:pPr>
    </w:p>
    <w:bookmarkStart w:id="465" w:name="page466"/>
    <w:bookmarkEnd w:id="465"/>
    <w:p>
      <w:pPr>
        <w:ind w:right="40"/>
        <w:spacing w:after="0" w:line="280" w:lineRule="auto"/>
        <w:rPr>
          <w:sz w:val="20"/>
          <w:szCs w:val="20"/>
          <w:color w:val="auto"/>
        </w:rPr>
      </w:pPr>
      <w:r>
        <w:rPr>
          <w:rFonts w:ascii="Arial" w:cs="Arial" w:eastAsia="Arial" w:hAnsi="Arial"/>
          <w:sz w:val="16"/>
          <w:szCs w:val="16"/>
          <w:color w:val="auto"/>
        </w:rPr>
        <w:t xml:space="preserve">termination date) unless the Executive timely executes and delivers to the Company a general release (which shall be provided by the Company not later than five (5) days from the date on which the Executive’s employment is terminated and be substantially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whereby the Executive (or his estate or legally appointed personal representative) releases the Company (and affiliates of the Company and other designated persons) from all employment based or related claims of the Executive and all obligations of the Company to the Executive other than with respect to (x) the Company’s obligations to make and provide the Severance Benefits and (y) any vested benefits to which the Executive is entitled under the terms of any Company benefit or equity plan, and the Executive does not revoke such release within any applicable revocation period following the Executive’s delivery of the executed release to the Company. If the requirements of this Section 4(d) are not satisfied by the Executive (or his estate or legally appointed personal representative), then no Severance Benefits (other than accrued salary as of the termination date) shall be due to the Executive (or his estate) pursuant to this Agreement.</w:t>
      </w:r>
    </w:p>
    <w:p>
      <w:pPr>
        <w:spacing w:after="0" w:line="171" w:lineRule="exact"/>
        <w:rPr>
          <w:sz w:val="20"/>
          <w:szCs w:val="20"/>
          <w:color w:val="auto"/>
        </w:rPr>
      </w:pPr>
    </w:p>
    <w:p>
      <w:pPr>
        <w:ind w:right="80" w:firstLine="1263"/>
        <w:spacing w:after="0" w:line="262" w:lineRule="auto"/>
        <w:tabs>
          <w:tab w:leader="none" w:pos="1898" w:val="left"/>
        </w:tabs>
        <w:numPr>
          <w:ilvl w:val="1"/>
          <w:numId w:val="854"/>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employment by the Company or the Executive shall be communicated by a written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of Termination</w:t>
      </w:r>
      <w:r>
        <w:rPr>
          <w:rFonts w:ascii="Arial" w:cs="Arial" w:eastAsia="Arial" w:hAnsi="Arial"/>
          <w:sz w:val="17"/>
          <w:szCs w:val="17"/>
          <w:color w:val="auto"/>
        </w:rPr>
        <w:t>” to the other party hereto given in accordance with Section 8(</w:t>
      </w:r>
      <w:r>
        <w:rPr>
          <w:rFonts w:ascii="Arial" w:cs="Arial" w:eastAsia="Arial" w:hAnsi="Arial"/>
          <w:sz w:val="17"/>
          <w:szCs w:val="17"/>
          <w:i w:val="1"/>
          <w:iCs w:val="1"/>
          <w:color w:val="auto"/>
        </w:rPr>
        <w:t>l</w:t>
      </w:r>
      <w:r>
        <w:rPr>
          <w:rFonts w:ascii="Arial" w:cs="Arial" w:eastAsia="Arial" w:hAnsi="Arial"/>
          <w:sz w:val="17"/>
          <w:szCs w:val="17"/>
          <w:color w:val="auto"/>
        </w:rPr>
        <w:t>) of this Agreement. In the event of a termination by the Company for Cause,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of Termination shall (i) indicate the specific termination provision in this Agreement relied upon, (ii) set forth in reasonable detail the facts and circumstances claimed to provide a basis for termination of the Executive’s employment under the provision so indicated and (iii) specify the date of termination. The failure by the Executive or the Company to set forth in the Notice of Termination any fact or circumstance which contributes to a showing of Cause shall not waive any right of the Executive or the Company, respectively, hereunder or preclude the Executive or the Company, respectively, from asserting such fact or circumstance in enforcing the Executive’s or the Company’s rights hereunder.</w:t>
      </w:r>
    </w:p>
    <w:p>
      <w:pPr>
        <w:spacing w:after="0" w:line="178" w:lineRule="exact"/>
        <w:rPr>
          <w:rFonts w:ascii="Arial" w:cs="Arial" w:eastAsia="Arial" w:hAnsi="Arial"/>
          <w:sz w:val="17"/>
          <w:szCs w:val="17"/>
          <w:color w:val="auto"/>
        </w:rPr>
      </w:pPr>
    </w:p>
    <w:p>
      <w:pPr>
        <w:ind w:right="40" w:firstLine="634"/>
        <w:spacing w:after="0" w:line="270" w:lineRule="auto"/>
        <w:tabs>
          <w:tab w:leader="none" w:pos="1258" w:val="left"/>
        </w:tabs>
        <w:numPr>
          <w:ilvl w:val="0"/>
          <w:numId w:val="855"/>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280G Payments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in this Agreement to the contrary, if the Executive is a “disqualified individual” (as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in Section 280G(c) of the Code), and the payments and benefits provided for in this Agreement, together with any other payments and benefits which the Executive has the right to receive from the Company or any other person, would constitute a “parachute payment” (as defined in Section 280G(b)(2) of the Code), then the payments and benefits provided for in this Agreement shall be either (a) reduced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(but not below zero) so that the present value of such total amounts and benefits received by the Executive from the Company and/or such person(s) will be $1.00 less than three (3) times the Executive’s “base amount” (as defined in Section 280G(b)(3) of the Code) and so that no portion of such amounts and benefits received by the Executive shall be subject to the excise tax imposed by Section 4999 of the Code or (b) paid in full, whichever produces the better “net after-tax position” to the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shall be made by the Company in good faith. If a reduced payment or benefit is made or provided and through error or otherwise that payment or benefit, when aggregated with other payments and benefits from the Company (or its affiliates) used in determining if a “parachute payment” exists, exceeds $1.00 less than three (3) times the Executive’s base amount, then the Executive shall immediately repay such excess to the Company upon notification that an overpayment has been made. Nothing in this paragraph shall require the Company to be responsible for, or have any liability or obligation with respect to, the Executive’s excise tax liabilities under Section 4999 of the Code.</w:t>
      </w:r>
    </w:p>
    <w:p>
      <w:pPr>
        <w:spacing w:after="0" w:line="178" w:lineRule="exact"/>
        <w:rPr>
          <w:sz w:val="20"/>
          <w:szCs w:val="20"/>
          <w:color w:val="auto"/>
        </w:rPr>
      </w:pPr>
    </w:p>
    <w:p>
      <w:pPr>
        <w:jc w:val="both"/>
        <w:ind w:right="220" w:firstLine="634"/>
        <w:spacing w:after="0" w:line="292" w:lineRule="auto"/>
        <w:tabs>
          <w:tab w:leader="none" w:pos="1258" w:val="left"/>
        </w:tabs>
        <w:numPr>
          <w:ilvl w:val="0"/>
          <w:numId w:val="856"/>
        </w:numPr>
        <w:rPr>
          <w:rFonts w:ascii="Arial" w:cs="Arial" w:eastAsia="Arial" w:hAnsi="Arial"/>
          <w:sz w:val="16"/>
          <w:szCs w:val="16"/>
          <w:color w:val="auto"/>
        </w:rPr>
      </w:pPr>
      <w:r>
        <w:rPr>
          <w:rFonts w:ascii="Arial" w:cs="Arial" w:eastAsia="Arial" w:hAnsi="Arial"/>
          <w:sz w:val="16"/>
          <w:szCs w:val="16"/>
          <w:b w:val="1"/>
          <w:bCs w:val="1"/>
          <w:u w:val="single" w:color="auto"/>
          <w:color w:val="auto"/>
        </w:rPr>
        <w:t>Section 409A of the Code</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intended to either avoid the application of, or comply with, Section 409A of the Code. To that</w:t>
      </w:r>
      <w:r>
        <w:rPr>
          <w:rFonts w:ascii="Arial" w:cs="Arial" w:eastAsia="Arial" w:hAnsi="Arial"/>
          <w:sz w:val="16"/>
          <w:szCs w:val="16"/>
          <w:b w:val="1"/>
          <w:bCs w:val="1"/>
          <w:color w:val="auto"/>
        </w:rPr>
        <w:t xml:space="preserve"> </w:t>
      </w:r>
      <w:r>
        <w:rPr>
          <w:rFonts w:ascii="Arial" w:cs="Arial" w:eastAsia="Arial" w:hAnsi="Arial"/>
          <w:sz w:val="16"/>
          <w:szCs w:val="16"/>
          <w:color w:val="auto"/>
        </w:rPr>
        <w:t>end this Agreement shall at all times be interpreted in a manner that is consistent with Section 409A. Notwithstanding any other provision in this Agreement to the contrary, the Company shall have the right, in its sole discretion, to adopt such amendments to this Agreement or take such other actions (including amendments and actions with retroactive effect) as it determines is necessary or appropriate for this Agreement to comply with Section 409A. Further:</w:t>
      </w:r>
    </w:p>
    <w:p>
      <w:pPr>
        <w:spacing w:after="0" w:line="159" w:lineRule="exact"/>
        <w:rPr>
          <w:rFonts w:ascii="Arial" w:cs="Arial" w:eastAsia="Arial" w:hAnsi="Arial"/>
          <w:sz w:val="16"/>
          <w:szCs w:val="16"/>
          <w:color w:val="auto"/>
        </w:rPr>
      </w:pPr>
    </w:p>
    <w:p>
      <w:pPr>
        <w:ind w:right="100" w:firstLine="1263"/>
        <w:spacing w:after="0" w:line="265" w:lineRule="auto"/>
        <w:tabs>
          <w:tab w:leader="none" w:pos="1885" w:val="left"/>
        </w:tabs>
        <w:numPr>
          <w:ilvl w:val="1"/>
          <w:numId w:val="856"/>
        </w:numPr>
        <w:rPr>
          <w:rFonts w:ascii="Arial" w:cs="Arial" w:eastAsia="Arial" w:hAnsi="Arial"/>
          <w:sz w:val="17"/>
          <w:szCs w:val="17"/>
          <w:color w:val="auto"/>
        </w:rPr>
      </w:pPr>
      <w:r>
        <w:rPr>
          <w:rFonts w:ascii="Arial" w:cs="Arial" w:eastAsia="Arial" w:hAnsi="Arial"/>
          <w:sz w:val="17"/>
          <w:szCs w:val="17"/>
          <w:color w:val="auto"/>
        </w:rPr>
        <w:t>Any reimbursement of any costs and expenses by the Company to the Executive under this Agreement shall be made by the Company in no event later than the close of the Executive’s taxable year following the taxable year in which the cost or expense is incurred by the Executive. The expenses incurred by the Executive in any calendar year that are eligible for reimbursement under this Agreement shall not affect the expenses incurred by the Executive in any other calendar year that are eligible for reimbursement hereunder and the Executive’s right to receive any reimbursement hereunder shall not be subject to liquidation or exchange for any other benefit.</w:t>
      </w:r>
    </w:p>
    <w:p>
      <w:pPr>
        <w:spacing w:after="0" w:line="179" w:lineRule="exact"/>
        <w:rPr>
          <w:rFonts w:ascii="Arial" w:cs="Arial" w:eastAsia="Arial" w:hAnsi="Arial"/>
          <w:sz w:val="17"/>
          <w:szCs w:val="17"/>
          <w:color w:val="auto"/>
        </w:rPr>
      </w:pPr>
    </w:p>
    <w:p>
      <w:pPr>
        <w:ind w:left="1900" w:hanging="637"/>
        <w:spacing w:after="0"/>
        <w:tabs>
          <w:tab w:leader="none" w:pos="1900" w:val="left"/>
        </w:tabs>
        <w:numPr>
          <w:ilvl w:val="1"/>
          <w:numId w:val="856"/>
        </w:numPr>
        <w:rPr>
          <w:rFonts w:ascii="Arial" w:cs="Arial" w:eastAsia="Arial" w:hAnsi="Arial"/>
          <w:sz w:val="17"/>
          <w:szCs w:val="17"/>
          <w:color w:val="auto"/>
        </w:rPr>
      </w:pPr>
      <w:r>
        <w:rPr>
          <w:rFonts w:ascii="Arial" w:cs="Arial" w:eastAsia="Arial" w:hAnsi="Arial"/>
          <w:sz w:val="17"/>
          <w:szCs w:val="17"/>
          <w:color w:val="auto"/>
        </w:rPr>
        <w:t>Each payment that the Executive may receive under this Agreement shall be treated as a “separate payment” for purposes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Section 409A of the Code.</w:t>
      </w:r>
    </w:p>
    <w:p>
      <w:pPr>
        <w:spacing w:after="0" w:line="206" w:lineRule="exact"/>
        <w:rPr>
          <w:sz w:val="20"/>
          <w:szCs w:val="20"/>
          <w:color w:val="auto"/>
        </w:rPr>
      </w:pPr>
    </w:p>
    <w:p>
      <w:pPr>
        <w:ind w:firstLine="634"/>
        <w:spacing w:after="0" w:line="302" w:lineRule="auto"/>
        <w:tabs>
          <w:tab w:leader="none" w:pos="1258" w:val="left"/>
        </w:tabs>
        <w:numPr>
          <w:ilvl w:val="0"/>
          <w:numId w:val="857"/>
        </w:numPr>
        <w:rPr>
          <w:rFonts w:ascii="Arial" w:cs="Arial" w:eastAsia="Arial" w:hAnsi="Arial"/>
          <w:sz w:val="16"/>
          <w:szCs w:val="16"/>
          <w:color w:val="auto"/>
        </w:rPr>
      </w:pPr>
      <w:r>
        <w:rPr>
          <w:rFonts w:ascii="Arial" w:cs="Arial" w:eastAsia="Arial" w:hAnsi="Arial"/>
          <w:sz w:val="16"/>
          <w:szCs w:val="16"/>
          <w:b w:val="1"/>
          <w:bCs w:val="1"/>
          <w:u w:val="single" w:color="auto"/>
          <w:color w:val="auto"/>
        </w:rPr>
        <w:t>Agreement Ancillary to Other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ancillary to and part of the Inventions, Confidentiality, Non-Competition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Non-Solicitation Agreement,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between the Company and the Executive and furthers the Company’s agreements to: (i) disclose, and to continue to disclose its Confidential Information and Trade Secrets to the Executive; (ii) provide initial and continued training, education and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development to the Executive; (iii) provide the Executive with Confidential Information and Trade Secrets about, and the opportunity to develop relationships with, the Company’s employees, Customers and Suppliers, and employees and agents of its Customers and Suppliers. A default under or breach of the Inventions, Confidentiality, Non-Competition and Non-Solicitation Agreement shall constitute a material breach of this Agreement.</w:t>
      </w:r>
    </w:p>
    <w:p>
      <w:pPr>
        <w:spacing w:after="0" w:line="166" w:lineRule="exact"/>
        <w:rPr>
          <w:sz w:val="20"/>
          <w:szCs w:val="20"/>
          <w:color w:val="auto"/>
        </w:rPr>
      </w:pPr>
    </w:p>
    <w:p>
      <w:pPr>
        <w:ind w:left="1260" w:hanging="626"/>
        <w:spacing w:after="0"/>
        <w:tabs>
          <w:tab w:leader="none" w:pos="1260" w:val="left"/>
        </w:tabs>
        <w:numPr>
          <w:ilvl w:val="0"/>
          <w:numId w:val="858"/>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color w:val="auto"/>
        </w:rPr>
      </w:pPr>
    </w:p>
    <w:p>
      <w:pPr>
        <w:ind w:right="40" w:firstLine="1263"/>
        <w:spacing w:after="0" w:line="265" w:lineRule="auto"/>
        <w:tabs>
          <w:tab w:leader="none" w:pos="1885" w:val="left"/>
        </w:tabs>
        <w:numPr>
          <w:ilvl w:val="1"/>
          <w:numId w:val="858"/>
        </w:numPr>
        <w:rPr>
          <w:rFonts w:ascii="Arial" w:cs="Arial" w:eastAsia="Arial" w:hAnsi="Arial"/>
          <w:sz w:val="17"/>
          <w:szCs w:val="17"/>
          <w:color w:val="auto"/>
        </w:rPr>
      </w:pPr>
      <w:r>
        <w:rPr>
          <w:rFonts w:ascii="Arial" w:cs="Arial" w:eastAsia="Arial" w:hAnsi="Arial"/>
          <w:sz w:val="17"/>
          <w:szCs w:val="17"/>
          <w:u w:val="single" w:color="auto"/>
          <w:color w:val="auto"/>
        </w:rPr>
        <w:t>Defense of Claims</w:t>
      </w:r>
      <w:r>
        <w:rPr>
          <w:rFonts w:ascii="Arial" w:cs="Arial" w:eastAsia="Arial" w:hAnsi="Arial"/>
          <w:sz w:val="17"/>
          <w:szCs w:val="17"/>
          <w:color w:val="auto"/>
        </w:rPr>
        <w:t>. The Executive agrees that, during the Term, and for a period of twelve (12) months after termination of the Executive’s employment, upon request from the Company, the Executive will cooperate with the Company in the defense of any claims or actions that may be made by or against the Company that affect the Executive’s prior areas of responsibility, except if the Executive’s reasonable interests are adverse to the Company in such claim or action. The Company agrees to promptly reimburse the Executive for all of the Executive’s reasonable legal fees, travel and other direct expenses incurred, or to be reasonably incurred, to comply with the Executive’s obligations under this Section 8(a).</w:t>
      </w:r>
    </w:p>
    <w:p>
      <w:pPr>
        <w:spacing w:after="0" w:line="179" w:lineRule="exact"/>
        <w:rPr>
          <w:rFonts w:ascii="Arial" w:cs="Arial" w:eastAsia="Arial" w:hAnsi="Arial"/>
          <w:sz w:val="17"/>
          <w:szCs w:val="17"/>
          <w:color w:val="auto"/>
        </w:rPr>
      </w:pPr>
    </w:p>
    <w:p>
      <w:pPr>
        <w:ind w:right="40" w:firstLine="1263"/>
        <w:spacing w:after="0" w:line="273" w:lineRule="auto"/>
        <w:tabs>
          <w:tab w:leader="none" w:pos="1895" w:val="left"/>
        </w:tabs>
        <w:numPr>
          <w:ilvl w:val="1"/>
          <w:numId w:val="858"/>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The Parties agree that at no time during the Executive’s employment by the Company or thereafter shall either Party make, or cause or assist any other person to make, any statement or other communication to any third party which impugns or attacks, or is otherwise critical of, the reputation, business or character of the other Party, or their affiliates or any of its respective directors, officers or employees.</w:t>
      </w:r>
    </w:p>
    <w:p>
      <w:pPr>
        <w:sectPr>
          <w:pgSz w:w="11900" w:h="16838" w:orient="portrait"/>
          <w:cols w:equalWidth="0" w:num="1">
            <w:col w:w="11420"/>
          </w:cols>
          <w:pgMar w:left="240" w:top="127" w:right="239" w:bottom="0" w:gutter="0" w:footer="0" w:header="0"/>
        </w:sectPr>
      </w:pPr>
    </w:p>
    <w:bookmarkStart w:id="466" w:name="page467"/>
    <w:bookmarkEnd w:id="466"/>
    <w:p>
      <w:pPr>
        <w:spacing w:after="0" w:line="55" w:lineRule="exact"/>
        <w:rPr>
          <w:sz w:val="20"/>
          <w:szCs w:val="20"/>
          <w:color w:val="auto"/>
        </w:rPr>
      </w:pPr>
    </w:p>
    <w:p>
      <w:pPr>
        <w:jc w:val="both"/>
        <w:ind w:right="120" w:firstLine="1263"/>
        <w:spacing w:after="0" w:line="265" w:lineRule="auto"/>
        <w:tabs>
          <w:tab w:leader="none" w:pos="1898" w:val="left"/>
        </w:tabs>
        <w:numPr>
          <w:ilvl w:val="0"/>
          <w:numId w:val="859"/>
        </w:numPr>
        <w:rPr>
          <w:rFonts w:ascii="Arial" w:cs="Arial" w:eastAsia="Arial" w:hAnsi="Arial"/>
          <w:sz w:val="17"/>
          <w:szCs w:val="17"/>
          <w:color w:val="auto"/>
        </w:rPr>
      </w:pPr>
      <w:r>
        <w:rPr>
          <w:rFonts w:ascii="Arial" w:cs="Arial" w:eastAsia="Arial" w:hAnsi="Arial"/>
          <w:sz w:val="17"/>
          <w:szCs w:val="17"/>
          <w:u w:val="single" w:color="auto"/>
          <w:color w:val="auto"/>
        </w:rPr>
        <w:t>Source of Payments</w:t>
      </w:r>
      <w:r>
        <w:rPr>
          <w:rFonts w:ascii="Arial" w:cs="Arial" w:eastAsia="Arial" w:hAnsi="Arial"/>
          <w:sz w:val="17"/>
          <w:szCs w:val="17"/>
          <w:color w:val="auto"/>
        </w:rPr>
        <w:t>. All payments provided under this Agreement, other than payments made pursuant to a plan or agreement which provides otherwise, shall be paid in cash from the general funds of the Company, and no special or separate fund shall be established, and no other segregation of assets shall be made, to assure payment. The Executive shall have no right, title or interest whatsoever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79" w:lineRule="exact"/>
        <w:rPr>
          <w:rFonts w:ascii="Arial" w:cs="Arial" w:eastAsia="Arial" w:hAnsi="Arial"/>
          <w:sz w:val="17"/>
          <w:szCs w:val="17"/>
          <w:color w:val="auto"/>
        </w:rPr>
      </w:pPr>
    </w:p>
    <w:p>
      <w:pPr>
        <w:ind w:right="40" w:firstLine="1263"/>
        <w:spacing w:after="0" w:line="285" w:lineRule="auto"/>
        <w:tabs>
          <w:tab w:leader="none" w:pos="1895" w:val="left"/>
        </w:tabs>
        <w:numPr>
          <w:ilvl w:val="0"/>
          <w:numId w:val="859"/>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Any dispute or controversy arising under or in connection with this Agreement or otherwise in connection with the Executive’s employment by the Company that cannot be mutually resolved by the parties to this Agreement and their respective advisors and representatives shall be settled exclusively by arbitration in Harris County, Houston, Texas in accordance with the rules of the American Arbitration Association before one arbitrator of exemplary qualifications and stature, who shall be selected jointly by an individual to be designated by the Company and an individual to be selected by the Executive, or if such two individuals cannot agree on the selection of the arbitrator, who shall be selected by the American Arbitration Association.</w:t>
      </w:r>
    </w:p>
    <w:p>
      <w:pPr>
        <w:spacing w:after="0" w:line="166" w:lineRule="exact"/>
        <w:rPr>
          <w:rFonts w:ascii="Arial" w:cs="Arial" w:eastAsia="Arial" w:hAnsi="Arial"/>
          <w:sz w:val="16"/>
          <w:szCs w:val="16"/>
          <w:color w:val="auto"/>
        </w:rPr>
      </w:pPr>
    </w:p>
    <w:p>
      <w:pPr>
        <w:ind w:right="160" w:firstLine="1263"/>
        <w:spacing w:after="0" w:line="298" w:lineRule="auto"/>
        <w:tabs>
          <w:tab w:leader="none" w:pos="1898" w:val="left"/>
        </w:tabs>
        <w:numPr>
          <w:ilvl w:val="0"/>
          <w:numId w:val="859"/>
        </w:numPr>
        <w:rPr>
          <w:rFonts w:ascii="Arial" w:cs="Arial" w:eastAsia="Arial" w:hAnsi="Arial"/>
          <w:sz w:val="16"/>
          <w:szCs w:val="16"/>
          <w:color w:val="auto"/>
        </w:rPr>
      </w:pPr>
      <w:r>
        <w:rPr>
          <w:rFonts w:ascii="Arial" w:cs="Arial" w:eastAsia="Arial" w:hAnsi="Arial"/>
          <w:sz w:val="16"/>
          <w:szCs w:val="16"/>
          <w:u w:val="single" w:color="auto"/>
          <w:color w:val="auto"/>
        </w:rPr>
        <w:t>Amendment, Waiver</w:t>
      </w:r>
      <w:r>
        <w:rPr>
          <w:rFonts w:ascii="Arial" w:cs="Arial" w:eastAsia="Arial" w:hAnsi="Arial"/>
          <w:sz w:val="16"/>
          <w:szCs w:val="16"/>
          <w:color w:val="auto"/>
        </w:rPr>
        <w:t>. This Agreement may not be modified, amended or waived in any manner, except by an instrument in writing signed by both parties hereto. 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1263"/>
        <w:spacing w:after="0" w:line="268" w:lineRule="auto"/>
        <w:tabs>
          <w:tab w:leader="none" w:pos="1892" w:val="left"/>
        </w:tabs>
        <w:numPr>
          <w:ilvl w:val="0"/>
          <w:numId w:val="860"/>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entire agreement and understanding of the parties hereto with respect to the matters covered herein and supersedes all prior or contemporaneous negotiations, commitments, agreements and writings with respect to the subject matter hereof, all such other negotiations, commitments, agreements and writings shall have no further force or effect, and the parties to any such other negotiation, commitment, agreement or writing shall have no further rights or obligations thereunder.</w:t>
      </w:r>
    </w:p>
    <w:p>
      <w:pPr>
        <w:spacing w:after="0" w:line="175" w:lineRule="exact"/>
        <w:rPr>
          <w:rFonts w:ascii="Arial" w:cs="Arial" w:eastAsia="Arial" w:hAnsi="Arial"/>
          <w:sz w:val="17"/>
          <w:szCs w:val="17"/>
          <w:color w:val="auto"/>
        </w:rPr>
      </w:pPr>
    </w:p>
    <w:p>
      <w:pPr>
        <w:ind w:right="40" w:firstLine="1263"/>
        <w:spacing w:after="0" w:line="273" w:lineRule="auto"/>
        <w:tabs>
          <w:tab w:leader="none" w:pos="1908" w:val="left"/>
        </w:tabs>
        <w:numPr>
          <w:ilvl w:val="0"/>
          <w:numId w:val="860"/>
        </w:numPr>
        <w:rPr>
          <w:rFonts w:ascii="Arial" w:cs="Arial" w:eastAsia="Arial" w:hAnsi="Arial"/>
          <w:sz w:val="17"/>
          <w:szCs w:val="17"/>
          <w:color w:val="auto"/>
        </w:rPr>
      </w:pPr>
      <w:r>
        <w:rPr>
          <w:rFonts w:ascii="Arial" w:cs="Arial" w:eastAsia="Arial" w:hAnsi="Arial"/>
          <w:sz w:val="17"/>
          <w:szCs w:val="17"/>
          <w:u w:val="single" w:color="auto"/>
          <w:color w:val="auto"/>
        </w:rPr>
        <w:t>Governing Law/Venue</w:t>
      </w:r>
      <w:r>
        <w:rPr>
          <w:rFonts w:ascii="Arial" w:cs="Arial" w:eastAsia="Arial" w:hAnsi="Arial"/>
          <w:sz w:val="17"/>
          <w:szCs w:val="17"/>
          <w:color w:val="auto"/>
        </w:rPr>
        <w:t>. This Agreement shall be governed by and construed in accordance with the laws of the State of Texas, without regard to conflict of laws principles thereof. Each party to this Agreement hereby irrevocably submits to the exclusive jurisdiction of the state and federal courts in Houston, Texas, for the purposes of any proceeding arising out of or based upon this Agreement.</w:t>
      </w:r>
    </w:p>
    <w:p>
      <w:pPr>
        <w:spacing w:after="0" w:line="171" w:lineRule="exact"/>
        <w:rPr>
          <w:rFonts w:ascii="Arial" w:cs="Arial" w:eastAsia="Arial" w:hAnsi="Arial"/>
          <w:sz w:val="17"/>
          <w:szCs w:val="17"/>
          <w:color w:val="auto"/>
        </w:rPr>
      </w:pPr>
    </w:p>
    <w:p>
      <w:pPr>
        <w:ind w:right="100" w:firstLine="1263"/>
        <w:spacing w:after="0" w:line="360" w:lineRule="auto"/>
        <w:tabs>
          <w:tab w:leader="none" w:pos="1895" w:val="left"/>
        </w:tabs>
        <w:numPr>
          <w:ilvl w:val="0"/>
          <w:numId w:val="860"/>
        </w:numPr>
        <w:rPr>
          <w:rFonts w:ascii="Arial" w:cs="Arial" w:eastAsia="Arial" w:hAnsi="Arial"/>
          <w:sz w:val="15"/>
          <w:szCs w:val="15"/>
          <w:color w:val="auto"/>
        </w:rPr>
      </w:pPr>
      <w:r>
        <w:rPr>
          <w:rFonts w:ascii="Arial" w:cs="Arial" w:eastAsia="Arial" w:hAnsi="Arial"/>
          <w:sz w:val="15"/>
          <w:szCs w:val="15"/>
          <w:u w:val="single" w:color="auto"/>
          <w:color w:val="auto"/>
        </w:rPr>
        <w:t>No Waiver</w:t>
      </w:r>
      <w:r>
        <w:rPr>
          <w:rFonts w:ascii="Arial" w:cs="Arial" w:eastAsia="Arial" w:hAnsi="Arial"/>
          <w:sz w:val="15"/>
          <w:szCs w:val="15"/>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11" w:lineRule="exact"/>
        <w:rPr>
          <w:rFonts w:ascii="Arial" w:cs="Arial" w:eastAsia="Arial" w:hAnsi="Arial"/>
          <w:sz w:val="15"/>
          <w:szCs w:val="15"/>
          <w:color w:val="auto"/>
        </w:rPr>
      </w:pPr>
    </w:p>
    <w:p>
      <w:pPr>
        <w:ind w:right="100" w:firstLine="1263"/>
        <w:spacing w:after="0" w:line="289" w:lineRule="auto"/>
        <w:tabs>
          <w:tab w:leader="none" w:pos="1909" w:val="left"/>
        </w:tabs>
        <w:numPr>
          <w:ilvl w:val="0"/>
          <w:numId w:val="86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158" w:lineRule="exact"/>
        <w:rPr>
          <w:rFonts w:ascii="Arial" w:cs="Arial" w:eastAsia="Arial" w:hAnsi="Arial"/>
          <w:sz w:val="17"/>
          <w:szCs w:val="17"/>
          <w:color w:val="auto"/>
        </w:rPr>
      </w:pPr>
    </w:p>
    <w:p>
      <w:pPr>
        <w:jc w:val="both"/>
        <w:ind w:right="100" w:firstLine="1263"/>
        <w:spacing w:after="0" w:line="265" w:lineRule="auto"/>
        <w:tabs>
          <w:tab w:leader="none" w:pos="1895" w:val="left"/>
        </w:tabs>
        <w:numPr>
          <w:ilvl w:val="0"/>
          <w:numId w:val="860"/>
        </w:numPr>
        <w:rPr>
          <w:rFonts w:ascii="Arial" w:cs="Arial" w:eastAsia="Arial" w:hAnsi="Arial"/>
          <w:sz w:val="17"/>
          <w:szCs w:val="17"/>
          <w:color w:val="auto"/>
        </w:rPr>
      </w:pPr>
      <w:r>
        <w:rPr>
          <w:rFonts w:ascii="Arial" w:cs="Arial" w:eastAsia="Arial" w:hAnsi="Arial"/>
          <w:sz w:val="17"/>
          <w:szCs w:val="17"/>
          <w:u w:val="single" w:color="auto"/>
          <w:color w:val="auto"/>
        </w:rPr>
        <w:t>No Assignment</w:t>
      </w:r>
      <w:r>
        <w:rPr>
          <w:rFonts w:ascii="Arial" w:cs="Arial" w:eastAsia="Arial" w:hAnsi="Arial"/>
          <w:sz w:val="17"/>
          <w:szCs w:val="17"/>
          <w:color w:val="auto"/>
        </w:rPr>
        <w:t>. Neither this Agreement nor any of the Executive’s rights and duties hereunder, shall be assignable or delegable by the Executive. Any purported assignment or delegation by the Executive in violation of the foregoing shall be null and void ab initio and of no force and effect. 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79" w:lineRule="exact"/>
        <w:rPr>
          <w:rFonts w:ascii="Arial" w:cs="Arial" w:eastAsia="Arial" w:hAnsi="Arial"/>
          <w:sz w:val="17"/>
          <w:szCs w:val="17"/>
          <w:color w:val="auto"/>
        </w:rPr>
      </w:pPr>
    </w:p>
    <w:p>
      <w:pPr>
        <w:ind w:right="300" w:firstLine="1263"/>
        <w:spacing w:after="0" w:line="289" w:lineRule="auto"/>
        <w:tabs>
          <w:tab w:leader="none" w:pos="1895" w:val="left"/>
        </w:tabs>
        <w:numPr>
          <w:ilvl w:val="0"/>
          <w:numId w:val="860"/>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This Agreement shall inure to the benefit of and be binding upon personal or legal representatives, executors, administrators, successors, heirs, distributees, devisees and legatees.</w:t>
      </w:r>
    </w:p>
    <w:p>
      <w:pPr>
        <w:spacing w:after="0" w:line="158" w:lineRule="exact"/>
        <w:rPr>
          <w:rFonts w:ascii="Arial" w:cs="Arial" w:eastAsia="Arial" w:hAnsi="Arial"/>
          <w:sz w:val="17"/>
          <w:szCs w:val="17"/>
          <w:color w:val="auto"/>
        </w:rPr>
      </w:pPr>
    </w:p>
    <w:p>
      <w:pPr>
        <w:ind w:right="300" w:firstLine="1263"/>
        <w:spacing w:after="0" w:line="290" w:lineRule="auto"/>
        <w:tabs>
          <w:tab w:leader="none" w:pos="1909" w:val="left"/>
        </w:tabs>
        <w:numPr>
          <w:ilvl w:val="0"/>
          <w:numId w:val="86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For the purpose of this Agreement, notices and all other communications provided for in the Agreement shall be in writing and shall be deemed to have been duly given when delivered by hand or overnight courier or three (3)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tcPr>
          <w:p>
            <w:pPr>
              <w:spacing w:after="0"/>
              <w:rPr>
                <w:sz w:val="16"/>
                <w:szCs w:val="16"/>
                <w:color w:val="auto"/>
              </w:rPr>
            </w:pPr>
          </w:p>
        </w:tc>
        <w:tc>
          <w:tcPr>
            <w:tcW w:w="2180" w:type="dxa"/>
            <w:vAlign w:val="bottom"/>
            <w:gridSpan w:val="3"/>
          </w:tcPr>
          <w:p>
            <w:pPr>
              <w:spacing w:after="0"/>
              <w:rPr>
                <w:sz w:val="20"/>
                <w:szCs w:val="20"/>
                <w:color w:val="auto"/>
              </w:rPr>
            </w:pPr>
            <w:r>
              <w:rPr>
                <w:rFonts w:ascii="Arial" w:cs="Arial" w:eastAsia="Arial" w:hAnsi="Arial"/>
                <w:sz w:val="17"/>
                <w:szCs w:val="17"/>
                <w:b w:val="1"/>
                <w:bCs w:val="1"/>
                <w:color w:val="auto"/>
              </w:rPr>
              <w:t>If to the Company:</w:t>
            </w:r>
          </w:p>
        </w:tc>
        <w:tc>
          <w:tcPr>
            <w:tcW w:w="8020" w:type="dxa"/>
            <w:vAlign w:val="bottom"/>
          </w:tcPr>
          <w:p>
            <w:pPr>
              <w:ind w:left="760"/>
              <w:spacing w:after="0"/>
              <w:rPr>
                <w:sz w:val="20"/>
                <w:szCs w:val="20"/>
                <w:color w:val="auto"/>
              </w:rPr>
            </w:pPr>
            <w:r>
              <w:rPr>
                <w:rFonts w:ascii="Arial" w:cs="Arial" w:eastAsia="Arial" w:hAnsi="Arial"/>
                <w:sz w:val="17"/>
                <w:szCs w:val="17"/>
                <w:color w:val="auto"/>
              </w:rPr>
              <w:t>13115 Jess Pirtle Blvd.</w:t>
            </w:r>
          </w:p>
        </w:tc>
      </w:tr>
      <w:tr>
        <w:trPr>
          <w:trHeight w:val="229"/>
        </w:trPr>
        <w:tc>
          <w:tcPr>
            <w:tcW w:w="12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8020" w:type="dxa"/>
            <w:vAlign w:val="bottom"/>
          </w:tcPr>
          <w:p>
            <w:pPr>
              <w:ind w:left="760"/>
              <w:spacing w:after="0"/>
              <w:rPr>
                <w:sz w:val="20"/>
                <w:szCs w:val="20"/>
                <w:color w:val="auto"/>
              </w:rPr>
            </w:pPr>
            <w:r>
              <w:rPr>
                <w:rFonts w:ascii="Arial" w:cs="Arial" w:eastAsia="Arial" w:hAnsi="Arial"/>
                <w:sz w:val="17"/>
                <w:szCs w:val="17"/>
                <w:color w:val="auto"/>
              </w:rPr>
              <w:t>Sugar Land, Texas 77478</w:t>
            </w:r>
          </w:p>
        </w:tc>
      </w:tr>
      <w:tr>
        <w:trPr>
          <w:trHeight w:val="381"/>
        </w:trPr>
        <w:tc>
          <w:tcPr>
            <w:tcW w:w="1260" w:type="dxa"/>
            <w:vAlign w:val="bottom"/>
          </w:tcPr>
          <w:p>
            <w:pPr>
              <w:spacing w:after="0"/>
              <w:rPr>
                <w:sz w:val="24"/>
                <w:szCs w:val="24"/>
                <w:color w:val="auto"/>
              </w:rPr>
            </w:pPr>
          </w:p>
        </w:tc>
        <w:tc>
          <w:tcPr>
            <w:tcW w:w="2180" w:type="dxa"/>
            <w:vAlign w:val="bottom"/>
            <w:gridSpan w:val="3"/>
          </w:tcPr>
          <w:p>
            <w:pPr>
              <w:spacing w:after="0"/>
              <w:rPr>
                <w:sz w:val="20"/>
                <w:szCs w:val="20"/>
                <w:color w:val="auto"/>
              </w:rPr>
            </w:pPr>
            <w:r>
              <w:rPr>
                <w:rFonts w:ascii="Arial" w:cs="Arial" w:eastAsia="Arial" w:hAnsi="Arial"/>
                <w:sz w:val="17"/>
                <w:szCs w:val="17"/>
                <w:b w:val="1"/>
                <w:bCs w:val="1"/>
                <w:color w:val="auto"/>
              </w:rPr>
              <w:t>If to Executive:</w:t>
            </w:r>
          </w:p>
        </w:tc>
        <w:tc>
          <w:tcPr>
            <w:tcW w:w="8020" w:type="dxa"/>
            <w:vAlign w:val="bottom"/>
          </w:tcPr>
          <w:p>
            <w:pPr>
              <w:spacing w:after="0"/>
              <w:rPr>
                <w:sz w:val="24"/>
                <w:szCs w:val="24"/>
                <w:color w:val="auto"/>
              </w:rPr>
            </w:pPr>
          </w:p>
        </w:tc>
      </w:tr>
      <w:tr>
        <w:trPr>
          <w:trHeight w:val="438"/>
        </w:trPr>
        <w:tc>
          <w:tcPr>
            <w:tcW w:w="12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20" w:type="dxa"/>
            <w:vAlign w:val="bottom"/>
          </w:tcPr>
          <w:p>
            <w:pPr>
              <w:jc w:val="right"/>
              <w:ind w:right="5613"/>
              <w:spacing w:after="0"/>
              <w:rPr>
                <w:sz w:val="20"/>
                <w:szCs w:val="20"/>
                <w:color w:val="auto"/>
              </w:rPr>
            </w:pPr>
            <w:r>
              <w:rPr>
                <w:rFonts w:ascii="Arial" w:cs="Arial" w:eastAsia="Arial" w:hAnsi="Arial"/>
                <w:sz w:val="17"/>
                <w:szCs w:val="17"/>
                <w:color w:val="auto"/>
              </w:rPr>
              <w:t>8</w:t>
            </w:r>
          </w:p>
        </w:tc>
      </w:tr>
      <w:tr>
        <w:trPr>
          <w:trHeight w:val="128"/>
        </w:trPr>
        <w:tc>
          <w:tcPr>
            <w:tcW w:w="1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80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100" w:firstLine="1263"/>
        <w:spacing w:after="0" w:line="290" w:lineRule="auto"/>
        <w:tabs>
          <w:tab w:leader="none" w:pos="1891" w:val="left"/>
        </w:tabs>
        <w:numPr>
          <w:ilvl w:val="0"/>
          <w:numId w:val="861"/>
        </w:numPr>
        <w:rPr>
          <w:rFonts w:ascii="Arial" w:cs="Arial" w:eastAsia="Arial" w:hAnsi="Arial"/>
          <w:sz w:val="16"/>
          <w:szCs w:val="16"/>
          <w:color w:val="auto"/>
        </w:rPr>
      </w:pPr>
      <w:r>
        <w:rPr>
          <w:rFonts w:ascii="Arial" w:cs="Arial" w:eastAsia="Arial" w:hAnsi="Arial"/>
          <w:sz w:val="16"/>
          <w:szCs w:val="16"/>
          <w:u w:val="single" w:color="auto"/>
          <w:color w:val="auto"/>
        </w:rPr>
        <w:t>Prior Employment</w:t>
      </w:r>
      <w:r>
        <w:rPr>
          <w:rFonts w:ascii="Arial" w:cs="Arial" w:eastAsia="Arial" w:hAnsi="Arial"/>
          <w:sz w:val="16"/>
          <w:szCs w:val="16"/>
          <w:color w:val="auto"/>
        </w:rPr>
        <w:t>. The Company has employed the Executive for the Executive’s general skills, management abilities and experience in the Company’s business or related industries. The Executive acknowledges that he has been specifically instructed not to bring, disclose or use in any fashion any confidential information, trade secrets, proprietary information, data or technology, nor any confidential pricing information, belonging to any prior employer. In no event is the Executive authorized to use or disclose any such information to the Company or any of its employees.</w:t>
      </w:r>
    </w:p>
    <w:p>
      <w:pPr>
        <w:spacing w:after="0" w:line="159" w:lineRule="exact"/>
        <w:rPr>
          <w:rFonts w:ascii="Arial" w:cs="Arial" w:eastAsia="Arial" w:hAnsi="Arial"/>
          <w:sz w:val="16"/>
          <w:szCs w:val="16"/>
          <w:color w:val="auto"/>
        </w:rPr>
      </w:pPr>
    </w:p>
    <w:p>
      <w:pPr>
        <w:ind w:right="160" w:firstLine="1263"/>
        <w:spacing w:after="0" w:line="263" w:lineRule="auto"/>
        <w:tabs>
          <w:tab w:leader="none" w:pos="1895" w:val="left"/>
        </w:tabs>
        <w:numPr>
          <w:ilvl w:val="0"/>
          <w:numId w:val="861"/>
        </w:numPr>
        <w:rPr>
          <w:rFonts w:ascii="Arial" w:cs="Arial" w:eastAsia="Arial" w:hAnsi="Arial"/>
          <w:sz w:val="17"/>
          <w:szCs w:val="17"/>
          <w:color w:val="auto"/>
        </w:rPr>
      </w:pPr>
      <w:r>
        <w:rPr>
          <w:rFonts w:ascii="Arial" w:cs="Arial" w:eastAsia="Arial" w:hAnsi="Arial"/>
          <w:sz w:val="17"/>
          <w:szCs w:val="17"/>
          <w:u w:val="single" w:color="auto"/>
          <w:color w:val="auto"/>
        </w:rPr>
        <w:t>Executive’s Representations</w:t>
      </w:r>
      <w:r>
        <w:rPr>
          <w:rFonts w:ascii="Arial" w:cs="Arial" w:eastAsia="Arial" w:hAnsi="Arial"/>
          <w:sz w:val="17"/>
          <w:szCs w:val="17"/>
          <w:color w:val="auto"/>
        </w:rPr>
        <w:t>. The Executive hereby represents to the Company that (i) all confidential information, trade secrets or proprietary information, data or technology, belonging to any prior employer, including those that might have been contained on the Executive’s personal computer, cell phone or other electronic communications or storage device have been returned and/or deleted in accordance with any policy of or agreement with the Executive’s prior employer and (ii) the execution and delivery of this Agreement by the Executive and the Company and the performance by the Executive of his duties hereunder shall not constitute a breach of, or otherwise contravene, the terms of any employment agreement or other agreement or policy to which the Executive is a party or otherwise bound.</w:t>
      </w:r>
    </w:p>
    <w:p>
      <w:pPr>
        <w:spacing w:after="0" w:line="183" w:lineRule="exact"/>
        <w:rPr>
          <w:rFonts w:ascii="Arial" w:cs="Arial" w:eastAsia="Arial" w:hAnsi="Arial"/>
          <w:sz w:val="17"/>
          <w:szCs w:val="17"/>
          <w:color w:val="auto"/>
        </w:rPr>
      </w:pPr>
    </w:p>
    <w:p>
      <w:pPr>
        <w:ind w:right="360" w:firstLine="1263"/>
        <w:spacing w:after="0" w:line="289" w:lineRule="auto"/>
        <w:tabs>
          <w:tab w:leader="none" w:pos="1895" w:val="left"/>
        </w:tabs>
        <w:numPr>
          <w:ilvl w:val="0"/>
          <w:numId w:val="861"/>
        </w:numPr>
        <w:rPr>
          <w:rFonts w:ascii="Arial" w:cs="Arial" w:eastAsia="Arial" w:hAnsi="Arial"/>
          <w:sz w:val="17"/>
          <w:szCs w:val="17"/>
          <w:color w:val="auto"/>
        </w:rPr>
      </w:pPr>
      <w:r>
        <w:rPr>
          <w:rFonts w:ascii="Arial" w:cs="Arial" w:eastAsia="Arial" w:hAnsi="Arial"/>
          <w:sz w:val="17"/>
          <w:szCs w:val="17"/>
          <w:u w:val="single" w:color="auto"/>
          <w:color w:val="auto"/>
        </w:rPr>
        <w:t>Withholding of Taxes</w:t>
      </w:r>
      <w:r>
        <w:rPr>
          <w:rFonts w:ascii="Arial" w:cs="Arial" w:eastAsia="Arial" w:hAnsi="Arial"/>
          <w:sz w:val="17"/>
          <w:szCs w:val="17"/>
          <w:color w:val="auto"/>
        </w:rPr>
        <w:t>. The Company may withhold from any amounts or benefits payable under this Agreement all taxes it may be required to withhold pursuant to any applicable law or regulation.</w:t>
      </w:r>
    </w:p>
    <w:p>
      <w:pPr>
        <w:spacing w:after="0" w:line="158" w:lineRule="exact"/>
        <w:rPr>
          <w:rFonts w:ascii="Arial" w:cs="Arial" w:eastAsia="Arial" w:hAnsi="Arial"/>
          <w:sz w:val="17"/>
          <w:szCs w:val="17"/>
          <w:color w:val="auto"/>
        </w:rPr>
      </w:pPr>
    </w:p>
    <w:p>
      <w:pPr>
        <w:ind w:right="720" w:firstLine="1263"/>
        <w:spacing w:after="0" w:line="289" w:lineRule="auto"/>
        <w:tabs>
          <w:tab w:leader="none" w:pos="1895" w:val="left"/>
        </w:tabs>
        <w:numPr>
          <w:ilvl w:val="0"/>
          <w:numId w:val="861"/>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signed in counterparts, each of which shall be an original, with the same effect as if the signatures thereto and hereto were upon the same instrument.</w:t>
      </w:r>
    </w:p>
    <w:p>
      <w:pPr>
        <w:spacing w:after="0" w:line="158" w:lineRule="exact"/>
        <w:rPr>
          <w:rFonts w:ascii="Arial" w:cs="Arial" w:eastAsia="Arial" w:hAnsi="Arial"/>
          <w:sz w:val="17"/>
          <w:szCs w:val="17"/>
          <w:color w:val="auto"/>
        </w:rPr>
      </w:pPr>
    </w:p>
    <w:p>
      <w:pPr>
        <w:ind w:right="420" w:firstLine="1263"/>
        <w:spacing w:after="0" w:line="322" w:lineRule="auto"/>
        <w:tabs>
          <w:tab w:leader="none" w:pos="1895" w:val="left"/>
        </w:tabs>
        <w:numPr>
          <w:ilvl w:val="0"/>
          <w:numId w:val="861"/>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This Agreement shall terminate upon the termination of employment of the Executive; however, the following Section 4 (Termination of Employment) and the corresponding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(Waiver and Release), Section 7 (Agreement Ancillary to Other Agreements) and the</w:t>
      </w:r>
    </w:p>
    <w:p>
      <w:pPr>
        <w:sectPr>
          <w:pgSz w:w="11900" w:h="16893" w:orient="portrait"/>
          <w:cols w:equalWidth="0" w:num="1">
            <w:col w:w="11460"/>
          </w:cols>
          <w:pgMar w:left="240" w:top="127" w:right="199" w:bottom="0" w:gutter="0" w:footer="0" w:header="0"/>
        </w:sectPr>
      </w:pPr>
    </w:p>
    <w:bookmarkStart w:id="467" w:name="page468"/>
    <w:bookmarkEnd w:id="467"/>
    <w:p>
      <w:pPr>
        <w:ind w:right="680"/>
        <w:spacing w:after="0" w:line="297" w:lineRule="auto"/>
        <w:rPr>
          <w:sz w:val="20"/>
          <w:szCs w:val="20"/>
          <w:color w:val="auto"/>
        </w:rPr>
      </w:pPr>
      <w:r>
        <w:rPr>
          <w:rFonts w:ascii="Arial" w:cs="Arial" w:eastAsia="Arial" w:hAnsi="Arial"/>
          <w:sz w:val="17"/>
          <w:szCs w:val="17"/>
          <w:color w:val="auto"/>
        </w:rPr>
        <w:t xml:space="preserve">corresponding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(Inventions, Confidentiality, Non-Competition and Non-Solicitation Agreement) shall survive the termination of the Executive’s employment and/or the expiration or termination of this Agreement, regardless of the reasons for such expiration or termination.</w:t>
      </w:r>
    </w:p>
    <w:p>
      <w:pPr>
        <w:spacing w:after="0" w:line="151" w:lineRule="exact"/>
        <w:rPr>
          <w:sz w:val="20"/>
          <w:szCs w:val="20"/>
          <w:color w:val="auto"/>
        </w:rPr>
      </w:pPr>
    </w:p>
    <w:p>
      <w:pPr>
        <w:ind w:right="100" w:firstLine="1263"/>
        <w:spacing w:after="0" w:line="283" w:lineRule="auto"/>
        <w:tabs>
          <w:tab w:leader="none" w:pos="1905" w:val="left"/>
        </w:tabs>
        <w:numPr>
          <w:ilvl w:val="0"/>
          <w:numId w:val="862"/>
        </w:numPr>
        <w:rPr>
          <w:rFonts w:ascii="Arial" w:cs="Arial" w:eastAsia="Arial" w:hAnsi="Arial"/>
          <w:sz w:val="16"/>
          <w:szCs w:val="16"/>
          <w:color w:val="auto"/>
        </w:rPr>
      </w:pPr>
      <w:r>
        <w:rPr>
          <w:rFonts w:ascii="Arial" w:cs="Arial" w:eastAsia="Arial" w:hAnsi="Arial"/>
          <w:sz w:val="16"/>
          <w:szCs w:val="16"/>
          <w:u w:val="single" w:color="auto"/>
          <w:color w:val="auto"/>
        </w:rPr>
        <w:t>Clawback of Incentive Compensation</w:t>
      </w:r>
      <w:r>
        <w:rPr>
          <w:rFonts w:ascii="Arial" w:cs="Arial" w:eastAsia="Arial" w:hAnsi="Arial"/>
          <w:sz w:val="16"/>
          <w:szCs w:val="16"/>
          <w:color w:val="auto"/>
        </w:rPr>
        <w:t>. Any incentive compensation payable to the Executive under this Agreement or any other agreement shall be subject to any policy, whether in existence as of the Effective Date of this Agreement or later adopted, established by the Company that provides for the clawback or recovery of amounts due to restatement of the Company’s financial records or due to fraud or other malfeasance in connection with the eligibility for or calculation of any amounts, that were paid to the Executive under circumstances requiring clawback or recovery as set forth in such policy. The Company shall not apply such policy retroactively to the Executive except to the extent it deems warranted, in good faith, due to the Executive’s own fraud or malfeasance. The Company will make any determinations for clawback or recover in its sole discretion and in accordance with such policy</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and any applicable law or regulations; provided that such policy is generally applicable to other executive officers.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[SIGNATURES ON NEXT PAGE]</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have duly executed this Agreement effective as of the Effective Date.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60" w:type="dxa"/>
            <w:vAlign w:val="bottom"/>
          </w:tcPr>
          <w:p>
            <w:pPr>
              <w:spacing w:after="0"/>
              <w:rPr>
                <w:sz w:val="20"/>
                <w:szCs w:val="20"/>
                <w:color w:val="auto"/>
              </w:rPr>
            </w:pPr>
            <w:r>
              <w:rPr>
                <w:rFonts w:ascii="Arial" w:cs="Arial" w:eastAsia="Arial" w:hAnsi="Arial"/>
                <w:sz w:val="17"/>
                <w:szCs w:val="17"/>
                <w:b w:val="1"/>
                <w:bCs w:val="1"/>
                <w:color w:val="auto"/>
              </w:rPr>
              <w:t>EXECUTIVE:</w:t>
            </w:r>
          </w:p>
        </w:tc>
        <w:tc>
          <w:tcPr>
            <w:tcW w:w="6060" w:type="dxa"/>
            <w:vAlign w:val="bottom"/>
            <w:gridSpan w:val="2"/>
          </w:tcPr>
          <w:p>
            <w:pPr>
              <w:ind w:left="360"/>
              <w:spacing w:after="0"/>
              <w:rPr>
                <w:sz w:val="20"/>
                <w:szCs w:val="20"/>
                <w:color w:val="auto"/>
              </w:rPr>
            </w:pPr>
            <w:r>
              <w:rPr>
                <w:rFonts w:ascii="Arial" w:cs="Arial" w:eastAsia="Arial" w:hAnsi="Arial"/>
                <w:sz w:val="17"/>
                <w:szCs w:val="17"/>
                <w:b w:val="1"/>
                <w:bCs w:val="1"/>
                <w:color w:val="auto"/>
              </w:rPr>
              <w:t>APPLIED OPTOELECTRONICS, INC.:</w:t>
            </w:r>
          </w:p>
        </w:tc>
        <w:tc>
          <w:tcPr>
            <w:tcW w:w="40" w:type="dxa"/>
            <w:vAlign w:val="bottom"/>
          </w:tcPr>
          <w:p>
            <w:pPr>
              <w:spacing w:after="0"/>
              <w:rPr>
                <w:sz w:val="19"/>
                <w:szCs w:val="19"/>
                <w:color w:val="auto"/>
              </w:rPr>
            </w:pPr>
          </w:p>
        </w:tc>
      </w:tr>
      <w:tr>
        <w:trPr>
          <w:trHeight w:val="629"/>
        </w:trPr>
        <w:tc>
          <w:tcPr>
            <w:tcW w:w="5360" w:type="dxa"/>
            <w:vAlign w:val="bottom"/>
          </w:tcPr>
          <w:p>
            <w:pPr>
              <w:spacing w:after="0"/>
              <w:rPr>
                <w:sz w:val="20"/>
                <w:szCs w:val="20"/>
                <w:color w:val="auto"/>
              </w:rPr>
            </w:pPr>
            <w:r>
              <w:rPr>
                <w:rFonts w:ascii="Arial" w:cs="Arial" w:eastAsia="Arial" w:hAnsi="Arial"/>
                <w:sz w:val="17"/>
                <w:szCs w:val="17"/>
                <w:color w:val="auto"/>
              </w:rPr>
              <w:t>/s/ James L. Dunn, Jr.</w:t>
            </w:r>
          </w:p>
        </w:tc>
        <w:tc>
          <w:tcPr>
            <w:tcW w:w="6060" w:type="dxa"/>
            <w:vAlign w:val="bottom"/>
            <w:gridSpan w:val="2"/>
          </w:tcPr>
          <w:p>
            <w:pPr>
              <w:ind w:left="360"/>
              <w:spacing w:after="0"/>
              <w:rPr>
                <w:sz w:val="20"/>
                <w:szCs w:val="20"/>
                <w:color w:val="auto"/>
              </w:rPr>
            </w:pPr>
            <w:r>
              <w:rPr>
                <w:rFonts w:ascii="Arial" w:cs="Arial" w:eastAsia="Arial" w:hAnsi="Arial"/>
                <w:sz w:val="17"/>
                <w:szCs w:val="17"/>
                <w:color w:val="auto"/>
              </w:rPr>
              <w:t>By:  /s/ Chih-Hsiang (Thompson) Lin</w:t>
            </w:r>
          </w:p>
        </w:tc>
        <w:tc>
          <w:tcPr>
            <w:tcW w:w="40" w:type="dxa"/>
            <w:vAlign w:val="bottom"/>
          </w:tcPr>
          <w:p>
            <w:pPr>
              <w:spacing w:after="0"/>
              <w:rPr>
                <w:sz w:val="24"/>
                <w:szCs w:val="24"/>
                <w:color w:val="auto"/>
              </w:rPr>
            </w:pPr>
          </w:p>
        </w:tc>
      </w:tr>
      <w:tr>
        <w:trPr>
          <w:trHeight w:val="20"/>
        </w:trPr>
        <w:tc>
          <w:tcPr>
            <w:tcW w:w="53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5360" w:type="dxa"/>
            <w:vAlign w:val="bottom"/>
          </w:tcPr>
          <w:p>
            <w:pPr>
              <w:spacing w:after="0"/>
              <w:rPr>
                <w:sz w:val="20"/>
                <w:szCs w:val="20"/>
                <w:color w:val="auto"/>
              </w:rPr>
            </w:pPr>
            <w:r>
              <w:rPr>
                <w:rFonts w:ascii="Arial" w:cs="Arial" w:eastAsia="Arial" w:hAnsi="Arial"/>
                <w:sz w:val="17"/>
                <w:szCs w:val="17"/>
                <w:color w:val="auto"/>
              </w:rPr>
              <w:t>Print Name: James L. Dunn, Jr.</w:t>
            </w:r>
          </w:p>
        </w:tc>
        <w:tc>
          <w:tcPr>
            <w:tcW w:w="6060" w:type="dxa"/>
            <w:vAlign w:val="bottom"/>
            <w:gridSpan w:val="2"/>
          </w:tcPr>
          <w:p>
            <w:pPr>
              <w:ind w:left="360"/>
              <w:spacing w:after="0"/>
              <w:rPr>
                <w:sz w:val="20"/>
                <w:szCs w:val="20"/>
                <w:color w:val="auto"/>
              </w:rPr>
            </w:pPr>
            <w:r>
              <w:rPr>
                <w:rFonts w:ascii="Arial" w:cs="Arial" w:eastAsia="Arial" w:hAnsi="Arial"/>
                <w:sz w:val="17"/>
                <w:szCs w:val="17"/>
                <w:color w:val="auto"/>
              </w:rPr>
              <w:t>Its: President and CEO</w:t>
            </w:r>
          </w:p>
        </w:tc>
        <w:tc>
          <w:tcPr>
            <w:tcW w:w="40" w:type="dxa"/>
            <w:vAlign w:val="bottom"/>
          </w:tcPr>
          <w:p>
            <w:pPr>
              <w:spacing w:after="0"/>
              <w:rPr>
                <w:sz w:val="24"/>
                <w:szCs w:val="24"/>
                <w:color w:val="auto"/>
              </w:rPr>
            </w:pPr>
          </w:p>
        </w:tc>
      </w:tr>
      <w:tr>
        <w:trPr>
          <w:trHeight w:val="420"/>
        </w:trPr>
        <w:tc>
          <w:tcPr>
            <w:tcW w:w="5360" w:type="dxa"/>
            <w:vAlign w:val="bottom"/>
          </w:tcPr>
          <w:p>
            <w:pPr>
              <w:spacing w:after="0"/>
              <w:rPr>
                <w:sz w:val="20"/>
                <w:szCs w:val="20"/>
                <w:color w:val="auto"/>
              </w:rPr>
            </w:pPr>
            <w:r>
              <w:rPr>
                <w:rFonts w:ascii="Arial" w:cs="Arial" w:eastAsia="Arial" w:hAnsi="Arial"/>
                <w:sz w:val="17"/>
                <w:szCs w:val="17"/>
                <w:color w:val="auto"/>
              </w:rPr>
              <w:t>Date: April 16, 2013</w:t>
            </w:r>
          </w:p>
        </w:tc>
        <w:tc>
          <w:tcPr>
            <w:tcW w:w="6060" w:type="dxa"/>
            <w:vAlign w:val="bottom"/>
            <w:gridSpan w:val="2"/>
          </w:tcPr>
          <w:p>
            <w:pPr>
              <w:ind w:left="360"/>
              <w:spacing w:after="0"/>
              <w:rPr>
                <w:sz w:val="20"/>
                <w:szCs w:val="20"/>
                <w:color w:val="auto"/>
              </w:rPr>
            </w:pPr>
            <w:r>
              <w:rPr>
                <w:rFonts w:ascii="Arial" w:cs="Arial" w:eastAsia="Arial" w:hAnsi="Arial"/>
                <w:sz w:val="17"/>
                <w:szCs w:val="17"/>
                <w:color w:val="auto"/>
              </w:rPr>
              <w:t>Date: April 16, 2013</w:t>
            </w:r>
          </w:p>
        </w:tc>
        <w:tc>
          <w:tcPr>
            <w:tcW w:w="40" w:type="dxa"/>
            <w:vAlign w:val="bottom"/>
          </w:tcPr>
          <w:p>
            <w:pPr>
              <w:spacing w:after="0"/>
              <w:rPr>
                <w:sz w:val="24"/>
                <w:szCs w:val="24"/>
                <w:color w:val="auto"/>
              </w:rPr>
            </w:pPr>
          </w:p>
        </w:tc>
      </w:tr>
      <w:tr>
        <w:trPr>
          <w:trHeight w:val="419"/>
        </w:trPr>
        <w:tc>
          <w:tcPr>
            <w:tcW w:w="5360" w:type="dxa"/>
            <w:vAlign w:val="bottom"/>
          </w:tcPr>
          <w:p>
            <w:pPr>
              <w:spacing w:after="0"/>
              <w:rPr>
                <w:sz w:val="24"/>
                <w:szCs w:val="24"/>
                <w:color w:val="auto"/>
              </w:rPr>
            </w:pPr>
          </w:p>
        </w:tc>
        <w:tc>
          <w:tcPr>
            <w:tcW w:w="800" w:type="dxa"/>
            <w:vAlign w:val="bottom"/>
          </w:tcPr>
          <w:p>
            <w:pPr>
              <w:ind w:left="260"/>
              <w:spacing w:after="0"/>
              <w:rPr>
                <w:sz w:val="20"/>
                <w:szCs w:val="20"/>
                <w:color w:val="auto"/>
              </w:rPr>
            </w:pPr>
            <w:r>
              <w:rPr>
                <w:rFonts w:ascii="Arial" w:cs="Arial" w:eastAsia="Arial" w:hAnsi="Arial"/>
                <w:sz w:val="17"/>
                <w:szCs w:val="17"/>
                <w:color w:val="auto"/>
              </w:rPr>
              <w:t>11</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53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WAIVER AND RELEASE</w:t>
      </w:r>
    </w:p>
    <w:p>
      <w:pPr>
        <w:spacing w:after="0" w:line="230" w:lineRule="exact"/>
        <w:rPr>
          <w:sz w:val="20"/>
          <w:szCs w:val="20"/>
          <w:color w:val="auto"/>
        </w:rPr>
      </w:pPr>
    </w:p>
    <w:p>
      <w:pPr>
        <w:spacing w:after="0"/>
        <w:tabs>
          <w:tab w:leader="none" w:pos="7420" w:val="left"/>
        </w:tabs>
        <w:rPr>
          <w:sz w:val="20"/>
          <w:szCs w:val="20"/>
          <w:color w:val="auto"/>
        </w:rPr>
      </w:pPr>
      <w:r>
        <w:rPr>
          <w:rFonts w:ascii="Arial" w:cs="Arial" w:eastAsia="Arial" w:hAnsi="Arial"/>
          <w:sz w:val="17"/>
          <w:szCs w:val="17"/>
          <w:color w:val="auto"/>
        </w:rPr>
        <w:t>Pursuant to the terms of the Employment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w:t>
      </w:r>
      <w:r>
        <w:rPr>
          <w:sz w:val="20"/>
          <w:szCs w:val="20"/>
          <w:color w:val="auto"/>
        </w:rPr>
        <w:tab/>
      </w:r>
      <w:r>
        <w:rPr>
          <w:rFonts w:ascii="Arial" w:cs="Arial" w:eastAsia="Arial" w:hAnsi="Arial"/>
          <w:sz w:val="15"/>
          <w:szCs w:val="15"/>
          <w:color w:val="auto"/>
        </w:rPr>
        <w:t>], by and between Applied Optoelectronics, Inc., a</w:t>
      </w:r>
    </w:p>
    <w:p>
      <w:pPr>
        <w:spacing w:after="0" w:line="26"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auto"/>
        </w:rPr>
        <w:t>Delaware corporation, and myself, and in exchange for the salary continuation and benefits payable under the Agreement (the “</w:t>
      </w:r>
      <w:r>
        <w:rPr>
          <w:rFonts w:ascii="Arial" w:cs="Arial" w:eastAsia="Arial" w:hAnsi="Arial"/>
          <w:sz w:val="16"/>
          <w:szCs w:val="16"/>
          <w:b w:val="1"/>
          <w:bCs w:val="1"/>
          <w:i w:val="1"/>
          <w:iCs w:val="1"/>
          <w:color w:val="auto"/>
        </w:rPr>
        <w:t>Severance Benefits</w:t>
      </w:r>
      <w:r>
        <w:rPr>
          <w:rFonts w:ascii="Arial" w:cs="Arial" w:eastAsia="Arial" w:hAnsi="Arial"/>
          <w:sz w:val="16"/>
          <w:szCs w:val="16"/>
          <w:color w:val="auto"/>
        </w:rPr>
        <w:t>”), I hereby waive all claims against and release (i) Applied Optoelectronics, Inc., its officers, employees, agents, insurers, predecessors, successors and assigns (collectively referred to as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(ii) all of the affiliates of the Company and their directors, officers, employees, agents, insurers, predecessors, successors and assigns, and (iii) the Company and its affiliates’ employee benefit plans and the fiduciaries and agents of said plans (collectively referred to as the “</w:t>
      </w:r>
      <w:r>
        <w:rPr>
          <w:rFonts w:ascii="Arial" w:cs="Arial" w:eastAsia="Arial" w:hAnsi="Arial"/>
          <w:sz w:val="16"/>
          <w:szCs w:val="16"/>
          <w:b w:val="1"/>
          <w:bCs w:val="1"/>
          <w:i w:val="1"/>
          <w:iCs w:val="1"/>
          <w:color w:val="auto"/>
        </w:rPr>
        <w:t>Benefit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Plans</w:t>
      </w:r>
      <w:r>
        <w:rPr>
          <w:rFonts w:ascii="Arial" w:cs="Arial" w:eastAsia="Arial" w:hAnsi="Arial"/>
          <w:sz w:val="16"/>
          <w:szCs w:val="16"/>
          <w:color w:val="auto"/>
        </w:rPr>
        <w:t>”) from any and all claims, demands, actions, liabilities and damages arising out of or relating in any way to my employment with or separation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employment with the Company and its affiliates other than amounts due pursuant to the Agreement and the rights and benefits I am entitled to under the Benefit Plans. (the Company, its affiliates and the Benefit Plans are sometimes hereinafter collectively referred to as the “</w:t>
      </w:r>
      <w:r>
        <w:rPr>
          <w:rFonts w:ascii="Arial" w:cs="Arial" w:eastAsia="Arial" w:hAnsi="Arial"/>
          <w:sz w:val="16"/>
          <w:szCs w:val="16"/>
          <w:b w:val="1"/>
          <w:bCs w:val="1"/>
          <w:i w:val="1"/>
          <w:iCs w:val="1"/>
          <w:color w:val="auto"/>
        </w:rPr>
        <w:t>Released Parties</w:t>
      </w:r>
      <w:r>
        <w:rPr>
          <w:rFonts w:ascii="Arial" w:cs="Arial" w:eastAsia="Arial" w:hAnsi="Arial"/>
          <w:sz w:val="16"/>
          <w:szCs w:val="16"/>
          <w:color w:val="auto"/>
        </w:rPr>
        <w:t>”.)</w:t>
      </w:r>
    </w:p>
    <w:p>
      <w:pPr>
        <w:spacing w:after="0" w:line="163"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b w:val="1"/>
          <w:bCs w:val="1"/>
          <w:color w:val="auto"/>
        </w:rPr>
        <w:t>I understand that signing this Waiver and Release is an important legal act. I acknowledge that I have been advised in writing to consult an attorney before signing this Waiver and Release. I understand that, in order to be eligible for the Severance Benefits, I must sign (and return to the Company) this Waiver and Release before I will receive the Severance Benefits. I acknowledge that I have been given at least [ ] days to consider whether to accept the Severance Benefits and whether to execute this Waiver and Release.</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In exchange for the payment to me of the Severance Benefits, (1) I agree not to sue the Released Parties in any local, state and/or federal court regarding or relating in any way to my employment with or separation from employment with the Company and its affiliates, and (2) I knowingly and voluntarily waive all claims and release the Released Parties from any and all claims, demands, actions, liabilities, and damages, whether known or unknown, arising out of or relating in any way to my employment with or separation from employment with the Company and its affiliates, except to the extent that my rights are vested under the terms of the Agreement or any employee benefit plans sponsored by the Company and its affiliates and except with respect to such rights or claims as may arise after the date this Waiver and Release is executed. This Waiver and Release includes, but is not limited to, claims and causes of action under: Title VII of the Civil Rights Act of 1964, as amended; the Age Discrimination in Employment Act of 1967, as amended, including the Older Workers Benefit Protection Act of 1990; the Civil Rights Act of 1866, as amended; the Civil Rights Act of 1991; the Americans with Disabilities Act of 1990; the Workers Adjustment and Retraining Notification Act of 1988; the Pregnancy Discrimination Act of 1978; the Employee Retirement Income Security Act of 1974, as amended; the Consolidated Omnibus Budget Reconciliation Act of 1985, as amended; the Family and Medical Leave Act of 1993; the Fair Labor Standards Act; the Occupational Safety and Health Act; the Texas Labor Code et. seq.; claims in connection with workers’ compensation, retaliation or “whistle blower” statutes; and/or contract, tort, defamation, slander, wrongful termination or any other state or federal regulatory, statutory or common law. Further, I expressly represent that no promise or agreement which is not expressed in this Waiver and</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Release has been made to me in executing this Waiver and Release, and that I am relying on my own judgment in executing this Waiver and Release, and that I am not relying on any statement or representation of the Company or its affiliates or any of their agents. I agree that this Waiver and Release is valid, fair, adequate and reasonable, is with my full knowledge and consent, was not procured through fraud, duress or mistake and has not had the effect of misleading, misinforming or failing to inform me.</w:t>
      </w:r>
    </w:p>
    <w:p>
      <w:pPr>
        <w:sectPr>
          <w:pgSz w:w="11900" w:h="16838" w:orient="portrait"/>
          <w:cols w:equalWidth="0" w:num="1">
            <w:col w:w="11460"/>
          </w:cols>
          <w:pgMar w:left="240" w:top="121" w:right="199" w:bottom="0" w:gutter="0" w:footer="0" w:header="0"/>
        </w:sectPr>
      </w:pPr>
    </w:p>
    <w:bookmarkStart w:id="468" w:name="page469"/>
    <w:bookmarkEnd w:id="468"/>
    <w:p>
      <w:pPr>
        <w:ind w:right="140"/>
        <w:spacing w:after="0" w:line="268" w:lineRule="auto"/>
        <w:rPr>
          <w:sz w:val="20"/>
          <w:szCs w:val="20"/>
          <w:color w:val="auto"/>
        </w:rPr>
      </w:pPr>
      <w:r>
        <w:rPr>
          <w:rFonts w:ascii="Arial" w:cs="Arial" w:eastAsia="Arial" w:hAnsi="Arial"/>
          <w:sz w:val="17"/>
          <w:szCs w:val="17"/>
          <w:color w:val="auto"/>
        </w:rPr>
        <w:t>Notwithstanding the foregoing and anything in this Waiver and Release to the contrary, I do not release and expressly retain (a) all rights to payment or providing for post-employment benefits, under the Agreement or employee benefit plans, (b) all rights to indemnity, contribution, and a defense, and directors and officers and other liability coverage that I may have under any statute, Company policy or by this or any other agreement; and (c) the right to any, unpaid reasonable business expenses and any accrued benefits payable under any Company welfare plan or tax-qualified plan.</w:t>
      </w:r>
    </w:p>
    <w:p>
      <w:pPr>
        <w:spacing w:after="0" w:line="176"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I acknowledge that payment of the Severance Benefits is not an admission by any one or more of the Released Parties that they engaged in any wrongful or unlawful act or that they violated any federal or state law or regulation. I acknowledge that neither the Company nor its affiliates have promised me continued employment or represented to me that I will be rehired in the future. I acknowledge that my employer and I contemplate an unequivocal, complete and final dissolution of my employment relationship. I acknowledge that this Waiver and Release does not create any right on my part to be rehired by the Company or its affiliates, and I hereby waive any right to future employment by the Company or its affiliates.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I understand that for a period of 7 calendar days following the date that I sign this Waiver and Release, I may revoke my acceptance of this Waiver and Release,</w:t>
      </w:r>
    </w:p>
    <w:p>
      <w:pPr>
        <w:spacing w:after="0" w:line="38"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provided that my written statement of revocation is received on or before that seventh day by [Name and/or Title], [address], facsimile number: [ ], in which case the Waiver and Release will not become effective. If I timely revoke my acceptance of this Waiver and Release, the Company shall have no obligation under this Waiver and Release nor the Agreement to provide the Severance Benefits to me. I understand that failure to revoke my acceptance of the offer within 7 calendar days from the date I sign this Waiver and Release will result in this Waiver and Release being permanent and irrevocable.</w:t>
      </w:r>
    </w:p>
    <w:p>
      <w:pPr>
        <w:spacing w:after="0" w:line="16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Should any of the provisions set forth in this Waiver and Release be determined to be invalid by a court, agency or other tribunal of competent jurisdiction, it is agreed that such determination shall not affect the enforceability of other provisions of this Waiver and Release. I acknowledge that this Waiver and Release sets forth the entire understanding and agreement between me and the Company and its affiliates concerning the subject matter of this Waiver and Release and supersede any prior or contemporaneous oral and/or written agreements or representations, if any, between me and the Company or its affiliates.</w:t>
      </w:r>
    </w:p>
    <w:p>
      <w:pPr>
        <w:spacing w:after="0" w:line="159"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 acknowledge that I have read this Waiver and Release, have had an opportunity to ask questions and have it explained to me and that I understand that this Waiver and Release will have the effect of knowingly and voluntarily waiving any action I might pursue, including breach of contract, personal injury, retaliation, discrimination on the basis of race, age, sex, national origin, or disability and any other claims arising prior to the date of this Waiver and Release. By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execution of this document, I do not waive or release or otherwise relinquish any legal rights I may have which are attributable to or arise out of acts, omissions, or events of the Company or its affiliates which occur after the date of the execution of this Waiver and Release.</w:t>
      </w:r>
    </w:p>
    <w:p>
      <w:pPr>
        <w:spacing w:after="0" w:line="152" w:lineRule="exact"/>
        <w:rPr>
          <w:sz w:val="20"/>
          <w:szCs w:val="20"/>
          <w:color w:val="auto"/>
        </w:rPr>
      </w:pPr>
    </w:p>
    <w:p>
      <w:pPr>
        <w:spacing w:after="0"/>
        <w:tabs>
          <w:tab w:leader="none" w:pos="5720" w:val="left"/>
        </w:tabs>
        <w:rPr>
          <w:sz w:val="20"/>
          <w:szCs w:val="20"/>
          <w:color w:val="auto"/>
        </w:rPr>
      </w:pPr>
      <w:r>
        <w:rPr>
          <w:rFonts w:ascii="Arial" w:cs="Arial" w:eastAsia="Arial" w:hAnsi="Arial"/>
          <w:sz w:val="17"/>
          <w:szCs w:val="17"/>
          <w:b w:val="1"/>
          <w:bCs w:val="1"/>
          <w:color w:val="auto"/>
        </w:rPr>
        <w:t>EXECUTIVE:</w:t>
      </w:r>
      <w:r>
        <w:rPr>
          <w:sz w:val="20"/>
          <w:szCs w:val="20"/>
          <w:color w:val="auto"/>
        </w:rPr>
        <w:tab/>
      </w:r>
      <w:r>
        <w:rPr>
          <w:rFonts w:ascii="Arial" w:cs="Arial" w:eastAsia="Arial" w:hAnsi="Arial"/>
          <w:sz w:val="17"/>
          <w:szCs w:val="17"/>
          <w:b w:val="1"/>
          <w:bCs w:val="1"/>
          <w:color w:val="auto"/>
        </w:rPr>
        <w:t>APPLIED OPTOELECTRONICS, INC.:</w:t>
      </w:r>
    </w:p>
    <w:p>
      <w:pPr>
        <w:spacing w:after="0" w:line="200" w:lineRule="exact"/>
        <w:rPr>
          <w:sz w:val="20"/>
          <w:szCs w:val="20"/>
          <w:color w:val="auto"/>
        </w:rPr>
      </w:pPr>
    </w:p>
    <w:p>
      <w:pPr>
        <w:spacing w:after="0" w:line="240" w:lineRule="exact"/>
        <w:rPr>
          <w:sz w:val="20"/>
          <w:szCs w:val="20"/>
          <w:color w:val="auto"/>
        </w:rPr>
      </w:pPr>
    </w:p>
    <w:p>
      <w:pPr>
        <w:jc w:val="center"/>
        <w:ind w:left="3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25043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17"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Its: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4006850</wp:posOffset>
            </wp:positionH>
            <wp:positionV relativeFrom="paragraph">
              <wp:posOffset>-123190</wp:posOffset>
            </wp:positionV>
            <wp:extent cx="32467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4006850</wp:posOffset>
            </wp:positionH>
            <wp:positionV relativeFrom="paragraph">
              <wp:posOffset>9525</wp:posOffset>
            </wp:positionV>
            <wp:extent cx="324675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3246755" cy="8255"/>
                    </a:xfrm>
                    <a:prstGeom prst="rect">
                      <a:avLst/>
                    </a:prstGeom>
                    <a:noFill/>
                  </pic:spPr>
                </pic:pic>
              </a:graphicData>
            </a:graphic>
          </wp:anchor>
        </w:drawing>
        <w:drawing>
          <wp:anchor simplePos="0" relativeHeight="251657728" behindDoc="1" locked="0" layoutInCell="0" allowOverlap="1">
            <wp:simplePos x="0" y="0"/>
            <wp:positionH relativeFrom="column">
              <wp:posOffset>369570</wp:posOffset>
            </wp:positionH>
            <wp:positionV relativeFrom="paragraph">
              <wp:posOffset>-123190</wp:posOffset>
            </wp:positionV>
            <wp:extent cx="302196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3021965" cy="825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EXHIBIT B</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INVENTIONS, CONFIDENTIALITY,</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NON-COMPETITION AND NON-SOLICITATION AGREEMENT</w:t>
      </w:r>
    </w:p>
    <w:p>
      <w:pPr>
        <w:spacing w:after="0" w:line="212" w:lineRule="exact"/>
        <w:rPr>
          <w:sz w:val="20"/>
          <w:szCs w:val="20"/>
          <w:color w:val="auto"/>
        </w:rPr>
      </w:pPr>
    </w:p>
    <w:p>
      <w:pPr>
        <w:ind w:right="20" w:firstLine="629"/>
        <w:spacing w:after="0" w:line="290" w:lineRule="auto"/>
        <w:rPr>
          <w:sz w:val="20"/>
          <w:szCs w:val="20"/>
          <w:color w:val="auto"/>
        </w:rPr>
      </w:pPr>
      <w:r>
        <w:rPr>
          <w:rFonts w:ascii="Arial" w:cs="Arial" w:eastAsia="Arial" w:hAnsi="Arial"/>
          <w:sz w:val="16"/>
          <w:szCs w:val="16"/>
          <w:color w:val="auto"/>
        </w:rPr>
        <w:t>As a condition of employment with Applied Optoelectronics, Inc., a Delaware corporation, its subsidiaries, affiliates, successors, or assigns (together,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Employee’s receipt of compensation now and hereafter paid to Employee by the Company, and in exchange for the Company’s agreement to provide Employee with access to the Company’s Confidential Information and Trade Secrets (as defined below), Employee and the Company enter into this Inventions, Confidentiality, Non-Competition and Non-Solicitation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effective as of the date signed by Employee below.</w:t>
      </w:r>
    </w:p>
    <w:p>
      <w:pPr>
        <w:spacing w:after="0" w:line="153" w:lineRule="exact"/>
        <w:rPr>
          <w:sz w:val="20"/>
          <w:szCs w:val="20"/>
          <w:color w:val="auto"/>
        </w:rPr>
      </w:pPr>
    </w:p>
    <w:p>
      <w:pPr>
        <w:ind w:right="60" w:firstLine="634"/>
        <w:spacing w:after="0" w:line="264" w:lineRule="auto"/>
        <w:tabs>
          <w:tab w:leader="none" w:pos="1258" w:val="left"/>
        </w:tabs>
        <w:numPr>
          <w:ilvl w:val="0"/>
          <w:numId w:val="863"/>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 Information and Trade Secrets of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of employment, the Company will provide Employee with access</w:t>
      </w:r>
      <w:r>
        <w:rPr>
          <w:rFonts w:ascii="Arial" w:cs="Arial" w:eastAsia="Arial" w:hAnsi="Arial"/>
          <w:sz w:val="17"/>
          <w:szCs w:val="17"/>
          <w:b w:val="1"/>
          <w:bCs w:val="1"/>
          <w:color w:val="auto"/>
        </w:rPr>
        <w:t xml:space="preserve"> </w:t>
      </w:r>
      <w:r>
        <w:rPr>
          <w:rFonts w:ascii="Arial" w:cs="Arial" w:eastAsia="Arial" w:hAnsi="Arial"/>
          <w:sz w:val="17"/>
          <w:szCs w:val="17"/>
          <w:color w:val="auto"/>
        </w:rPr>
        <w:t>to and the opportunity to become familiar with its confidential information and various trade secrets, including but not limited to any information, data or compilation of information or data developed, acquired or generated by Company, or its employees (including information and materials conceived, originating, discovered, or developed in whole or in part by Executive at the request of or for the benefit of Company or while employed by Company), which is not generally known to persons who are not employees of Company, and which Company generally does not share other than with its employees, or with its customers and suppliers on an individual transactional basis. Confidential Information and Trade Secrets (defined below) may be written, verbal or recorded by electronic, magnetic or other methods, whether or not expressly identified as “Confidential” by Company.</w:t>
      </w:r>
    </w:p>
    <w:p>
      <w:pPr>
        <w:spacing w:after="0" w:line="178" w:lineRule="exact"/>
        <w:rPr>
          <w:rFonts w:ascii="Arial" w:cs="Arial" w:eastAsia="Arial" w:hAnsi="Arial"/>
          <w:sz w:val="17"/>
          <w:szCs w:val="17"/>
          <w:color w:val="auto"/>
        </w:rPr>
      </w:pPr>
    </w:p>
    <w:p>
      <w:pPr>
        <w:ind w:left="1880" w:hanging="617"/>
        <w:spacing w:after="0"/>
        <w:tabs>
          <w:tab w:leader="none" w:pos="1880" w:val="left"/>
        </w:tabs>
        <w:numPr>
          <w:ilvl w:val="1"/>
          <w:numId w:val="8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Confidential Information and Trade Secrets</w:t>
      </w:r>
      <w:r>
        <w:rPr>
          <w:rFonts w:ascii="Arial" w:cs="Arial" w:eastAsia="Arial" w:hAnsi="Arial"/>
          <w:sz w:val="17"/>
          <w:szCs w:val="17"/>
          <w:color w:val="auto"/>
        </w:rPr>
        <w:t>” includes, but is not limited to, the following information and materials:</w:t>
      </w:r>
    </w:p>
    <w:p>
      <w:pPr>
        <w:spacing w:after="0" w:line="224" w:lineRule="exact"/>
        <w:rPr>
          <w:rFonts w:ascii="Arial" w:cs="Arial" w:eastAsia="Arial" w:hAnsi="Arial"/>
          <w:sz w:val="17"/>
          <w:szCs w:val="17"/>
          <w:color w:val="auto"/>
        </w:rPr>
      </w:pPr>
    </w:p>
    <w:p>
      <w:pPr>
        <w:ind w:right="100" w:firstLine="1893"/>
        <w:spacing w:after="0" w:line="289" w:lineRule="auto"/>
        <w:tabs>
          <w:tab w:leader="none" w:pos="2538" w:val="left"/>
        </w:tabs>
        <w:numPr>
          <w:ilvl w:val="2"/>
          <w:numId w:val="863"/>
        </w:numPr>
        <w:rPr>
          <w:rFonts w:ascii="Arial" w:cs="Arial" w:eastAsia="Arial" w:hAnsi="Arial"/>
          <w:sz w:val="17"/>
          <w:szCs w:val="17"/>
          <w:color w:val="auto"/>
        </w:rPr>
      </w:pPr>
      <w:r>
        <w:rPr>
          <w:rFonts w:ascii="Arial" w:cs="Arial" w:eastAsia="Arial" w:hAnsi="Arial"/>
          <w:sz w:val="17"/>
          <w:szCs w:val="17"/>
          <w:color w:val="auto"/>
        </w:rPr>
        <w:t>Financial information of any kind pertaining to Company, including, without limitation, information about the profit margins, profitability, pricing, income and expenses of Company or any of its products or lines of business;</w:t>
      </w:r>
    </w:p>
    <w:p>
      <w:pPr>
        <w:spacing w:after="0" w:line="158" w:lineRule="exact"/>
        <w:rPr>
          <w:rFonts w:ascii="Arial" w:cs="Arial" w:eastAsia="Arial" w:hAnsi="Arial"/>
          <w:sz w:val="17"/>
          <w:szCs w:val="17"/>
          <w:color w:val="auto"/>
        </w:rPr>
      </w:pPr>
    </w:p>
    <w:p>
      <w:pPr>
        <w:ind w:firstLine="1893"/>
        <w:spacing w:after="0" w:line="268" w:lineRule="auto"/>
        <w:tabs>
          <w:tab w:leader="none" w:pos="2547" w:val="left"/>
        </w:tabs>
        <w:numPr>
          <w:ilvl w:val="2"/>
          <w:numId w:val="863"/>
        </w:numPr>
        <w:rPr>
          <w:rFonts w:ascii="Arial" w:cs="Arial" w:eastAsia="Arial" w:hAnsi="Arial"/>
          <w:sz w:val="17"/>
          <w:szCs w:val="17"/>
          <w:color w:val="auto"/>
        </w:rPr>
      </w:pPr>
      <w:r>
        <w:rPr>
          <w:rFonts w:ascii="Arial" w:cs="Arial" w:eastAsia="Arial" w:hAnsi="Arial"/>
          <w:sz w:val="17"/>
          <w:szCs w:val="17"/>
          <w:color w:val="auto"/>
        </w:rPr>
        <w:t>All information about and all communications received from, sent to or exchanged between Company and any person or entity which has purchased, licensed, exchanged or otherwise entered into a transaction with Company, or to which Company has made a proposal with respect to the purchase, sale, license, exchange or other transaction involving any component, products or services which form any part of Company’s Business (defined below) (such person or entity being hereinafter referred to as customer or customers);</w:t>
      </w:r>
    </w:p>
    <w:p>
      <w:pPr>
        <w:spacing w:after="0" w:line="175" w:lineRule="exact"/>
        <w:rPr>
          <w:rFonts w:ascii="Arial" w:cs="Arial" w:eastAsia="Arial" w:hAnsi="Arial"/>
          <w:sz w:val="17"/>
          <w:szCs w:val="17"/>
          <w:color w:val="auto"/>
        </w:rPr>
      </w:pPr>
    </w:p>
    <w:p>
      <w:pPr>
        <w:ind w:right="320" w:firstLine="1893"/>
        <w:spacing w:after="0" w:line="298" w:lineRule="auto"/>
        <w:tabs>
          <w:tab w:leader="none" w:pos="2556" w:val="left"/>
        </w:tabs>
        <w:numPr>
          <w:ilvl w:val="2"/>
          <w:numId w:val="863"/>
        </w:numPr>
        <w:rPr>
          <w:rFonts w:ascii="Arial" w:cs="Arial" w:eastAsia="Arial" w:hAnsi="Arial"/>
          <w:sz w:val="16"/>
          <w:szCs w:val="16"/>
          <w:color w:val="auto"/>
        </w:rPr>
      </w:pPr>
      <w:r>
        <w:rPr>
          <w:rFonts w:ascii="Arial" w:cs="Arial" w:eastAsia="Arial" w:hAnsi="Arial"/>
          <w:sz w:val="16"/>
          <w:szCs w:val="16"/>
          <w:color w:val="auto"/>
        </w:rPr>
        <w:t>Any and all information and records relating to Company’s contracts or transactions with, or charges, prices or sales to, its customers, including invoices, proposals, confirmations, bills of ladings, statements, accounting records, bids, payment records or any other information or documents regarding amounts charged to or paid by customers, for any software, products or services which form any part of Company’s Business;</w:t>
      </w:r>
    </w:p>
    <w:p>
      <w:pPr>
        <w:sectPr>
          <w:pgSz w:w="11900" w:h="16838" w:orient="portrait"/>
          <w:cols w:equalWidth="0" w:num="1">
            <w:col w:w="11420"/>
          </w:cols>
          <w:pgMar w:left="240" w:top="127" w:right="239" w:bottom="0" w:gutter="0" w:footer="0" w:header="0"/>
        </w:sectPr>
      </w:pPr>
    </w:p>
    <w:bookmarkStart w:id="469" w:name="page470"/>
    <w:bookmarkEnd w:id="469"/>
    <w:p>
      <w:pPr>
        <w:spacing w:after="0" w:line="77" w:lineRule="exact"/>
        <w:rPr>
          <w:sz w:val="20"/>
          <w:szCs w:val="20"/>
          <w:color w:val="auto"/>
        </w:rPr>
      </w:pPr>
    </w:p>
    <w:p>
      <w:pPr>
        <w:ind w:left="2540" w:hanging="647"/>
        <w:spacing w:after="0"/>
        <w:tabs>
          <w:tab w:leader="none" w:pos="2540" w:val="left"/>
        </w:tabs>
        <w:numPr>
          <w:ilvl w:val="0"/>
          <w:numId w:val="864"/>
        </w:numPr>
        <w:rPr>
          <w:rFonts w:ascii="Arial" w:cs="Arial" w:eastAsia="Arial" w:hAnsi="Arial"/>
          <w:sz w:val="17"/>
          <w:szCs w:val="17"/>
          <w:color w:val="auto"/>
        </w:rPr>
      </w:pPr>
      <w:r>
        <w:rPr>
          <w:rFonts w:ascii="Arial" w:cs="Arial" w:eastAsia="Arial" w:hAnsi="Arial"/>
          <w:sz w:val="17"/>
          <w:szCs w:val="17"/>
          <w:color w:val="auto"/>
        </w:rPr>
        <w:t>All information regarding Company’s scientific, technical or technological information, designs, processes, procedures,</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formulas, equipment or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including without limitation, any components, modules, circuits, software, programs, codes, algorithms, calculations, drawings, plans, or specifications related to the development, design, construction, fabrication, manufacture, operation or furnishing of any software, products, services, or equipment which constitute any part of the Company’s Business, including Company Products. As used in this Agreement, “</w:t>
      </w:r>
      <w:r>
        <w:rPr>
          <w:rFonts w:ascii="Arial" w:cs="Arial" w:eastAsia="Arial" w:hAnsi="Arial"/>
          <w:sz w:val="17"/>
          <w:szCs w:val="17"/>
          <w:b w:val="1"/>
          <w:bCs w:val="1"/>
          <w:i w:val="1"/>
          <w:iCs w:val="1"/>
          <w:color w:val="auto"/>
        </w:rPr>
        <w:t>Company Products</w:t>
      </w:r>
      <w:r>
        <w:rPr>
          <w:rFonts w:ascii="Arial" w:cs="Arial" w:eastAsia="Arial" w:hAnsi="Arial"/>
          <w:sz w:val="17"/>
          <w:szCs w:val="17"/>
          <w:color w:val="auto"/>
        </w:rPr>
        <w:t>” shall mean any and all computer software, optical component, module, circuitry, equipment, products, services, together with any updates, substitutions, enhancements or modifications thereof, and any user manuals, programming manuals and other documentation of any kind.</w:t>
      </w:r>
    </w:p>
    <w:p>
      <w:pPr>
        <w:spacing w:after="0" w:line="179" w:lineRule="exact"/>
        <w:rPr>
          <w:sz w:val="20"/>
          <w:szCs w:val="20"/>
          <w:color w:val="auto"/>
        </w:rPr>
      </w:pPr>
    </w:p>
    <w:p>
      <w:pPr>
        <w:ind w:right="180" w:firstLine="1263"/>
        <w:spacing w:after="0" w:line="322" w:lineRule="auto"/>
        <w:tabs>
          <w:tab w:leader="none" w:pos="1895" w:val="left"/>
        </w:tabs>
        <w:numPr>
          <w:ilvl w:val="0"/>
          <w:numId w:val="8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Business</w:t>
      </w:r>
      <w:r>
        <w:rPr>
          <w:rFonts w:ascii="Arial" w:cs="Arial" w:eastAsia="Arial" w:hAnsi="Arial"/>
          <w:sz w:val="16"/>
          <w:szCs w:val="16"/>
          <w:color w:val="auto"/>
        </w:rPr>
        <w:t>” shall mean the developing and manufacturing of advanced optical devices, including laser diodes, photodiodes, related modules and circuitry, and equipment for applications in fiber-to-the-home, cable television, point to point communications, and wireless.</w:t>
      </w:r>
    </w:p>
    <w:p>
      <w:pPr>
        <w:spacing w:after="0" w:line="135" w:lineRule="exact"/>
        <w:rPr>
          <w:rFonts w:ascii="Arial" w:cs="Arial" w:eastAsia="Arial" w:hAnsi="Arial"/>
          <w:sz w:val="16"/>
          <w:szCs w:val="16"/>
          <w:color w:val="auto"/>
        </w:rPr>
      </w:pPr>
    </w:p>
    <w:p>
      <w:pPr>
        <w:jc w:val="both"/>
        <w:ind w:right="60" w:firstLine="1316"/>
        <w:spacing w:after="0" w:line="314" w:lineRule="auto"/>
        <w:tabs>
          <w:tab w:leader="none" w:pos="1898" w:val="left"/>
        </w:tabs>
        <w:numPr>
          <w:ilvl w:val="1"/>
          <w:numId w:val="865"/>
        </w:numPr>
        <w:rPr>
          <w:rFonts w:ascii="Arial" w:cs="Arial" w:eastAsia="Arial" w:hAnsi="Arial"/>
          <w:sz w:val="15"/>
          <w:szCs w:val="15"/>
          <w:color w:val="auto"/>
        </w:rPr>
      </w:pPr>
      <w:r>
        <w:rPr>
          <w:rFonts w:ascii="Arial" w:cs="Arial" w:eastAsia="Arial" w:hAnsi="Arial"/>
          <w:sz w:val="15"/>
          <w:szCs w:val="15"/>
          <w:color w:val="auto"/>
        </w:rPr>
        <w:t>Executive acknowledges that all notes, data, forms, reference and training materials, leads, memoranda, computer programs, computer print-outs, disks and the information contained in any computer, and any other records which contain, reflect or describe any Confidential Information and Trade Secrets, belong exclusively to Company. Upon the termination of Executive’s employment with the Company, Executive shall promptly return such materials and all copies thereof in Executive’s possession to Company, regardless of whether such termination is the result of termination for Good Reason or for Cause.</w:t>
      </w:r>
    </w:p>
    <w:p>
      <w:pPr>
        <w:spacing w:after="0" w:line="146" w:lineRule="exact"/>
        <w:rPr>
          <w:sz w:val="20"/>
          <w:szCs w:val="20"/>
          <w:color w:val="auto"/>
        </w:rPr>
      </w:pPr>
    </w:p>
    <w:p>
      <w:pPr>
        <w:ind w:right="320" w:firstLine="1263"/>
        <w:spacing w:after="0" w:line="263" w:lineRule="auto"/>
        <w:tabs>
          <w:tab w:leader="none" w:pos="1895" w:val="left"/>
        </w:tabs>
        <w:numPr>
          <w:ilvl w:val="1"/>
          <w:numId w:val="866"/>
        </w:numPr>
        <w:rPr>
          <w:rFonts w:ascii="Arial" w:cs="Arial" w:eastAsia="Arial" w:hAnsi="Arial"/>
          <w:sz w:val="17"/>
          <w:szCs w:val="17"/>
          <w:color w:val="auto"/>
        </w:rPr>
      </w:pPr>
      <w:r>
        <w:rPr>
          <w:rFonts w:ascii="Arial" w:cs="Arial" w:eastAsia="Arial" w:hAnsi="Arial"/>
          <w:sz w:val="17"/>
          <w:szCs w:val="17"/>
          <w:color w:val="auto"/>
        </w:rPr>
        <w:t>During Executive’s employment with Company and thereafter, Executive will not copy, publish, convey, transfer, disclose nor use, directly or indirectly, for Executive’s own benefit or for the benefit of any other person or entity (except Company) any Confidential Information and Trade Secrets; provided, that any copying or other prohibited use of Confidential Information and Trade Secrets shall not include copying or otherwise using Confidential Information and Trade Secrets in connection with communications with current or potential customers or vendors that the Executive reasonably expects to have a direct benefit to the Company. Executive will abide by all rules, guidelines, policies and procedures relating to Confidential Information and Trade Secrets implemented and/or amended from time to time by Company.</w:t>
      </w:r>
    </w:p>
    <w:p>
      <w:pPr>
        <w:spacing w:after="0" w:line="183" w:lineRule="exact"/>
        <w:rPr>
          <w:rFonts w:ascii="Arial" w:cs="Arial" w:eastAsia="Arial" w:hAnsi="Arial"/>
          <w:sz w:val="17"/>
          <w:szCs w:val="17"/>
          <w:color w:val="auto"/>
        </w:rPr>
      </w:pPr>
    </w:p>
    <w:p>
      <w:pPr>
        <w:ind w:right="100" w:firstLine="1263"/>
        <w:spacing w:after="0" w:line="283" w:lineRule="auto"/>
        <w:tabs>
          <w:tab w:leader="none" w:pos="1898" w:val="left"/>
        </w:tabs>
        <w:numPr>
          <w:ilvl w:val="1"/>
          <w:numId w:val="866"/>
        </w:numPr>
        <w:rPr>
          <w:rFonts w:ascii="Arial" w:cs="Arial" w:eastAsia="Arial" w:hAnsi="Arial"/>
          <w:sz w:val="16"/>
          <w:szCs w:val="16"/>
          <w:color w:val="auto"/>
        </w:rPr>
      </w:pPr>
      <w:r>
        <w:rPr>
          <w:rFonts w:ascii="Arial" w:cs="Arial" w:eastAsia="Arial" w:hAnsi="Arial"/>
          <w:sz w:val="16"/>
          <w:szCs w:val="16"/>
          <w:color w:val="auto"/>
        </w:rPr>
        <w:t>Executive acknowledges that any actual or threatened breach of the covenants contained herein will cause Company irreparable harm and that money damages would not provide an adequate remedy to Company for any such breach. For these reasons, and because of the unique nature of the Confidential Information and Trade Secrets and the necessity to preserve such Confidential Information and Trade Secrets in order to protect Company’s property rights in the event of a breach or threatened breach of any of the provisions herein, Company, in addition to any other remedies available to it at law or in equity, shall be entitled to immediate injunctive relief against Executive to enforce the provisions of this Agreement and shall be entitled to recover from Executive its reasonable attorneys’ fees and other expenses incurred in connection with such proceedings.</w:t>
      </w:r>
    </w:p>
    <w:p>
      <w:pPr>
        <w:spacing w:after="0" w:line="160" w:lineRule="exact"/>
        <w:rPr>
          <w:rFonts w:ascii="Arial" w:cs="Arial" w:eastAsia="Arial" w:hAnsi="Arial"/>
          <w:sz w:val="16"/>
          <w:szCs w:val="16"/>
          <w:color w:val="auto"/>
        </w:rPr>
      </w:pPr>
    </w:p>
    <w:p>
      <w:pPr>
        <w:ind w:right="200" w:firstLine="634"/>
        <w:spacing w:after="0" w:line="297" w:lineRule="auto"/>
        <w:tabs>
          <w:tab w:leader="none" w:pos="1258" w:val="left"/>
        </w:tabs>
        <w:numPr>
          <w:ilvl w:val="0"/>
          <w:numId w:val="867"/>
        </w:numPr>
        <w:rPr>
          <w:rFonts w:ascii="Arial" w:cs="Arial" w:eastAsia="Arial" w:hAnsi="Arial"/>
          <w:sz w:val="17"/>
          <w:szCs w:val="17"/>
          <w:color w:val="auto"/>
        </w:rPr>
      </w:pPr>
      <w:r>
        <w:rPr>
          <w:rFonts w:ascii="Arial" w:cs="Arial" w:eastAsia="Arial" w:hAnsi="Arial"/>
          <w:sz w:val="17"/>
          <w:szCs w:val="17"/>
          <w:b w:val="1"/>
          <w:bCs w:val="1"/>
          <w:u w:val="single" w:color="auto"/>
          <w:color w:val="auto"/>
        </w:rPr>
        <w:t>Employee Confidentiality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agrees to keep all such information confidential and not to disclose any such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and Trade Secrets, directly or indirectly, to any third party without the prior express written consent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Company. Employee also agrees not to use such Confidential Information and Trade Secrets in any way, either during the term of this Agreement or at any time thereafter, except as required in the course of employment with the Company. All such Confidential Information and Trade Secrets, including but not limited to files, records, customer lists, manuals, documents, drawings, specifications, personal notes, personal property, and similar items related to the business of the Company, whether or not prepared by Employee, shall remain the exclusive property of the Company.</w:t>
      </w:r>
    </w:p>
    <w:p>
      <w:pPr>
        <w:spacing w:after="0" w:line="170" w:lineRule="exact"/>
        <w:rPr>
          <w:sz w:val="20"/>
          <w:szCs w:val="20"/>
          <w:color w:val="auto"/>
        </w:rPr>
      </w:pPr>
    </w:p>
    <w:p>
      <w:pPr>
        <w:ind w:right="200" w:firstLine="634"/>
        <w:spacing w:after="0" w:line="277" w:lineRule="auto"/>
        <w:tabs>
          <w:tab w:leader="none" w:pos="1258" w:val="left"/>
        </w:tabs>
        <w:numPr>
          <w:ilvl w:val="0"/>
          <w:numId w:val="868"/>
        </w:numPr>
        <w:rPr>
          <w:rFonts w:ascii="Arial" w:cs="Arial" w:eastAsia="Arial" w:hAnsi="Arial"/>
          <w:sz w:val="17"/>
          <w:szCs w:val="17"/>
          <w:color w:val="auto"/>
        </w:rPr>
      </w:pPr>
      <w:r>
        <w:rPr>
          <w:rFonts w:ascii="Arial" w:cs="Arial" w:eastAsia="Arial" w:hAnsi="Arial"/>
          <w:sz w:val="17"/>
          <w:szCs w:val="17"/>
          <w:b w:val="1"/>
          <w:bCs w:val="1"/>
          <w:u w:val="single" w:color="auto"/>
          <w:color w:val="auto"/>
        </w:rPr>
        <w:t>Return of Documents, Equipment, Etc.</w:t>
      </w:r>
      <w:r>
        <w:rPr>
          <w:rFonts w:ascii="Arial" w:cs="Arial" w:eastAsia="Arial" w:hAnsi="Arial"/>
          <w:sz w:val="17"/>
          <w:szCs w:val="17"/>
          <w:b w:val="1"/>
          <w:bCs w:val="1"/>
          <w:color w:val="auto"/>
        </w:rPr>
        <w:t xml:space="preserve"> </w:t>
      </w:r>
      <w:r>
        <w:rPr>
          <w:rFonts w:ascii="Arial" w:cs="Arial" w:eastAsia="Arial" w:hAnsi="Arial"/>
          <w:sz w:val="17"/>
          <w:szCs w:val="17"/>
          <w:color w:val="auto"/>
        </w:rPr>
        <w:t>Immediately upon the termination of this Agreement or whenever requested by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shall immediately deliver to Human Resources all property of the Company in Employee’s possession or under Employee’s control, including but not limited to all items listed above and all other records, files, lists, supplies, and personal property of the Company.</w:t>
      </w:r>
    </w:p>
    <w:p>
      <w:pPr>
        <w:spacing w:after="0" w:line="162" w:lineRule="exact"/>
        <w:rPr>
          <w:rFonts w:ascii="Arial" w:cs="Arial" w:eastAsia="Arial" w:hAnsi="Arial"/>
          <w:sz w:val="17"/>
          <w:szCs w:val="17"/>
          <w:color w:val="auto"/>
        </w:rPr>
      </w:pPr>
    </w:p>
    <w:p>
      <w:pPr>
        <w:jc w:val="both"/>
        <w:ind w:firstLine="634"/>
        <w:spacing w:after="0" w:line="302" w:lineRule="auto"/>
        <w:tabs>
          <w:tab w:leader="none" w:pos="1258" w:val="left"/>
        </w:tabs>
        <w:numPr>
          <w:ilvl w:val="0"/>
          <w:numId w:val="868"/>
        </w:numPr>
        <w:rPr>
          <w:rFonts w:ascii="Arial" w:cs="Arial" w:eastAsia="Arial" w:hAnsi="Arial"/>
          <w:sz w:val="16"/>
          <w:szCs w:val="16"/>
          <w:color w:val="auto"/>
        </w:rPr>
      </w:pPr>
      <w:r>
        <w:rPr>
          <w:rFonts w:ascii="Arial" w:cs="Arial" w:eastAsia="Arial" w:hAnsi="Arial"/>
          <w:sz w:val="16"/>
          <w:szCs w:val="16"/>
          <w:b w:val="1"/>
          <w:bCs w:val="1"/>
          <w:u w:val="single" w:color="auto"/>
          <w:color w:val="auto"/>
        </w:rPr>
        <w:t>Confidential Data of Customers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 the course of performing duties under this Agreement, Employee will have access to and</w:t>
      </w:r>
      <w:r>
        <w:rPr>
          <w:rFonts w:ascii="Arial" w:cs="Arial" w:eastAsia="Arial" w:hAnsi="Arial"/>
          <w:sz w:val="16"/>
          <w:szCs w:val="16"/>
          <w:b w:val="1"/>
          <w:bCs w:val="1"/>
          <w:color w:val="auto"/>
        </w:rPr>
        <w:t xml:space="preserve"> </w:t>
      </w:r>
      <w:r>
        <w:rPr>
          <w:rFonts w:ascii="Arial" w:cs="Arial" w:eastAsia="Arial" w:hAnsi="Arial"/>
          <w:sz w:val="16"/>
          <w:szCs w:val="16"/>
          <w:color w:val="auto"/>
        </w:rPr>
        <w:t>be handling substantial information concerning customers and clients of the Company. All information is considered confidential by the Company and shall not be disclosed, directly or indirectly, to any person or entity prior to termination of this Agreement or thereafter without the prior written consent of the Company.</w:t>
      </w:r>
    </w:p>
    <w:p>
      <w:pPr>
        <w:spacing w:after="0" w:line="144" w:lineRule="exact"/>
        <w:rPr>
          <w:rFonts w:ascii="Arial" w:cs="Arial" w:eastAsia="Arial" w:hAnsi="Arial"/>
          <w:sz w:val="16"/>
          <w:szCs w:val="16"/>
          <w:color w:val="auto"/>
        </w:rPr>
      </w:pPr>
    </w:p>
    <w:p>
      <w:pPr>
        <w:ind w:right="20" w:firstLine="634"/>
        <w:spacing w:after="0" w:line="263" w:lineRule="auto"/>
        <w:tabs>
          <w:tab w:leader="none" w:pos="1258" w:val="left"/>
        </w:tabs>
        <w:numPr>
          <w:ilvl w:val="0"/>
          <w:numId w:val="868"/>
        </w:numPr>
        <w:rPr>
          <w:rFonts w:ascii="Arial" w:cs="Arial" w:eastAsia="Arial" w:hAnsi="Arial"/>
          <w:sz w:val="17"/>
          <w:szCs w:val="17"/>
          <w:color w:val="auto"/>
        </w:rPr>
      </w:pPr>
      <w:r>
        <w:rPr>
          <w:rFonts w:ascii="Arial" w:cs="Arial" w:eastAsia="Arial" w:hAnsi="Arial"/>
          <w:sz w:val="17"/>
          <w:szCs w:val="17"/>
          <w:b w:val="1"/>
          <w:bCs w:val="1"/>
          <w:u w:val="single" w:color="auto"/>
          <w:color w:val="auto"/>
        </w:rPr>
        <w:t>Inventions, Patents, and Copyright Works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recognizes, acknowledges, and agrees that the Company is the owner of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inventions (whether patentable or not), discoveries, improvements, designs, ideas (whether or not shown or described in writing or reduced to practice) scientific and technical information, data and know-how of any nature including, and in addition to, any Confidential Information and Trade Secrets, and certain trademarks, tradenames, domain names, and copyrightable works including, but limited to, literary works (including all written material), books, brochures, catalogs, manuals, training materials, directories, compilations of information, compilations of inspection or testing procedures, computer programs, software (object and source code), protocols, system architectures, advertisements, artistic and graphic works (including designs, graphs, drawings, blueprints, and other works), recordings, models, photographs, slides, motion pictures, audio-visual works, and the like, regardless of the form or manner in which documented or recorded (collectively, “</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Further, Employee agrees as follows:</w:t>
      </w:r>
    </w:p>
    <w:p>
      <w:pPr>
        <w:spacing w:after="0" w:line="180" w:lineRule="exact"/>
        <w:rPr>
          <w:rFonts w:ascii="Arial" w:cs="Arial" w:eastAsia="Arial" w:hAnsi="Arial"/>
          <w:sz w:val="17"/>
          <w:szCs w:val="17"/>
          <w:color w:val="auto"/>
        </w:rPr>
      </w:pPr>
    </w:p>
    <w:p>
      <w:pPr>
        <w:ind w:right="160" w:firstLine="1263"/>
        <w:spacing w:after="0" w:line="298" w:lineRule="auto"/>
        <w:tabs>
          <w:tab w:leader="none" w:pos="1885" w:val="left"/>
        </w:tabs>
        <w:numPr>
          <w:ilvl w:val="1"/>
          <w:numId w:val="868"/>
        </w:numPr>
        <w:rPr>
          <w:rFonts w:ascii="Arial" w:cs="Arial" w:eastAsia="Arial" w:hAnsi="Arial"/>
          <w:sz w:val="16"/>
          <w:szCs w:val="16"/>
          <w:color w:val="auto"/>
        </w:rPr>
      </w:pPr>
      <w:r>
        <w:rPr>
          <w:rFonts w:ascii="Arial" w:cs="Arial" w:eastAsia="Arial" w:hAnsi="Arial"/>
          <w:sz w:val="16"/>
          <w:szCs w:val="16"/>
          <w:u w:val="single" w:color="auto"/>
          <w:color w:val="auto"/>
        </w:rPr>
        <w:t>Keep Records.</w:t>
      </w:r>
      <w:r>
        <w:rPr>
          <w:rFonts w:ascii="Arial" w:cs="Arial" w:eastAsia="Arial" w:hAnsi="Arial"/>
          <w:sz w:val="16"/>
          <w:szCs w:val="16"/>
          <w:color w:val="auto"/>
        </w:rPr>
        <w:t xml:space="preserve"> Employee agrees to keep and maintain adequate and current written records of all Intellectual Property made by Employee (solely or jointly with others) during the term of employment with the Company. The records will be in the form of notes, sketches, drawings and any other format that may be specified by the Company. The records will be available to and remain the sole property of the Company at all times.</w:t>
      </w:r>
    </w:p>
    <w:p>
      <w:pPr>
        <w:spacing w:after="0" w:line="153" w:lineRule="exact"/>
        <w:rPr>
          <w:rFonts w:ascii="Arial" w:cs="Arial" w:eastAsia="Arial" w:hAnsi="Arial"/>
          <w:sz w:val="16"/>
          <w:szCs w:val="16"/>
          <w:color w:val="auto"/>
        </w:rPr>
      </w:pPr>
    </w:p>
    <w:p>
      <w:pPr>
        <w:ind w:right="120" w:firstLine="1263"/>
        <w:spacing w:after="0" w:line="273" w:lineRule="auto"/>
        <w:tabs>
          <w:tab w:leader="none" w:pos="1895" w:val="left"/>
        </w:tabs>
        <w:numPr>
          <w:ilvl w:val="1"/>
          <w:numId w:val="868"/>
        </w:numPr>
        <w:rPr>
          <w:rFonts w:ascii="Arial" w:cs="Arial" w:eastAsia="Arial" w:hAnsi="Arial"/>
          <w:sz w:val="17"/>
          <w:szCs w:val="17"/>
          <w:color w:val="auto"/>
        </w:rPr>
      </w:pPr>
      <w:r>
        <w:rPr>
          <w:rFonts w:ascii="Arial" w:cs="Arial" w:eastAsia="Arial" w:hAnsi="Arial"/>
          <w:sz w:val="17"/>
          <w:szCs w:val="17"/>
          <w:u w:val="single" w:color="auto"/>
          <w:color w:val="auto"/>
        </w:rPr>
        <w:t>Notification of Company.</w:t>
      </w:r>
      <w:r>
        <w:rPr>
          <w:rFonts w:ascii="Arial" w:cs="Arial" w:eastAsia="Arial" w:hAnsi="Arial"/>
          <w:sz w:val="17"/>
          <w:szCs w:val="17"/>
          <w:color w:val="auto"/>
        </w:rPr>
        <w:t xml:space="preserve"> Employee agrees to promptly disclose to the Company all Intellectual Property and other proprietary information which Employee may author, create, make, conceive, or develop, either solely or jointly with others, whether inside or outside normal working hours or on or off Company premises, during the term of employment with the Company.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0" w:lineRule="exact"/>
        <w:rPr>
          <w:rFonts w:ascii="Arial" w:cs="Arial" w:eastAsia="Arial" w:hAnsi="Arial"/>
          <w:sz w:val="17"/>
          <w:szCs w:val="17"/>
          <w:color w:val="auto"/>
        </w:rPr>
      </w:pPr>
    </w:p>
    <w:p>
      <w:pPr>
        <w:ind w:right="160" w:firstLine="1263"/>
        <w:spacing w:after="0" w:line="305" w:lineRule="auto"/>
        <w:tabs>
          <w:tab w:leader="none" w:pos="1898" w:val="left"/>
        </w:tabs>
        <w:numPr>
          <w:ilvl w:val="1"/>
          <w:numId w:val="868"/>
        </w:numPr>
        <w:rPr>
          <w:rFonts w:ascii="Arial" w:cs="Arial" w:eastAsia="Arial" w:hAnsi="Arial"/>
          <w:sz w:val="15"/>
          <w:szCs w:val="15"/>
          <w:color w:val="auto"/>
        </w:rPr>
      </w:pPr>
      <w:r>
        <w:rPr>
          <w:rFonts w:ascii="Arial" w:cs="Arial" w:eastAsia="Arial" w:hAnsi="Arial"/>
          <w:sz w:val="15"/>
          <w:szCs w:val="15"/>
          <w:u w:val="single" w:color="auto"/>
          <w:color w:val="auto"/>
        </w:rPr>
        <w:t>Transfer of Rights.</w:t>
      </w:r>
      <w:r>
        <w:rPr>
          <w:rFonts w:ascii="Arial" w:cs="Arial" w:eastAsia="Arial" w:hAnsi="Arial"/>
          <w:sz w:val="15"/>
          <w:szCs w:val="15"/>
          <w:color w:val="auto"/>
        </w:rPr>
        <w:t xml:space="preserve"> Employee agrees that all Intellectual Property that Employee develops (in whole or in part, either alone or jointly with others) shall be the sole property of the Company and its assigns, and the Company and its assigns shall be the sole owner of all patents, copyrights, mask-work rights, and registrations and other rights in connection therewith. Employee acknowledges that all original works of authorship that are made by Employee (solely or jointly with others) within the scope of and during the period of employment with the Company shall be considered “works made for hire” under applicable copyright law, to the extent possible. Employee agrees to and does hereby assign, grant, and convey to the Company, its successors and assigns, Employee’s entire right, title, and interest in and to all Intellectual Property and other proprietary rights and information which Employee may author, create,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-1053465</wp:posOffset>
            </wp:positionV>
            <wp:extent cx="7271385" cy="2921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915" w:orient="portrait"/>
          <w:cols w:equalWidth="0" w:num="1">
            <w:col w:w="11420"/>
          </w:cols>
          <w:pgMar w:left="240" w:top="127" w:right="239" w:bottom="0" w:gutter="0" w:footer="0" w:header="0"/>
        </w:sectPr>
      </w:pPr>
    </w:p>
    <w:bookmarkStart w:id="470" w:name="page471"/>
    <w:bookmarkEnd w:id="470"/>
    <w:p>
      <w:pPr>
        <w:ind w:right="120"/>
        <w:spacing w:after="0" w:line="268" w:lineRule="auto"/>
        <w:rPr>
          <w:sz w:val="20"/>
          <w:szCs w:val="20"/>
          <w:color w:val="auto"/>
        </w:rPr>
      </w:pPr>
      <w:r>
        <w:rPr>
          <w:rFonts w:ascii="Arial" w:cs="Arial" w:eastAsia="Arial" w:hAnsi="Arial"/>
          <w:sz w:val="17"/>
          <w:szCs w:val="17"/>
          <w:color w:val="auto"/>
        </w:rPr>
        <w:t>make, receive, or develop, either solely or jointly with others, whether inside or outside normal working hours or on or off Company premises, during the term of employment with the Company. To perfect the Company’s ownership of such Intellectual Property, Employee hereby assigns to the Company any rights that Employee may have or acquire in such Intellectual Property, including the right to modify such Intellectual Property, and otherwise waives and/or releases all rights of restraint and moral rights in the Intellectual Property.</w:t>
      </w:r>
    </w:p>
    <w:p>
      <w:pPr>
        <w:spacing w:after="0" w:line="176" w:lineRule="exact"/>
        <w:rPr>
          <w:sz w:val="20"/>
          <w:szCs w:val="20"/>
          <w:color w:val="auto"/>
        </w:rPr>
      </w:pPr>
    </w:p>
    <w:p>
      <w:pPr>
        <w:ind w:right="60" w:firstLine="1263"/>
        <w:spacing w:after="0" w:line="261" w:lineRule="auto"/>
        <w:tabs>
          <w:tab w:leader="none" w:pos="1895" w:val="left"/>
        </w:tabs>
        <w:numPr>
          <w:ilvl w:val="1"/>
          <w:numId w:val="869"/>
        </w:numPr>
        <w:rPr>
          <w:rFonts w:ascii="Arial" w:cs="Arial" w:eastAsia="Arial" w:hAnsi="Arial"/>
          <w:sz w:val="17"/>
          <w:szCs w:val="17"/>
          <w:color w:val="auto"/>
        </w:rPr>
      </w:pPr>
      <w:r>
        <w:rPr>
          <w:rFonts w:ascii="Arial" w:cs="Arial" w:eastAsia="Arial" w:hAnsi="Arial"/>
          <w:sz w:val="17"/>
          <w:szCs w:val="17"/>
          <w:u w:val="single" w:color="auto"/>
          <w:color w:val="auto"/>
        </w:rPr>
        <w:t>Assistance in Preparation of Applications.</w:t>
      </w:r>
      <w:r>
        <w:rPr>
          <w:rFonts w:ascii="Arial" w:cs="Arial" w:eastAsia="Arial" w:hAnsi="Arial"/>
          <w:sz w:val="17"/>
          <w:szCs w:val="17"/>
          <w:color w:val="auto"/>
        </w:rPr>
        <w:t xml:space="preserve"> As to all such Intellectual Property, Employee further agrees to assist the Company in every proper way (but at the Company’s expense) to obtain and from time to time enforce patents, copyrights, trade secrets, or other intellectual property or propriety rights, mask-work rights or other rights in such Intellectual Property in any and all countries, and Employee will execute all documents for use in applying for and obtaining such rights and enforcing them as the Company may desire, together with any assignments of them to the Company or persons designated by the Company. If the Company is unable for any reason whatsoever to secure Employee’s signature to any lawful and necessary document required to apply for or execute any application with respect to such Intellectual Property (including renewals, extensions, continuations, divisions or continuations in whole or in part thereof), Employee hereby irrevocably designates and appoints the Company and its duly authorized officers and agents, as Employee’s agents and attorneys-in-fact to act for and in Employee’s behalf and to execute and file any such application and to do all other lawfully permitted acts to further the prosecution and issuance of patents, copyrights, trade secrets or other intellectual property or propriety rights, mask work rights or other rights thereon, with the same legal force and effect as if executed by Employee.</w:t>
      </w:r>
    </w:p>
    <w:p>
      <w:pPr>
        <w:spacing w:after="0" w:line="175" w:lineRule="exact"/>
        <w:rPr>
          <w:rFonts w:ascii="Arial" w:cs="Arial" w:eastAsia="Arial" w:hAnsi="Arial"/>
          <w:sz w:val="17"/>
          <w:szCs w:val="17"/>
          <w:color w:val="auto"/>
        </w:rPr>
      </w:pPr>
    </w:p>
    <w:p>
      <w:pPr>
        <w:ind w:right="20" w:firstLine="634"/>
        <w:spacing w:after="0" w:line="285" w:lineRule="auto"/>
        <w:tabs>
          <w:tab w:leader="none" w:pos="1258" w:val="left"/>
        </w:tabs>
        <w:numPr>
          <w:ilvl w:val="0"/>
          <w:numId w:val="870"/>
        </w:numPr>
        <w:rPr>
          <w:rFonts w:ascii="Arial" w:cs="Arial" w:eastAsia="Arial" w:hAnsi="Arial"/>
          <w:sz w:val="16"/>
          <w:szCs w:val="16"/>
          <w:color w:val="auto"/>
        </w:rPr>
      </w:pPr>
      <w:r>
        <w:rPr>
          <w:rFonts w:ascii="Arial" w:cs="Arial" w:eastAsia="Arial" w:hAnsi="Arial"/>
          <w:sz w:val="16"/>
          <w:szCs w:val="16"/>
          <w:b w:val="1"/>
          <w:bCs w:val="1"/>
          <w:u w:val="single" w:color="auto"/>
          <w:color w:val="auto"/>
        </w:rPr>
        <w:t>Non-Competition and Non-Solicitation of Customers and Clients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hereby acknowledges and recognizes that, throughout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employment with the Company, Company agrees to give Executive access to certain of its Confidential Information and Trade Secrets (defined above) concerning Company’s Business and its employees, customers and customer representatives, suppliers and supplier representatives, and Company’s transactional histories as well as information about the logistics, details and expenses of Company in connection with any goods, products or services which form any part of Company’s Business. Company agrees to provide this information to Executive in order to allow Executive to perform Executive’s duties under this Agreement, and to develop relationships with customers, customer representatives, suppliers and supplier representatives of the Company.</w:t>
      </w:r>
    </w:p>
    <w:p>
      <w:pPr>
        <w:spacing w:after="0" w:line="163" w:lineRule="exact"/>
        <w:rPr>
          <w:rFonts w:ascii="Arial" w:cs="Arial" w:eastAsia="Arial" w:hAnsi="Arial"/>
          <w:sz w:val="16"/>
          <w:szCs w:val="16"/>
          <w:color w:val="auto"/>
        </w:rPr>
      </w:pPr>
    </w:p>
    <w:p>
      <w:pPr>
        <w:ind w:right="520" w:firstLine="1263"/>
        <w:spacing w:after="0" w:line="289" w:lineRule="auto"/>
        <w:tabs>
          <w:tab w:leader="none" w:pos="1885" w:val="left"/>
        </w:tabs>
        <w:numPr>
          <w:ilvl w:val="1"/>
          <w:numId w:val="870"/>
        </w:numPr>
        <w:rPr>
          <w:rFonts w:ascii="Arial" w:cs="Arial" w:eastAsia="Arial" w:hAnsi="Arial"/>
          <w:sz w:val="17"/>
          <w:szCs w:val="17"/>
          <w:color w:val="auto"/>
        </w:rPr>
      </w:pPr>
      <w:r>
        <w:rPr>
          <w:rFonts w:ascii="Arial" w:cs="Arial" w:eastAsia="Arial" w:hAnsi="Arial"/>
          <w:sz w:val="17"/>
          <w:szCs w:val="17"/>
          <w:color w:val="auto"/>
        </w:rPr>
        <w:t>Company agrees to provide, and to continue to provide, Executive with both specialized knowledge and education in Company’s Business, in order to allow Executive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perform Executive’s duties in an efficient, proper and effective manner. Such knowledge and education may consist of verbal instructions and information, the furnishing of written materials, consultation and counseling, sales, staff and employee meetings, training sessions and seminars, in addition to formal or informal information and orientation methodologies and procedures. Executive will have access to certain of Company’s transactional histories, and the details of prior purchases, sales, trades or exchanges, in order that Executive can learn Company’s Business and/or improve Executive’s skills, experience and knowledge.</w:t>
      </w:r>
    </w:p>
    <w:p>
      <w:pPr>
        <w:spacing w:after="0" w:line="146" w:lineRule="exact"/>
        <w:rPr>
          <w:sz w:val="20"/>
          <w:szCs w:val="20"/>
          <w:color w:val="auto"/>
        </w:rPr>
      </w:pPr>
    </w:p>
    <w:p>
      <w:pPr>
        <w:ind w:right="60" w:firstLine="1263"/>
        <w:spacing w:after="0" w:line="298" w:lineRule="auto"/>
        <w:tabs>
          <w:tab w:leader="none" w:pos="1895" w:val="left"/>
        </w:tabs>
        <w:numPr>
          <w:ilvl w:val="0"/>
          <w:numId w:val="871"/>
        </w:numPr>
        <w:rPr>
          <w:rFonts w:ascii="Arial" w:cs="Arial" w:eastAsia="Arial" w:hAnsi="Arial"/>
          <w:sz w:val="16"/>
          <w:szCs w:val="16"/>
          <w:color w:val="auto"/>
        </w:rPr>
      </w:pPr>
      <w:r>
        <w:rPr>
          <w:rFonts w:ascii="Arial" w:cs="Arial" w:eastAsia="Arial" w:hAnsi="Arial"/>
          <w:sz w:val="16"/>
          <w:szCs w:val="16"/>
          <w:color w:val="auto"/>
        </w:rPr>
        <w:t>In consideration of Company’s employment of Executive as a highly valued employee, the Company’s agreement to provide Executive with access to certain Confidential Information and Trade Secrets, and the Company’s agreement to provide specialized knowledge and education, Executive agrees to refrain from competing with Company or otherwise engaging in Restricted Activities, as defined below, during the Restricted Period.</w:t>
      </w:r>
    </w:p>
    <w:p>
      <w:pPr>
        <w:spacing w:after="0" w:line="153" w:lineRule="exact"/>
        <w:rPr>
          <w:rFonts w:ascii="Arial" w:cs="Arial" w:eastAsia="Arial" w:hAnsi="Arial"/>
          <w:sz w:val="16"/>
          <w:szCs w:val="16"/>
          <w:color w:val="auto"/>
        </w:rPr>
      </w:pPr>
    </w:p>
    <w:p>
      <w:pPr>
        <w:ind w:right="160" w:firstLine="1263"/>
        <w:spacing w:after="0" w:line="290" w:lineRule="auto"/>
        <w:tabs>
          <w:tab w:leader="none" w:pos="1898" w:val="left"/>
        </w:tabs>
        <w:numPr>
          <w:ilvl w:val="0"/>
          <w:numId w:val="871"/>
        </w:numPr>
        <w:rPr>
          <w:rFonts w:ascii="Arial" w:cs="Arial" w:eastAsia="Arial" w:hAnsi="Arial"/>
          <w:sz w:val="16"/>
          <w:szCs w:val="16"/>
          <w:color w:val="auto"/>
        </w:rPr>
      </w:pPr>
      <w:r>
        <w:rPr>
          <w:rFonts w:ascii="Arial" w:cs="Arial" w:eastAsia="Arial" w:hAnsi="Arial"/>
          <w:sz w:val="16"/>
          <w:szCs w:val="16"/>
          <w:color w:val="auto"/>
        </w:rPr>
        <w:t>Executive agrees that during the term of his employment with Company and for a period of one (1) year after the Executive’s employment with the Company terminates (the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regardless of whether the termination occurs with or without cause and regardless of who terminates this Agreement, Executive will not directly or indirectly, as an employee, officer, director, shareholder, proprietor, agent, partner, recruiter, consultant, independent contractor or in any other individual or representative capacity engage in any of the Restricted Activities within the Restricted Area.</w:t>
      </w:r>
    </w:p>
    <w:p>
      <w:pPr>
        <w:spacing w:after="0" w:line="159" w:lineRule="exact"/>
        <w:rPr>
          <w:rFonts w:ascii="Arial" w:cs="Arial" w:eastAsia="Arial" w:hAnsi="Arial"/>
          <w:sz w:val="16"/>
          <w:szCs w:val="16"/>
          <w:color w:val="auto"/>
        </w:rPr>
      </w:pPr>
    </w:p>
    <w:p>
      <w:pPr>
        <w:ind w:left="1900" w:hanging="637"/>
        <w:spacing w:after="0"/>
        <w:tabs>
          <w:tab w:leader="none" w:pos="1900" w:val="left"/>
        </w:tabs>
        <w:numPr>
          <w:ilvl w:val="0"/>
          <w:numId w:val="8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Activities</w:t>
      </w:r>
      <w:r>
        <w:rPr>
          <w:rFonts w:ascii="Arial" w:cs="Arial" w:eastAsia="Arial" w:hAnsi="Arial"/>
          <w:sz w:val="17"/>
          <w:szCs w:val="17"/>
          <w:color w:val="auto"/>
        </w:rPr>
        <w:t>” means and includes the following:</w:t>
      </w:r>
    </w:p>
    <w:p>
      <w:pPr>
        <w:spacing w:after="0" w:line="224" w:lineRule="exact"/>
        <w:rPr>
          <w:rFonts w:ascii="Arial" w:cs="Arial" w:eastAsia="Arial" w:hAnsi="Arial"/>
          <w:sz w:val="17"/>
          <w:szCs w:val="17"/>
          <w:color w:val="auto"/>
        </w:rPr>
      </w:pPr>
    </w:p>
    <w:p>
      <w:pPr>
        <w:ind w:right="20" w:firstLine="1893"/>
        <w:spacing w:after="0" w:line="273" w:lineRule="auto"/>
        <w:tabs>
          <w:tab w:leader="none" w:pos="2538" w:val="left"/>
        </w:tabs>
        <w:numPr>
          <w:ilvl w:val="1"/>
          <w:numId w:val="871"/>
        </w:numPr>
        <w:rPr>
          <w:rFonts w:ascii="Arial" w:cs="Arial" w:eastAsia="Arial" w:hAnsi="Arial"/>
          <w:sz w:val="17"/>
          <w:szCs w:val="17"/>
          <w:color w:val="auto"/>
        </w:rPr>
      </w:pPr>
      <w:r>
        <w:rPr>
          <w:rFonts w:ascii="Arial" w:cs="Arial" w:eastAsia="Arial" w:hAnsi="Arial"/>
          <w:sz w:val="17"/>
          <w:szCs w:val="17"/>
          <w:color w:val="auto"/>
        </w:rPr>
        <w:t>Conducting, engaging or participating, directly or indirectly, as the chief executive officer or division head, agent, independent contractor, consultant, partner, shareholder, investor, lender, underwriter, supplier, customer or in any other similar capacity, in any business that competes with any part of the Company’s Business;</w:t>
      </w:r>
    </w:p>
    <w:p>
      <w:pPr>
        <w:spacing w:after="0" w:line="171" w:lineRule="exact"/>
        <w:rPr>
          <w:rFonts w:ascii="Arial" w:cs="Arial" w:eastAsia="Arial" w:hAnsi="Arial"/>
          <w:sz w:val="17"/>
          <w:szCs w:val="17"/>
          <w:color w:val="auto"/>
        </w:rPr>
      </w:pPr>
    </w:p>
    <w:p>
      <w:pPr>
        <w:ind w:firstLine="1893"/>
        <w:spacing w:after="0" w:line="290" w:lineRule="auto"/>
        <w:tabs>
          <w:tab w:leader="none" w:pos="2547" w:val="left"/>
        </w:tabs>
        <w:numPr>
          <w:ilvl w:val="1"/>
          <w:numId w:val="871"/>
        </w:numPr>
        <w:rPr>
          <w:rFonts w:ascii="Arial" w:cs="Arial" w:eastAsia="Arial" w:hAnsi="Arial"/>
          <w:sz w:val="16"/>
          <w:szCs w:val="16"/>
          <w:color w:val="auto"/>
        </w:rPr>
      </w:pPr>
      <w:r>
        <w:rPr>
          <w:rFonts w:ascii="Arial" w:cs="Arial" w:eastAsia="Arial" w:hAnsi="Arial"/>
          <w:sz w:val="16"/>
          <w:szCs w:val="16"/>
          <w:color w:val="auto"/>
        </w:rPr>
        <w:t>Recruiting, hiring, and/or attempting to recruit or hire, directly or by assisting others, any other employee, temporary or permanent, contract, part time or full time of the Company. For purposes of this covenant “any other employee” shall refer to employees, consultants or others who are under contract to provide services to the Company and who are still actively employed by, or doing business with, the Company at the time of the attempted recruiting or hiring, or were so employed or doing business at any time within six (6) months prior to the time of such attempted recruiting or hiring; and</w:t>
      </w:r>
    </w:p>
    <w:p>
      <w:pPr>
        <w:spacing w:after="0" w:line="159" w:lineRule="exact"/>
        <w:rPr>
          <w:rFonts w:ascii="Arial" w:cs="Arial" w:eastAsia="Arial" w:hAnsi="Arial"/>
          <w:sz w:val="16"/>
          <w:szCs w:val="16"/>
          <w:color w:val="auto"/>
        </w:rPr>
      </w:pPr>
    </w:p>
    <w:p>
      <w:pPr>
        <w:ind w:right="160" w:firstLine="1893"/>
        <w:spacing w:after="0" w:line="289" w:lineRule="auto"/>
        <w:tabs>
          <w:tab w:leader="none" w:pos="2556" w:val="left"/>
        </w:tabs>
        <w:numPr>
          <w:ilvl w:val="1"/>
          <w:numId w:val="871"/>
        </w:numPr>
        <w:rPr>
          <w:rFonts w:ascii="Arial" w:cs="Arial" w:eastAsia="Arial" w:hAnsi="Arial"/>
          <w:sz w:val="17"/>
          <w:szCs w:val="17"/>
          <w:color w:val="auto"/>
        </w:rPr>
      </w:pPr>
      <w:r>
        <w:rPr>
          <w:rFonts w:ascii="Arial" w:cs="Arial" w:eastAsia="Arial" w:hAnsi="Arial"/>
          <w:sz w:val="17"/>
          <w:szCs w:val="17"/>
          <w:color w:val="auto"/>
        </w:rPr>
        <w:t>Using, disclosing, publishing, copying, distributing or communicating any Confidential Information and Trade Secrets to, or for the use or benefit of Executive or any other person or entity other than Company.</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8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Area</w:t>
      </w:r>
      <w:r>
        <w:rPr>
          <w:rFonts w:ascii="Arial" w:cs="Arial" w:eastAsia="Arial" w:hAnsi="Arial"/>
          <w:sz w:val="17"/>
          <w:szCs w:val="17"/>
          <w:color w:val="auto"/>
        </w:rPr>
        <w:t>” shall mean and include each of the following:</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1"/>
          <w:numId w:val="871"/>
        </w:numPr>
        <w:rPr>
          <w:rFonts w:ascii="Arial" w:cs="Arial" w:eastAsia="Arial" w:hAnsi="Arial"/>
          <w:sz w:val="17"/>
          <w:szCs w:val="17"/>
          <w:color w:val="auto"/>
        </w:rPr>
      </w:pPr>
      <w:r>
        <w:rPr>
          <w:rFonts w:ascii="Arial" w:cs="Arial" w:eastAsia="Arial" w:hAnsi="Arial"/>
          <w:sz w:val="17"/>
          <w:szCs w:val="17"/>
          <w:color w:val="auto"/>
        </w:rPr>
        <w:t>The state of Texas;</w:t>
      </w:r>
    </w:p>
    <w:p>
      <w:pPr>
        <w:spacing w:after="0" w:line="224" w:lineRule="exact"/>
        <w:rPr>
          <w:rFonts w:ascii="Arial" w:cs="Arial" w:eastAsia="Arial" w:hAnsi="Arial"/>
          <w:sz w:val="17"/>
          <w:szCs w:val="17"/>
          <w:color w:val="auto"/>
        </w:rPr>
      </w:pPr>
    </w:p>
    <w:p>
      <w:pPr>
        <w:ind w:right="480" w:firstLine="1893"/>
        <w:spacing w:after="0" w:line="289" w:lineRule="auto"/>
        <w:tabs>
          <w:tab w:leader="none" w:pos="2547" w:val="left"/>
        </w:tabs>
        <w:numPr>
          <w:ilvl w:val="1"/>
          <w:numId w:val="871"/>
        </w:numPr>
        <w:rPr>
          <w:rFonts w:ascii="Arial" w:cs="Arial" w:eastAsia="Arial" w:hAnsi="Arial"/>
          <w:sz w:val="17"/>
          <w:szCs w:val="17"/>
          <w:color w:val="auto"/>
        </w:rPr>
      </w:pPr>
      <w:r>
        <w:rPr>
          <w:rFonts w:ascii="Arial" w:cs="Arial" w:eastAsia="Arial" w:hAnsi="Arial"/>
          <w:sz w:val="17"/>
          <w:szCs w:val="17"/>
          <w:color w:val="auto"/>
        </w:rPr>
        <w:t>Within a one-hundred (100) mile radius of the location of any office, facility or other business location of any customer, customer representative, supplier or supplier representative; and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ind w:left="2560" w:hanging="667"/>
        <w:spacing w:after="0"/>
        <w:tabs>
          <w:tab w:leader="none" w:pos="2560" w:val="left"/>
        </w:tabs>
        <w:numPr>
          <w:ilvl w:val="1"/>
          <w:numId w:val="871"/>
        </w:numPr>
        <w:rPr>
          <w:rFonts w:ascii="Arial" w:cs="Arial" w:eastAsia="Arial" w:hAnsi="Arial"/>
          <w:sz w:val="17"/>
          <w:szCs w:val="17"/>
          <w:color w:val="auto"/>
        </w:rPr>
      </w:pPr>
      <w:r>
        <w:rPr>
          <w:rFonts w:ascii="Arial" w:cs="Arial" w:eastAsia="Arial" w:hAnsi="Arial"/>
          <w:sz w:val="17"/>
          <w:szCs w:val="17"/>
          <w:color w:val="auto"/>
        </w:rPr>
        <w:t>Within a one-hundred (100) miles radius of any office, facility or other business location of Company.</w:t>
      </w:r>
    </w:p>
    <w:p>
      <w:pPr>
        <w:spacing w:after="0" w:line="224" w:lineRule="exact"/>
        <w:rPr>
          <w:rFonts w:ascii="Arial" w:cs="Arial" w:eastAsia="Arial" w:hAnsi="Arial"/>
          <w:sz w:val="17"/>
          <w:szCs w:val="17"/>
          <w:color w:val="auto"/>
        </w:rPr>
      </w:pPr>
    </w:p>
    <w:p>
      <w:pPr>
        <w:ind w:right="60" w:firstLine="1263"/>
        <w:spacing w:after="0" w:line="268" w:lineRule="auto"/>
        <w:tabs>
          <w:tab w:leader="none" w:pos="1892" w:val="left"/>
        </w:tabs>
        <w:numPr>
          <w:ilvl w:val="0"/>
          <w:numId w:val="871"/>
        </w:numPr>
        <w:rPr>
          <w:rFonts w:ascii="Arial" w:cs="Arial" w:eastAsia="Arial" w:hAnsi="Arial"/>
          <w:sz w:val="17"/>
          <w:szCs w:val="17"/>
          <w:color w:val="auto"/>
        </w:rPr>
      </w:pPr>
      <w:r>
        <w:rPr>
          <w:rFonts w:ascii="Arial" w:cs="Arial" w:eastAsia="Arial" w:hAnsi="Arial"/>
          <w:sz w:val="17"/>
          <w:szCs w:val="17"/>
          <w:color w:val="auto"/>
        </w:rPr>
        <w:t>The Company and Executive acknowledge that the provisions contained in this Section 6 shall not prevent Executive or Executive’s Affiliates from owning solely as an investment, directly or indirectly, securities of any publicly traded corporation engaged in the Company’s Business if Executive and Executive’s Affiliates do not, directly or indirectly, beneficially own in the aggregate more than 5% of all classes of outstanding equity securities of such entity.</w:t>
      </w:r>
    </w:p>
    <w:p>
      <w:pPr>
        <w:spacing w:after="0" w:line="175" w:lineRule="exact"/>
        <w:rPr>
          <w:rFonts w:ascii="Arial" w:cs="Arial" w:eastAsia="Arial" w:hAnsi="Arial"/>
          <w:sz w:val="17"/>
          <w:szCs w:val="17"/>
          <w:color w:val="auto"/>
        </w:rPr>
      </w:pPr>
    </w:p>
    <w:p>
      <w:pPr>
        <w:ind w:right="40" w:firstLine="1263"/>
        <w:spacing w:after="0" w:line="289" w:lineRule="auto"/>
        <w:tabs>
          <w:tab w:leader="none" w:pos="1908" w:val="left"/>
        </w:tabs>
        <w:numPr>
          <w:ilvl w:val="0"/>
          <w:numId w:val="871"/>
        </w:numPr>
        <w:rPr>
          <w:rFonts w:ascii="Arial" w:cs="Arial" w:eastAsia="Arial" w:hAnsi="Arial"/>
          <w:sz w:val="17"/>
          <w:szCs w:val="17"/>
          <w:color w:val="auto"/>
        </w:rPr>
      </w:pPr>
      <w:r>
        <w:rPr>
          <w:rFonts w:ascii="Arial" w:cs="Arial" w:eastAsia="Arial" w:hAnsi="Arial"/>
          <w:sz w:val="17"/>
          <w:szCs w:val="17"/>
          <w:color w:val="auto"/>
        </w:rPr>
        <w:t>Executive and the Company agree that the limitations as to time and scope of activity to be restrained are reasonable and do not impose a greater restraint on Executive than is necessary to protect the property rights and other business interests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-1599565</wp:posOffset>
            </wp:positionV>
            <wp:extent cx="7271385" cy="2921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23" w:gutter="0" w:footer="0" w:header="0"/>
        </w:sectPr>
      </w:pPr>
    </w:p>
    <w:bookmarkStart w:id="471" w:name="page472"/>
    <w:bookmarkEnd w:id="471"/>
    <w:p>
      <w:pPr>
        <w:ind w:right="60" w:firstLine="1263"/>
        <w:spacing w:after="0" w:line="273" w:lineRule="auto"/>
        <w:tabs>
          <w:tab w:leader="none" w:pos="1895" w:val="left"/>
        </w:tabs>
        <w:numPr>
          <w:ilvl w:val="1"/>
          <w:numId w:val="872"/>
        </w:numPr>
        <w:rPr>
          <w:rFonts w:ascii="Arial" w:cs="Arial" w:eastAsia="Arial" w:hAnsi="Arial"/>
          <w:sz w:val="17"/>
          <w:szCs w:val="17"/>
          <w:color w:val="auto"/>
        </w:rPr>
      </w:pPr>
      <w:r>
        <w:rPr>
          <w:rFonts w:ascii="Arial" w:cs="Arial" w:eastAsia="Arial" w:hAnsi="Arial"/>
          <w:sz w:val="17"/>
          <w:szCs w:val="17"/>
          <w:color w:val="auto"/>
        </w:rPr>
        <w:t>If Executive fails to comply with, or breaches, or threatens to breach, any of the provisions herein, Company in addition to any other remedies available to it at law or in equity, shall be entitled to immediate injunctive relief to enforce the provisions of this Section 6 and shall be entitled to recover from Executive reasonable attorneys’ fees and other expenses incurred by Company in connection with such proceedings.</w:t>
      </w:r>
    </w:p>
    <w:p>
      <w:pPr>
        <w:spacing w:after="0" w:line="165" w:lineRule="exact"/>
        <w:rPr>
          <w:rFonts w:ascii="Arial" w:cs="Arial" w:eastAsia="Arial" w:hAnsi="Arial"/>
          <w:sz w:val="17"/>
          <w:szCs w:val="17"/>
          <w:color w:val="auto"/>
        </w:rPr>
      </w:pPr>
    </w:p>
    <w:p>
      <w:pPr>
        <w:ind w:right="80" w:firstLine="634"/>
        <w:spacing w:after="0" w:line="302" w:lineRule="auto"/>
        <w:tabs>
          <w:tab w:leader="none" w:pos="1258" w:val="left"/>
        </w:tabs>
        <w:numPr>
          <w:ilvl w:val="0"/>
          <w:numId w:val="873"/>
        </w:numPr>
        <w:rPr>
          <w:rFonts w:ascii="Arial" w:cs="Arial" w:eastAsia="Arial" w:hAnsi="Arial"/>
          <w:sz w:val="16"/>
          <w:szCs w:val="16"/>
          <w:color w:val="auto"/>
        </w:rPr>
      </w:pPr>
      <w:r>
        <w:rPr>
          <w:rFonts w:ascii="Arial" w:cs="Arial" w:eastAsia="Arial" w:hAnsi="Arial"/>
          <w:sz w:val="16"/>
          <w:szCs w:val="16"/>
          <w:b w:val="1"/>
          <w:bCs w:val="1"/>
          <w:u w:val="single" w:color="auto"/>
          <w:color w:val="auto"/>
        </w:rPr>
        <w:t>Non-Solicitation of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For a period of one (1) year after Employee’s termination of employment, whether by termination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otherwise, and without regard to the reason for such termination of employment, Employee promises and agrees not to solicit any other employee of the Company for any purpose which would directly or indirectly interfere or conflict with the other employee’s employment by the Company.</w:t>
      </w:r>
    </w:p>
    <w:p>
      <w:pPr>
        <w:spacing w:after="0" w:line="144" w:lineRule="exact"/>
        <w:rPr>
          <w:rFonts w:ascii="Arial" w:cs="Arial" w:eastAsia="Arial" w:hAnsi="Arial"/>
          <w:sz w:val="16"/>
          <w:szCs w:val="16"/>
          <w:color w:val="auto"/>
        </w:rPr>
      </w:pPr>
    </w:p>
    <w:p>
      <w:pPr>
        <w:ind w:right="60" w:firstLine="634"/>
        <w:spacing w:after="0" w:line="281" w:lineRule="auto"/>
        <w:tabs>
          <w:tab w:leader="none" w:pos="1258" w:val="left"/>
        </w:tabs>
        <w:numPr>
          <w:ilvl w:val="0"/>
          <w:numId w:val="873"/>
        </w:numPr>
        <w:rPr>
          <w:rFonts w:ascii="Arial" w:cs="Arial" w:eastAsia="Arial" w:hAnsi="Arial"/>
          <w:sz w:val="16"/>
          <w:szCs w:val="16"/>
          <w:color w:val="auto"/>
        </w:rPr>
      </w:pPr>
      <w:r>
        <w:rPr>
          <w:rFonts w:ascii="Arial" w:cs="Arial" w:eastAsia="Arial" w:hAnsi="Arial"/>
          <w:sz w:val="16"/>
          <w:szCs w:val="16"/>
          <w:b w:val="1"/>
          <w:bCs w:val="1"/>
          <w:u w:val="single" w:color="auto"/>
          <w:color w:val="auto"/>
        </w:rPr>
        <w:t>Extraordinary Remedies and Attorneys’ Fees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Employee agree that any breach by Employee of any of the provisions or</w:t>
      </w:r>
      <w:r>
        <w:rPr>
          <w:rFonts w:ascii="Arial" w:cs="Arial" w:eastAsia="Arial" w:hAnsi="Arial"/>
          <w:sz w:val="16"/>
          <w:szCs w:val="16"/>
          <w:b w:val="1"/>
          <w:bCs w:val="1"/>
          <w:color w:val="auto"/>
        </w:rPr>
        <w:t xml:space="preserve"> </w:t>
      </w:r>
      <w:r>
        <w:rPr>
          <w:rFonts w:ascii="Arial" w:cs="Arial" w:eastAsia="Arial" w:hAnsi="Arial"/>
          <w:sz w:val="16"/>
          <w:szCs w:val="16"/>
          <w:color w:val="auto"/>
        </w:rPr>
        <w:t>covenants contained in the Agreement would cause irreparable harm and damage to the Company, in an amount that would be difficult to quantify, measure, or ascertain. Therefore, in the event of a breach of this Agreement by Employee, the Company shall be entitled to relief through restraining order, injunction, and all other available remedies, including claims for monetary damages incurred because of such breach. These remedies may be pursued concurrently and in any order, and the pursuit of any of these remedies shall not be deemed to limit the other remedies available to the Company in law or in equity. If any action at law or in equity, including an action for declaratory or injunctive relief, is brought to enforce or interpret the provisions of this Agreement, the prevailing party shall be entitled to recover costs of court and reasonable attorneys’ fees from the other party or parties to such action, which fees may be set by the court in the trial of such action or may be enforced in a separate action brought for that purpose, and which fees shall be in addition to any other relief that may be awarded.</w:t>
      </w:r>
    </w:p>
    <w:p>
      <w:pPr>
        <w:spacing w:after="0" w:line="164" w:lineRule="exact"/>
        <w:rPr>
          <w:rFonts w:ascii="Arial" w:cs="Arial" w:eastAsia="Arial" w:hAnsi="Arial"/>
          <w:sz w:val="16"/>
          <w:szCs w:val="16"/>
          <w:color w:val="auto"/>
        </w:rPr>
      </w:pPr>
    </w:p>
    <w:p>
      <w:pPr>
        <w:ind w:right="140" w:firstLine="634"/>
        <w:spacing w:after="0" w:line="277" w:lineRule="auto"/>
        <w:tabs>
          <w:tab w:leader="none" w:pos="1258" w:val="left"/>
        </w:tabs>
        <w:numPr>
          <w:ilvl w:val="0"/>
          <w:numId w:val="873"/>
        </w:numPr>
        <w:rPr>
          <w:rFonts w:ascii="Arial" w:cs="Arial" w:eastAsia="Arial" w:hAnsi="Arial"/>
          <w:sz w:val="17"/>
          <w:szCs w:val="17"/>
          <w:color w:val="auto"/>
        </w:rPr>
      </w:pPr>
      <w:r>
        <w:rPr>
          <w:rFonts w:ascii="Arial" w:cs="Arial" w:eastAsia="Arial" w:hAnsi="Arial"/>
          <w:sz w:val="17"/>
          <w:szCs w:val="17"/>
          <w:b w:val="1"/>
          <w:bCs w:val="1"/>
          <w:u w:val="single" w:color="auto"/>
          <w:color w:val="auto"/>
        </w:rPr>
        <w:t>Survival of Provisions and Covenants</w:t>
      </w:r>
      <w:r>
        <w:rPr>
          <w:rFonts w:ascii="Arial" w:cs="Arial" w:eastAsia="Arial" w:hAnsi="Arial"/>
          <w:sz w:val="17"/>
          <w:szCs w:val="17"/>
          <w:b w:val="1"/>
          <w:bCs w:val="1"/>
          <w:color w:val="auto"/>
        </w:rPr>
        <w:t xml:space="preserve">. </w:t>
      </w:r>
      <w:r>
        <w:rPr>
          <w:rFonts w:ascii="Arial" w:cs="Arial" w:eastAsia="Arial" w:hAnsi="Arial"/>
          <w:sz w:val="17"/>
          <w:szCs w:val="17"/>
          <w:color w:val="auto"/>
        </w:rPr>
        <w:t>Each and every provision or covenant contained in this contract shall survive the termination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expressly provided herein, and shall constitute an independent agreement between Employee and the Company. Further, the existence of any claim by Employee against the Company shall not constitute a defense to the enforcement of its rights by the Company.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right="240" w:firstLine="634"/>
        <w:spacing w:after="0" w:line="270" w:lineRule="auto"/>
        <w:tabs>
          <w:tab w:leader="none" w:pos="1254" w:val="left"/>
        </w:tabs>
        <w:numPr>
          <w:ilvl w:val="0"/>
          <w:numId w:val="873"/>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It is the intent and agreement of the parties to this Agreement that, in case any one or more of the provisions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for any reason, be held to be invalid, illegal or unenforceable, such invalidity, illegality or unenforceability shall not affect any other provision of this Agreement and this Agreement shall be construed as if such invalid, illegal or unenforceable provision had never been contained herein except that this shall not prohibit any modification allowed or agreed upon pursuant to the terms of this Agreement or any right of reformation.</w:t>
      </w:r>
    </w:p>
    <w:p>
      <w:pPr>
        <w:spacing w:after="0" w:line="169" w:lineRule="exact"/>
        <w:rPr>
          <w:rFonts w:ascii="Arial" w:cs="Arial" w:eastAsia="Arial" w:hAnsi="Arial"/>
          <w:sz w:val="17"/>
          <w:szCs w:val="17"/>
          <w:color w:val="auto"/>
        </w:rPr>
      </w:pPr>
    </w:p>
    <w:p>
      <w:pPr>
        <w:ind w:right="140" w:firstLine="634"/>
        <w:spacing w:after="0" w:line="265" w:lineRule="auto"/>
        <w:tabs>
          <w:tab w:leader="none" w:pos="1248" w:val="left"/>
        </w:tabs>
        <w:numPr>
          <w:ilvl w:val="0"/>
          <w:numId w:val="873"/>
        </w:numPr>
        <w:rPr>
          <w:rFonts w:ascii="Arial" w:cs="Arial" w:eastAsia="Arial" w:hAnsi="Arial"/>
          <w:sz w:val="17"/>
          <w:szCs w:val="17"/>
          <w:color w:val="auto"/>
        </w:rPr>
      </w:pPr>
      <w:r>
        <w:rPr>
          <w:rFonts w:ascii="Arial" w:cs="Arial" w:eastAsia="Arial" w:hAnsi="Arial"/>
          <w:sz w:val="17"/>
          <w:szCs w:val="17"/>
          <w:b w:val="1"/>
          <w:bCs w:val="1"/>
          <w:u w:val="single" w:color="auto"/>
          <w:color w:val="auto"/>
        </w:rPr>
        <w:t>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binding upon and shall inure to the benefit of the parties hereto, together with their respective executors,</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administrators, successors, personal representatives, heirs, and assigns. Notwithstanding the foregoing, the rights, duties and benefits to Employee hereunder are personal to Employee, and no such right or benefit may be assigned by it. The Company shall have the right to assign or transfer this Agreement to its successors or assigns. The terms “successors” and “assigns” shall include any person, corporation, partnership or other entity that buys all or substantially all of Company’s assets or all of its stock, or with which Company merges or consolidates. Any purported assignment of this Agreement, other than as provided above, shall be void.</w:t>
      </w:r>
    </w:p>
    <w:p>
      <w:pPr>
        <w:spacing w:after="0" w:line="173" w:lineRule="exact"/>
        <w:rPr>
          <w:rFonts w:ascii="Arial" w:cs="Arial" w:eastAsia="Arial" w:hAnsi="Arial"/>
          <w:sz w:val="17"/>
          <w:szCs w:val="17"/>
          <w:color w:val="auto"/>
        </w:rPr>
      </w:pPr>
    </w:p>
    <w:p>
      <w:pPr>
        <w:ind w:right="100" w:firstLine="634"/>
        <w:spacing w:after="0" w:line="368" w:lineRule="auto"/>
        <w:tabs>
          <w:tab w:leader="none" w:pos="1254" w:val="left"/>
        </w:tabs>
        <w:numPr>
          <w:ilvl w:val="0"/>
          <w:numId w:val="873"/>
        </w:numPr>
        <w:rPr>
          <w:rFonts w:ascii="Arial" w:cs="Arial" w:eastAsia="Arial" w:hAnsi="Arial"/>
          <w:sz w:val="15"/>
          <w:szCs w:val="15"/>
          <w:color w:val="auto"/>
        </w:rPr>
      </w:pPr>
      <w:r>
        <w:rPr>
          <w:rFonts w:ascii="Arial" w:cs="Arial" w:eastAsia="Arial" w:hAnsi="Arial"/>
          <w:sz w:val="15"/>
          <w:szCs w:val="15"/>
          <w:b w:val="1"/>
          <w:bCs w:val="1"/>
          <w:u w:val="single" w:color="auto"/>
          <w:color w:val="auto"/>
        </w:rPr>
        <w:t>Previously Received Information</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hereby represents to the Company that Employee is under no obligation or agreement that would</w:t>
      </w:r>
      <w:r>
        <w:rPr>
          <w:rFonts w:ascii="Arial" w:cs="Arial" w:eastAsia="Arial" w:hAnsi="Arial"/>
          <w:sz w:val="15"/>
          <w:szCs w:val="15"/>
          <w:b w:val="1"/>
          <w:bCs w:val="1"/>
          <w:color w:val="auto"/>
        </w:rPr>
        <w:t xml:space="preserve"> </w:t>
      </w:r>
      <w:r>
        <w:rPr>
          <w:rFonts w:ascii="Arial" w:cs="Arial" w:eastAsia="Arial" w:hAnsi="Arial"/>
          <w:sz w:val="15"/>
          <w:szCs w:val="15"/>
          <w:color w:val="auto"/>
        </w:rPr>
        <w:t>prevent Employee from becoming an employee of the Company or carrying out the duties of Employee’s proposed position of employment with the Company.</w:t>
      </w:r>
    </w:p>
    <w:p>
      <w:pPr>
        <w:spacing w:after="0" w:line="100" w:lineRule="exact"/>
        <w:rPr>
          <w:rFonts w:ascii="Arial" w:cs="Arial" w:eastAsia="Arial" w:hAnsi="Arial"/>
          <w:sz w:val="15"/>
          <w:szCs w:val="15"/>
          <w:color w:val="auto"/>
        </w:rPr>
      </w:pPr>
    </w:p>
    <w:p>
      <w:pPr>
        <w:ind w:right="40" w:firstLine="634"/>
        <w:spacing w:after="0" w:line="270" w:lineRule="auto"/>
        <w:tabs>
          <w:tab w:leader="none" w:pos="1254" w:val="left"/>
        </w:tabs>
        <w:numPr>
          <w:ilvl w:val="0"/>
          <w:numId w:val="873"/>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 and Venue</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governed by, and construed in accordance with, the procedural and substantive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Texas. The Company and Employee irrevocably and unconditionally consent to submit to the exclusive jurisdiction of the state or federal courts located in Harris County, Texas as the sole venue and location for any actions, suits, or proceedings arising out of or relating to any aspect of this Agreement and all issues arising out of or relating to the employment relationship between the Company and Employee.</w:t>
      </w:r>
    </w:p>
    <w:p>
      <w:pPr>
        <w:spacing w:after="0" w:line="169" w:lineRule="exact"/>
        <w:rPr>
          <w:rFonts w:ascii="Arial" w:cs="Arial" w:eastAsia="Arial" w:hAnsi="Arial"/>
          <w:sz w:val="17"/>
          <w:szCs w:val="17"/>
          <w:color w:val="auto"/>
        </w:rPr>
      </w:pPr>
    </w:p>
    <w:p>
      <w:pPr>
        <w:ind w:right="240" w:firstLine="634"/>
        <w:spacing w:after="0" w:line="302" w:lineRule="auto"/>
        <w:tabs>
          <w:tab w:leader="none" w:pos="1254" w:val="left"/>
        </w:tabs>
        <w:numPr>
          <w:ilvl w:val="0"/>
          <w:numId w:val="873"/>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Employee Acknowledgement.</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recognizes and acknowledges that Employee has freely entered into this Agreement for the full</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expressed herein, the sufficiency and receipt of which Employee hereby acknowledges, and that Employee has had the opportunity to consult with counsel of Employee’s choice with full knowledge and careful consideration of the consequences and meaning of execution of this Agreement.</w:t>
      </w:r>
    </w:p>
    <w:p>
      <w:pPr>
        <w:spacing w:after="0" w:line="144" w:lineRule="exact"/>
        <w:rPr>
          <w:rFonts w:ascii="Arial" w:cs="Arial" w:eastAsia="Arial" w:hAnsi="Arial"/>
          <w:sz w:val="16"/>
          <w:szCs w:val="16"/>
          <w:color w:val="auto"/>
        </w:rPr>
      </w:pPr>
    </w:p>
    <w:p>
      <w:pPr>
        <w:jc w:val="both"/>
        <w:ind w:right="180" w:firstLine="634"/>
        <w:spacing w:after="0" w:line="270" w:lineRule="auto"/>
        <w:tabs>
          <w:tab w:leader="none" w:pos="1254" w:val="left"/>
        </w:tabs>
        <w:numPr>
          <w:ilvl w:val="0"/>
          <w:numId w:val="873"/>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Upon Employee’s acceptance, this letter will contain the entire agreement and understanding between Employee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 respect to the matters addressed herein and shall supersede any prior or contemporaneous agreements, understandings, communications, offers, representations, warranties, or commitments by or on behalf of the Company and its affiliates (oral or written). The terms of Employee’s employment may in the future be amended, but only in writing signed by both Employee and a duly authorized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-4119880</wp:posOffset>
            </wp:positionV>
            <wp:extent cx="7271385" cy="2921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[SIGNATURES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00" w:type="dxa"/>
            <w:vAlign w:val="bottom"/>
            <w:gridSpan w:val="2"/>
          </w:tcPr>
          <w:p>
            <w:pPr>
              <w:spacing w:after="0"/>
              <w:rPr>
                <w:sz w:val="20"/>
                <w:szCs w:val="20"/>
                <w:color w:val="auto"/>
              </w:rPr>
            </w:pPr>
            <w:r>
              <w:rPr>
                <w:rFonts w:ascii="Arial" w:cs="Arial" w:eastAsia="Arial" w:hAnsi="Arial"/>
                <w:sz w:val="17"/>
                <w:szCs w:val="17"/>
                <w:b w:val="1"/>
                <w:bCs w:val="1"/>
                <w:color w:val="auto"/>
              </w:rPr>
              <w:t>AGREED AND ACCEPTED:</w:t>
            </w:r>
          </w:p>
        </w:tc>
        <w:tc>
          <w:tcPr>
            <w:tcW w:w="6120" w:type="dxa"/>
            <w:vAlign w:val="bottom"/>
            <w:gridSpan w:val="3"/>
          </w:tcPr>
          <w:p>
            <w:pPr>
              <w:ind w:left="440"/>
              <w:spacing w:after="0"/>
              <w:rPr>
                <w:sz w:val="20"/>
                <w:szCs w:val="20"/>
                <w:color w:val="auto"/>
              </w:rPr>
            </w:pPr>
            <w:r>
              <w:rPr>
                <w:rFonts w:ascii="Arial" w:cs="Arial" w:eastAsia="Arial" w:hAnsi="Arial"/>
                <w:sz w:val="17"/>
                <w:szCs w:val="17"/>
                <w:b w:val="1"/>
                <w:bCs w:val="1"/>
                <w:color w:val="auto"/>
              </w:rPr>
              <w:t>AGREED AND ACCEPTED: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300" w:type="dxa"/>
            <w:vAlign w:val="bottom"/>
            <w:gridSpan w:val="2"/>
          </w:tcPr>
          <w:p>
            <w:pPr>
              <w:spacing w:after="0"/>
              <w:rPr>
                <w:sz w:val="20"/>
                <w:szCs w:val="20"/>
                <w:color w:val="auto"/>
              </w:rPr>
            </w:pPr>
            <w:r>
              <w:rPr>
                <w:rFonts w:ascii="Arial" w:cs="Arial" w:eastAsia="Arial" w:hAnsi="Arial"/>
                <w:sz w:val="17"/>
                <w:szCs w:val="17"/>
                <w:b w:val="1"/>
                <w:bCs w:val="1"/>
                <w:color w:val="auto"/>
              </w:rPr>
              <w:t>APPLIED OPTOELECTRONICS, INC.</w:t>
            </w:r>
          </w:p>
        </w:tc>
        <w:tc>
          <w:tcPr>
            <w:tcW w:w="6120" w:type="dxa"/>
            <w:vAlign w:val="bottom"/>
            <w:gridSpan w:val="3"/>
          </w:tcPr>
          <w:p>
            <w:pPr>
              <w:ind w:left="440"/>
              <w:spacing w:after="0"/>
              <w:rPr>
                <w:sz w:val="20"/>
                <w:szCs w:val="20"/>
                <w:color w:val="auto"/>
              </w:rPr>
            </w:pPr>
            <w:r>
              <w:rPr>
                <w:rFonts w:ascii="Arial" w:cs="Arial" w:eastAsia="Arial" w:hAnsi="Arial"/>
                <w:sz w:val="17"/>
                <w:szCs w:val="17"/>
                <w:b w:val="1"/>
                <w:bCs w:val="1"/>
                <w:color w:val="auto"/>
              </w:rPr>
              <w:t>“EMPLOYEE”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47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0" w:type="dxa"/>
            <w:vAlign w:val="bottom"/>
            <w:vMerge w:val="restart"/>
          </w:tcPr>
          <w:p>
            <w:pPr>
              <w:spacing w:after="0"/>
              <w:rPr>
                <w:sz w:val="20"/>
                <w:szCs w:val="20"/>
                <w:color w:val="auto"/>
              </w:rPr>
            </w:pPr>
            <w:r>
              <w:rPr>
                <w:rFonts w:ascii="Arial" w:cs="Arial" w:eastAsia="Arial" w:hAnsi="Arial"/>
                <w:sz w:val="17"/>
                <w:szCs w:val="17"/>
                <w:color w:val="auto"/>
              </w:rPr>
              <w:t>Its:</w:t>
            </w:r>
          </w:p>
        </w:tc>
        <w:tc>
          <w:tcPr>
            <w:tcW w:w="47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7"/>
                <w:szCs w:val="17"/>
                <w:color w:val="auto"/>
              </w:rPr>
              <w:t>Signature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vMerge w:val="continue"/>
          </w:tcPr>
          <w:p>
            <w:pPr>
              <w:spacing w:after="0"/>
              <w:rPr>
                <w:sz w:val="17"/>
                <w:szCs w:val="17"/>
                <w:color w:val="auto"/>
              </w:rPr>
            </w:pPr>
          </w:p>
        </w:tc>
        <w:tc>
          <w:tcPr>
            <w:tcW w:w="4720" w:type="dxa"/>
            <w:vAlign w:val="bottom"/>
            <w:tcBorders>
              <w:bottom w:val="single" w:sz="8" w:color="auto"/>
            </w:tcBorders>
            <w:vMerge w:val="continue"/>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gridSpan w:val="2"/>
            <w:vMerge w:val="restart"/>
          </w:tcPr>
          <w:p>
            <w:pPr>
              <w:spacing w:after="0"/>
              <w:rPr>
                <w:sz w:val="20"/>
                <w:szCs w:val="20"/>
                <w:color w:val="auto"/>
              </w:rPr>
            </w:pPr>
            <w:r>
              <w:rPr>
                <w:rFonts w:ascii="Arial" w:cs="Arial" w:eastAsia="Arial" w:hAnsi="Arial"/>
                <w:sz w:val="17"/>
                <w:szCs w:val="17"/>
                <w:color w:val="auto"/>
              </w:rPr>
              <w:t>Date:</w:t>
            </w:r>
          </w:p>
        </w:tc>
        <w:tc>
          <w:tcPr>
            <w:tcW w:w="4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1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5680" w:type="dxa"/>
            <w:vAlign w:val="bottom"/>
            <w:gridSpan w:val="2"/>
          </w:tcPr>
          <w:p>
            <w:pPr>
              <w:spacing w:after="0"/>
              <w:rPr>
                <w:sz w:val="20"/>
                <w:szCs w:val="20"/>
                <w:color w:val="auto"/>
              </w:rPr>
            </w:pPr>
            <w:r>
              <w:rPr>
                <w:rFonts w:ascii="Arial" w:cs="Arial" w:eastAsia="Arial" w:hAnsi="Arial"/>
                <w:sz w:val="17"/>
                <w:szCs w:val="17"/>
                <w:color w:val="auto"/>
              </w:rPr>
              <w:t>Print Name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580" w:type="dxa"/>
            <w:vAlign w:val="bottom"/>
          </w:tcPr>
          <w:p>
            <w:pPr>
              <w:spacing w:after="0"/>
              <w:rPr>
                <w:sz w:val="24"/>
                <w:szCs w:val="24"/>
                <w:color w:val="auto"/>
              </w:rPr>
            </w:pPr>
          </w:p>
        </w:tc>
        <w:tc>
          <w:tcPr>
            <w:tcW w:w="4720" w:type="dxa"/>
            <w:vAlign w:val="bottom"/>
            <w:tcBorders>
              <w:top w:val="single" w:sz="8" w:color="auto"/>
            </w:tcBorders>
          </w:tcPr>
          <w:p>
            <w:pPr>
              <w:spacing w:after="0"/>
              <w:rPr>
                <w:sz w:val="24"/>
                <w:szCs w:val="24"/>
                <w:color w:val="auto"/>
              </w:rPr>
            </w:pPr>
          </w:p>
        </w:tc>
        <w:tc>
          <w:tcPr>
            <w:tcW w:w="6120" w:type="dxa"/>
            <w:vAlign w:val="bottom"/>
            <w:gridSpan w:val="3"/>
          </w:tcPr>
          <w:p>
            <w:pPr>
              <w:ind w:left="440"/>
              <w:spacing w:after="0"/>
              <w:rPr>
                <w:sz w:val="20"/>
                <w:szCs w:val="20"/>
                <w:color w:val="auto"/>
              </w:rPr>
            </w:pPr>
            <w:r>
              <w:rPr>
                <w:rFonts w:ascii="Arial" w:cs="Arial" w:eastAsia="Arial" w:hAnsi="Arial"/>
                <w:sz w:val="17"/>
                <w:szCs w:val="17"/>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80" w:type="dxa"/>
            <w:vAlign w:val="bottom"/>
            <w:tcBorders>
              <w:bottom w:val="single" w:sz="8" w:color="010101"/>
            </w:tcBorders>
          </w:tcPr>
          <w:p>
            <w:pPr>
              <w:spacing w:after="0"/>
              <w:rPr>
                <w:sz w:val="24"/>
                <w:szCs w:val="24"/>
                <w:color w:val="auto"/>
              </w:rPr>
            </w:pPr>
          </w:p>
        </w:tc>
        <w:tc>
          <w:tcPr>
            <w:tcW w:w="472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5140" w:type="dxa"/>
            <w:vAlign w:val="bottom"/>
            <w:tcBorders>
              <w:top w:val="single" w:sz="8" w:color="auto"/>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1120" w:gutter="0" w:footer="0" w:header="0"/>
        </w:sectPr>
      </w:pPr>
    </w:p>
    <w:bookmarkStart w:id="472" w:name="page473"/>
    <w:bookmarkEnd w:id="472"/>
    <w:p>
      <w:pPr>
        <w:jc w:val="right"/>
        <w:spacing w:after="0"/>
        <w:rPr>
          <w:sz w:val="20"/>
          <w:szCs w:val="20"/>
          <w:color w:val="auto"/>
        </w:rPr>
      </w:pPr>
      <w:r>
        <w:rPr>
          <w:rFonts w:ascii="Arial" w:cs="Arial" w:eastAsia="Arial" w:hAnsi="Arial"/>
          <w:sz w:val="17"/>
          <w:szCs w:val="17"/>
          <w:b w:val="1"/>
          <w:bCs w:val="1"/>
          <w:color w:val="auto"/>
        </w:rPr>
        <w:t>Exhibit 10.16</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EMPLOYMENT AGREEMENT</w:t>
      </w:r>
    </w:p>
    <w:p>
      <w:pPr>
        <w:spacing w:after="0" w:line="224" w:lineRule="exact"/>
        <w:rPr>
          <w:sz w:val="20"/>
          <w:szCs w:val="20"/>
          <w:color w:val="auto"/>
        </w:rPr>
      </w:pPr>
    </w:p>
    <w:p>
      <w:pPr>
        <w:ind w:right="500" w:firstLine="629"/>
        <w:spacing w:after="0" w:line="289" w:lineRule="auto"/>
        <w:rPr>
          <w:sz w:val="20"/>
          <w:szCs w:val="20"/>
          <w:color w:val="auto"/>
        </w:rPr>
      </w:pPr>
      <w:r>
        <w:rPr>
          <w:rFonts w:ascii="Arial" w:cs="Arial" w:eastAsia="Arial" w:hAnsi="Arial"/>
          <w:sz w:val="17"/>
          <w:szCs w:val="17"/>
          <w:color w:val="auto"/>
        </w:rPr>
        <w:t>This EMPLOYMENT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dated as of April 16, 2013, by and between Applied Optoelectronics,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Hung-Lun (Fred) Chang, an individual currently residing at Sugar Land, TX 77479 (the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w:t>
      </w:r>
    </w:p>
    <w:p>
      <w:pPr>
        <w:spacing w:after="0" w:line="152"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 desires to employ the Executive on the terms and conditions and for the consideration hereinafter set forth and the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is willing to serve as an employee of the Company on such terms and conditions and for such consideration.</w:t>
      </w:r>
    </w:p>
    <w:p>
      <w:pPr>
        <w:spacing w:after="0" w:line="145" w:lineRule="exact"/>
        <w:rPr>
          <w:sz w:val="20"/>
          <w:szCs w:val="20"/>
          <w:color w:val="auto"/>
        </w:rPr>
      </w:pPr>
    </w:p>
    <w:p>
      <w:pPr>
        <w:ind w:right="380" w:firstLine="629"/>
        <w:spacing w:after="0" w:line="297"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for and in consideration of the mutual promises, covenants and obligations contained herein, the Company and the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agree as follows:</w:t>
      </w:r>
    </w:p>
    <w:p>
      <w:pPr>
        <w:spacing w:after="0" w:line="145" w:lineRule="exact"/>
        <w:rPr>
          <w:sz w:val="20"/>
          <w:szCs w:val="20"/>
          <w:color w:val="auto"/>
        </w:rPr>
      </w:pPr>
    </w:p>
    <w:p>
      <w:pPr>
        <w:ind w:left="1260" w:hanging="626"/>
        <w:spacing w:after="0"/>
        <w:tabs>
          <w:tab w:leader="none" w:pos="1260" w:val="left"/>
        </w:tabs>
        <w:numPr>
          <w:ilvl w:val="0"/>
          <w:numId w:val="874"/>
        </w:numPr>
        <w:rPr>
          <w:rFonts w:ascii="Arial" w:cs="Arial" w:eastAsia="Arial" w:hAnsi="Arial"/>
          <w:sz w:val="17"/>
          <w:szCs w:val="17"/>
          <w:color w:val="auto"/>
        </w:rPr>
      </w:pPr>
      <w:r>
        <w:rPr>
          <w:rFonts w:ascii="Arial" w:cs="Arial" w:eastAsia="Arial" w:hAnsi="Arial"/>
          <w:sz w:val="17"/>
          <w:szCs w:val="17"/>
          <w:b w:val="1"/>
          <w:bCs w:val="1"/>
          <w:u w:val="single" w:color="auto"/>
          <w:color w:val="auto"/>
        </w:rPr>
        <w:t>Employment and Duties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color w:val="auto"/>
        </w:rPr>
      </w:pPr>
    </w:p>
    <w:p>
      <w:pPr>
        <w:ind w:right="260" w:firstLine="1263"/>
        <w:spacing w:after="0" w:line="298" w:lineRule="auto"/>
        <w:tabs>
          <w:tab w:leader="none" w:pos="1885" w:val="left"/>
        </w:tabs>
        <w:numPr>
          <w:ilvl w:val="1"/>
          <w:numId w:val="87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Executive shall serve as Senior Vice President of Optical Component Business Unit of the Company, reporting to the Company’s CEO. The Executive shall have such duties and responsibilities, commensurate with the Executive’s position, as may be reasonably assigned to the Executive from time to time by the Company. The Executive’s principal place of employment shall be in the Houston, Texas area.</w:t>
      </w:r>
    </w:p>
    <w:p>
      <w:pPr>
        <w:spacing w:after="0" w:line="153" w:lineRule="exact"/>
        <w:rPr>
          <w:rFonts w:ascii="Arial" w:cs="Arial" w:eastAsia="Arial" w:hAnsi="Arial"/>
          <w:sz w:val="16"/>
          <w:szCs w:val="16"/>
          <w:color w:val="auto"/>
        </w:rPr>
      </w:pPr>
    </w:p>
    <w:p>
      <w:pPr>
        <w:ind w:firstLine="1263"/>
        <w:spacing w:after="0" w:line="262" w:lineRule="auto"/>
        <w:tabs>
          <w:tab w:leader="none" w:pos="1895" w:val="left"/>
        </w:tabs>
        <w:numPr>
          <w:ilvl w:val="1"/>
          <w:numId w:val="874"/>
        </w:numPr>
        <w:rPr>
          <w:rFonts w:ascii="Arial" w:cs="Arial" w:eastAsia="Arial" w:hAnsi="Arial"/>
          <w:sz w:val="17"/>
          <w:szCs w:val="17"/>
          <w:color w:val="auto"/>
        </w:rPr>
      </w:pPr>
      <w:r>
        <w:rPr>
          <w:rFonts w:ascii="Arial" w:cs="Arial" w:eastAsia="Arial" w:hAnsi="Arial"/>
          <w:sz w:val="17"/>
          <w:szCs w:val="17"/>
          <w:u w:val="single" w:color="auto"/>
          <w:color w:val="auto"/>
        </w:rPr>
        <w:t>Exclusive Services</w:t>
      </w:r>
      <w:r>
        <w:rPr>
          <w:rFonts w:ascii="Arial" w:cs="Arial" w:eastAsia="Arial" w:hAnsi="Arial"/>
          <w:sz w:val="17"/>
          <w:szCs w:val="17"/>
          <w:color w:val="auto"/>
        </w:rPr>
        <w:t xml:space="preserve">. For so long as the Executive is employed by the Company, the Executive shall devote his full attention to his duties hereunder, shall faithfully serve the Company, shall in all respects conform to and comply with the lawful and good faith directions and instructions given to him by the Company and shall use his best efforts to promote and serve the interests of the Company. Further, the Executive shall not, directly or indirectly, render services to any other person or organization without the consent of the Company or otherwise engage in activities that would interfere significantly with his faithful performance of his duties hereunder. Notwithstanding the foregoing, the Executive may (i) serve on corporate, civic, children sports organization or charitable boards or engage in charitable activities without remuneration therefor and (ii) manage personal investments,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activity does not contravene the first sentence of this Section 1(b) or any other provision of this Agreement.</w:t>
      </w:r>
    </w:p>
    <w:p>
      <w:pPr>
        <w:spacing w:after="0" w:line="178" w:lineRule="exact"/>
        <w:rPr>
          <w:rFonts w:ascii="Arial" w:cs="Arial" w:eastAsia="Arial" w:hAnsi="Arial"/>
          <w:sz w:val="17"/>
          <w:szCs w:val="17"/>
          <w:color w:val="auto"/>
        </w:rPr>
      </w:pPr>
    </w:p>
    <w:p>
      <w:pPr>
        <w:ind w:right="220" w:firstLine="634"/>
        <w:spacing w:after="0" w:line="302" w:lineRule="auto"/>
        <w:tabs>
          <w:tab w:leader="none" w:pos="1258" w:val="left"/>
        </w:tabs>
        <w:numPr>
          <w:ilvl w:val="0"/>
          <w:numId w:val="874"/>
        </w:numPr>
        <w:rPr>
          <w:rFonts w:ascii="Arial" w:cs="Arial" w:eastAsia="Arial" w:hAnsi="Arial"/>
          <w:sz w:val="16"/>
          <w:szCs w:val="16"/>
          <w:color w:val="auto"/>
        </w:rPr>
      </w:pPr>
      <w:r>
        <w:rPr>
          <w:rFonts w:ascii="Arial" w:cs="Arial" w:eastAsia="Arial" w:hAnsi="Arial"/>
          <w:sz w:val="16"/>
          <w:szCs w:val="16"/>
          <w:b w:val="1"/>
          <w:bCs w:val="1"/>
          <w:u w:val="single" w:color="auto"/>
          <w:color w:val="auto"/>
        </w:rPr>
        <w:t>Term of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Executive’s employment under this Agreement shall commence as of April 16, 2013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terminate on the earlier of (i) the fifth-year anniversary of the Effective Date and (ii) the termination of the Executive’s employment under this Agreement. The period from the Effective Date until the termination of the Executive’s employment under this Agreement is referred to as the “</w:t>
      </w:r>
      <w:r>
        <w:rPr>
          <w:rFonts w:ascii="Arial" w:cs="Arial" w:eastAsia="Arial" w:hAnsi="Arial"/>
          <w:sz w:val="16"/>
          <w:szCs w:val="16"/>
          <w:b w:val="1"/>
          <w:bCs w:val="1"/>
          <w:i w:val="1"/>
          <w:iCs w:val="1"/>
          <w:color w:val="auto"/>
        </w:rPr>
        <w:t>Term</w:t>
      </w:r>
      <w:r>
        <w:rPr>
          <w:rFonts w:ascii="Arial" w:cs="Arial" w:eastAsia="Arial" w:hAnsi="Arial"/>
          <w:sz w:val="16"/>
          <w:szCs w:val="16"/>
          <w:color w:val="auto"/>
        </w:rPr>
        <w:t>”.</w:t>
      </w:r>
    </w:p>
    <w:p>
      <w:pPr>
        <w:spacing w:after="0" w:line="144" w:lineRule="exact"/>
        <w:rPr>
          <w:rFonts w:ascii="Arial" w:cs="Arial" w:eastAsia="Arial" w:hAnsi="Arial"/>
          <w:sz w:val="16"/>
          <w:szCs w:val="16"/>
          <w:color w:val="auto"/>
        </w:rPr>
      </w:pPr>
    </w:p>
    <w:p>
      <w:pPr>
        <w:ind w:right="900" w:firstLine="634"/>
        <w:spacing w:after="0" w:line="297" w:lineRule="auto"/>
        <w:tabs>
          <w:tab w:leader="none" w:pos="1258" w:val="left"/>
        </w:tabs>
        <w:numPr>
          <w:ilvl w:val="0"/>
          <w:numId w:val="874"/>
        </w:numPr>
        <w:rPr>
          <w:rFonts w:ascii="Arial" w:cs="Arial" w:eastAsia="Arial" w:hAnsi="Arial"/>
          <w:sz w:val="17"/>
          <w:szCs w:val="17"/>
          <w:color w:val="auto"/>
        </w:rPr>
      </w:pPr>
      <w:r>
        <w:rPr>
          <w:rFonts w:ascii="Arial" w:cs="Arial" w:eastAsia="Arial" w:hAnsi="Arial"/>
          <w:sz w:val="17"/>
          <w:szCs w:val="17"/>
          <w:b w:val="1"/>
          <w:bCs w:val="1"/>
          <w:u w:val="single" w:color="auto"/>
          <w:color w:val="auto"/>
        </w:rPr>
        <w:t>Compensation and Other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this Agreement, the Company shall pay and provide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and other benefits to the Executive during the Term as compensation for services rendered hereunder:</w:t>
      </w:r>
    </w:p>
    <w:p>
      <w:pPr>
        <w:spacing w:after="0" w:line="151" w:lineRule="exact"/>
        <w:rPr>
          <w:rFonts w:ascii="Arial" w:cs="Arial" w:eastAsia="Arial" w:hAnsi="Arial"/>
          <w:sz w:val="17"/>
          <w:szCs w:val="17"/>
          <w:color w:val="auto"/>
        </w:rPr>
      </w:pPr>
    </w:p>
    <w:p>
      <w:pPr>
        <w:ind w:right="680" w:firstLine="1263"/>
        <w:spacing w:after="0" w:line="322" w:lineRule="auto"/>
        <w:tabs>
          <w:tab w:leader="none" w:pos="1885" w:val="left"/>
        </w:tabs>
        <w:numPr>
          <w:ilvl w:val="1"/>
          <w:numId w:val="874"/>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The Company shall pay to the Executive an annual salary (the “</w:t>
      </w:r>
      <w:r>
        <w:rPr>
          <w:rFonts w:ascii="Arial" w:cs="Arial" w:eastAsia="Arial" w:hAnsi="Arial"/>
          <w:sz w:val="16"/>
          <w:szCs w:val="16"/>
          <w:b w:val="1"/>
          <w:bCs w:val="1"/>
          <w:i w:val="1"/>
          <w:iCs w:val="1"/>
          <w:color w:val="auto"/>
        </w:rPr>
        <w:t>Base Salary</w:t>
      </w:r>
      <w:r>
        <w:rPr>
          <w:rFonts w:ascii="Arial" w:cs="Arial" w:eastAsia="Arial" w:hAnsi="Arial"/>
          <w:sz w:val="16"/>
          <w:szCs w:val="16"/>
          <w:color w:val="auto"/>
        </w:rPr>
        <w:t>”) at the rate of $189,000, payable in substantially equal installments at such intervals as may be determined by the Company in accordance with the Company’s then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158115</wp:posOffset>
            </wp:positionV>
            <wp:extent cx="7271385" cy="2921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ordinary payroll practices as established from time to time. The Base Salary shall be reviewed in good faith by the Compensation Committee of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based upon the Executive’s performance, not less often than annually.</w:t>
      </w:r>
    </w:p>
    <w:p>
      <w:pPr>
        <w:spacing w:after="0" w:line="158" w:lineRule="exact"/>
        <w:rPr>
          <w:sz w:val="20"/>
          <w:szCs w:val="20"/>
          <w:color w:val="auto"/>
        </w:rPr>
      </w:pPr>
    </w:p>
    <w:p>
      <w:pPr>
        <w:jc w:val="both"/>
        <w:ind w:right="40" w:firstLine="1263"/>
        <w:spacing w:after="0" w:line="282" w:lineRule="auto"/>
        <w:tabs>
          <w:tab w:leader="none" w:pos="1895" w:val="left"/>
        </w:tabs>
        <w:numPr>
          <w:ilvl w:val="1"/>
          <w:numId w:val="875"/>
        </w:numPr>
        <w:rPr>
          <w:rFonts w:ascii="Arial" w:cs="Arial" w:eastAsia="Arial" w:hAnsi="Arial"/>
          <w:sz w:val="17"/>
          <w:szCs w:val="17"/>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For each fiscal year during the Term, the Executive shall be eligible to receive an incentive bonus equal to the milestone bonus set by the Company or Compensation Committee for such year if the applicable performance goals are satisfied. Such bonus, if any, shall be paid to the Executive no later than March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the calendar year following the calendar year in which the bonus is earned.</w:t>
      </w:r>
    </w:p>
    <w:p>
      <w:pPr>
        <w:spacing w:after="0" w:line="82" w:lineRule="exact"/>
        <w:rPr>
          <w:rFonts w:ascii="Arial" w:cs="Arial" w:eastAsia="Arial" w:hAnsi="Arial"/>
          <w:sz w:val="17"/>
          <w:szCs w:val="17"/>
          <w:color w:val="auto"/>
        </w:rPr>
      </w:pPr>
    </w:p>
    <w:p>
      <w:pPr>
        <w:ind w:right="100" w:firstLine="1263"/>
        <w:spacing w:after="0" w:line="289" w:lineRule="auto"/>
        <w:tabs>
          <w:tab w:leader="none" w:pos="1898" w:val="left"/>
        </w:tabs>
        <w:numPr>
          <w:ilvl w:val="1"/>
          <w:numId w:val="875"/>
        </w:numPr>
        <w:rPr>
          <w:rFonts w:ascii="Arial" w:cs="Arial" w:eastAsia="Arial" w:hAnsi="Arial"/>
          <w:sz w:val="17"/>
          <w:szCs w:val="17"/>
          <w:color w:val="auto"/>
        </w:rPr>
      </w:pPr>
      <w:r>
        <w:rPr>
          <w:rFonts w:ascii="Arial" w:cs="Arial" w:eastAsia="Arial" w:hAnsi="Arial"/>
          <w:sz w:val="17"/>
          <w:szCs w:val="17"/>
          <w:u w:val="single" w:color="auto"/>
          <w:color w:val="auto"/>
        </w:rPr>
        <w:t>Employee Benefits</w:t>
      </w:r>
      <w:r>
        <w:rPr>
          <w:rFonts w:ascii="Arial" w:cs="Arial" w:eastAsia="Arial" w:hAnsi="Arial"/>
          <w:sz w:val="17"/>
          <w:szCs w:val="17"/>
          <w:color w:val="auto"/>
        </w:rPr>
        <w:t>. The Executive shall be entitled to participate in all employee benefit arrangements that the Company may offer to its executives of a like status from time to time, and as may be amended from time to time.</w:t>
      </w:r>
    </w:p>
    <w:p>
      <w:pPr>
        <w:spacing w:after="0" w:line="158" w:lineRule="exact"/>
        <w:rPr>
          <w:rFonts w:ascii="Arial" w:cs="Arial" w:eastAsia="Arial" w:hAnsi="Arial"/>
          <w:sz w:val="17"/>
          <w:szCs w:val="17"/>
          <w:color w:val="auto"/>
        </w:rPr>
      </w:pPr>
    </w:p>
    <w:p>
      <w:pPr>
        <w:ind w:right="80" w:firstLine="1263"/>
        <w:spacing w:after="0" w:line="273" w:lineRule="auto"/>
        <w:tabs>
          <w:tab w:leader="none" w:pos="1895" w:val="left"/>
        </w:tabs>
        <w:numPr>
          <w:ilvl w:val="1"/>
          <w:numId w:val="875"/>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The Company shall reimburse the Executive for reasonable travel and other business-related expenses incurred by the Executive in the fulfillment of his duties hereunder upon presentation of written documentation thereof, in accordance with the applicable expense reimbursement policies and procedures of the Company as in effect from time to time.</w:t>
      </w:r>
    </w:p>
    <w:p>
      <w:pPr>
        <w:spacing w:after="0" w:line="171" w:lineRule="exact"/>
        <w:rPr>
          <w:rFonts w:ascii="Arial" w:cs="Arial" w:eastAsia="Arial" w:hAnsi="Arial"/>
          <w:sz w:val="17"/>
          <w:szCs w:val="17"/>
          <w:color w:val="auto"/>
        </w:rPr>
      </w:pPr>
    </w:p>
    <w:p>
      <w:pPr>
        <w:ind w:right="20" w:firstLine="1263"/>
        <w:spacing w:after="0" w:line="261" w:lineRule="auto"/>
        <w:tabs>
          <w:tab w:leader="none" w:pos="1898" w:val="left"/>
        </w:tabs>
        <w:numPr>
          <w:ilvl w:val="1"/>
          <w:numId w:val="875"/>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To the fullest extent permitted by the indemnification provisions of the Articles of Incorporation and/or Bylaws of the Company in effect from time to time and the indemnification provisions of the corporation statute of the jurisdiction of the Company’s incorporation in effect from time to time (collectively the “</w:t>
      </w:r>
      <w:r>
        <w:rPr>
          <w:rFonts w:ascii="Arial" w:cs="Arial" w:eastAsia="Arial" w:hAnsi="Arial"/>
          <w:sz w:val="17"/>
          <w:szCs w:val="17"/>
          <w:b w:val="1"/>
          <w:bCs w:val="1"/>
          <w:i w:val="1"/>
          <w:iCs w:val="1"/>
          <w:color w:val="auto"/>
        </w:rPr>
        <w:t>Indemnification Provisions</w:t>
      </w:r>
      <w:r>
        <w:rPr>
          <w:rFonts w:ascii="Arial" w:cs="Arial" w:eastAsia="Arial" w:hAnsi="Arial"/>
          <w:sz w:val="17"/>
          <w:szCs w:val="17"/>
          <w:color w:val="auto"/>
        </w:rPr>
        <w:t>”), and in each case subject to the conditions thereof, the Company shall (i) indemnify the Executive, as a director and officer of the Company or a trustee or fiduciary of an employee benefit plan of the Company against all liabilities and reasonable expenses that the Executive may incur in any threatened, pending, or completed action, suit or proceeding, whether civil, criminal or administrative, or investigative and whether formal or informal, because the Executive is or was a director or officer of the Company or a trustee or fiduciary of such employee benefit plan, and against which the Executive may be indemnified by the Company, and (ii) pay for or reimburse the reasonable expenses incurred by the Executive in the defense of any proceeding to which the Executive is a party because the Executive is or was a director or officer of the Company or a trustee or fiduciary of such employee benefit plan.</w:t>
      </w:r>
    </w:p>
    <w:p>
      <w:pPr>
        <w:spacing w:after="0" w:line="178" w:lineRule="exact"/>
        <w:rPr>
          <w:rFonts w:ascii="Arial" w:cs="Arial" w:eastAsia="Arial" w:hAnsi="Arial"/>
          <w:sz w:val="17"/>
          <w:szCs w:val="17"/>
          <w:color w:val="auto"/>
        </w:rPr>
      </w:pPr>
    </w:p>
    <w:p>
      <w:pPr>
        <w:ind w:left="1260" w:hanging="626"/>
        <w:spacing w:after="0"/>
        <w:tabs>
          <w:tab w:leader="none" w:pos="1260" w:val="left"/>
        </w:tabs>
        <w:numPr>
          <w:ilvl w:val="0"/>
          <w:numId w:val="876"/>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of Employment</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color w:val="auto"/>
        </w:rPr>
      </w:pPr>
    </w:p>
    <w:p>
      <w:pPr>
        <w:ind w:right="140" w:firstLine="1263"/>
        <w:spacing w:after="0" w:line="283" w:lineRule="auto"/>
        <w:tabs>
          <w:tab w:leader="none" w:pos="1885" w:val="left"/>
        </w:tabs>
        <w:numPr>
          <w:ilvl w:val="1"/>
          <w:numId w:val="876"/>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Prior to a Change of Control</w:t>
      </w:r>
      <w:r>
        <w:rPr>
          <w:rFonts w:ascii="Arial" w:cs="Arial" w:eastAsia="Arial" w:hAnsi="Arial"/>
          <w:sz w:val="16"/>
          <w:szCs w:val="16"/>
          <w:color w:val="auto"/>
        </w:rPr>
        <w:t>. Except as provided in Section 4(b), if prior to a Change of Control the Executive’s employment is terminated by the Company (for any reason) or the Executive resigns his or her employment with the Company (for any reason), then the Executive shall only be entitled to payment of unpaid Base Salary through and including the date of termination or resignation. The Executive shall have no further right to receive any other compensation or benefits after such termination or resignation of employment, except for the continuation of health benefits as provided under applicable law. For purposes of this Agreement the term “</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shall be deemed to have occurred on the date that one or more of the following occurs: (i) Individuals who, on the date hereof, constitute the entire Board of the Company (“</w:t>
      </w:r>
      <w:r>
        <w:rPr>
          <w:rFonts w:ascii="Arial" w:cs="Arial" w:eastAsia="Arial" w:hAnsi="Arial"/>
          <w:sz w:val="16"/>
          <w:szCs w:val="16"/>
          <w:b w:val="1"/>
          <w:bCs w:val="1"/>
          <w:i w:val="1"/>
          <w:iCs w:val="1"/>
          <w:color w:val="auto"/>
        </w:rPr>
        <w:t>Incumbent Directors</w:t>
      </w:r>
      <w:r>
        <w:rPr>
          <w:rFonts w:ascii="Arial" w:cs="Arial" w:eastAsia="Arial" w:hAnsi="Arial"/>
          <w:sz w:val="16"/>
          <w:szCs w:val="16"/>
          <w:color w:val="auto"/>
        </w:rPr>
        <w:t>”) cease for 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338" w:gutter="0" w:footer="0" w:header="0"/>
        </w:sectPr>
      </w:pPr>
    </w:p>
    <w:bookmarkStart w:id="473" w:name="page474"/>
    <w:bookmarkEnd w:id="473"/>
    <w:p>
      <w:pPr>
        <w:spacing w:after="0" w:line="3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reason to constitute at least a majority of the Board; provided, however, that any individual becoming a director subsequent to the date hereof whose election, or nomination for election by the Company’s stockholders, was approved by a vote of at least a majority of the then Incumbent Directors shall be considered as though such individual was an Incumbent Director, but excluding, for this purpose any such individual whose initial assumption of office occurs as a result of either an actual or threatened election contest, as such terms are used in Rule 14a-11 under the Securities Exchange Act of 1934, as amended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or other actual or threatened solicitation of proxies or consents by or on behalf of any Person (as defined below) other than the Board; or (ii) (a) the consummation of any merger, consolidation or recapitalization of the Company (or, if the capital stock of the Company is affected, any subsidiary of the Company), or any sale, lease, or other transfer (in one transaction or a series of transactions contemplated or arranged by any party as a single plan) of all or substantially all of the assets of the Company (each of the foregoing being an “</w:t>
      </w:r>
      <w:r>
        <w:rPr>
          <w:rFonts w:ascii="Arial" w:cs="Arial" w:eastAsia="Arial" w:hAnsi="Arial"/>
          <w:sz w:val="16"/>
          <w:szCs w:val="16"/>
          <w:b w:val="1"/>
          <w:bCs w:val="1"/>
          <w:i w:val="1"/>
          <w:iCs w:val="1"/>
          <w:color w:val="auto"/>
        </w:rPr>
        <w:t>Acquisition Transaction</w:t>
      </w:r>
      <w:r>
        <w:rPr>
          <w:rFonts w:ascii="Arial" w:cs="Arial" w:eastAsia="Arial" w:hAnsi="Arial"/>
          <w:sz w:val="16"/>
          <w:szCs w:val="16"/>
          <w:color w:val="auto"/>
        </w:rPr>
        <w:t>”) where: (A) the stockholders of the Company immediately prior to such Acquisition Transaction would not immediately after such Acquisition Transaction beneficially own, directly or indirectly, shares or other ownership interests representing in the aggregate fifty-one percent (51%) or more of (1) the then outstanding common stock or other equity interests of the corporation or other entity surviving or resulting from such merger, consolidation or recapitalization or acquiring such assets of the Company, as the case may be (the “</w:t>
      </w:r>
      <w:r>
        <w:rPr>
          <w:rFonts w:ascii="Arial" w:cs="Arial" w:eastAsia="Arial" w:hAnsi="Arial"/>
          <w:sz w:val="16"/>
          <w:szCs w:val="16"/>
          <w:b w:val="1"/>
          <w:bCs w:val="1"/>
          <w:i w:val="1"/>
          <w:iCs w:val="1"/>
          <w:color w:val="auto"/>
        </w:rPr>
        <w:t>Surviving Entity</w:t>
      </w:r>
      <w:r>
        <w:rPr>
          <w:rFonts w:ascii="Arial" w:cs="Arial" w:eastAsia="Arial" w:hAnsi="Arial"/>
          <w:sz w:val="16"/>
          <w:szCs w:val="16"/>
          <w:color w:val="auto"/>
        </w:rPr>
        <w:t>”) (or of its ultimate parent corporation or other entity, if any), and (2) the Combined Voting Power of the then outstanding Voting Securities of the Surviving Entity (or of its ultimate parent corporation or other entity, if any) or (B) the Incumbent Directors at the time of the initial approval of such Acquisition Transaction would not immediately after such Acquisition Transaction constitute a majority of the Board, or similar managing group, of the Surviving Entity (or of its ultimate parent corporation or other entity, if any), or (b) the filing of any plan for the liquidation or dissolution of the Company. For purposes of this Section 4(a) and this Agreement, the following terms shall have the following meanings: (i) the term “</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shall mean, as to a specified Person, another Person that directly, or indirectly through one or more intermediaries, controls or is controlled by, or is under common control with, the specified Person, within the meaning of such terms as used in Rule 405 under the Securities Act of 1933, as amended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or any successor rule; (ii) the term “</w:t>
      </w:r>
      <w:r>
        <w:rPr>
          <w:rFonts w:ascii="Arial" w:cs="Arial" w:eastAsia="Arial" w:hAnsi="Arial"/>
          <w:sz w:val="16"/>
          <w:szCs w:val="16"/>
          <w:b w:val="1"/>
          <w:bCs w:val="1"/>
          <w:i w:val="1"/>
          <w:iCs w:val="1"/>
          <w:color w:val="auto"/>
        </w:rPr>
        <w:t>Combined Voting Power</w:t>
      </w:r>
      <w:r>
        <w:rPr>
          <w:rFonts w:ascii="Arial" w:cs="Arial" w:eastAsia="Arial" w:hAnsi="Arial"/>
          <w:sz w:val="16"/>
          <w:szCs w:val="16"/>
          <w:color w:val="auto"/>
        </w:rPr>
        <w:t>” shall mean the aggregate votes entitled to be cast generally in the election of the Board, or similar managing group, of a corporation or other entity by holders of then outstanding Voting Securities of such corporation or other entity; (iii) the term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mean any individual, entity (including, without limitation, any corporation, partnership, trust, joint venture, association or governmental body) or group (as defined in Sections 14(d)(3) or 15(d)(2) of the Exchange Act and the rules and regulations thereunder); provided, however, that Person shall not include the Company, any of its subsidiaries, any employee benefit plan of the Company or any of its majority-owned subsidiaries or any entity organized, appointed or established by the Company or such subsidiaries for or pursuant to the terms of any such plan; and (iv) the term “</w:t>
      </w:r>
      <w:r>
        <w:rPr>
          <w:rFonts w:ascii="Arial" w:cs="Arial" w:eastAsia="Arial" w:hAnsi="Arial"/>
          <w:sz w:val="16"/>
          <w:szCs w:val="16"/>
          <w:b w:val="1"/>
          <w:bCs w:val="1"/>
          <w:i w:val="1"/>
          <w:iCs w:val="1"/>
          <w:color w:val="auto"/>
        </w:rPr>
        <w:t>Voting Securities</w:t>
      </w:r>
      <w:r>
        <w:rPr>
          <w:rFonts w:ascii="Arial" w:cs="Arial" w:eastAsia="Arial" w:hAnsi="Arial"/>
          <w:sz w:val="16"/>
          <w:szCs w:val="16"/>
          <w:color w:val="auto"/>
        </w:rPr>
        <w:t>” shall mean all securities of a corporation or other entity having the right under ordinary circumstances to vote in an election of the Board, or similar managing group, of such corporation or other entity.</w:t>
      </w:r>
    </w:p>
    <w:p>
      <w:pPr>
        <w:spacing w:after="0" w:line="183" w:lineRule="exact"/>
        <w:rPr>
          <w:sz w:val="20"/>
          <w:szCs w:val="20"/>
          <w:color w:val="auto"/>
        </w:rPr>
      </w:pPr>
    </w:p>
    <w:p>
      <w:pPr>
        <w:ind w:right="240" w:firstLine="1263"/>
        <w:spacing w:after="0" w:line="289" w:lineRule="auto"/>
        <w:tabs>
          <w:tab w:leader="none" w:pos="1895" w:val="left"/>
        </w:tabs>
        <w:numPr>
          <w:ilvl w:val="0"/>
          <w:numId w:val="877"/>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after a Change of Control</w:t>
      </w:r>
      <w:r>
        <w:rPr>
          <w:rFonts w:ascii="Arial" w:cs="Arial" w:eastAsia="Arial" w:hAnsi="Arial"/>
          <w:sz w:val="17"/>
          <w:szCs w:val="17"/>
          <w:color w:val="auto"/>
        </w:rPr>
        <w:t>. Subject to satisfaction of Section 4(d), if, within six (6) months immediately preceding a Change of Control or within twelve (12) months immediately following a Change of Control, the Executive’s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employment is terminated by the Company for any reason other than Cause or is terminated by the Executive for Good Reason, then the Executive shall be entitled to receive the following benefits (collectively, the “</w:t>
      </w:r>
      <w:r>
        <w:rPr>
          <w:rFonts w:ascii="Arial" w:cs="Arial" w:eastAsia="Arial" w:hAnsi="Arial"/>
          <w:sz w:val="16"/>
          <w:szCs w:val="16"/>
          <w:b w:val="1"/>
          <w:bCs w:val="1"/>
          <w:i w:val="1"/>
          <w:iCs w:val="1"/>
          <w:color w:val="auto"/>
        </w:rPr>
        <w:t>Severance Benefits</w:t>
      </w:r>
      <w:r>
        <w:rPr>
          <w:rFonts w:ascii="Arial" w:cs="Arial" w:eastAsia="Arial" w:hAnsi="Arial"/>
          <w:sz w:val="16"/>
          <w:szCs w:val="16"/>
          <w:color w:val="auto"/>
        </w:rPr>
        <w:t>”): (i) a payment equal to one times (1x) the then current annual Base Salary; (ii) a payment equal to the dollar amount of the Executive’s full target bonus percentage as in effect for the twelve (12) month period immediately prior to such termination (for this purpose any performance targets shall be deemed immediately and fully satisfied); and (iii) $15,000 for the purpose of the Executive to fund health coverage continuation benefits. Severance Benefits shall be paid to the Executive no later than the thirtieth (30</w:t>
      </w:r>
      <w:r>
        <w:rPr>
          <w:rFonts w:ascii="Arial" w:cs="Arial" w:eastAsia="Arial" w:hAnsi="Arial"/>
          <w:sz w:val="20"/>
          <w:szCs w:val="20"/>
          <w:color w:val="auto"/>
          <w:vertAlign w:val="superscript"/>
        </w:rPr>
        <w:t>th</w:t>
      </w:r>
      <w:r>
        <w:rPr>
          <w:rFonts w:ascii="Arial" w:cs="Arial" w:eastAsia="Arial" w:hAnsi="Arial"/>
          <w:sz w:val="16"/>
          <w:szCs w:val="16"/>
          <w:color w:val="auto"/>
        </w:rPr>
        <w:t>) day immediately following the Executive’s “separation from service” (as defined under Section 409A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provided the Executive first executes a release of any and all claims against the Company (set forth in Section 4(d), below) and the revocation period specified therein has expired without the Executive revoking such release. Notwithstanding the foregoing and for avoidance of doubt, if (i) the Executive’s employment is terminated for Cause within six (6) months immediately preceding a Change of Control or within twelve (12) months immediately following a Change of Control, or (ii) the Executive’s employment is terminated by the Company for Cause or by the Executive for any reason after the expiration of twelve (12) months from a Change of Control; then the Executive shall be entitled to only any unpaid then current annual Base Salary through and including the date of termination as set forth in Section 4(a) of this Agreement and the Executive shall not be entitled to or receive any Severance Benefits.</w:t>
      </w:r>
    </w:p>
    <w:p>
      <w:pPr>
        <w:spacing w:after="0" w:line="182" w:lineRule="exact"/>
        <w:rPr>
          <w:sz w:val="20"/>
          <w:szCs w:val="20"/>
          <w:color w:val="auto"/>
        </w:rPr>
      </w:pPr>
    </w:p>
    <w:p>
      <w:pPr>
        <w:ind w:right="20" w:firstLine="629"/>
        <w:spacing w:after="0" w:line="278" w:lineRule="auto"/>
        <w:rPr>
          <w:sz w:val="20"/>
          <w:szCs w:val="20"/>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shall mean to include: (i) the Executive’s conviction of or plea of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offense or to a crime that the Board determines, in its sole discretion, is a crime of moral turpitude (whether or not a felony); (ii) the Executive commits willful misconduct (that is, done in bad faith or without reasonable belief that such action is in the best interest of the Company) or violates any law in connection with the performance of any of his or her duties, including, without limitation, (A) misappropriation of funds or property of the Company or any of its affiliates or customers, (B) securing or attempting to secure personally any profit in connection with any transaction entered into on behalf of the Company or any of its affiliates, or (C) making any material misrepresentation to the Board, the Company, or any of the Company’s affiliates; (iii) the Executive materially violates or fails to comply with any written Company policy; (iv) the Executive materially breaches any term of this Agreement; or (v) the willful and continued failure or neglect of the Executive to substantially perform his or her duties with the Company (other than any such failure resulting from incapacity due to physical or mental illness). The Board shall not have Cause to terminate the Executive’s employment under this Section 4 unless and until the Board provides written notice to the Executive that identifies the Executive’s alleged violation of policy, breach of this Agreement, or failure to perform (or neglect of) any duty and the Executive fails to cure such violation of policy, breach of this Agreement or failure to perform (or neglect of) any duty within 60 days therefrom.</w:t>
      </w:r>
    </w:p>
    <w:p>
      <w:pPr>
        <w:spacing w:after="0" w:line="173"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For purposes of this Agreement, the term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shall mean to include: (i) the Executive being assigned any duties or the significant reduction of the Executive’s duties or a significant change of the Executive’s title, any of which is inconsistent with his or her position or title with the Company and responsibilities in effect immediately prior to such assignment, except in each case in connection with a promotion; (ii) a reduction by the Company in the Executive’s Base Salary as in effect immediately prior to such reduction, provided that Good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Reason shall not be deemed to exist where the Executive’s Base Salary is reduced as part of an overall cost reduction program that affects all senior executives of the Company and does not disproportionately affect the Executive; (iii) the failure of any successor entity to the Company to expressly assume in writing the terms of this Agreement; and (iv) any material breach by the Company of any material provision of this agreement which has not been cured within 30 days of the Executive providing the Company with written notice of such breach.</w:t>
      </w:r>
    </w:p>
    <w:p>
      <w:pPr>
        <w:spacing w:after="0" w:line="176" w:lineRule="exact"/>
        <w:rPr>
          <w:sz w:val="20"/>
          <w:szCs w:val="20"/>
          <w:color w:val="auto"/>
        </w:rPr>
      </w:pPr>
    </w:p>
    <w:p>
      <w:pPr>
        <w:jc w:val="both"/>
        <w:ind w:right="180" w:firstLine="1263"/>
        <w:spacing w:after="0" w:line="360" w:lineRule="auto"/>
        <w:tabs>
          <w:tab w:leader="none" w:pos="1898" w:val="left"/>
        </w:tabs>
        <w:numPr>
          <w:ilvl w:val="0"/>
          <w:numId w:val="878"/>
        </w:numPr>
        <w:rPr>
          <w:rFonts w:ascii="Arial" w:cs="Arial" w:eastAsia="Arial" w:hAnsi="Arial"/>
          <w:sz w:val="15"/>
          <w:szCs w:val="15"/>
          <w:color w:val="auto"/>
        </w:rPr>
      </w:pPr>
      <w:r>
        <w:rPr>
          <w:rFonts w:ascii="Arial" w:cs="Arial" w:eastAsia="Arial" w:hAnsi="Arial"/>
          <w:sz w:val="15"/>
          <w:szCs w:val="15"/>
          <w:u w:val="single" w:color="auto"/>
          <w:color w:val="auto"/>
        </w:rPr>
        <w:t>Board Resignation</w:t>
      </w:r>
      <w:r>
        <w:rPr>
          <w:rFonts w:ascii="Arial" w:cs="Arial" w:eastAsia="Arial" w:hAnsi="Arial"/>
          <w:sz w:val="15"/>
          <w:szCs w:val="15"/>
          <w:color w:val="auto"/>
        </w:rPr>
        <w:t>. Upon termination of the Executive’s employment for any reason, the Executive shall be deemed to have resigned from any Board position (and any committees thereof) and from any and all positions with the Company’s affiliates, effective as of the date of such termination.</w:t>
      </w:r>
    </w:p>
    <w:p>
      <w:pPr>
        <w:spacing w:after="0" w:line="111" w:lineRule="exact"/>
        <w:rPr>
          <w:rFonts w:ascii="Arial" w:cs="Arial" w:eastAsia="Arial" w:hAnsi="Arial"/>
          <w:sz w:val="15"/>
          <w:szCs w:val="15"/>
          <w:color w:val="auto"/>
        </w:rPr>
      </w:pPr>
    </w:p>
    <w:p>
      <w:pPr>
        <w:ind w:right="40" w:firstLine="1263"/>
        <w:spacing w:after="0" w:line="298" w:lineRule="auto"/>
        <w:tabs>
          <w:tab w:leader="none" w:pos="1895" w:val="left"/>
        </w:tabs>
        <w:numPr>
          <w:ilvl w:val="0"/>
          <w:numId w:val="878"/>
        </w:numPr>
        <w:rPr>
          <w:rFonts w:ascii="Arial" w:cs="Arial" w:eastAsia="Arial" w:hAnsi="Arial"/>
          <w:sz w:val="16"/>
          <w:szCs w:val="16"/>
          <w:color w:val="auto"/>
        </w:rPr>
      </w:pPr>
      <w:r>
        <w:rPr>
          <w:rFonts w:ascii="Arial" w:cs="Arial" w:eastAsia="Arial" w:hAnsi="Arial"/>
          <w:sz w:val="16"/>
          <w:szCs w:val="16"/>
          <w:u w:val="single" w:color="auto"/>
          <w:color w:val="auto"/>
        </w:rPr>
        <w:t>Waiver and Release</w:t>
      </w:r>
      <w:r>
        <w:rPr>
          <w:rFonts w:ascii="Arial" w:cs="Arial" w:eastAsia="Arial" w:hAnsi="Arial"/>
          <w:sz w:val="16"/>
          <w:szCs w:val="16"/>
          <w:color w:val="auto"/>
        </w:rPr>
        <w:t>. Notwithstanding any other provisions of this Agreement to the contrary, unless expressly waived in writing by the Board in its sole discretion, the Company shall not make or provide any Severance Benefits under this Section 4 (other than accrued Base Salary as of the termination date) unless the Executive timely executes and delivers to the Company a general release (which shall be provided by the Company not later than</w:t>
      </w:r>
    </w:p>
    <w:p>
      <w:pPr>
        <w:sectPr>
          <w:pgSz w:w="11900" w:h="16875" w:orient="portrait"/>
          <w:cols w:equalWidth="0" w:num="1">
            <w:col w:w="11420"/>
          </w:cols>
          <w:pgMar w:left="240" w:top="127" w:right="239" w:bottom="0" w:gutter="0" w:footer="0" w:header="0"/>
        </w:sectPr>
      </w:pPr>
    </w:p>
    <w:bookmarkStart w:id="474" w:name="page475"/>
    <w:bookmarkEnd w:id="474"/>
    <w:p>
      <w:pPr>
        <w:ind w:right="40"/>
        <w:spacing w:after="0" w:line="283" w:lineRule="auto"/>
        <w:rPr>
          <w:sz w:val="20"/>
          <w:szCs w:val="20"/>
          <w:color w:val="auto"/>
        </w:rPr>
      </w:pPr>
      <w:r>
        <w:rPr>
          <w:rFonts w:ascii="Arial" w:cs="Arial" w:eastAsia="Arial" w:hAnsi="Arial"/>
          <w:sz w:val="16"/>
          <w:szCs w:val="16"/>
          <w:color w:val="auto"/>
        </w:rPr>
        <w:t xml:space="preserve">five (5) days from the date on which the Executive’s employment is terminated and be substantially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whereby the Executive (or his estate or legally appointed personal representative) releases the Company (and affiliates of the Company and other designated persons) from all employment based or related claims of the Executive and all obligations of the Company to the Executive other than with respect to (x) the Company’s obligations to make and provide the Severance Benefits and (y) any vested benefits to which the Executive is entitled under the terms of any Company benefit or equity plan, and the Executive does not revoke such release within any applicable revocation period following the Executive’s delivery of the executed release to the Company. If the requirements of this Section 4(d) are not satisfied by the Executive (or his estate or legally appointed personal representative), then no Severance Benefits (other than accrued salary as of the termination date) shall be due to the Executive (or his estate) pursuant to this Agreement.</w:t>
      </w:r>
    </w:p>
    <w:p>
      <w:pPr>
        <w:spacing w:after="0" w:line="165" w:lineRule="exact"/>
        <w:rPr>
          <w:sz w:val="20"/>
          <w:szCs w:val="20"/>
          <w:color w:val="auto"/>
        </w:rPr>
      </w:pPr>
    </w:p>
    <w:p>
      <w:pPr>
        <w:ind w:right="80" w:firstLine="1263"/>
        <w:spacing w:after="0" w:line="262" w:lineRule="auto"/>
        <w:tabs>
          <w:tab w:leader="none" w:pos="1898" w:val="left"/>
        </w:tabs>
        <w:numPr>
          <w:ilvl w:val="1"/>
          <w:numId w:val="879"/>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employment by the Company or the Executive shall be communicated by a written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of Termination</w:t>
      </w:r>
      <w:r>
        <w:rPr>
          <w:rFonts w:ascii="Arial" w:cs="Arial" w:eastAsia="Arial" w:hAnsi="Arial"/>
          <w:sz w:val="17"/>
          <w:szCs w:val="17"/>
          <w:color w:val="auto"/>
        </w:rPr>
        <w:t>” to the other party hereto given in accordance with Section 8(</w:t>
      </w:r>
      <w:r>
        <w:rPr>
          <w:rFonts w:ascii="Arial" w:cs="Arial" w:eastAsia="Arial" w:hAnsi="Arial"/>
          <w:sz w:val="17"/>
          <w:szCs w:val="17"/>
          <w:i w:val="1"/>
          <w:iCs w:val="1"/>
          <w:color w:val="auto"/>
        </w:rPr>
        <w:t>l</w:t>
      </w:r>
      <w:r>
        <w:rPr>
          <w:rFonts w:ascii="Arial" w:cs="Arial" w:eastAsia="Arial" w:hAnsi="Arial"/>
          <w:sz w:val="17"/>
          <w:szCs w:val="17"/>
          <w:color w:val="auto"/>
        </w:rPr>
        <w:t>) of this Agreement. In the event of a termination by the Company for Cause,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of Termination shall (i) indicate the specific termination provision in this Agreement relied upon, (ii) set forth in reasonable detail the facts and circumstances claimed to provide a basis for termination of the Executive’s employment under the provision so indicated and (iii) specify the date of termination. The failure by the Executive or the Company to set forth in the Notice of Termination any fact or circumstance which contributes to a showing of Cause shall not waive any right of the Executive or the Company, respectively, hereunder or preclude the Executive or the Company, respectively, from asserting such fact or circumstance in enforcing the Executive’s or the Company’s rights hereunder.</w:t>
      </w:r>
    </w:p>
    <w:p>
      <w:pPr>
        <w:spacing w:after="0" w:line="178" w:lineRule="exact"/>
        <w:rPr>
          <w:rFonts w:ascii="Arial" w:cs="Arial" w:eastAsia="Arial" w:hAnsi="Arial"/>
          <w:sz w:val="17"/>
          <w:szCs w:val="17"/>
          <w:color w:val="auto"/>
        </w:rPr>
      </w:pPr>
    </w:p>
    <w:p>
      <w:pPr>
        <w:ind w:right="40" w:firstLine="634"/>
        <w:spacing w:after="0" w:line="302" w:lineRule="auto"/>
        <w:tabs>
          <w:tab w:leader="none" w:pos="1258" w:val="left"/>
        </w:tabs>
        <w:numPr>
          <w:ilvl w:val="0"/>
          <w:numId w:val="880"/>
        </w:numPr>
        <w:rPr>
          <w:rFonts w:ascii="Arial" w:cs="Arial" w:eastAsia="Arial" w:hAnsi="Arial"/>
          <w:sz w:val="16"/>
          <w:szCs w:val="16"/>
          <w:color w:val="auto"/>
        </w:rPr>
      </w:pPr>
      <w:r>
        <w:rPr>
          <w:rFonts w:ascii="Arial" w:cs="Arial" w:eastAsia="Arial" w:hAnsi="Arial"/>
          <w:sz w:val="16"/>
          <w:szCs w:val="16"/>
          <w:b w:val="1"/>
          <w:bCs w:val="1"/>
          <w:u w:val="single" w:color="auto"/>
          <w:color w:val="auto"/>
        </w:rPr>
        <w:t>Section 280G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in this Agreement to the contrary, if the Executive is a “disqualified individual” (as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in Section 280G(c) of the Code), and the payments and benefits provided for in this Agreement, together with any other payments and benefits which the Executive has the right to receive from the Company or any other person, would constitute a “parachute payment” (as defined in Section 280G(b)(2) of the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Code), then the payments and benefits provided for in this Agreement shall be either (a) reduced (but not below zero) so that the present value of such total amounts and benefits received by the Executive from the Company and/or such person(s) will be $1.00 less than three (3) times the Executive’s “base amount” (as defined in Section 280G(b)(3) of the Code) and so that no portion of such amounts and benefits received by the Executive shall be subject to the excise tax imposed by Section 4999 of the Code or (b) paid in full, whichever produces the better “net after-tax position” to the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shall be made by the Company in good faith. If a reduced payment or benefit is made or provided and through error or otherwise that payment or benefit, when aggregated with other payments and benefits from the Company (or its affiliates) used in determining if a “parachute payment” exists, exceeds $1.00 less than three (3) times the Executive’s base amount, then the Executive shall immediately repay such excess to the Company upon notification that an overpayment has been made. Nothing in this paragraph shall require the Company to be responsible for, or have any liability or obligation with respect to, the Executive’s excise tax liabilities under Section 4999 of the Code.</w:t>
      </w:r>
    </w:p>
    <w:p>
      <w:pPr>
        <w:spacing w:after="0" w:line="170" w:lineRule="exact"/>
        <w:rPr>
          <w:sz w:val="20"/>
          <w:szCs w:val="20"/>
          <w:color w:val="auto"/>
        </w:rPr>
      </w:pPr>
    </w:p>
    <w:p>
      <w:pPr>
        <w:jc w:val="both"/>
        <w:ind w:right="220" w:firstLine="634"/>
        <w:spacing w:after="0" w:line="292" w:lineRule="auto"/>
        <w:tabs>
          <w:tab w:leader="none" w:pos="1258" w:val="left"/>
        </w:tabs>
        <w:numPr>
          <w:ilvl w:val="0"/>
          <w:numId w:val="881"/>
        </w:numPr>
        <w:rPr>
          <w:rFonts w:ascii="Arial" w:cs="Arial" w:eastAsia="Arial" w:hAnsi="Arial"/>
          <w:sz w:val="16"/>
          <w:szCs w:val="16"/>
          <w:color w:val="auto"/>
        </w:rPr>
      </w:pPr>
      <w:r>
        <w:rPr>
          <w:rFonts w:ascii="Arial" w:cs="Arial" w:eastAsia="Arial" w:hAnsi="Arial"/>
          <w:sz w:val="16"/>
          <w:szCs w:val="16"/>
          <w:b w:val="1"/>
          <w:bCs w:val="1"/>
          <w:u w:val="single" w:color="auto"/>
          <w:color w:val="auto"/>
        </w:rPr>
        <w:t>Section 409A of the Code</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intended to either avoid the application of, or comply with, Section 409A of the Code. To that</w:t>
      </w:r>
      <w:r>
        <w:rPr>
          <w:rFonts w:ascii="Arial" w:cs="Arial" w:eastAsia="Arial" w:hAnsi="Arial"/>
          <w:sz w:val="16"/>
          <w:szCs w:val="16"/>
          <w:b w:val="1"/>
          <w:bCs w:val="1"/>
          <w:color w:val="auto"/>
        </w:rPr>
        <w:t xml:space="preserve"> </w:t>
      </w:r>
      <w:r>
        <w:rPr>
          <w:rFonts w:ascii="Arial" w:cs="Arial" w:eastAsia="Arial" w:hAnsi="Arial"/>
          <w:sz w:val="16"/>
          <w:szCs w:val="16"/>
          <w:color w:val="auto"/>
        </w:rPr>
        <w:t>end this Agreement shall at all times be interpreted in a manner that is consistent with Section 409A. Notwithstanding any other provision in this Agreement to the contrary, the Company shall have the right, in its sole discretion, to adopt such amendments to this Agreement or take such other actions (including amendments and actions with retroactive effect) as it determines is necessary or appropriate for this Agreement to comply with Section 409A. Further:</w:t>
      </w:r>
    </w:p>
    <w:p>
      <w:pPr>
        <w:spacing w:after="0" w:line="159" w:lineRule="exact"/>
        <w:rPr>
          <w:rFonts w:ascii="Arial" w:cs="Arial" w:eastAsia="Arial" w:hAnsi="Arial"/>
          <w:sz w:val="16"/>
          <w:szCs w:val="16"/>
          <w:color w:val="auto"/>
        </w:rPr>
      </w:pPr>
    </w:p>
    <w:p>
      <w:pPr>
        <w:ind w:right="100" w:firstLine="1263"/>
        <w:spacing w:after="0" w:line="265" w:lineRule="auto"/>
        <w:tabs>
          <w:tab w:leader="none" w:pos="1885" w:val="left"/>
        </w:tabs>
        <w:numPr>
          <w:ilvl w:val="1"/>
          <w:numId w:val="881"/>
        </w:numPr>
        <w:rPr>
          <w:rFonts w:ascii="Arial" w:cs="Arial" w:eastAsia="Arial" w:hAnsi="Arial"/>
          <w:sz w:val="17"/>
          <w:szCs w:val="17"/>
          <w:color w:val="auto"/>
        </w:rPr>
      </w:pPr>
      <w:r>
        <w:rPr>
          <w:rFonts w:ascii="Arial" w:cs="Arial" w:eastAsia="Arial" w:hAnsi="Arial"/>
          <w:sz w:val="17"/>
          <w:szCs w:val="17"/>
          <w:color w:val="auto"/>
        </w:rPr>
        <w:t>Any reimbursement of any costs and expenses by the Company to the Executive under this Agreement shall be made by the Company in no event later than the close of the Executive’s taxable year following the taxable year in which the cost or expense is incurred by the Executive. The expenses incurred by the Executive in any calendar year that are eligible for reimbursement under this Agreement shall not affect the expenses incurred by the Executive in any other calendar year that are eligible for reimbursement hereunder and the Executive’s right to receive any reimbursement hereunder shall not be subject to liquidation or exchange for any other benefit.</w:t>
      </w:r>
    </w:p>
    <w:p>
      <w:pPr>
        <w:spacing w:after="0" w:line="179" w:lineRule="exact"/>
        <w:rPr>
          <w:rFonts w:ascii="Arial" w:cs="Arial" w:eastAsia="Arial" w:hAnsi="Arial"/>
          <w:sz w:val="17"/>
          <w:szCs w:val="17"/>
          <w:color w:val="auto"/>
        </w:rPr>
      </w:pPr>
    </w:p>
    <w:p>
      <w:pPr>
        <w:ind w:left="1900" w:hanging="637"/>
        <w:spacing w:after="0"/>
        <w:tabs>
          <w:tab w:leader="none" w:pos="1900" w:val="left"/>
        </w:tabs>
        <w:numPr>
          <w:ilvl w:val="1"/>
          <w:numId w:val="881"/>
        </w:numPr>
        <w:rPr>
          <w:rFonts w:ascii="Arial" w:cs="Arial" w:eastAsia="Arial" w:hAnsi="Arial"/>
          <w:sz w:val="17"/>
          <w:szCs w:val="17"/>
          <w:color w:val="auto"/>
        </w:rPr>
      </w:pPr>
      <w:r>
        <w:rPr>
          <w:rFonts w:ascii="Arial" w:cs="Arial" w:eastAsia="Arial" w:hAnsi="Arial"/>
          <w:sz w:val="17"/>
          <w:szCs w:val="17"/>
          <w:color w:val="auto"/>
        </w:rPr>
        <w:t>Each payment that the Executive may receive under this Agreement shall be treated as a “separate payment” for purposes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Section 409A of the Code.</w:t>
      </w:r>
    </w:p>
    <w:p>
      <w:pPr>
        <w:spacing w:after="0" w:line="206" w:lineRule="exact"/>
        <w:rPr>
          <w:sz w:val="20"/>
          <w:szCs w:val="20"/>
          <w:color w:val="auto"/>
        </w:rPr>
      </w:pPr>
    </w:p>
    <w:p>
      <w:pPr>
        <w:ind w:firstLine="634"/>
        <w:spacing w:after="0" w:line="277" w:lineRule="auto"/>
        <w:tabs>
          <w:tab w:leader="none" w:pos="1258" w:val="left"/>
        </w:tabs>
        <w:numPr>
          <w:ilvl w:val="0"/>
          <w:numId w:val="882"/>
        </w:numPr>
        <w:rPr>
          <w:rFonts w:ascii="Arial" w:cs="Arial" w:eastAsia="Arial" w:hAnsi="Arial"/>
          <w:sz w:val="17"/>
          <w:szCs w:val="17"/>
          <w:color w:val="auto"/>
        </w:rPr>
      </w:pPr>
      <w:r>
        <w:rPr>
          <w:rFonts w:ascii="Arial" w:cs="Arial" w:eastAsia="Arial" w:hAnsi="Arial"/>
          <w:sz w:val="17"/>
          <w:szCs w:val="17"/>
          <w:b w:val="1"/>
          <w:bCs w:val="1"/>
          <w:u w:val="single" w:color="auto"/>
          <w:color w:val="auto"/>
        </w:rPr>
        <w:t>Agreement Ancillary to Other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ancillary to and part of the Inventions, Confidentiality, Non-Competition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Non-Solicitation Agreement, attached hereto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between the Company and the Executive and furthers the Company’s agreements to: (i) disclose, and to continue to disclose its Confidential Information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and Trade Secrets to the Executive; (ii) provide initial and continued training, education and development to the Executive; (iii) provide the Executive with Confidential Information and Trade Secrets about, and the opportunity to develop relationships with, the Company’s employees, Customers and Suppliers, and employees and agents of its Customers and Suppliers. A default under or breach of the Inventions, Confidentiality, Non-Competition and Non-Solicitation Agreement shall constitute a material breach of this Agreement.</w:t>
      </w:r>
    </w:p>
    <w:p>
      <w:pPr>
        <w:spacing w:after="0" w:line="170" w:lineRule="exact"/>
        <w:rPr>
          <w:sz w:val="20"/>
          <w:szCs w:val="20"/>
          <w:color w:val="auto"/>
        </w:rPr>
      </w:pPr>
    </w:p>
    <w:p>
      <w:pPr>
        <w:ind w:left="1260" w:hanging="626"/>
        <w:spacing w:after="0"/>
        <w:tabs>
          <w:tab w:leader="none" w:pos="1260" w:val="left"/>
        </w:tabs>
        <w:numPr>
          <w:ilvl w:val="0"/>
          <w:numId w:val="883"/>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color w:val="auto"/>
        </w:rPr>
      </w:pPr>
    </w:p>
    <w:p>
      <w:pPr>
        <w:ind w:right="40" w:firstLine="1263"/>
        <w:spacing w:after="0" w:line="265" w:lineRule="auto"/>
        <w:tabs>
          <w:tab w:leader="none" w:pos="1885" w:val="left"/>
        </w:tabs>
        <w:numPr>
          <w:ilvl w:val="1"/>
          <w:numId w:val="883"/>
        </w:numPr>
        <w:rPr>
          <w:rFonts w:ascii="Arial" w:cs="Arial" w:eastAsia="Arial" w:hAnsi="Arial"/>
          <w:sz w:val="17"/>
          <w:szCs w:val="17"/>
          <w:color w:val="auto"/>
        </w:rPr>
      </w:pPr>
      <w:r>
        <w:rPr>
          <w:rFonts w:ascii="Arial" w:cs="Arial" w:eastAsia="Arial" w:hAnsi="Arial"/>
          <w:sz w:val="17"/>
          <w:szCs w:val="17"/>
          <w:u w:val="single" w:color="auto"/>
          <w:color w:val="auto"/>
        </w:rPr>
        <w:t>Defense of Claims</w:t>
      </w:r>
      <w:r>
        <w:rPr>
          <w:rFonts w:ascii="Arial" w:cs="Arial" w:eastAsia="Arial" w:hAnsi="Arial"/>
          <w:sz w:val="17"/>
          <w:szCs w:val="17"/>
          <w:color w:val="auto"/>
        </w:rPr>
        <w:t>. The Executive agrees that, during the Term, and for a period of twelve (12) months after termination of the Executive’s employment, upon request from the Company, the Executive will cooperate with the Company in the defense of any claims or actions that may be made by or against the Company that affect the Executive’s prior areas of responsibility, except if the Executive’s reasonable interests are adverse to the Company in such claim or action. The Company agrees to promptly reimburse the Executive for all of the Executive’s reasonable legal fees, travel and other direct expenses incurred, or to be reasonably incurred, to comply with the Executive’s obligations under this Section 8(a).</w:t>
      </w:r>
    </w:p>
    <w:p>
      <w:pPr>
        <w:spacing w:after="0" w:line="179" w:lineRule="exact"/>
        <w:rPr>
          <w:rFonts w:ascii="Arial" w:cs="Arial" w:eastAsia="Arial" w:hAnsi="Arial"/>
          <w:sz w:val="17"/>
          <w:szCs w:val="17"/>
          <w:color w:val="auto"/>
        </w:rPr>
      </w:pPr>
    </w:p>
    <w:p>
      <w:pPr>
        <w:ind w:right="40" w:firstLine="1263"/>
        <w:spacing w:after="0" w:line="273" w:lineRule="auto"/>
        <w:tabs>
          <w:tab w:leader="none" w:pos="1895" w:val="left"/>
        </w:tabs>
        <w:numPr>
          <w:ilvl w:val="1"/>
          <w:numId w:val="883"/>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The Parties agree that at no time during the Executive’s employment by the Company or thereafter shall either Party make, or cause or assist any other person to make, any statement or other communication to any third party which impugns or attacks, or is otherwise critical of, the reputation, business or character of the other Party, or their affiliates or any of its respective directors, officers or employees.</w:t>
      </w:r>
    </w:p>
    <w:p>
      <w:pPr>
        <w:sectPr>
          <w:pgSz w:w="11900" w:h="16838" w:orient="portrait"/>
          <w:cols w:equalWidth="0" w:num="1">
            <w:col w:w="11420"/>
          </w:cols>
          <w:pgMar w:left="240" w:top="121" w:right="239" w:bottom="36" w:gutter="0" w:footer="0" w:header="0"/>
        </w:sectPr>
      </w:pPr>
    </w:p>
    <w:bookmarkStart w:id="475" w:name="page476"/>
    <w:bookmarkEnd w:id="475"/>
    <w:p>
      <w:pPr>
        <w:jc w:val="both"/>
        <w:ind w:right="120" w:firstLine="1263"/>
        <w:spacing w:after="0" w:line="265" w:lineRule="auto"/>
        <w:tabs>
          <w:tab w:leader="none" w:pos="1898" w:val="left"/>
        </w:tabs>
        <w:numPr>
          <w:ilvl w:val="0"/>
          <w:numId w:val="884"/>
        </w:numPr>
        <w:rPr>
          <w:rFonts w:ascii="Arial" w:cs="Arial" w:eastAsia="Arial" w:hAnsi="Arial"/>
          <w:sz w:val="17"/>
          <w:szCs w:val="17"/>
          <w:color w:val="auto"/>
        </w:rPr>
      </w:pPr>
      <w:r>
        <w:rPr>
          <w:rFonts w:ascii="Arial" w:cs="Arial" w:eastAsia="Arial" w:hAnsi="Arial"/>
          <w:sz w:val="17"/>
          <w:szCs w:val="17"/>
          <w:u w:val="single" w:color="auto"/>
          <w:color w:val="auto"/>
        </w:rPr>
        <w:t>Source of Payments</w:t>
      </w:r>
      <w:r>
        <w:rPr>
          <w:rFonts w:ascii="Arial" w:cs="Arial" w:eastAsia="Arial" w:hAnsi="Arial"/>
          <w:sz w:val="17"/>
          <w:szCs w:val="17"/>
          <w:color w:val="auto"/>
        </w:rPr>
        <w:t>. All payments provided under this Agreement, other than payments made pursuant to a plan or agreement which provides otherwise, shall be paid in cash from the general funds of the Company, and no special or separate fund shall be established, and no other segregation of assets shall be made, to assure payment. The Executive shall have no right, title or interest whatsoever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79" w:lineRule="exact"/>
        <w:rPr>
          <w:rFonts w:ascii="Arial" w:cs="Arial" w:eastAsia="Arial" w:hAnsi="Arial"/>
          <w:sz w:val="17"/>
          <w:szCs w:val="17"/>
          <w:color w:val="auto"/>
        </w:rPr>
      </w:pPr>
    </w:p>
    <w:p>
      <w:pPr>
        <w:ind w:right="40" w:firstLine="1263"/>
        <w:spacing w:after="0" w:line="285" w:lineRule="auto"/>
        <w:tabs>
          <w:tab w:leader="none" w:pos="1895" w:val="left"/>
        </w:tabs>
        <w:numPr>
          <w:ilvl w:val="0"/>
          <w:numId w:val="884"/>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Any dispute or controversy arising under or in connection with this Agreement or otherwise in connection with the Executive’s employment by the Company that cannot be mutually resolved by the parties to this Agreement and their respective advisors and representatives shall be settled exclusively by arbitration in Harris County, Houston, Texas in accordance with the rules of the American Arbitration Association before one arbitrator of exemplary qualifications and stature, who shall be selected jointly by an individual to be designated by the Company and an individual to be selected by the Executive, or if such two individuals cannot agree on the selection of the arbitrator, who shall be selected by the American Arbitration Association.</w:t>
      </w:r>
    </w:p>
    <w:p>
      <w:pPr>
        <w:spacing w:after="0" w:line="166" w:lineRule="exact"/>
        <w:rPr>
          <w:rFonts w:ascii="Arial" w:cs="Arial" w:eastAsia="Arial" w:hAnsi="Arial"/>
          <w:sz w:val="16"/>
          <w:szCs w:val="16"/>
          <w:color w:val="auto"/>
        </w:rPr>
      </w:pPr>
    </w:p>
    <w:p>
      <w:pPr>
        <w:ind w:right="360" w:firstLine="1263"/>
        <w:spacing w:after="0" w:line="289" w:lineRule="auto"/>
        <w:tabs>
          <w:tab w:leader="none" w:pos="1898" w:val="left"/>
        </w:tabs>
        <w:numPr>
          <w:ilvl w:val="0"/>
          <w:numId w:val="884"/>
        </w:numPr>
        <w:rPr>
          <w:rFonts w:ascii="Arial" w:cs="Arial" w:eastAsia="Arial" w:hAnsi="Arial"/>
          <w:sz w:val="17"/>
          <w:szCs w:val="17"/>
          <w:color w:val="auto"/>
        </w:rPr>
      </w:pPr>
      <w:r>
        <w:rPr>
          <w:rFonts w:ascii="Arial" w:cs="Arial" w:eastAsia="Arial" w:hAnsi="Arial"/>
          <w:sz w:val="17"/>
          <w:szCs w:val="17"/>
          <w:u w:val="single" w:color="auto"/>
          <w:color w:val="auto"/>
        </w:rPr>
        <w:t>Amendment, Waiver</w:t>
      </w:r>
      <w:r>
        <w:rPr>
          <w:rFonts w:ascii="Arial" w:cs="Arial" w:eastAsia="Arial" w:hAnsi="Arial"/>
          <w:sz w:val="17"/>
          <w:szCs w:val="17"/>
          <w:color w:val="auto"/>
        </w:rPr>
        <w:t>. This Agreement may not be modified, amended or waived in any manner, except by an instrument in writing signed by both parties hereto. The waiver by either party of compliance with any provision of this Agreement by the other party</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shall not operate or be construed as a waiver of any other provision of this Agreement, or of any subsequent breach by such party of a provision of this Agreement.</w:t>
      </w:r>
    </w:p>
    <w:p>
      <w:pPr>
        <w:spacing w:after="0" w:line="247" w:lineRule="exact"/>
        <w:rPr>
          <w:sz w:val="20"/>
          <w:szCs w:val="20"/>
          <w:color w:val="auto"/>
        </w:rPr>
      </w:pPr>
    </w:p>
    <w:p>
      <w:pPr>
        <w:ind w:right="60" w:firstLine="1263"/>
        <w:spacing w:after="0" w:line="268" w:lineRule="auto"/>
        <w:tabs>
          <w:tab w:leader="none" w:pos="1892" w:val="left"/>
        </w:tabs>
        <w:numPr>
          <w:ilvl w:val="0"/>
          <w:numId w:val="885"/>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entire agreement and understanding of the parties hereto with respect to the matters covered herein and supersedes all prior or contemporaneous negotiations, commitments, agreements and writings with respect to the subject matter hereof, all such other negotiations, commitments, agreements and writings shall have no further force or effect, and the parties to any such other negotiation, commitment, agreement or writing shall have no further rights or obligations thereunder.</w:t>
      </w:r>
    </w:p>
    <w:p>
      <w:pPr>
        <w:spacing w:after="0" w:line="175" w:lineRule="exact"/>
        <w:rPr>
          <w:rFonts w:ascii="Arial" w:cs="Arial" w:eastAsia="Arial" w:hAnsi="Arial"/>
          <w:sz w:val="17"/>
          <w:szCs w:val="17"/>
          <w:color w:val="auto"/>
        </w:rPr>
      </w:pPr>
    </w:p>
    <w:p>
      <w:pPr>
        <w:ind w:right="40" w:firstLine="1263"/>
        <w:spacing w:after="0" w:line="273" w:lineRule="auto"/>
        <w:tabs>
          <w:tab w:leader="none" w:pos="1908" w:val="left"/>
        </w:tabs>
        <w:numPr>
          <w:ilvl w:val="0"/>
          <w:numId w:val="885"/>
        </w:numPr>
        <w:rPr>
          <w:rFonts w:ascii="Arial" w:cs="Arial" w:eastAsia="Arial" w:hAnsi="Arial"/>
          <w:sz w:val="17"/>
          <w:szCs w:val="17"/>
          <w:color w:val="auto"/>
        </w:rPr>
      </w:pPr>
      <w:r>
        <w:rPr>
          <w:rFonts w:ascii="Arial" w:cs="Arial" w:eastAsia="Arial" w:hAnsi="Arial"/>
          <w:sz w:val="17"/>
          <w:szCs w:val="17"/>
          <w:u w:val="single" w:color="auto"/>
          <w:color w:val="auto"/>
        </w:rPr>
        <w:t>Governing Law/Venue</w:t>
      </w:r>
      <w:r>
        <w:rPr>
          <w:rFonts w:ascii="Arial" w:cs="Arial" w:eastAsia="Arial" w:hAnsi="Arial"/>
          <w:sz w:val="17"/>
          <w:szCs w:val="17"/>
          <w:color w:val="auto"/>
        </w:rPr>
        <w:t>. This Agreement shall be governed by and construed in accordance with the laws of the State of Texas, without regard to conflict of laws principles thereof. Each party to this Agreement hereby irrevocably submits to the exclusive jurisdiction of the state and federal courts in Houston, Texas, for the purposes of any proceeding arising out of or based upon this Agreement.</w:t>
      </w:r>
    </w:p>
    <w:p>
      <w:pPr>
        <w:spacing w:after="0" w:line="171" w:lineRule="exact"/>
        <w:rPr>
          <w:rFonts w:ascii="Arial" w:cs="Arial" w:eastAsia="Arial" w:hAnsi="Arial"/>
          <w:sz w:val="17"/>
          <w:szCs w:val="17"/>
          <w:color w:val="auto"/>
        </w:rPr>
      </w:pPr>
    </w:p>
    <w:p>
      <w:pPr>
        <w:ind w:right="100" w:firstLine="1263"/>
        <w:spacing w:after="0" w:line="360" w:lineRule="auto"/>
        <w:tabs>
          <w:tab w:leader="none" w:pos="1895" w:val="left"/>
        </w:tabs>
        <w:numPr>
          <w:ilvl w:val="0"/>
          <w:numId w:val="885"/>
        </w:numPr>
        <w:rPr>
          <w:rFonts w:ascii="Arial" w:cs="Arial" w:eastAsia="Arial" w:hAnsi="Arial"/>
          <w:sz w:val="15"/>
          <w:szCs w:val="15"/>
          <w:color w:val="auto"/>
        </w:rPr>
      </w:pPr>
      <w:r>
        <w:rPr>
          <w:rFonts w:ascii="Arial" w:cs="Arial" w:eastAsia="Arial" w:hAnsi="Arial"/>
          <w:sz w:val="15"/>
          <w:szCs w:val="15"/>
          <w:u w:val="single" w:color="auto"/>
          <w:color w:val="auto"/>
        </w:rPr>
        <w:t>No Waiver</w:t>
      </w:r>
      <w:r>
        <w:rPr>
          <w:rFonts w:ascii="Arial" w:cs="Arial" w:eastAsia="Arial" w:hAnsi="Arial"/>
          <w:sz w:val="15"/>
          <w:szCs w:val="15"/>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11" w:lineRule="exact"/>
        <w:rPr>
          <w:rFonts w:ascii="Arial" w:cs="Arial" w:eastAsia="Arial" w:hAnsi="Arial"/>
          <w:sz w:val="15"/>
          <w:szCs w:val="15"/>
          <w:color w:val="auto"/>
        </w:rPr>
      </w:pPr>
    </w:p>
    <w:p>
      <w:pPr>
        <w:ind w:right="100" w:firstLine="1263"/>
        <w:spacing w:after="0" w:line="289" w:lineRule="auto"/>
        <w:tabs>
          <w:tab w:leader="none" w:pos="1909" w:val="left"/>
        </w:tabs>
        <w:numPr>
          <w:ilvl w:val="0"/>
          <w:numId w:val="88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158" w:lineRule="exact"/>
        <w:rPr>
          <w:rFonts w:ascii="Arial" w:cs="Arial" w:eastAsia="Arial" w:hAnsi="Arial"/>
          <w:sz w:val="17"/>
          <w:szCs w:val="17"/>
          <w:color w:val="auto"/>
        </w:rPr>
      </w:pPr>
    </w:p>
    <w:p>
      <w:pPr>
        <w:jc w:val="both"/>
        <w:ind w:right="100" w:firstLine="1263"/>
        <w:spacing w:after="0" w:line="265" w:lineRule="auto"/>
        <w:tabs>
          <w:tab w:leader="none" w:pos="1895" w:val="left"/>
        </w:tabs>
        <w:numPr>
          <w:ilvl w:val="0"/>
          <w:numId w:val="885"/>
        </w:numPr>
        <w:rPr>
          <w:rFonts w:ascii="Arial" w:cs="Arial" w:eastAsia="Arial" w:hAnsi="Arial"/>
          <w:sz w:val="17"/>
          <w:szCs w:val="17"/>
          <w:color w:val="auto"/>
        </w:rPr>
      </w:pPr>
      <w:r>
        <w:rPr>
          <w:rFonts w:ascii="Arial" w:cs="Arial" w:eastAsia="Arial" w:hAnsi="Arial"/>
          <w:sz w:val="17"/>
          <w:szCs w:val="17"/>
          <w:u w:val="single" w:color="auto"/>
          <w:color w:val="auto"/>
        </w:rPr>
        <w:t>No Assignment</w:t>
      </w:r>
      <w:r>
        <w:rPr>
          <w:rFonts w:ascii="Arial" w:cs="Arial" w:eastAsia="Arial" w:hAnsi="Arial"/>
          <w:sz w:val="17"/>
          <w:szCs w:val="17"/>
          <w:color w:val="auto"/>
        </w:rPr>
        <w:t>. Neither this Agreement nor any of the Executive’s rights and duties hereunder, shall be assignable or delegable by the Executive. Any purported assignment or delegation by the Executive in violation of the foregoing shall be null and void ab initio and of no force and effect. 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79" w:lineRule="exact"/>
        <w:rPr>
          <w:rFonts w:ascii="Arial" w:cs="Arial" w:eastAsia="Arial" w:hAnsi="Arial"/>
          <w:sz w:val="17"/>
          <w:szCs w:val="17"/>
          <w:color w:val="auto"/>
        </w:rPr>
      </w:pPr>
    </w:p>
    <w:p>
      <w:pPr>
        <w:ind w:right="300" w:firstLine="1263"/>
        <w:spacing w:after="0" w:line="289" w:lineRule="auto"/>
        <w:tabs>
          <w:tab w:leader="none" w:pos="1895" w:val="left"/>
        </w:tabs>
        <w:numPr>
          <w:ilvl w:val="0"/>
          <w:numId w:val="885"/>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This Agreement shall inure to the benefit of and be binding upon personal or legal representatives, executors, administrators, successors, heirs, distributees, devisees and legatees.</w:t>
      </w:r>
    </w:p>
    <w:p>
      <w:pPr>
        <w:spacing w:after="0" w:line="158" w:lineRule="exact"/>
        <w:rPr>
          <w:rFonts w:ascii="Arial" w:cs="Arial" w:eastAsia="Arial" w:hAnsi="Arial"/>
          <w:sz w:val="17"/>
          <w:szCs w:val="17"/>
          <w:color w:val="auto"/>
        </w:rPr>
      </w:pPr>
    </w:p>
    <w:p>
      <w:pPr>
        <w:ind w:right="300" w:firstLine="1263"/>
        <w:spacing w:after="0" w:line="290" w:lineRule="auto"/>
        <w:tabs>
          <w:tab w:leader="none" w:pos="1909" w:val="left"/>
        </w:tabs>
        <w:numPr>
          <w:ilvl w:val="0"/>
          <w:numId w:val="88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For the purpose of this Agreement, notices and all other communications provided for in the Agreement shall be in writing and shall be deemed to have been duly given when delivered by hand or overnight courier or three (3)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7"/>
                <w:szCs w:val="17"/>
                <w:b w:val="1"/>
                <w:bCs w:val="1"/>
                <w:color w:val="auto"/>
              </w:rPr>
              <w:t>If to the Company:</w:t>
            </w:r>
          </w:p>
        </w:tc>
        <w:tc>
          <w:tcPr>
            <w:tcW w:w="7860" w:type="dxa"/>
            <w:vAlign w:val="bottom"/>
          </w:tcPr>
          <w:p>
            <w:pPr>
              <w:ind w:left="920"/>
              <w:spacing w:after="0"/>
              <w:rPr>
                <w:sz w:val="20"/>
                <w:szCs w:val="20"/>
                <w:color w:val="auto"/>
              </w:rPr>
            </w:pPr>
            <w:r>
              <w:rPr>
                <w:rFonts w:ascii="Arial" w:cs="Arial" w:eastAsia="Arial" w:hAnsi="Arial"/>
                <w:sz w:val="17"/>
                <w:szCs w:val="17"/>
                <w:color w:val="auto"/>
              </w:rPr>
              <w:t>13115 Jess Pirtle Blvd.</w:t>
            </w:r>
          </w:p>
        </w:tc>
      </w:tr>
      <w:tr>
        <w:trPr>
          <w:trHeight w:val="229"/>
        </w:trPr>
        <w:tc>
          <w:tcPr>
            <w:tcW w:w="126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7860" w:type="dxa"/>
            <w:vAlign w:val="bottom"/>
          </w:tcPr>
          <w:p>
            <w:pPr>
              <w:ind w:left="920"/>
              <w:spacing w:after="0"/>
              <w:rPr>
                <w:sz w:val="20"/>
                <w:szCs w:val="20"/>
                <w:color w:val="auto"/>
              </w:rPr>
            </w:pPr>
            <w:r>
              <w:rPr>
                <w:rFonts w:ascii="Arial" w:cs="Arial" w:eastAsia="Arial" w:hAnsi="Arial"/>
                <w:sz w:val="17"/>
                <w:szCs w:val="17"/>
                <w:color w:val="auto"/>
              </w:rPr>
              <w:t>Sugar Land, Texas 77478</w:t>
            </w:r>
          </w:p>
        </w:tc>
      </w:tr>
      <w:tr>
        <w:trPr>
          <w:trHeight w:val="419"/>
        </w:trPr>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60" w:type="dxa"/>
            <w:vAlign w:val="bottom"/>
          </w:tcPr>
          <w:p>
            <w:pPr>
              <w:jc w:val="right"/>
              <w:ind w:right="5613"/>
              <w:spacing w:after="0"/>
              <w:rPr>
                <w:sz w:val="20"/>
                <w:szCs w:val="20"/>
                <w:color w:val="auto"/>
              </w:rPr>
            </w:pPr>
            <w:r>
              <w:rPr>
                <w:rFonts w:ascii="Arial" w:cs="Arial" w:eastAsia="Arial" w:hAnsi="Arial"/>
                <w:sz w:val="17"/>
                <w:szCs w:val="17"/>
                <w:color w:val="auto"/>
              </w:rPr>
              <w:t>8</w:t>
            </w:r>
          </w:p>
        </w:tc>
      </w:tr>
      <w:tr>
        <w:trPr>
          <w:trHeight w:val="128"/>
        </w:trPr>
        <w:tc>
          <w:tcPr>
            <w:tcW w:w="126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78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60"/>
        <w:spacing w:after="0"/>
        <w:rPr>
          <w:sz w:val="20"/>
          <w:szCs w:val="20"/>
          <w:color w:val="auto"/>
        </w:rPr>
      </w:pPr>
      <w:r>
        <w:rPr>
          <w:rFonts w:ascii="Arial" w:cs="Arial" w:eastAsia="Arial" w:hAnsi="Arial"/>
          <w:sz w:val="17"/>
          <w:szCs w:val="17"/>
          <w:b w:val="1"/>
          <w:bCs w:val="1"/>
          <w:u w:val="single" w:color="auto"/>
          <w:color w:val="auto"/>
        </w:rPr>
        <w:t>If to Executive</w:t>
      </w:r>
      <w:r>
        <w:rPr>
          <w:rFonts w:ascii="Arial" w:cs="Arial" w:eastAsia="Arial" w:hAnsi="Arial"/>
          <w:sz w:val="17"/>
          <w:szCs w:val="17"/>
          <w:b w:val="1"/>
          <w:bCs w:val="1"/>
          <w:color w:val="auto"/>
        </w:rPr>
        <w:t>:</w:t>
      </w:r>
    </w:p>
    <w:p>
      <w:pPr>
        <w:spacing w:after="0" w:line="230" w:lineRule="exact"/>
        <w:rPr>
          <w:sz w:val="20"/>
          <w:szCs w:val="20"/>
          <w:color w:val="auto"/>
        </w:rPr>
      </w:pPr>
    </w:p>
    <w:p>
      <w:pPr>
        <w:ind w:right="100" w:firstLine="1263"/>
        <w:spacing w:after="0" w:line="290" w:lineRule="auto"/>
        <w:tabs>
          <w:tab w:leader="none" w:pos="1891" w:val="left"/>
        </w:tabs>
        <w:numPr>
          <w:ilvl w:val="0"/>
          <w:numId w:val="886"/>
        </w:numPr>
        <w:rPr>
          <w:rFonts w:ascii="Arial" w:cs="Arial" w:eastAsia="Arial" w:hAnsi="Arial"/>
          <w:sz w:val="16"/>
          <w:szCs w:val="16"/>
          <w:color w:val="auto"/>
        </w:rPr>
      </w:pPr>
      <w:r>
        <w:rPr>
          <w:rFonts w:ascii="Arial" w:cs="Arial" w:eastAsia="Arial" w:hAnsi="Arial"/>
          <w:sz w:val="16"/>
          <w:szCs w:val="16"/>
          <w:u w:val="single" w:color="auto"/>
          <w:color w:val="auto"/>
        </w:rPr>
        <w:t>Prior Employment</w:t>
      </w:r>
      <w:r>
        <w:rPr>
          <w:rFonts w:ascii="Arial" w:cs="Arial" w:eastAsia="Arial" w:hAnsi="Arial"/>
          <w:sz w:val="16"/>
          <w:szCs w:val="16"/>
          <w:color w:val="auto"/>
        </w:rPr>
        <w:t>. The Company has employed the Executive for the Executive’s general skills, management abilities and experience in the Company’s business or related industries. The Executive acknowledges that he has been specifically instructed not to bring, disclose or use in any fashion any confidential information, trade secrets, proprietary information, data or technology, nor any confidential pricing information, belonging to any prior employer. In no event is the Executive authorized to use or disclose any such information to the Company or any of its employees.</w:t>
      </w:r>
    </w:p>
    <w:p>
      <w:pPr>
        <w:spacing w:after="0" w:line="159" w:lineRule="exact"/>
        <w:rPr>
          <w:rFonts w:ascii="Arial" w:cs="Arial" w:eastAsia="Arial" w:hAnsi="Arial"/>
          <w:sz w:val="16"/>
          <w:szCs w:val="16"/>
          <w:color w:val="auto"/>
        </w:rPr>
      </w:pPr>
    </w:p>
    <w:p>
      <w:pPr>
        <w:ind w:right="160" w:firstLine="1263"/>
        <w:spacing w:after="0" w:line="263" w:lineRule="auto"/>
        <w:tabs>
          <w:tab w:leader="none" w:pos="1895" w:val="left"/>
        </w:tabs>
        <w:numPr>
          <w:ilvl w:val="0"/>
          <w:numId w:val="886"/>
        </w:numPr>
        <w:rPr>
          <w:rFonts w:ascii="Arial" w:cs="Arial" w:eastAsia="Arial" w:hAnsi="Arial"/>
          <w:sz w:val="17"/>
          <w:szCs w:val="17"/>
          <w:color w:val="auto"/>
        </w:rPr>
      </w:pPr>
      <w:r>
        <w:rPr>
          <w:rFonts w:ascii="Arial" w:cs="Arial" w:eastAsia="Arial" w:hAnsi="Arial"/>
          <w:sz w:val="17"/>
          <w:szCs w:val="17"/>
          <w:u w:val="single" w:color="auto"/>
          <w:color w:val="auto"/>
        </w:rPr>
        <w:t>Executive’s Representations</w:t>
      </w:r>
      <w:r>
        <w:rPr>
          <w:rFonts w:ascii="Arial" w:cs="Arial" w:eastAsia="Arial" w:hAnsi="Arial"/>
          <w:sz w:val="17"/>
          <w:szCs w:val="17"/>
          <w:color w:val="auto"/>
        </w:rPr>
        <w:t>. The Executive hereby represents to the Company that (i) all confidential information, trade secrets or proprietary information, data or technology, belonging to any prior employer, including those that might have been contained on the Executive’s personal computer, cell phone or other electronic communications or storage device have been returned and/or deleted in accordance with any policy of or agreement with the Executive’s prior employer and (ii) the execution and delivery of this Agreement by the Executive and the Company and the performance by the Executive of his duties hereunder shall not constitute a breach of, or otherwise contravene, the terms of any employment agreement or other agreement or policy to which the Executive is a party or otherwise bound.</w:t>
      </w:r>
    </w:p>
    <w:p>
      <w:pPr>
        <w:spacing w:after="0" w:line="183" w:lineRule="exact"/>
        <w:rPr>
          <w:rFonts w:ascii="Arial" w:cs="Arial" w:eastAsia="Arial" w:hAnsi="Arial"/>
          <w:sz w:val="17"/>
          <w:szCs w:val="17"/>
          <w:color w:val="auto"/>
        </w:rPr>
      </w:pPr>
    </w:p>
    <w:p>
      <w:pPr>
        <w:ind w:right="360" w:firstLine="1263"/>
        <w:spacing w:after="0" w:line="289" w:lineRule="auto"/>
        <w:tabs>
          <w:tab w:leader="none" w:pos="1895" w:val="left"/>
        </w:tabs>
        <w:numPr>
          <w:ilvl w:val="0"/>
          <w:numId w:val="886"/>
        </w:numPr>
        <w:rPr>
          <w:rFonts w:ascii="Arial" w:cs="Arial" w:eastAsia="Arial" w:hAnsi="Arial"/>
          <w:sz w:val="17"/>
          <w:szCs w:val="17"/>
          <w:color w:val="auto"/>
        </w:rPr>
      </w:pPr>
      <w:r>
        <w:rPr>
          <w:rFonts w:ascii="Arial" w:cs="Arial" w:eastAsia="Arial" w:hAnsi="Arial"/>
          <w:sz w:val="17"/>
          <w:szCs w:val="17"/>
          <w:u w:val="single" w:color="auto"/>
          <w:color w:val="auto"/>
        </w:rPr>
        <w:t>Withholding of Taxes</w:t>
      </w:r>
      <w:r>
        <w:rPr>
          <w:rFonts w:ascii="Arial" w:cs="Arial" w:eastAsia="Arial" w:hAnsi="Arial"/>
          <w:sz w:val="17"/>
          <w:szCs w:val="17"/>
          <w:color w:val="auto"/>
        </w:rPr>
        <w:t>. The Company may withhold from any amounts or benefits payable under this Agreement all taxes it may be required to withhold pursuant to any applicable law or regulation.</w:t>
      </w:r>
    </w:p>
    <w:p>
      <w:pPr>
        <w:spacing w:after="0" w:line="158" w:lineRule="exact"/>
        <w:rPr>
          <w:rFonts w:ascii="Arial" w:cs="Arial" w:eastAsia="Arial" w:hAnsi="Arial"/>
          <w:sz w:val="17"/>
          <w:szCs w:val="17"/>
          <w:color w:val="auto"/>
        </w:rPr>
      </w:pPr>
    </w:p>
    <w:p>
      <w:pPr>
        <w:ind w:right="720" w:firstLine="1263"/>
        <w:spacing w:after="0" w:line="289" w:lineRule="auto"/>
        <w:tabs>
          <w:tab w:leader="none" w:pos="1895" w:val="left"/>
        </w:tabs>
        <w:numPr>
          <w:ilvl w:val="0"/>
          <w:numId w:val="886"/>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signed in counterparts, each of which shall be an original, with the same effect as if the signatures thereto and hereto were upon the same instrument.</w:t>
      </w:r>
    </w:p>
    <w:p>
      <w:pPr>
        <w:sectPr>
          <w:pgSz w:w="11900" w:h="16838" w:orient="portrait"/>
          <w:cols w:equalWidth="0" w:num="1">
            <w:col w:w="11460"/>
          </w:cols>
          <w:pgMar w:left="240" w:top="127" w:right="199" w:bottom="23" w:gutter="0" w:footer="0" w:header="0"/>
        </w:sectPr>
      </w:pPr>
    </w:p>
    <w:bookmarkStart w:id="476" w:name="page477"/>
    <w:bookmarkEnd w:id="476"/>
    <w:p>
      <w:pPr>
        <w:ind w:right="420" w:firstLine="1263"/>
        <w:spacing w:after="0" w:line="290" w:lineRule="auto"/>
        <w:tabs>
          <w:tab w:leader="none" w:pos="1895" w:val="left"/>
        </w:tabs>
        <w:numPr>
          <w:ilvl w:val="0"/>
          <w:numId w:val="887"/>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This Agreement shall terminate upon the termination of employment of the Executive; however, the following Section 4 (Termination of Employment) and the corresponding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(Waiver and Release), Section 7 (Agreement Ancillary to Other Agreements) and the corresponding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(Inventions, Confidentiality, Non-Competition and Non-Solicitation Agreement) shall survive the termination of the Executive’s employment and/or the expiration or termination of this Agreement, regardless of the reasons for such expiration or termination.</w:t>
      </w:r>
    </w:p>
    <w:p>
      <w:pPr>
        <w:spacing w:after="0" w:line="159" w:lineRule="exact"/>
        <w:rPr>
          <w:rFonts w:ascii="Arial" w:cs="Arial" w:eastAsia="Arial" w:hAnsi="Arial"/>
          <w:sz w:val="16"/>
          <w:szCs w:val="16"/>
          <w:color w:val="auto"/>
        </w:rPr>
      </w:pPr>
    </w:p>
    <w:p>
      <w:pPr>
        <w:ind w:right="100" w:firstLine="1263"/>
        <w:spacing w:after="0" w:line="283" w:lineRule="auto"/>
        <w:tabs>
          <w:tab w:leader="none" w:pos="1905" w:val="left"/>
        </w:tabs>
        <w:numPr>
          <w:ilvl w:val="0"/>
          <w:numId w:val="887"/>
        </w:numPr>
        <w:rPr>
          <w:rFonts w:ascii="Arial" w:cs="Arial" w:eastAsia="Arial" w:hAnsi="Arial"/>
          <w:sz w:val="16"/>
          <w:szCs w:val="16"/>
          <w:color w:val="auto"/>
        </w:rPr>
      </w:pPr>
      <w:r>
        <w:rPr>
          <w:rFonts w:ascii="Arial" w:cs="Arial" w:eastAsia="Arial" w:hAnsi="Arial"/>
          <w:sz w:val="16"/>
          <w:szCs w:val="16"/>
          <w:u w:val="single" w:color="auto"/>
          <w:color w:val="auto"/>
        </w:rPr>
        <w:t>Clawback of Incentive Compensation</w:t>
      </w:r>
      <w:r>
        <w:rPr>
          <w:rFonts w:ascii="Arial" w:cs="Arial" w:eastAsia="Arial" w:hAnsi="Arial"/>
          <w:sz w:val="16"/>
          <w:szCs w:val="16"/>
          <w:color w:val="auto"/>
        </w:rPr>
        <w:t>. Any incentive compensation payable to the Executive under this Agreement or any other agreement shall be subject to any policy, whether in existence as of the Effective Date of this Agreement or later adopted, established by the Company that provides for the clawback or recovery of amounts due to restatement of the Company’s financial records or due to fraud or other malfeasance in connection with the eligibility for or calculation of any amounts, that were paid to the Executive under circumstances requiring clawback or recovery as set forth in such policy. The Company shall not apply such policy retroactively to the Executive except to the extent it deems warranted, in good faith, due to the Executive’s own fraud or malfeasance. The Company will make any determinations for clawback or recover in its sole discretion and in accordance with such policy</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and any applicable law or regulations; provided that such policy is generally applicable to other executive officers.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[SIGNATURES ON NEXT PAGE]</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have duly executed this Agreement effective as of the Effective Date.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tcPr>
          <w:p>
            <w:pPr>
              <w:spacing w:after="0"/>
              <w:rPr>
                <w:sz w:val="20"/>
                <w:szCs w:val="20"/>
                <w:color w:val="auto"/>
              </w:rPr>
            </w:pPr>
            <w:r>
              <w:rPr>
                <w:rFonts w:ascii="Arial" w:cs="Arial" w:eastAsia="Arial" w:hAnsi="Arial"/>
                <w:sz w:val="17"/>
                <w:szCs w:val="17"/>
                <w:b w:val="1"/>
                <w:bCs w:val="1"/>
                <w:color w:val="auto"/>
              </w:rPr>
              <w:t>EXECUTIVE:</w:t>
            </w:r>
          </w:p>
        </w:tc>
        <w:tc>
          <w:tcPr>
            <w:tcW w:w="6140" w:type="dxa"/>
            <w:vAlign w:val="bottom"/>
            <w:gridSpan w:val="2"/>
          </w:tcPr>
          <w:p>
            <w:pPr>
              <w:ind w:left="440"/>
              <w:spacing w:after="0"/>
              <w:rPr>
                <w:sz w:val="20"/>
                <w:szCs w:val="20"/>
                <w:color w:val="auto"/>
              </w:rPr>
            </w:pPr>
            <w:r>
              <w:rPr>
                <w:rFonts w:ascii="Arial" w:cs="Arial" w:eastAsia="Arial" w:hAnsi="Arial"/>
                <w:sz w:val="17"/>
                <w:szCs w:val="17"/>
                <w:b w:val="1"/>
                <w:bCs w:val="1"/>
                <w:color w:val="auto"/>
              </w:rPr>
              <w:t>APPLIED OPTOELECTRONICS, INC.:</w:t>
            </w:r>
          </w:p>
        </w:tc>
        <w:tc>
          <w:tcPr>
            <w:tcW w:w="40" w:type="dxa"/>
            <w:vAlign w:val="bottom"/>
          </w:tcPr>
          <w:p>
            <w:pPr>
              <w:spacing w:after="0"/>
              <w:rPr>
                <w:sz w:val="19"/>
                <w:szCs w:val="19"/>
                <w:color w:val="auto"/>
              </w:rPr>
            </w:pPr>
          </w:p>
        </w:tc>
      </w:tr>
      <w:tr>
        <w:trPr>
          <w:trHeight w:val="420"/>
        </w:trPr>
        <w:tc>
          <w:tcPr>
            <w:tcW w:w="5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Hung-Lun (Fred) Chang</w:t>
            </w:r>
          </w:p>
        </w:tc>
        <w:tc>
          <w:tcPr>
            <w:tcW w:w="1040" w:type="dxa"/>
            <w:vAlign w:val="bottom"/>
          </w:tcPr>
          <w:p>
            <w:pPr>
              <w:ind w:left="440"/>
              <w:spacing w:after="0"/>
              <w:rPr>
                <w:sz w:val="20"/>
                <w:szCs w:val="20"/>
                <w:color w:val="auto"/>
              </w:rPr>
            </w:pPr>
            <w:r>
              <w:rPr>
                <w:rFonts w:ascii="Arial" w:cs="Arial" w:eastAsia="Arial" w:hAnsi="Arial"/>
                <w:sz w:val="17"/>
                <w:szCs w:val="17"/>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Chih-Hsiang (Thompson) Lin</w:t>
            </w:r>
          </w:p>
        </w:tc>
        <w:tc>
          <w:tcPr>
            <w:tcW w:w="40" w:type="dxa"/>
            <w:vAlign w:val="bottom"/>
          </w:tcPr>
          <w:p>
            <w:pPr>
              <w:spacing w:after="0"/>
              <w:rPr>
                <w:sz w:val="24"/>
                <w:szCs w:val="24"/>
                <w:color w:val="auto"/>
              </w:rPr>
            </w:pPr>
          </w:p>
        </w:tc>
      </w:tr>
      <w:tr>
        <w:trPr>
          <w:trHeight w:val="412"/>
        </w:trPr>
        <w:tc>
          <w:tcPr>
            <w:tcW w:w="5280" w:type="dxa"/>
            <w:vAlign w:val="bottom"/>
          </w:tcPr>
          <w:p>
            <w:pPr>
              <w:spacing w:after="0"/>
              <w:rPr>
                <w:sz w:val="20"/>
                <w:szCs w:val="20"/>
                <w:color w:val="auto"/>
              </w:rPr>
            </w:pPr>
            <w:r>
              <w:rPr>
                <w:rFonts w:ascii="Arial" w:cs="Arial" w:eastAsia="Arial" w:hAnsi="Arial"/>
                <w:sz w:val="17"/>
                <w:szCs w:val="17"/>
                <w:color w:val="auto"/>
              </w:rPr>
              <w:t>Print Name: Hung-Lun (Fred) Chang</w:t>
            </w:r>
          </w:p>
        </w:tc>
        <w:tc>
          <w:tcPr>
            <w:tcW w:w="1040" w:type="dxa"/>
            <w:vAlign w:val="bottom"/>
          </w:tcPr>
          <w:p>
            <w:pPr>
              <w:ind w:left="440"/>
              <w:spacing w:after="0"/>
              <w:rPr>
                <w:sz w:val="20"/>
                <w:szCs w:val="20"/>
                <w:color w:val="auto"/>
              </w:rPr>
            </w:pPr>
            <w:r>
              <w:rPr>
                <w:rFonts w:ascii="Arial" w:cs="Arial" w:eastAsia="Arial" w:hAnsi="Arial"/>
                <w:sz w:val="17"/>
                <w:szCs w:val="17"/>
                <w:color w:val="auto"/>
              </w:rPr>
              <w:t>Its:</w:t>
            </w:r>
          </w:p>
        </w:tc>
        <w:tc>
          <w:tcPr>
            <w:tcW w:w="5100" w:type="dxa"/>
            <w:vAlign w:val="bottom"/>
          </w:tcPr>
          <w:p>
            <w:pPr>
              <w:spacing w:after="0"/>
              <w:rPr>
                <w:sz w:val="20"/>
                <w:szCs w:val="20"/>
                <w:color w:val="auto"/>
              </w:rPr>
            </w:pPr>
            <w:r>
              <w:rPr>
                <w:rFonts w:ascii="Arial" w:cs="Arial" w:eastAsia="Arial" w:hAnsi="Arial"/>
                <w:sz w:val="17"/>
                <w:szCs w:val="17"/>
                <w:color w:val="auto"/>
              </w:rPr>
              <w:t>President and CEO</w:t>
            </w:r>
          </w:p>
        </w:tc>
        <w:tc>
          <w:tcPr>
            <w:tcW w:w="40" w:type="dxa"/>
            <w:vAlign w:val="bottom"/>
          </w:tcPr>
          <w:p>
            <w:pPr>
              <w:spacing w:after="0"/>
              <w:rPr>
                <w:sz w:val="24"/>
                <w:szCs w:val="24"/>
                <w:color w:val="auto"/>
              </w:rPr>
            </w:pPr>
          </w:p>
        </w:tc>
      </w:tr>
      <w:tr>
        <w:trPr>
          <w:trHeight w:val="420"/>
        </w:trPr>
        <w:tc>
          <w:tcPr>
            <w:tcW w:w="5280" w:type="dxa"/>
            <w:vAlign w:val="bottom"/>
          </w:tcPr>
          <w:p>
            <w:pPr>
              <w:spacing w:after="0"/>
              <w:rPr>
                <w:sz w:val="20"/>
                <w:szCs w:val="20"/>
                <w:color w:val="auto"/>
              </w:rPr>
            </w:pPr>
            <w:r>
              <w:rPr>
                <w:rFonts w:ascii="Arial" w:cs="Arial" w:eastAsia="Arial" w:hAnsi="Arial"/>
                <w:sz w:val="17"/>
                <w:szCs w:val="17"/>
                <w:color w:val="auto"/>
              </w:rPr>
              <w:t>Date: April 16, 2013</w:t>
            </w:r>
          </w:p>
        </w:tc>
        <w:tc>
          <w:tcPr>
            <w:tcW w:w="1040" w:type="dxa"/>
            <w:vAlign w:val="bottom"/>
          </w:tcPr>
          <w:p>
            <w:pPr>
              <w:ind w:left="440"/>
              <w:spacing w:after="0"/>
              <w:rPr>
                <w:sz w:val="20"/>
                <w:szCs w:val="20"/>
                <w:color w:val="auto"/>
              </w:rPr>
            </w:pPr>
            <w:r>
              <w:rPr>
                <w:rFonts w:ascii="Arial" w:cs="Arial" w:eastAsia="Arial" w:hAnsi="Arial"/>
                <w:sz w:val="17"/>
                <w:szCs w:val="17"/>
                <w:color w:val="auto"/>
              </w:rPr>
              <w:t>Date:</w:t>
            </w:r>
          </w:p>
        </w:tc>
        <w:tc>
          <w:tcPr>
            <w:tcW w:w="5100" w:type="dxa"/>
            <w:vAlign w:val="bottom"/>
          </w:tcPr>
          <w:p>
            <w:pPr>
              <w:spacing w:after="0"/>
              <w:rPr>
                <w:sz w:val="20"/>
                <w:szCs w:val="20"/>
                <w:color w:val="auto"/>
              </w:rPr>
            </w:pPr>
            <w:r>
              <w:rPr>
                <w:rFonts w:ascii="Arial" w:cs="Arial" w:eastAsia="Arial" w:hAnsi="Arial"/>
                <w:sz w:val="17"/>
                <w:szCs w:val="17"/>
                <w:color w:val="auto"/>
              </w:rPr>
              <w:t>April 16, 2013</w:t>
            </w:r>
          </w:p>
        </w:tc>
        <w:tc>
          <w:tcPr>
            <w:tcW w:w="40" w:type="dxa"/>
            <w:vAlign w:val="bottom"/>
          </w:tcPr>
          <w:p>
            <w:pPr>
              <w:spacing w:after="0"/>
              <w:rPr>
                <w:sz w:val="24"/>
                <w:szCs w:val="24"/>
                <w:color w:val="auto"/>
              </w:rPr>
            </w:pPr>
          </w:p>
        </w:tc>
      </w:tr>
      <w:tr>
        <w:trPr>
          <w:trHeight w:val="419"/>
        </w:trPr>
        <w:tc>
          <w:tcPr>
            <w:tcW w:w="5280" w:type="dxa"/>
            <w:vAlign w:val="bottom"/>
          </w:tcPr>
          <w:p>
            <w:pPr>
              <w:spacing w:after="0"/>
              <w:rPr>
                <w:sz w:val="24"/>
                <w:szCs w:val="24"/>
                <w:color w:val="auto"/>
              </w:rPr>
            </w:pPr>
          </w:p>
        </w:tc>
        <w:tc>
          <w:tcPr>
            <w:tcW w:w="1040" w:type="dxa"/>
            <w:vAlign w:val="bottom"/>
          </w:tcPr>
          <w:p>
            <w:pPr>
              <w:ind w:left="340"/>
              <w:spacing w:after="0"/>
              <w:rPr>
                <w:sz w:val="20"/>
                <w:szCs w:val="20"/>
                <w:color w:val="auto"/>
              </w:rPr>
            </w:pPr>
            <w:r>
              <w:rPr>
                <w:rFonts w:ascii="Arial" w:cs="Arial" w:eastAsia="Arial" w:hAnsi="Arial"/>
                <w:sz w:val="17"/>
                <w:szCs w:val="17"/>
                <w:color w:val="auto"/>
              </w:rPr>
              <w:t>11</w:t>
            </w: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52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5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WAIVER AND RELEASE</w:t>
      </w:r>
    </w:p>
    <w:p>
      <w:pPr>
        <w:spacing w:after="0" w:line="230" w:lineRule="exact"/>
        <w:rPr>
          <w:sz w:val="20"/>
          <w:szCs w:val="20"/>
          <w:color w:val="auto"/>
        </w:rPr>
      </w:pPr>
    </w:p>
    <w:p>
      <w:pPr>
        <w:spacing w:after="0"/>
        <w:tabs>
          <w:tab w:leader="none" w:pos="7420" w:val="left"/>
        </w:tabs>
        <w:rPr>
          <w:sz w:val="20"/>
          <w:szCs w:val="20"/>
          <w:color w:val="auto"/>
        </w:rPr>
      </w:pPr>
      <w:r>
        <w:rPr>
          <w:rFonts w:ascii="Arial" w:cs="Arial" w:eastAsia="Arial" w:hAnsi="Arial"/>
          <w:sz w:val="17"/>
          <w:szCs w:val="17"/>
          <w:color w:val="auto"/>
        </w:rPr>
        <w:t>Pursuant to the terms of the Employment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w:t>
      </w:r>
      <w:r>
        <w:rPr>
          <w:sz w:val="20"/>
          <w:szCs w:val="20"/>
          <w:color w:val="auto"/>
        </w:rPr>
        <w:tab/>
      </w:r>
      <w:r>
        <w:rPr>
          <w:rFonts w:ascii="Arial" w:cs="Arial" w:eastAsia="Arial" w:hAnsi="Arial"/>
          <w:sz w:val="15"/>
          <w:szCs w:val="15"/>
          <w:color w:val="auto"/>
        </w:rPr>
        <w:t>], by and between Applied Optoelectronics, Inc., a</w:t>
      </w:r>
    </w:p>
    <w:p>
      <w:pPr>
        <w:spacing w:after="0" w:line="26"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auto"/>
        </w:rPr>
        <w:t>Delaware corporation, and myself, and in exchange for the salary continuation and benefits payable under the Agreement (the “</w:t>
      </w:r>
      <w:r>
        <w:rPr>
          <w:rFonts w:ascii="Arial" w:cs="Arial" w:eastAsia="Arial" w:hAnsi="Arial"/>
          <w:sz w:val="16"/>
          <w:szCs w:val="16"/>
          <w:b w:val="1"/>
          <w:bCs w:val="1"/>
          <w:i w:val="1"/>
          <w:iCs w:val="1"/>
          <w:color w:val="auto"/>
        </w:rPr>
        <w:t>Severance Benefits</w:t>
      </w:r>
      <w:r>
        <w:rPr>
          <w:rFonts w:ascii="Arial" w:cs="Arial" w:eastAsia="Arial" w:hAnsi="Arial"/>
          <w:sz w:val="16"/>
          <w:szCs w:val="16"/>
          <w:color w:val="auto"/>
        </w:rPr>
        <w:t>”), I hereby waive all claims against and release (i) Applied Optoelectronics, Inc., its officers, employees, agents, insurers, predecessors, successors and assigns (collectively referred to as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(ii) all of the affiliates of the Company and their directors, officers, employees, agents, insurers, predecessors, successors and assigns, and (iii) the Company and its affiliates’ employee benefit plans and the fiduciaries and agents of said plans (collectively referred to as the “</w:t>
      </w:r>
      <w:r>
        <w:rPr>
          <w:rFonts w:ascii="Arial" w:cs="Arial" w:eastAsia="Arial" w:hAnsi="Arial"/>
          <w:sz w:val="16"/>
          <w:szCs w:val="16"/>
          <w:b w:val="1"/>
          <w:bCs w:val="1"/>
          <w:i w:val="1"/>
          <w:iCs w:val="1"/>
          <w:color w:val="auto"/>
        </w:rPr>
        <w:t>Benefit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Plans</w:t>
      </w:r>
      <w:r>
        <w:rPr>
          <w:rFonts w:ascii="Arial" w:cs="Arial" w:eastAsia="Arial" w:hAnsi="Arial"/>
          <w:sz w:val="16"/>
          <w:szCs w:val="16"/>
          <w:color w:val="auto"/>
        </w:rPr>
        <w:t>”) from any and all claims, demands, actions, liabilities and damages arising out of or relating in any way to my employment with or separation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employment with the Company and its affiliates other than amounts due pursuant to the Agreement and the rights and benefits I am entitled to under the Benefit Plans. (the Company, its affiliates and the Benefit Plans are sometimes hereinafter collectively referred to as the “</w:t>
      </w:r>
      <w:r>
        <w:rPr>
          <w:rFonts w:ascii="Arial" w:cs="Arial" w:eastAsia="Arial" w:hAnsi="Arial"/>
          <w:sz w:val="16"/>
          <w:szCs w:val="16"/>
          <w:b w:val="1"/>
          <w:bCs w:val="1"/>
          <w:i w:val="1"/>
          <w:iCs w:val="1"/>
          <w:color w:val="auto"/>
        </w:rPr>
        <w:t>Released Parties</w:t>
      </w:r>
      <w:r>
        <w:rPr>
          <w:rFonts w:ascii="Arial" w:cs="Arial" w:eastAsia="Arial" w:hAnsi="Arial"/>
          <w:sz w:val="16"/>
          <w:szCs w:val="16"/>
          <w:color w:val="auto"/>
        </w:rPr>
        <w:t>”.)</w:t>
      </w:r>
    </w:p>
    <w:p>
      <w:pPr>
        <w:spacing w:after="0" w:line="163"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b w:val="1"/>
          <w:bCs w:val="1"/>
          <w:color w:val="auto"/>
        </w:rPr>
        <w:t>I understand that signing this Waiver and Release is an important legal act. I acknowledge that I have been advised in writing to consult an attorney before signing this Waiver and Release. I understand that, in order to be eligible for the Severance Benefits, I must sign (and return to the Company) this Waiver and Release before I will receive the Severance Benefits. I acknowledge that I have been given at least [ ] days to consider whether to accept the Severance Benefits and whether to execute this Waiver and Release.</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In exchange for the payment to me of the Severance Benefits, (1) I agree not to sue the Released Parties in any local, state and/or federal court regarding or relating in any way to my employment with or separation from employment with the Company and its affiliates, and (2) I knowingly and voluntarily waive all claims and release the Released Parties from any and all claims, demands, actions, liabilities, and damages, whether known or unknown, arising out of or relating in any way to my employment with or separation from employment with the Company and its affiliates, except to the extent that my rights are vested under the terms of the Agreement or any employee benefit plans sponsored by the Company and its affiliates and except with respect to such rights or claims as may arise after the date this Waiver and Release is executed. This Waiver and Release includes, but is not limited to, claims and causes of action under: Title VII of the Civil Rights Act of 1964, as amended; the Age Discrimination in Employment Act of 1967, as amended, including the Older Workers Benefit Protection Act of 1990; the Civil Rights Act of 1866, as amended; the Civil Rights Act of 1991; the Americans with Disabilities Act of 1990; the Workers Adjustment and Retraining Notification Act of 1988; the Pregnancy Discrimination Act of 1978; the Employee Retirement Income Security Act of 1974, as amended; the Consolidated Omnibus Budget Reconciliation Act of 1985, as amended; the Family and Medical Leave Act of 1993; the Fair Labor Standards Act; the Occupational Safety and Health Act; the Texas Labor Code et. seq.; claims in connection with workers’ compensation, retaliation or “whistle blower” statutes; and/or contract, tort, defamation, slander, wrongful termination or any other state or federal regulatory, statutory or common law. Further, I expressly represent that no promise or agreement which is not expressed in this Waiver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184150</wp:posOffset>
            </wp:positionV>
            <wp:extent cx="7271385" cy="2921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Release has been made to me in executing this Waiver and Release, and that I am relying on my own judgment in executing this Waiver and Release, and that I am not relying on any statement or representation of the Company or its affiliates or any of their agents. I agree that this Waiver and Release is valid, fair, adequate and reasonable, is with my full knowledge and consent, was not procured through fraud, duress or mistake and has not had the effect of misleading, misinforming or failing to inform me.</w:t>
      </w:r>
    </w:p>
    <w:p>
      <w:pPr>
        <w:sectPr>
          <w:pgSz w:w="11900" w:h="16838" w:orient="portrait"/>
          <w:cols w:equalWidth="0" w:num="1">
            <w:col w:w="11460"/>
          </w:cols>
          <w:pgMar w:left="240" w:top="127" w:right="199" w:bottom="0" w:gutter="0" w:footer="0" w:header="0"/>
        </w:sectPr>
      </w:pPr>
    </w:p>
    <w:bookmarkStart w:id="477" w:name="page478"/>
    <w:bookmarkEnd w:id="477"/>
    <w:p>
      <w:pPr>
        <w:spacing w:after="0" w:line="5"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Notwithstanding the foregoing and anything in this Waiver and Release to the contrary, I do not release and expressly retain (a) all rights to payment or providing for post-employment benefits, under the Agreement or employee benefit plans, (b) all rights to indemnity, contribution, and a defense, and directors and officers and other liability coverage that I may have under any statute, Company policy or by this or any other agreement; and (c) the right to any, unpaid reasonable business expenses and any accrued benefits payable under any Company welfare plan or tax-qualified plan.</w:t>
      </w:r>
    </w:p>
    <w:p>
      <w:pPr>
        <w:spacing w:after="0" w:line="176"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I acknowledge that payment of the Severance Benefits is not an admission by any one or more of the Released Parties that they engaged in any wrongful or unlawful act or that they violated any federal or state law or regulation. I acknowledge that neither the Company nor its affiliates have promised me continued employment or represented to me that I will be rehired in the future. I acknowledge that my employer and I contemplate an unequivocal, complete and final dissolution of my employment relationship. I acknowledge that this Waiver and Release does not create any right on my part to be rehired by the Company or its affiliates, and I hereby waive any right to future employment by the Company or its affiliates.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I understand that for a period of 7 calendar days following the date that I sign this Waiver and Release, I may revoke my acceptance of this Waiver and Release,</w:t>
      </w:r>
    </w:p>
    <w:p>
      <w:pPr>
        <w:spacing w:after="0" w:line="38"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provided that my written statement of revocation is received on or before that seventh day by [Name and/or Title], [address], facsimile number: [ ], in which case the Waiver and Release will not become effective. If I timely revoke my acceptance of this Waiver and Release, the Company shall have no obligation under this Waiver and Release nor the Agreement to provide the Severance Benefits to me. I understand that failure to revoke my acceptance of the offer within 7 calendar days from the date I sign this Waiver and Release will result in this Waiver and Release being permanent and irrevocable.</w:t>
      </w:r>
    </w:p>
    <w:p>
      <w:pPr>
        <w:spacing w:after="0" w:line="16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Should any of the provisions set forth in this Waiver and Release be determined to be invalid by a court, agency or other tribunal of competent jurisdiction, it is agreed that such determination shall not affect the enforceability of other provisions of this Waiver and Release. I acknowledge that this Waiver and Release sets forth the entire understanding and agreement between me and the Company and its affiliates concerning the subject matter of this Waiver and Release and supersede any prior or contemporaneous oral and/or written agreements or representations, if any, between me and the Company or its affiliates.</w:t>
      </w:r>
    </w:p>
    <w:p>
      <w:pPr>
        <w:spacing w:after="0" w:line="159"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 acknowledge that I have read this Waiver and Release, have had an opportunity to ask questions and have it explained to me and that I understand that this Waiver and Release will have the effect of knowingly and voluntarily waiving any action I might pursue, including breach of contract, personal injury, retaliation, discrimination on the basis of race, age, sex, national origin, or disability and any other claims arising prior to the date of this Waiver and Release.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169545</wp:posOffset>
            </wp:positionV>
            <wp:extent cx="7271385" cy="2921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execution of this document, I do not waive or release or otherwise relinquish any legal rights I may have which are attributable to or arise out of acts, omissions, or events of the Company or its affiliates which occur after the date of the execution of this Waiver and Release.</w:t>
      </w:r>
    </w:p>
    <w:p>
      <w:pPr>
        <w:spacing w:after="0" w:line="152"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b w:val="1"/>
          <w:bCs w:val="1"/>
          <w:color w:val="auto"/>
        </w:rPr>
        <w:t>EXECUTIVE:</w:t>
      </w:r>
      <w:r>
        <w:rPr>
          <w:sz w:val="20"/>
          <w:szCs w:val="20"/>
          <w:color w:val="auto"/>
        </w:rPr>
        <w:tab/>
      </w:r>
      <w:r>
        <w:rPr>
          <w:rFonts w:ascii="Arial" w:cs="Arial" w:eastAsia="Arial" w:hAnsi="Arial"/>
          <w:sz w:val="17"/>
          <w:szCs w:val="17"/>
          <w:b w:val="1"/>
          <w:bCs w:val="1"/>
          <w:color w:val="auto"/>
        </w:rPr>
        <w:t>APPLIED OPTOELECTRONICS, INC.:</w:t>
      </w:r>
    </w:p>
    <w:p>
      <w:pPr>
        <w:spacing w:after="0" w:line="200" w:lineRule="exact"/>
        <w:rPr>
          <w:sz w:val="20"/>
          <w:szCs w:val="20"/>
          <w:color w:val="auto"/>
        </w:rPr>
      </w:pPr>
    </w:p>
    <w:p>
      <w:pPr>
        <w:spacing w:after="0" w:line="24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25043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1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Its: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-123190</wp:posOffset>
            </wp:positionV>
            <wp:extent cx="327152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9525</wp:posOffset>
            </wp:positionV>
            <wp:extent cx="327152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3271520"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-123190</wp:posOffset>
            </wp:positionV>
            <wp:extent cx="322961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32296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215265</wp:posOffset>
            </wp:positionV>
            <wp:extent cx="7271385" cy="2921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EXHIBIT B</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INVENTIONS, CONFIDENTIALITY,</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NON-COMPETITION AND NON-SOLICITATION AGREEMENT</w:t>
      </w:r>
    </w:p>
    <w:p>
      <w:pPr>
        <w:spacing w:after="0" w:line="212" w:lineRule="exact"/>
        <w:rPr>
          <w:sz w:val="20"/>
          <w:szCs w:val="20"/>
          <w:color w:val="auto"/>
        </w:rPr>
      </w:pPr>
    </w:p>
    <w:p>
      <w:pPr>
        <w:ind w:right="20" w:firstLine="629"/>
        <w:spacing w:after="0" w:line="290" w:lineRule="auto"/>
        <w:rPr>
          <w:sz w:val="20"/>
          <w:szCs w:val="20"/>
          <w:color w:val="auto"/>
        </w:rPr>
      </w:pPr>
      <w:r>
        <w:rPr>
          <w:rFonts w:ascii="Arial" w:cs="Arial" w:eastAsia="Arial" w:hAnsi="Arial"/>
          <w:sz w:val="16"/>
          <w:szCs w:val="16"/>
          <w:color w:val="auto"/>
        </w:rPr>
        <w:t>As a condition of employment with Applied Optoelectronics, Inc., a Delaware corporation, its subsidiaries, affiliates, successors, or assigns (together,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Employee’s receipt of compensation now and hereafter paid to Employee by the Company, and in exchange for the Company’s agreement to provide Employee with access to the Company’s Confidential Information and Trade Secrets (as defined below), Employee and the Company enter into this Inventions, Confidentiality, Non-Competition and Non-Solicitation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effective as of the date signed by Employee below.</w:t>
      </w:r>
    </w:p>
    <w:p>
      <w:pPr>
        <w:spacing w:after="0" w:line="153" w:lineRule="exact"/>
        <w:rPr>
          <w:sz w:val="20"/>
          <w:szCs w:val="20"/>
          <w:color w:val="auto"/>
        </w:rPr>
      </w:pPr>
    </w:p>
    <w:p>
      <w:pPr>
        <w:ind w:right="60" w:firstLine="634"/>
        <w:spacing w:after="0" w:line="264" w:lineRule="auto"/>
        <w:tabs>
          <w:tab w:leader="none" w:pos="1258" w:val="left"/>
        </w:tabs>
        <w:numPr>
          <w:ilvl w:val="0"/>
          <w:numId w:val="888"/>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 Information and Trade Secrets of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of employment, the Company will provide Employee with access</w:t>
      </w:r>
      <w:r>
        <w:rPr>
          <w:rFonts w:ascii="Arial" w:cs="Arial" w:eastAsia="Arial" w:hAnsi="Arial"/>
          <w:sz w:val="17"/>
          <w:szCs w:val="17"/>
          <w:b w:val="1"/>
          <w:bCs w:val="1"/>
          <w:color w:val="auto"/>
        </w:rPr>
        <w:t xml:space="preserve"> </w:t>
      </w:r>
      <w:r>
        <w:rPr>
          <w:rFonts w:ascii="Arial" w:cs="Arial" w:eastAsia="Arial" w:hAnsi="Arial"/>
          <w:sz w:val="17"/>
          <w:szCs w:val="17"/>
          <w:color w:val="auto"/>
        </w:rPr>
        <w:t>to and the opportunity to become familiar with its confidential information and various trade secrets, including but not limited to any information, data or compilation of information or data developed, acquired or generated by Company, or its employees (including information and materials conceived, originating, discovered, or developed in whole or in part by Executive at the request of or for the benefit of Company or while employed by Company), which is not generally known to persons who are not employees of Company, and which Company generally does not share other than with its employees, or with its customers and suppliers on an individual transactional basis. Confidential Information and Trade Secrets (defined below) may be written, verbal or recorded by electronic, magnetic or other methods, whether or not expressly identified as “Confidential” by Company.</w:t>
      </w:r>
    </w:p>
    <w:p>
      <w:pPr>
        <w:spacing w:after="0" w:line="178" w:lineRule="exact"/>
        <w:rPr>
          <w:rFonts w:ascii="Arial" w:cs="Arial" w:eastAsia="Arial" w:hAnsi="Arial"/>
          <w:sz w:val="17"/>
          <w:szCs w:val="17"/>
          <w:color w:val="auto"/>
        </w:rPr>
      </w:pPr>
    </w:p>
    <w:p>
      <w:pPr>
        <w:ind w:left="1880" w:hanging="617"/>
        <w:spacing w:after="0"/>
        <w:tabs>
          <w:tab w:leader="none" w:pos="1880" w:val="left"/>
        </w:tabs>
        <w:numPr>
          <w:ilvl w:val="1"/>
          <w:numId w:val="88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Confidential Information and Trade Secrets</w:t>
      </w:r>
      <w:r>
        <w:rPr>
          <w:rFonts w:ascii="Arial" w:cs="Arial" w:eastAsia="Arial" w:hAnsi="Arial"/>
          <w:sz w:val="17"/>
          <w:szCs w:val="17"/>
          <w:color w:val="auto"/>
        </w:rPr>
        <w:t>” includes, but is not limited to, the following information and materials:</w:t>
      </w:r>
    </w:p>
    <w:p>
      <w:pPr>
        <w:spacing w:after="0" w:line="224" w:lineRule="exact"/>
        <w:rPr>
          <w:rFonts w:ascii="Arial" w:cs="Arial" w:eastAsia="Arial" w:hAnsi="Arial"/>
          <w:sz w:val="17"/>
          <w:szCs w:val="17"/>
          <w:color w:val="auto"/>
        </w:rPr>
      </w:pPr>
    </w:p>
    <w:p>
      <w:pPr>
        <w:ind w:right="100" w:firstLine="1893"/>
        <w:spacing w:after="0" w:line="289" w:lineRule="auto"/>
        <w:tabs>
          <w:tab w:leader="none" w:pos="2538" w:val="left"/>
        </w:tabs>
        <w:numPr>
          <w:ilvl w:val="2"/>
          <w:numId w:val="888"/>
        </w:numPr>
        <w:rPr>
          <w:rFonts w:ascii="Arial" w:cs="Arial" w:eastAsia="Arial" w:hAnsi="Arial"/>
          <w:sz w:val="17"/>
          <w:szCs w:val="17"/>
          <w:color w:val="auto"/>
        </w:rPr>
      </w:pPr>
      <w:r>
        <w:rPr>
          <w:rFonts w:ascii="Arial" w:cs="Arial" w:eastAsia="Arial" w:hAnsi="Arial"/>
          <w:sz w:val="17"/>
          <w:szCs w:val="17"/>
          <w:color w:val="auto"/>
        </w:rPr>
        <w:t>Financial information of any kind pertaining to Company, including, without limitation, information about the profit margins, profitability, pricing, income and expenses of Company or any of its products or lines of business;</w:t>
      </w:r>
    </w:p>
    <w:p>
      <w:pPr>
        <w:spacing w:after="0" w:line="158" w:lineRule="exact"/>
        <w:rPr>
          <w:rFonts w:ascii="Arial" w:cs="Arial" w:eastAsia="Arial" w:hAnsi="Arial"/>
          <w:sz w:val="17"/>
          <w:szCs w:val="17"/>
          <w:color w:val="auto"/>
        </w:rPr>
      </w:pPr>
    </w:p>
    <w:p>
      <w:pPr>
        <w:ind w:firstLine="1893"/>
        <w:spacing w:after="0" w:line="268" w:lineRule="auto"/>
        <w:tabs>
          <w:tab w:leader="none" w:pos="2547" w:val="left"/>
        </w:tabs>
        <w:numPr>
          <w:ilvl w:val="2"/>
          <w:numId w:val="888"/>
        </w:numPr>
        <w:rPr>
          <w:rFonts w:ascii="Arial" w:cs="Arial" w:eastAsia="Arial" w:hAnsi="Arial"/>
          <w:sz w:val="17"/>
          <w:szCs w:val="17"/>
          <w:color w:val="auto"/>
        </w:rPr>
      </w:pPr>
      <w:r>
        <w:rPr>
          <w:rFonts w:ascii="Arial" w:cs="Arial" w:eastAsia="Arial" w:hAnsi="Arial"/>
          <w:sz w:val="17"/>
          <w:szCs w:val="17"/>
          <w:color w:val="auto"/>
        </w:rPr>
        <w:t>All information about and all communications received from, sent to or exchanged between Company and any person or entity which has purchased, licensed, exchanged or otherwise entered into a transaction with Company, or to which Company has made a proposal with respect to the purchase, sale, license, exchange or other transaction involving any component, products or services which form any part of Company’s Business (defined below) (such person or entity being hereinafter referred to as customer or customers);</w:t>
      </w:r>
    </w:p>
    <w:p>
      <w:pPr>
        <w:spacing w:after="0" w:line="175" w:lineRule="exact"/>
        <w:rPr>
          <w:rFonts w:ascii="Arial" w:cs="Arial" w:eastAsia="Arial" w:hAnsi="Arial"/>
          <w:sz w:val="17"/>
          <w:szCs w:val="17"/>
          <w:color w:val="auto"/>
        </w:rPr>
      </w:pPr>
    </w:p>
    <w:p>
      <w:pPr>
        <w:ind w:right="320" w:firstLine="1893"/>
        <w:spacing w:after="0" w:line="298" w:lineRule="auto"/>
        <w:tabs>
          <w:tab w:leader="none" w:pos="2556" w:val="left"/>
        </w:tabs>
        <w:numPr>
          <w:ilvl w:val="2"/>
          <w:numId w:val="888"/>
        </w:numPr>
        <w:rPr>
          <w:rFonts w:ascii="Arial" w:cs="Arial" w:eastAsia="Arial" w:hAnsi="Arial"/>
          <w:sz w:val="16"/>
          <w:szCs w:val="16"/>
          <w:color w:val="auto"/>
        </w:rPr>
      </w:pPr>
      <w:r>
        <w:rPr>
          <w:rFonts w:ascii="Arial" w:cs="Arial" w:eastAsia="Arial" w:hAnsi="Arial"/>
          <w:sz w:val="16"/>
          <w:szCs w:val="16"/>
          <w:color w:val="auto"/>
        </w:rPr>
        <w:t>Any and all information and records relating to Company’s contracts or transactions with, or charges, prices or sales to, its customers, including invoices, proposals, confirmations, bills of ladings, statements, accounting records, bids, payment records or any other information or documents regarding amounts charged to or paid by customers, for any software, products or services which form any part of Company’s Business;</w:t>
      </w:r>
    </w:p>
    <w:p>
      <w:pPr>
        <w:spacing w:after="0" w:line="153" w:lineRule="exact"/>
        <w:rPr>
          <w:rFonts w:ascii="Arial" w:cs="Arial" w:eastAsia="Arial" w:hAnsi="Arial"/>
          <w:sz w:val="16"/>
          <w:szCs w:val="16"/>
          <w:color w:val="auto"/>
        </w:rPr>
      </w:pPr>
    </w:p>
    <w:p>
      <w:pPr>
        <w:ind w:left="2540" w:hanging="647"/>
        <w:spacing w:after="0"/>
        <w:tabs>
          <w:tab w:leader="none" w:pos="2540" w:val="left"/>
        </w:tabs>
        <w:numPr>
          <w:ilvl w:val="2"/>
          <w:numId w:val="888"/>
        </w:numPr>
        <w:rPr>
          <w:rFonts w:ascii="Arial" w:cs="Arial" w:eastAsia="Arial" w:hAnsi="Arial"/>
          <w:sz w:val="17"/>
          <w:szCs w:val="17"/>
          <w:color w:val="auto"/>
        </w:rPr>
      </w:pPr>
      <w:r>
        <w:rPr>
          <w:rFonts w:ascii="Arial" w:cs="Arial" w:eastAsia="Arial" w:hAnsi="Arial"/>
          <w:sz w:val="17"/>
          <w:szCs w:val="17"/>
          <w:color w:val="auto"/>
        </w:rPr>
        <w:t>All information regarding Company’s scientific, technical or technological information, designs, processes, procedures,</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formulas, equipment or systems,</w:t>
      </w:r>
    </w:p>
    <w:p>
      <w:pPr>
        <w:sectPr>
          <w:pgSz w:w="11900" w:h="16843" w:orient="portrait"/>
          <w:cols w:equalWidth="0" w:num="1">
            <w:col w:w="11420"/>
          </w:cols>
          <w:pgMar w:left="240" w:top="127" w:right="239" w:bottom="0" w:gutter="0" w:footer="0" w:header="0"/>
        </w:sectPr>
      </w:pPr>
    </w:p>
    <w:bookmarkStart w:id="478" w:name="page479"/>
    <w:bookmarkEnd w:id="478"/>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286385</wp:posOffset>
            </wp:positionV>
            <wp:extent cx="7271385" cy="2921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ind w:right="40"/>
        <w:spacing w:after="0" w:line="265" w:lineRule="auto"/>
        <w:rPr>
          <w:sz w:val="20"/>
          <w:szCs w:val="20"/>
          <w:color w:val="auto"/>
        </w:rPr>
      </w:pPr>
      <w:r>
        <w:rPr>
          <w:rFonts w:ascii="Arial" w:cs="Arial" w:eastAsia="Arial" w:hAnsi="Arial"/>
          <w:sz w:val="17"/>
          <w:szCs w:val="17"/>
          <w:color w:val="auto"/>
        </w:rPr>
        <w:t>including without limitation, any components, modules, circuits, software, programs, codes, algorithms, calculations, drawings, plans, or specifications related to the development, design, construction, fabrication, manufacture, operation or furnishing of any software, products, services, or equipment which constitute any part of the Company’s Business, including Company Products. As used in this Agreement, “</w:t>
      </w:r>
      <w:r>
        <w:rPr>
          <w:rFonts w:ascii="Arial" w:cs="Arial" w:eastAsia="Arial" w:hAnsi="Arial"/>
          <w:sz w:val="17"/>
          <w:szCs w:val="17"/>
          <w:b w:val="1"/>
          <w:bCs w:val="1"/>
          <w:i w:val="1"/>
          <w:iCs w:val="1"/>
          <w:color w:val="auto"/>
        </w:rPr>
        <w:t>Company Products</w:t>
      </w:r>
      <w:r>
        <w:rPr>
          <w:rFonts w:ascii="Arial" w:cs="Arial" w:eastAsia="Arial" w:hAnsi="Arial"/>
          <w:sz w:val="17"/>
          <w:szCs w:val="17"/>
          <w:color w:val="auto"/>
        </w:rPr>
        <w:t>” shall mean any and all computer software, optical component, module, circuitry, equipment, products, services, together with any updates, substitutions, enhancements or modifications thereof, and any user manuals, programming manuals and other documentation of any kind.</w:t>
      </w:r>
    </w:p>
    <w:p>
      <w:pPr>
        <w:spacing w:after="0" w:line="179" w:lineRule="exact"/>
        <w:rPr>
          <w:sz w:val="20"/>
          <w:szCs w:val="20"/>
          <w:color w:val="auto"/>
        </w:rPr>
      </w:pPr>
    </w:p>
    <w:p>
      <w:pPr>
        <w:ind w:right="180" w:firstLine="1263"/>
        <w:spacing w:after="0" w:line="322" w:lineRule="auto"/>
        <w:tabs>
          <w:tab w:leader="none" w:pos="1895" w:val="left"/>
        </w:tabs>
        <w:numPr>
          <w:ilvl w:val="0"/>
          <w:numId w:val="8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Business</w:t>
      </w:r>
      <w:r>
        <w:rPr>
          <w:rFonts w:ascii="Arial" w:cs="Arial" w:eastAsia="Arial" w:hAnsi="Arial"/>
          <w:sz w:val="16"/>
          <w:szCs w:val="16"/>
          <w:color w:val="auto"/>
        </w:rPr>
        <w:t>” shall mean the developing and manufacturing of advanced optical devices, including laser diodes, photodiodes, related modules and circuitry, and equipment for applications in fiber-to-the-home, cable television, point to point communications, and wireless.</w:t>
      </w:r>
    </w:p>
    <w:p>
      <w:pPr>
        <w:spacing w:after="0" w:line="135" w:lineRule="exact"/>
        <w:rPr>
          <w:rFonts w:ascii="Arial" w:cs="Arial" w:eastAsia="Arial" w:hAnsi="Arial"/>
          <w:sz w:val="16"/>
          <w:szCs w:val="16"/>
          <w:color w:val="auto"/>
        </w:rPr>
      </w:pPr>
    </w:p>
    <w:p>
      <w:pPr>
        <w:jc w:val="both"/>
        <w:ind w:right="60" w:firstLine="1316"/>
        <w:spacing w:after="0" w:line="314" w:lineRule="auto"/>
        <w:tabs>
          <w:tab w:leader="none" w:pos="1898" w:val="left"/>
        </w:tabs>
        <w:numPr>
          <w:ilvl w:val="1"/>
          <w:numId w:val="889"/>
        </w:numPr>
        <w:rPr>
          <w:rFonts w:ascii="Arial" w:cs="Arial" w:eastAsia="Arial" w:hAnsi="Arial"/>
          <w:sz w:val="15"/>
          <w:szCs w:val="15"/>
          <w:color w:val="auto"/>
        </w:rPr>
      </w:pPr>
      <w:r>
        <w:rPr>
          <w:rFonts w:ascii="Arial" w:cs="Arial" w:eastAsia="Arial" w:hAnsi="Arial"/>
          <w:sz w:val="15"/>
          <w:szCs w:val="15"/>
          <w:color w:val="auto"/>
        </w:rPr>
        <w:t>Executive acknowledges that all notes, data, forms, reference and training materials, leads, memoranda, computer programs, computer print-outs, disks and the information contained in any computer, and any other records which contain, reflect or describe any Confidential Information and Trade Secrets, belong exclusively to Company. Upon the termination of Executive’s employment with the Company, Executive shall promptly return such materials and all copies thereof in Executive’s possession to Company, regardless of whether such termination is the result of termination for Good Reason or for Cause.</w:t>
      </w:r>
    </w:p>
    <w:p>
      <w:pPr>
        <w:spacing w:after="0" w:line="146" w:lineRule="exact"/>
        <w:rPr>
          <w:sz w:val="20"/>
          <w:szCs w:val="20"/>
          <w:color w:val="auto"/>
        </w:rPr>
      </w:pPr>
    </w:p>
    <w:p>
      <w:pPr>
        <w:ind w:right="320" w:firstLine="1263"/>
        <w:spacing w:after="0" w:line="263" w:lineRule="auto"/>
        <w:tabs>
          <w:tab w:leader="none" w:pos="1895" w:val="left"/>
        </w:tabs>
        <w:numPr>
          <w:ilvl w:val="1"/>
          <w:numId w:val="890"/>
        </w:numPr>
        <w:rPr>
          <w:rFonts w:ascii="Arial" w:cs="Arial" w:eastAsia="Arial" w:hAnsi="Arial"/>
          <w:sz w:val="17"/>
          <w:szCs w:val="17"/>
          <w:color w:val="auto"/>
        </w:rPr>
      </w:pPr>
      <w:r>
        <w:rPr>
          <w:rFonts w:ascii="Arial" w:cs="Arial" w:eastAsia="Arial" w:hAnsi="Arial"/>
          <w:sz w:val="17"/>
          <w:szCs w:val="17"/>
          <w:color w:val="auto"/>
        </w:rPr>
        <w:t>During Executive’s employment with Company and thereafter, Executive will not copy, publish, convey, transfer, disclose nor use, directly or indirectly, for Executive’s own benefit or for the benefit of any other person or entity (except Company) any Confidential Information and Trade Secrets; provided, that any copying or other prohibited use of Confidential Information and Trade Secrets shall not include copying or otherwise using Confidential Information and Trade Secrets in connection with communications with current or potential customers or vendors that the Executive reasonably expects to have a direct benefit to the Company. Executive will abide by all rules, guidelines, policies and procedures relating to Confidential Information and Trade Secrets implemented and/or amended from time to time by Company.</w:t>
      </w:r>
    </w:p>
    <w:p>
      <w:pPr>
        <w:spacing w:after="0" w:line="183" w:lineRule="exact"/>
        <w:rPr>
          <w:rFonts w:ascii="Arial" w:cs="Arial" w:eastAsia="Arial" w:hAnsi="Arial"/>
          <w:sz w:val="17"/>
          <w:szCs w:val="17"/>
          <w:color w:val="auto"/>
        </w:rPr>
      </w:pPr>
    </w:p>
    <w:p>
      <w:pPr>
        <w:ind w:right="100" w:firstLine="1263"/>
        <w:spacing w:after="0" w:line="283" w:lineRule="auto"/>
        <w:tabs>
          <w:tab w:leader="none" w:pos="1898" w:val="left"/>
        </w:tabs>
        <w:numPr>
          <w:ilvl w:val="1"/>
          <w:numId w:val="890"/>
        </w:numPr>
        <w:rPr>
          <w:rFonts w:ascii="Arial" w:cs="Arial" w:eastAsia="Arial" w:hAnsi="Arial"/>
          <w:sz w:val="16"/>
          <w:szCs w:val="16"/>
          <w:color w:val="auto"/>
        </w:rPr>
      </w:pPr>
      <w:r>
        <w:rPr>
          <w:rFonts w:ascii="Arial" w:cs="Arial" w:eastAsia="Arial" w:hAnsi="Arial"/>
          <w:sz w:val="16"/>
          <w:szCs w:val="16"/>
          <w:color w:val="auto"/>
        </w:rPr>
        <w:t>Executive acknowledges that any actual or threatened breach of the covenants contained herein will cause Company irreparable harm and that money damages would not provide an adequate remedy to Company for any such breach. For these reasons, and because of the unique nature of the Confidential Information and Trade Secrets and the necessity to preserve such Confidential Information and Trade Secrets in order to protect Company’s property rights in the event of a breach or threatened breach of any of the provisions herein, Company, in addition to any other remedies available to it at law or in equity, shall be entitled to immediate injunctive relief against Executive to enforce the provisions of this Agreement and shall be entitled to recover from Executive its reasonable attorneys’ fees and other expenses incurred in connection with such proceedings.</w:t>
      </w:r>
    </w:p>
    <w:p>
      <w:pPr>
        <w:spacing w:after="0" w:line="160" w:lineRule="exact"/>
        <w:rPr>
          <w:rFonts w:ascii="Arial" w:cs="Arial" w:eastAsia="Arial" w:hAnsi="Arial"/>
          <w:sz w:val="16"/>
          <w:szCs w:val="16"/>
          <w:color w:val="auto"/>
        </w:rPr>
      </w:pPr>
    </w:p>
    <w:p>
      <w:pPr>
        <w:ind w:right="200" w:firstLine="634"/>
        <w:spacing w:after="0" w:line="297" w:lineRule="auto"/>
        <w:tabs>
          <w:tab w:leader="none" w:pos="1258" w:val="left"/>
        </w:tabs>
        <w:numPr>
          <w:ilvl w:val="0"/>
          <w:numId w:val="891"/>
        </w:numPr>
        <w:rPr>
          <w:rFonts w:ascii="Arial" w:cs="Arial" w:eastAsia="Arial" w:hAnsi="Arial"/>
          <w:sz w:val="17"/>
          <w:szCs w:val="17"/>
          <w:color w:val="auto"/>
        </w:rPr>
      </w:pPr>
      <w:r>
        <w:rPr>
          <w:rFonts w:ascii="Arial" w:cs="Arial" w:eastAsia="Arial" w:hAnsi="Arial"/>
          <w:sz w:val="17"/>
          <w:szCs w:val="17"/>
          <w:b w:val="1"/>
          <w:bCs w:val="1"/>
          <w:u w:val="single" w:color="auto"/>
          <w:color w:val="auto"/>
        </w:rPr>
        <w:t>Employee Confidentiality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agrees to keep all such information confidential and not to disclose any such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and Trade Secrets, directly or indirectly, to any third party without the prior express written consent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Company. Employee also agrees not to use such Confidential Information and Trade Secrets in any way, either during the term of this Agreement or at any time thereafter, except as required in the course of employment with the Company. All such Confidential Information and Trade Secrets, including but not limited to files, records, customer lists, manuals, documents, drawings, specifications, personal notes, personal property, and similar items related to the business of the Company, whether or not prepared by Employee, shall remain the exclusive property of the Company.</w:t>
      </w:r>
    </w:p>
    <w:p>
      <w:pPr>
        <w:spacing w:after="0" w:line="170" w:lineRule="exact"/>
        <w:rPr>
          <w:sz w:val="20"/>
          <w:szCs w:val="20"/>
          <w:color w:val="auto"/>
        </w:rPr>
      </w:pPr>
    </w:p>
    <w:p>
      <w:pPr>
        <w:ind w:right="200" w:firstLine="634"/>
        <w:spacing w:after="0" w:line="277" w:lineRule="auto"/>
        <w:tabs>
          <w:tab w:leader="none" w:pos="1258" w:val="left"/>
        </w:tabs>
        <w:numPr>
          <w:ilvl w:val="0"/>
          <w:numId w:val="892"/>
        </w:numPr>
        <w:rPr>
          <w:rFonts w:ascii="Arial" w:cs="Arial" w:eastAsia="Arial" w:hAnsi="Arial"/>
          <w:sz w:val="17"/>
          <w:szCs w:val="17"/>
          <w:color w:val="auto"/>
        </w:rPr>
      </w:pPr>
      <w:r>
        <w:rPr>
          <w:rFonts w:ascii="Arial" w:cs="Arial" w:eastAsia="Arial" w:hAnsi="Arial"/>
          <w:sz w:val="17"/>
          <w:szCs w:val="17"/>
          <w:b w:val="1"/>
          <w:bCs w:val="1"/>
          <w:u w:val="single" w:color="auto"/>
          <w:color w:val="auto"/>
        </w:rPr>
        <w:t>Return of Documents, Equipment, Etc.</w:t>
      </w:r>
      <w:r>
        <w:rPr>
          <w:rFonts w:ascii="Arial" w:cs="Arial" w:eastAsia="Arial" w:hAnsi="Arial"/>
          <w:sz w:val="17"/>
          <w:szCs w:val="17"/>
          <w:b w:val="1"/>
          <w:bCs w:val="1"/>
          <w:color w:val="auto"/>
        </w:rPr>
        <w:t xml:space="preserve"> </w:t>
      </w:r>
      <w:r>
        <w:rPr>
          <w:rFonts w:ascii="Arial" w:cs="Arial" w:eastAsia="Arial" w:hAnsi="Arial"/>
          <w:sz w:val="17"/>
          <w:szCs w:val="17"/>
          <w:color w:val="auto"/>
        </w:rPr>
        <w:t>Immediately upon the termination of this Agreement or whenever requested by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shall immediately deliver to Human Resources all property of the Company in Employee’s possession or under Employee’s control, including but not limited to all items listed above and all other records, files, lists, supplies, and personal property of the Company.</w:t>
      </w:r>
    </w:p>
    <w:p>
      <w:pPr>
        <w:spacing w:after="0" w:line="162" w:lineRule="exact"/>
        <w:rPr>
          <w:rFonts w:ascii="Arial" w:cs="Arial" w:eastAsia="Arial" w:hAnsi="Arial"/>
          <w:sz w:val="17"/>
          <w:szCs w:val="17"/>
          <w:color w:val="auto"/>
        </w:rPr>
      </w:pPr>
    </w:p>
    <w:p>
      <w:pPr>
        <w:jc w:val="both"/>
        <w:ind w:firstLine="634"/>
        <w:spacing w:after="0" w:line="302" w:lineRule="auto"/>
        <w:tabs>
          <w:tab w:leader="none" w:pos="1258" w:val="left"/>
        </w:tabs>
        <w:numPr>
          <w:ilvl w:val="0"/>
          <w:numId w:val="892"/>
        </w:numPr>
        <w:rPr>
          <w:rFonts w:ascii="Arial" w:cs="Arial" w:eastAsia="Arial" w:hAnsi="Arial"/>
          <w:sz w:val="16"/>
          <w:szCs w:val="16"/>
          <w:color w:val="auto"/>
        </w:rPr>
      </w:pPr>
      <w:r>
        <w:rPr>
          <w:rFonts w:ascii="Arial" w:cs="Arial" w:eastAsia="Arial" w:hAnsi="Arial"/>
          <w:sz w:val="16"/>
          <w:szCs w:val="16"/>
          <w:b w:val="1"/>
          <w:bCs w:val="1"/>
          <w:u w:val="single" w:color="auto"/>
          <w:color w:val="auto"/>
        </w:rPr>
        <w:t>Confidential Data of Customers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 the course of performing duties under this Agreement, Employee will have access to and</w:t>
      </w:r>
      <w:r>
        <w:rPr>
          <w:rFonts w:ascii="Arial" w:cs="Arial" w:eastAsia="Arial" w:hAnsi="Arial"/>
          <w:sz w:val="16"/>
          <w:szCs w:val="16"/>
          <w:b w:val="1"/>
          <w:bCs w:val="1"/>
          <w:color w:val="auto"/>
        </w:rPr>
        <w:t xml:space="preserve"> </w:t>
      </w:r>
      <w:r>
        <w:rPr>
          <w:rFonts w:ascii="Arial" w:cs="Arial" w:eastAsia="Arial" w:hAnsi="Arial"/>
          <w:sz w:val="16"/>
          <w:szCs w:val="16"/>
          <w:color w:val="auto"/>
        </w:rPr>
        <w:t>be handling substantial information concerning customers and clients of the Company. All information is considered confidential by the Company and shall not be disclosed, directly or indirectly, to any person or entity prior to termination of this Agreement or thereafter without the prior written consent of the Company.</w:t>
      </w:r>
    </w:p>
    <w:p>
      <w:pPr>
        <w:spacing w:after="0" w:line="144" w:lineRule="exact"/>
        <w:rPr>
          <w:rFonts w:ascii="Arial" w:cs="Arial" w:eastAsia="Arial" w:hAnsi="Arial"/>
          <w:sz w:val="16"/>
          <w:szCs w:val="16"/>
          <w:color w:val="auto"/>
        </w:rPr>
      </w:pPr>
    </w:p>
    <w:p>
      <w:pPr>
        <w:ind w:right="20" w:firstLine="634"/>
        <w:spacing w:after="0" w:line="263" w:lineRule="auto"/>
        <w:tabs>
          <w:tab w:leader="none" w:pos="1258" w:val="left"/>
        </w:tabs>
        <w:numPr>
          <w:ilvl w:val="0"/>
          <w:numId w:val="892"/>
        </w:numPr>
        <w:rPr>
          <w:rFonts w:ascii="Arial" w:cs="Arial" w:eastAsia="Arial" w:hAnsi="Arial"/>
          <w:sz w:val="17"/>
          <w:szCs w:val="17"/>
          <w:color w:val="auto"/>
        </w:rPr>
      </w:pPr>
      <w:r>
        <w:rPr>
          <w:rFonts w:ascii="Arial" w:cs="Arial" w:eastAsia="Arial" w:hAnsi="Arial"/>
          <w:sz w:val="17"/>
          <w:szCs w:val="17"/>
          <w:b w:val="1"/>
          <w:bCs w:val="1"/>
          <w:u w:val="single" w:color="auto"/>
          <w:color w:val="auto"/>
        </w:rPr>
        <w:t>Inventions, Patents, and Copyright Works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recognizes, acknowledges, and agrees that the Company is the owner of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inventions (whether patentable or not), discoveries, improvements, designs, ideas (whether or not shown or described in writing or reduced to practice) scientific and technical information, data and know-how of any nature including, and in addition to, any Confidential Information and Trade Secrets, and certain trademarks, tradenames, domain names, and copyrightable works including, but limited to, literary works (including all written material), books, brochures, catalogs, manuals, training materials, directories, compilations of information, compilations of inspection or testing procedures, computer programs, software (object and source code), protocols, system architectures, advertisements, artistic and graphic works (including designs, graphs, drawings, blueprints, and other works), recordings, models, photographs, slides, motion pictures, audio-visual works, and the like, regardless of the form or manner in which documented or recorded (collectively, “</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Further, Employee agrees as follows:</w:t>
      </w:r>
    </w:p>
    <w:p>
      <w:pPr>
        <w:spacing w:after="0" w:line="180" w:lineRule="exact"/>
        <w:rPr>
          <w:rFonts w:ascii="Arial" w:cs="Arial" w:eastAsia="Arial" w:hAnsi="Arial"/>
          <w:sz w:val="17"/>
          <w:szCs w:val="17"/>
          <w:color w:val="auto"/>
        </w:rPr>
      </w:pPr>
    </w:p>
    <w:p>
      <w:pPr>
        <w:ind w:right="160" w:firstLine="1263"/>
        <w:spacing w:after="0" w:line="298" w:lineRule="auto"/>
        <w:tabs>
          <w:tab w:leader="none" w:pos="1885" w:val="left"/>
        </w:tabs>
        <w:numPr>
          <w:ilvl w:val="1"/>
          <w:numId w:val="892"/>
        </w:numPr>
        <w:rPr>
          <w:rFonts w:ascii="Arial" w:cs="Arial" w:eastAsia="Arial" w:hAnsi="Arial"/>
          <w:sz w:val="16"/>
          <w:szCs w:val="16"/>
          <w:color w:val="auto"/>
        </w:rPr>
      </w:pPr>
      <w:r>
        <w:rPr>
          <w:rFonts w:ascii="Arial" w:cs="Arial" w:eastAsia="Arial" w:hAnsi="Arial"/>
          <w:sz w:val="16"/>
          <w:szCs w:val="16"/>
          <w:u w:val="single" w:color="auto"/>
          <w:color w:val="auto"/>
        </w:rPr>
        <w:t>Keep Records.</w:t>
      </w:r>
      <w:r>
        <w:rPr>
          <w:rFonts w:ascii="Arial" w:cs="Arial" w:eastAsia="Arial" w:hAnsi="Arial"/>
          <w:sz w:val="16"/>
          <w:szCs w:val="16"/>
          <w:color w:val="auto"/>
        </w:rPr>
        <w:t xml:space="preserve"> Employee agrees to keep and maintain adequate and current written records of all Intellectual Property made by Employee (solely or jointly with others) during the term of employment with the Company. The records will be in the form of notes, sketches, drawings and any other format that may be specified by the Company. The records will be available to and remain the sole property of the Company at all times.</w:t>
      </w:r>
    </w:p>
    <w:p>
      <w:pPr>
        <w:spacing w:after="0" w:line="153" w:lineRule="exact"/>
        <w:rPr>
          <w:rFonts w:ascii="Arial" w:cs="Arial" w:eastAsia="Arial" w:hAnsi="Arial"/>
          <w:sz w:val="16"/>
          <w:szCs w:val="16"/>
          <w:color w:val="auto"/>
        </w:rPr>
      </w:pPr>
    </w:p>
    <w:p>
      <w:pPr>
        <w:ind w:right="120" w:firstLine="1263"/>
        <w:spacing w:after="0" w:line="273" w:lineRule="auto"/>
        <w:tabs>
          <w:tab w:leader="none" w:pos="1895" w:val="left"/>
        </w:tabs>
        <w:numPr>
          <w:ilvl w:val="1"/>
          <w:numId w:val="892"/>
        </w:numPr>
        <w:rPr>
          <w:rFonts w:ascii="Arial" w:cs="Arial" w:eastAsia="Arial" w:hAnsi="Arial"/>
          <w:sz w:val="17"/>
          <w:szCs w:val="17"/>
          <w:color w:val="auto"/>
        </w:rPr>
      </w:pPr>
      <w:r>
        <w:rPr>
          <w:rFonts w:ascii="Arial" w:cs="Arial" w:eastAsia="Arial" w:hAnsi="Arial"/>
          <w:sz w:val="17"/>
          <w:szCs w:val="17"/>
          <w:u w:val="single" w:color="auto"/>
          <w:color w:val="auto"/>
        </w:rPr>
        <w:t>Notification of Company.</w:t>
      </w:r>
      <w:r>
        <w:rPr>
          <w:rFonts w:ascii="Arial" w:cs="Arial" w:eastAsia="Arial" w:hAnsi="Arial"/>
          <w:sz w:val="17"/>
          <w:szCs w:val="17"/>
          <w:color w:val="auto"/>
        </w:rPr>
        <w:t xml:space="preserve"> Employee agrees to promptly disclose to the Company all Intellectual Property and other proprietary information which Employee may author, create, make, conceive, or develop, either solely or jointly with others, whether inside or outside normal working hours or on or off Company premises, during the term of employment with the Company.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0" w:lineRule="exact"/>
        <w:rPr>
          <w:rFonts w:ascii="Arial" w:cs="Arial" w:eastAsia="Arial" w:hAnsi="Arial"/>
          <w:sz w:val="17"/>
          <w:szCs w:val="17"/>
          <w:color w:val="auto"/>
        </w:rPr>
      </w:pPr>
    </w:p>
    <w:p>
      <w:pPr>
        <w:ind w:right="120" w:firstLine="1263"/>
        <w:spacing w:after="0" w:line="301" w:lineRule="auto"/>
        <w:tabs>
          <w:tab w:leader="none" w:pos="1933" w:val="left"/>
        </w:tabs>
        <w:numPr>
          <w:ilvl w:val="1"/>
          <w:numId w:val="892"/>
        </w:numPr>
        <w:rPr>
          <w:rFonts w:ascii="Arial" w:cs="Arial" w:eastAsia="Arial" w:hAnsi="Arial"/>
          <w:sz w:val="15"/>
          <w:szCs w:val="15"/>
          <w:color w:val="auto"/>
        </w:rPr>
      </w:pPr>
      <w:r>
        <w:rPr>
          <w:rFonts w:ascii="Arial" w:cs="Arial" w:eastAsia="Arial" w:hAnsi="Arial"/>
          <w:sz w:val="15"/>
          <w:szCs w:val="15"/>
          <w:u w:val="single" w:color="auto"/>
          <w:color w:val="auto"/>
        </w:rPr>
        <w:t>Transfer of Rights.</w:t>
      </w:r>
      <w:r>
        <w:rPr>
          <w:rFonts w:ascii="Arial" w:cs="Arial" w:eastAsia="Arial" w:hAnsi="Arial"/>
          <w:sz w:val="15"/>
          <w:szCs w:val="15"/>
          <w:color w:val="auto"/>
        </w:rPr>
        <w:t xml:space="preserve"> Employee agrees that all Intellectual Property that Employee develops (in whole or in part, either alone or jointly with others) shall be the sole property of the Company and its assigns, and the Company and its assigns shall be the sole owner of all patents, copyrights, mask-work rights, and registrations and other rights in connection therewith. Employee acknowledges that all original works of authorship that are made by Employee (solely or jointly with others) within the scope of and during the period of employment with the Company shall be considered “works made for hire” under applicable copyright law, to the extent possible. Employee agrees to and does hereby assign, grant, and convey to the Company, its successors and assigns, Employee’s entire right, title, and interest in and to all Intellectual Property and other proprietary rights and information which Employee may author, create, make, receive, or develop, either solely or jointly with others, whether inside or outside normal working hours or on or off Company premises, during the term of employment with the Company. To perfect the Company’s ownership of such Intellectual Property, Employee hereby assigns to the Company any rights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-1317625</wp:posOffset>
            </wp:positionV>
            <wp:extent cx="7271385" cy="2921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911" w:orient="portrait"/>
          <w:cols w:equalWidth="0" w:num="1">
            <w:col w:w="11420"/>
          </w:cols>
          <w:pgMar w:left="240" w:top="1031" w:right="239" w:bottom="0" w:gutter="0" w:footer="0" w:header="0"/>
        </w:sectPr>
      </w:pPr>
    </w:p>
    <w:bookmarkStart w:id="479" w:name="page480"/>
    <w:bookmarkEnd w:id="479"/>
    <w:p>
      <w:pPr>
        <w:ind w:right="400"/>
        <w:spacing w:after="0" w:line="289" w:lineRule="auto"/>
        <w:rPr>
          <w:sz w:val="20"/>
          <w:szCs w:val="20"/>
          <w:color w:val="auto"/>
        </w:rPr>
      </w:pPr>
      <w:r>
        <w:rPr>
          <w:rFonts w:ascii="Arial" w:cs="Arial" w:eastAsia="Arial" w:hAnsi="Arial"/>
          <w:sz w:val="17"/>
          <w:szCs w:val="17"/>
          <w:color w:val="auto"/>
        </w:rPr>
        <w:t>Employee may have or acquire in such Intellectual Property, including the right to modify such Intellectual Property, and otherwise waives and/or releases all rights of restraint and moral rights in the Intellectual Property.</w:t>
      </w:r>
    </w:p>
    <w:p>
      <w:pPr>
        <w:spacing w:after="0" w:line="158" w:lineRule="exact"/>
        <w:rPr>
          <w:sz w:val="20"/>
          <w:szCs w:val="20"/>
          <w:color w:val="auto"/>
        </w:rPr>
      </w:pPr>
    </w:p>
    <w:p>
      <w:pPr>
        <w:ind w:right="20" w:firstLine="1263"/>
        <w:spacing w:after="0" w:line="261" w:lineRule="auto"/>
        <w:tabs>
          <w:tab w:leader="none" w:pos="1943" w:val="left"/>
        </w:tabs>
        <w:numPr>
          <w:ilvl w:val="1"/>
          <w:numId w:val="893"/>
        </w:numPr>
        <w:rPr>
          <w:rFonts w:ascii="Arial" w:cs="Arial" w:eastAsia="Arial" w:hAnsi="Arial"/>
          <w:sz w:val="17"/>
          <w:szCs w:val="17"/>
          <w:color w:val="auto"/>
        </w:rPr>
      </w:pPr>
      <w:r>
        <w:rPr>
          <w:rFonts w:ascii="Arial" w:cs="Arial" w:eastAsia="Arial" w:hAnsi="Arial"/>
          <w:sz w:val="17"/>
          <w:szCs w:val="17"/>
          <w:u w:val="single" w:color="auto"/>
          <w:color w:val="auto"/>
        </w:rPr>
        <w:t>Assistance in Preparation of Applications.</w:t>
      </w:r>
      <w:r>
        <w:rPr>
          <w:rFonts w:ascii="Arial" w:cs="Arial" w:eastAsia="Arial" w:hAnsi="Arial"/>
          <w:sz w:val="17"/>
          <w:szCs w:val="17"/>
          <w:color w:val="auto"/>
        </w:rPr>
        <w:t xml:space="preserve"> As to all such Intellectual Property, Employee further agrees to assist the Company in every proper way (but at the Company’s expense) to obtain and from time to time enforce patents, copyrights, trade secrets, or other intellectual property or propriety rights, mask-work rights or other rights in such Intellectual Property in any and all countries, and Employee will execute all documents for use in applying for and obtaining such rights and enforcing them as the Company may desire, together with any assignments of them to the Company or persons designated by the Company. If the Company is unable for any reason whatsoever to secure Employee’s signature to any lawful and necessary document required to apply for or execute any application with respect to such Intellectual Property (including renewals, extensions, continuations, divisions or continuations in whole or in part thereof), Employee hereby irrevocably designates and appoints the Company and its duly authorized officers and agents, as Employee’s agents and attorneys-in-fact to act for and in Employee’s behalf and to execute and file any such application and to do all other lawfully permitted acts to further the prosecution and issuance of patents, copyrights, trade secrets or other intellectual property or propriety rights, mask work rights or other rights thereon, with the same legal force and effect as if executed by Employee.</w:t>
      </w:r>
    </w:p>
    <w:p>
      <w:pPr>
        <w:spacing w:after="0" w:line="175" w:lineRule="exact"/>
        <w:rPr>
          <w:rFonts w:ascii="Arial" w:cs="Arial" w:eastAsia="Arial" w:hAnsi="Arial"/>
          <w:sz w:val="17"/>
          <w:szCs w:val="17"/>
          <w:color w:val="auto"/>
        </w:rPr>
      </w:pPr>
    </w:p>
    <w:p>
      <w:pPr>
        <w:ind w:right="20" w:firstLine="634"/>
        <w:spacing w:after="0" w:line="285" w:lineRule="auto"/>
        <w:tabs>
          <w:tab w:leader="none" w:pos="1328" w:val="left"/>
        </w:tabs>
        <w:numPr>
          <w:ilvl w:val="0"/>
          <w:numId w:val="894"/>
        </w:numPr>
        <w:rPr>
          <w:rFonts w:ascii="Arial" w:cs="Arial" w:eastAsia="Arial" w:hAnsi="Arial"/>
          <w:sz w:val="16"/>
          <w:szCs w:val="16"/>
          <w:color w:val="auto"/>
        </w:rPr>
      </w:pPr>
      <w:r>
        <w:rPr>
          <w:rFonts w:ascii="Arial" w:cs="Arial" w:eastAsia="Arial" w:hAnsi="Arial"/>
          <w:sz w:val="16"/>
          <w:szCs w:val="16"/>
          <w:b w:val="1"/>
          <w:bCs w:val="1"/>
          <w:u w:val="single" w:color="auto"/>
          <w:color w:val="auto"/>
        </w:rPr>
        <w:t>Non-Competition and Non-Solicitation of Customers and Clients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hereby acknowledges and recognizes that, throughout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employment with the Company, Company agrees to give Executive access to certain of its Confidential Information and Trade Secrets (defined above) concerning Company’s Business and its employees, customers and customer representatives, suppliers and supplier representatives, and Company’s transactional histories as well as information about the logistics, details and expenses of Company in connection with any goods, products or services which form any part of Company’s Business. Company agrees to provide this information to Executive in order to allow Executive to perform Executive’s duties under this Agreement, and to develop relationships with customers, customer representatives, suppliers and supplier representatives of the Company.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8" w:lineRule="exact"/>
        <w:rPr>
          <w:rFonts w:ascii="Arial" w:cs="Arial" w:eastAsia="Arial" w:hAnsi="Arial"/>
          <w:sz w:val="16"/>
          <w:szCs w:val="16"/>
          <w:color w:val="auto"/>
        </w:rPr>
      </w:pPr>
    </w:p>
    <w:p>
      <w:pPr>
        <w:ind w:right="260" w:firstLine="1263"/>
        <w:spacing w:after="0" w:line="263" w:lineRule="auto"/>
        <w:tabs>
          <w:tab w:leader="none" w:pos="1933" w:val="left"/>
        </w:tabs>
        <w:numPr>
          <w:ilvl w:val="1"/>
          <w:numId w:val="894"/>
        </w:numPr>
        <w:rPr>
          <w:rFonts w:ascii="Arial" w:cs="Arial" w:eastAsia="Arial" w:hAnsi="Arial"/>
          <w:sz w:val="17"/>
          <w:szCs w:val="17"/>
          <w:color w:val="auto"/>
        </w:rPr>
      </w:pPr>
      <w:r>
        <w:rPr>
          <w:rFonts w:ascii="Arial" w:cs="Arial" w:eastAsia="Arial" w:hAnsi="Arial"/>
          <w:sz w:val="17"/>
          <w:szCs w:val="17"/>
          <w:color w:val="auto"/>
        </w:rPr>
        <w:t>Company agrees to provide, and to continue to provide, Executive with both specialized knowledge and education in Company’s Business, in order to allow Executive to perform Executive’s duties in an efficient, proper and effective manner. Such knowledge and education may consist of verbal instructions and information, the furnishing of written materials, consultation and counseling, sales, staff and employee meetings, training sessions and seminars, in addition to formal or informal information and orientation methodologies and procedures. Executive will have access to certain of Company’s transactional histories, and the details of prior purchases, sales, trades or exchanges, in order that Executive can learn Company’s Business and/or improve Executive’s skills, experience and knowledge.</w:t>
      </w:r>
    </w:p>
    <w:p>
      <w:pPr>
        <w:spacing w:after="0" w:line="183" w:lineRule="exact"/>
        <w:rPr>
          <w:rFonts w:ascii="Arial" w:cs="Arial" w:eastAsia="Arial" w:hAnsi="Arial"/>
          <w:sz w:val="17"/>
          <w:szCs w:val="17"/>
          <w:color w:val="auto"/>
        </w:rPr>
      </w:pPr>
    </w:p>
    <w:p>
      <w:pPr>
        <w:ind w:right="20" w:firstLine="1263"/>
        <w:spacing w:after="0" w:line="298" w:lineRule="auto"/>
        <w:tabs>
          <w:tab w:leader="none" w:pos="1943" w:val="left"/>
        </w:tabs>
        <w:numPr>
          <w:ilvl w:val="1"/>
          <w:numId w:val="894"/>
        </w:numPr>
        <w:rPr>
          <w:rFonts w:ascii="Arial" w:cs="Arial" w:eastAsia="Arial" w:hAnsi="Arial"/>
          <w:sz w:val="16"/>
          <w:szCs w:val="16"/>
          <w:color w:val="auto"/>
        </w:rPr>
      </w:pPr>
      <w:r>
        <w:rPr>
          <w:rFonts w:ascii="Arial" w:cs="Arial" w:eastAsia="Arial" w:hAnsi="Arial"/>
          <w:sz w:val="16"/>
          <w:szCs w:val="16"/>
          <w:color w:val="auto"/>
        </w:rPr>
        <w:t>In consideration of Company’s employment of Executive as a highly valued employee, the Company’s agreement to provide Executive with access to certain Confidential Information and Trade Secrets, and the Company’s agreement to provide specialized knowledge and education, Executive agrees to refrain from competing with Company or otherwise engaging in Restricted Activities, as defined below, during the Restricted Period.</w:t>
      </w:r>
    </w:p>
    <w:p>
      <w:pPr>
        <w:spacing w:after="0" w:line="153" w:lineRule="exact"/>
        <w:rPr>
          <w:rFonts w:ascii="Arial" w:cs="Arial" w:eastAsia="Arial" w:hAnsi="Arial"/>
          <w:sz w:val="16"/>
          <w:szCs w:val="16"/>
          <w:color w:val="auto"/>
        </w:rPr>
      </w:pPr>
    </w:p>
    <w:p>
      <w:pPr>
        <w:ind w:right="160" w:firstLine="1263"/>
        <w:spacing w:after="0" w:line="290" w:lineRule="auto"/>
        <w:tabs>
          <w:tab w:leader="none" w:pos="1933" w:val="left"/>
        </w:tabs>
        <w:numPr>
          <w:ilvl w:val="1"/>
          <w:numId w:val="894"/>
        </w:numPr>
        <w:rPr>
          <w:rFonts w:ascii="Arial" w:cs="Arial" w:eastAsia="Arial" w:hAnsi="Arial"/>
          <w:sz w:val="16"/>
          <w:szCs w:val="16"/>
          <w:color w:val="auto"/>
        </w:rPr>
      </w:pPr>
      <w:r>
        <w:rPr>
          <w:rFonts w:ascii="Arial" w:cs="Arial" w:eastAsia="Arial" w:hAnsi="Arial"/>
          <w:sz w:val="16"/>
          <w:szCs w:val="16"/>
          <w:color w:val="auto"/>
        </w:rPr>
        <w:t>Executive agrees that during the term of his employment with Company and for a period of one (1) year after the Executive’s employment with the Company terminates (the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regardless of whether the termination occurs with or without cause and regardless of who terminates this Agreement, Executive will not directly or indirectly, as an employee, officer, director, shareholder, proprietor, agent, partner, recruiter, consultant, independent contractor or in any other individual or representative capacity engage in any of the Restricted Activities within the Restricted Area.</w:t>
      </w:r>
    </w:p>
    <w:p>
      <w:pPr>
        <w:spacing w:after="0" w:line="159" w:lineRule="exact"/>
        <w:rPr>
          <w:rFonts w:ascii="Arial" w:cs="Arial" w:eastAsia="Arial" w:hAnsi="Arial"/>
          <w:sz w:val="16"/>
          <w:szCs w:val="16"/>
          <w:color w:val="auto"/>
        </w:rPr>
      </w:pPr>
    </w:p>
    <w:p>
      <w:pPr>
        <w:ind w:left="1940" w:hanging="677"/>
        <w:spacing w:after="0"/>
        <w:tabs>
          <w:tab w:leader="none" w:pos="1940" w:val="left"/>
        </w:tabs>
        <w:numPr>
          <w:ilvl w:val="1"/>
          <w:numId w:val="8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Activities</w:t>
      </w:r>
      <w:r>
        <w:rPr>
          <w:rFonts w:ascii="Arial" w:cs="Arial" w:eastAsia="Arial" w:hAnsi="Arial"/>
          <w:sz w:val="17"/>
          <w:szCs w:val="17"/>
          <w:color w:val="auto"/>
        </w:rPr>
        <w:t>” means and includes the following:</w:t>
      </w:r>
    </w:p>
    <w:p>
      <w:pPr>
        <w:spacing w:after="0" w:line="224" w:lineRule="exact"/>
        <w:rPr>
          <w:rFonts w:ascii="Arial" w:cs="Arial" w:eastAsia="Arial" w:hAnsi="Arial"/>
          <w:sz w:val="17"/>
          <w:szCs w:val="17"/>
          <w:color w:val="auto"/>
        </w:rPr>
      </w:pPr>
    </w:p>
    <w:p>
      <w:pPr>
        <w:ind w:right="440" w:firstLine="1893"/>
        <w:spacing w:after="0" w:line="273" w:lineRule="auto"/>
        <w:tabs>
          <w:tab w:leader="none" w:pos="2577" w:val="left"/>
        </w:tabs>
        <w:numPr>
          <w:ilvl w:val="2"/>
          <w:numId w:val="894"/>
        </w:numPr>
        <w:rPr>
          <w:rFonts w:ascii="Arial" w:cs="Arial" w:eastAsia="Arial" w:hAnsi="Arial"/>
          <w:sz w:val="17"/>
          <w:szCs w:val="17"/>
          <w:color w:val="auto"/>
        </w:rPr>
      </w:pPr>
      <w:r>
        <w:rPr>
          <w:rFonts w:ascii="Arial" w:cs="Arial" w:eastAsia="Arial" w:hAnsi="Arial"/>
          <w:sz w:val="17"/>
          <w:szCs w:val="17"/>
          <w:color w:val="auto"/>
        </w:rPr>
        <w:t>Conducting, engaging or participating, directly or indirectly, as the chief executive officer or division head, agent, independent contractor, consultant, partner, shareholder, investor, lender, underwriter, supplier, customer or in any other similar capacity, in any business that competes with any part of the Company’s Business;</w:t>
      </w:r>
    </w:p>
    <w:p>
      <w:pPr>
        <w:spacing w:after="0" w:line="171" w:lineRule="exact"/>
        <w:rPr>
          <w:rFonts w:ascii="Arial" w:cs="Arial" w:eastAsia="Arial" w:hAnsi="Arial"/>
          <w:sz w:val="17"/>
          <w:szCs w:val="17"/>
          <w:color w:val="auto"/>
        </w:rPr>
      </w:pPr>
    </w:p>
    <w:p>
      <w:pPr>
        <w:ind w:firstLine="1893"/>
        <w:spacing w:after="0" w:line="290" w:lineRule="auto"/>
        <w:tabs>
          <w:tab w:leader="none" w:pos="2582" w:val="left"/>
        </w:tabs>
        <w:numPr>
          <w:ilvl w:val="2"/>
          <w:numId w:val="894"/>
        </w:numPr>
        <w:rPr>
          <w:rFonts w:ascii="Arial" w:cs="Arial" w:eastAsia="Arial" w:hAnsi="Arial"/>
          <w:sz w:val="16"/>
          <w:szCs w:val="16"/>
          <w:color w:val="auto"/>
        </w:rPr>
      </w:pPr>
      <w:r>
        <w:rPr>
          <w:rFonts w:ascii="Arial" w:cs="Arial" w:eastAsia="Arial" w:hAnsi="Arial"/>
          <w:sz w:val="16"/>
          <w:szCs w:val="16"/>
          <w:color w:val="auto"/>
        </w:rPr>
        <w:t>Recruiting, hiring, and/or attempting to recruit or hire, directly or by assisting others, any other employee, temporary or permanent, contract, part time or full time of the Company. For purposes of this covenant “any other employee” shall refer to employees, consultants or others who are under contract to provide services to the Company and who are still actively employed by, or doing business with, the Company at the time of the attempted recruiting or hiring, or were so employed or doing business at any time within six (6) months prior to the time of such attempted recruiting or hiring; and</w:t>
      </w:r>
    </w:p>
    <w:p>
      <w:pPr>
        <w:spacing w:after="0" w:line="159" w:lineRule="exact"/>
        <w:rPr>
          <w:rFonts w:ascii="Arial" w:cs="Arial" w:eastAsia="Arial" w:hAnsi="Arial"/>
          <w:sz w:val="16"/>
          <w:szCs w:val="16"/>
          <w:color w:val="auto"/>
        </w:rPr>
      </w:pPr>
    </w:p>
    <w:p>
      <w:pPr>
        <w:ind w:right="140" w:firstLine="1893"/>
        <w:spacing w:after="0" w:line="289" w:lineRule="auto"/>
        <w:tabs>
          <w:tab w:leader="none" w:pos="2587" w:val="left"/>
        </w:tabs>
        <w:numPr>
          <w:ilvl w:val="2"/>
          <w:numId w:val="894"/>
        </w:numPr>
        <w:rPr>
          <w:rFonts w:ascii="Arial" w:cs="Arial" w:eastAsia="Arial" w:hAnsi="Arial"/>
          <w:sz w:val="17"/>
          <w:szCs w:val="17"/>
          <w:color w:val="auto"/>
        </w:rPr>
      </w:pPr>
      <w:r>
        <w:rPr>
          <w:rFonts w:ascii="Arial" w:cs="Arial" w:eastAsia="Arial" w:hAnsi="Arial"/>
          <w:sz w:val="17"/>
          <w:szCs w:val="17"/>
          <w:color w:val="auto"/>
        </w:rPr>
        <w:t>Using, disclosing, publishing, copying, distributing or communicating any Confidential Information and Trade Secrets to, or for the use or benefit of Executive or any other person or entity other than Company.</w:t>
      </w:r>
    </w:p>
    <w:p>
      <w:pPr>
        <w:spacing w:after="0" w:line="158" w:lineRule="exact"/>
        <w:rPr>
          <w:rFonts w:ascii="Arial" w:cs="Arial" w:eastAsia="Arial" w:hAnsi="Arial"/>
          <w:sz w:val="17"/>
          <w:szCs w:val="17"/>
          <w:color w:val="auto"/>
        </w:rPr>
      </w:pPr>
    </w:p>
    <w:p>
      <w:pPr>
        <w:ind w:left="1940" w:hanging="677"/>
        <w:spacing w:after="0"/>
        <w:tabs>
          <w:tab w:leader="none" w:pos="1940" w:val="left"/>
        </w:tabs>
        <w:numPr>
          <w:ilvl w:val="1"/>
          <w:numId w:val="8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Area</w:t>
      </w:r>
      <w:r>
        <w:rPr>
          <w:rFonts w:ascii="Arial" w:cs="Arial" w:eastAsia="Arial" w:hAnsi="Arial"/>
          <w:sz w:val="17"/>
          <w:szCs w:val="17"/>
          <w:color w:val="auto"/>
        </w:rPr>
        <w:t>” shall mean and include each of the following:</w:t>
      </w:r>
    </w:p>
    <w:p>
      <w:pPr>
        <w:spacing w:after="0" w:line="224" w:lineRule="exact"/>
        <w:rPr>
          <w:rFonts w:ascii="Arial" w:cs="Arial" w:eastAsia="Arial" w:hAnsi="Arial"/>
          <w:sz w:val="17"/>
          <w:szCs w:val="17"/>
          <w:color w:val="auto"/>
        </w:rPr>
      </w:pPr>
    </w:p>
    <w:p>
      <w:pPr>
        <w:ind w:left="2580" w:hanging="687"/>
        <w:spacing w:after="0"/>
        <w:tabs>
          <w:tab w:leader="none" w:pos="2580" w:val="left"/>
        </w:tabs>
        <w:numPr>
          <w:ilvl w:val="2"/>
          <w:numId w:val="894"/>
        </w:numPr>
        <w:rPr>
          <w:rFonts w:ascii="Arial" w:cs="Arial" w:eastAsia="Arial" w:hAnsi="Arial"/>
          <w:sz w:val="17"/>
          <w:szCs w:val="17"/>
          <w:color w:val="auto"/>
        </w:rPr>
      </w:pPr>
      <w:r>
        <w:rPr>
          <w:rFonts w:ascii="Arial" w:cs="Arial" w:eastAsia="Arial" w:hAnsi="Arial"/>
          <w:sz w:val="17"/>
          <w:szCs w:val="17"/>
          <w:color w:val="auto"/>
        </w:rPr>
        <w:t>The state of Texas;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8" w:lineRule="exact"/>
        <w:rPr>
          <w:rFonts w:ascii="Arial" w:cs="Arial" w:eastAsia="Arial" w:hAnsi="Arial"/>
          <w:sz w:val="17"/>
          <w:szCs w:val="17"/>
          <w:color w:val="auto"/>
        </w:rPr>
      </w:pPr>
    </w:p>
    <w:p>
      <w:pPr>
        <w:ind w:right="460" w:firstLine="1893"/>
        <w:spacing w:after="0" w:line="289" w:lineRule="auto"/>
        <w:tabs>
          <w:tab w:leader="none" w:pos="2582" w:val="left"/>
        </w:tabs>
        <w:numPr>
          <w:ilvl w:val="2"/>
          <w:numId w:val="894"/>
        </w:numPr>
        <w:rPr>
          <w:rFonts w:ascii="Arial" w:cs="Arial" w:eastAsia="Arial" w:hAnsi="Arial"/>
          <w:sz w:val="17"/>
          <w:szCs w:val="17"/>
          <w:color w:val="auto"/>
        </w:rPr>
      </w:pPr>
      <w:r>
        <w:rPr>
          <w:rFonts w:ascii="Arial" w:cs="Arial" w:eastAsia="Arial" w:hAnsi="Arial"/>
          <w:sz w:val="17"/>
          <w:szCs w:val="17"/>
          <w:color w:val="auto"/>
        </w:rPr>
        <w:t>Within a one-hundred (100) mile radius of the location of any office, facility or other business location of any customer, customer representative, supplier or supplier representative; and</w:t>
      </w:r>
    </w:p>
    <w:p>
      <w:pPr>
        <w:spacing w:after="0" w:line="158" w:lineRule="exact"/>
        <w:rPr>
          <w:rFonts w:ascii="Arial" w:cs="Arial" w:eastAsia="Arial" w:hAnsi="Arial"/>
          <w:sz w:val="17"/>
          <w:szCs w:val="17"/>
          <w:color w:val="auto"/>
        </w:rPr>
      </w:pPr>
    </w:p>
    <w:p>
      <w:pPr>
        <w:ind w:left="2600" w:hanging="707"/>
        <w:spacing w:after="0"/>
        <w:tabs>
          <w:tab w:leader="none" w:pos="2600" w:val="left"/>
        </w:tabs>
        <w:numPr>
          <w:ilvl w:val="2"/>
          <w:numId w:val="894"/>
        </w:numPr>
        <w:rPr>
          <w:rFonts w:ascii="Arial" w:cs="Arial" w:eastAsia="Arial" w:hAnsi="Arial"/>
          <w:sz w:val="17"/>
          <w:szCs w:val="17"/>
          <w:color w:val="auto"/>
        </w:rPr>
      </w:pPr>
      <w:r>
        <w:rPr>
          <w:rFonts w:ascii="Arial" w:cs="Arial" w:eastAsia="Arial" w:hAnsi="Arial"/>
          <w:sz w:val="17"/>
          <w:szCs w:val="17"/>
          <w:color w:val="auto"/>
        </w:rPr>
        <w:t>Within a one-hundred (100) miles radius of any office, facility or other business location of Company.</w:t>
      </w:r>
    </w:p>
    <w:p>
      <w:pPr>
        <w:spacing w:after="0" w:line="224" w:lineRule="exact"/>
        <w:rPr>
          <w:rFonts w:ascii="Arial" w:cs="Arial" w:eastAsia="Arial" w:hAnsi="Arial"/>
          <w:sz w:val="17"/>
          <w:szCs w:val="17"/>
          <w:color w:val="auto"/>
        </w:rPr>
      </w:pPr>
    </w:p>
    <w:p>
      <w:pPr>
        <w:ind w:right="60" w:firstLine="1263"/>
        <w:spacing w:after="0" w:line="268" w:lineRule="auto"/>
        <w:tabs>
          <w:tab w:leader="none" w:pos="1957" w:val="left"/>
        </w:tabs>
        <w:numPr>
          <w:ilvl w:val="1"/>
          <w:numId w:val="894"/>
        </w:numPr>
        <w:rPr>
          <w:rFonts w:ascii="Arial" w:cs="Arial" w:eastAsia="Arial" w:hAnsi="Arial"/>
          <w:sz w:val="17"/>
          <w:szCs w:val="17"/>
          <w:color w:val="auto"/>
        </w:rPr>
      </w:pPr>
      <w:r>
        <w:rPr>
          <w:rFonts w:ascii="Arial" w:cs="Arial" w:eastAsia="Arial" w:hAnsi="Arial"/>
          <w:sz w:val="17"/>
          <w:szCs w:val="17"/>
          <w:color w:val="auto"/>
        </w:rPr>
        <w:t>The Company and Executive acknowledge that the provisions contained in this Section 6 shall not prevent Executive or Executive’s Affiliates from owning solely as an investment, directly or indirectly, securities of any publicly traded corporation engaged in the Company’s Business if Executive and Executive’s Affiliates do not, directly or indirectly, beneficially own in the aggregate more than 5% of all classes of outstanding equity securities of such entity.</w:t>
      </w:r>
    </w:p>
    <w:p>
      <w:pPr>
        <w:spacing w:after="0" w:line="175" w:lineRule="exact"/>
        <w:rPr>
          <w:rFonts w:ascii="Arial" w:cs="Arial" w:eastAsia="Arial" w:hAnsi="Arial"/>
          <w:sz w:val="17"/>
          <w:szCs w:val="17"/>
          <w:color w:val="auto"/>
        </w:rPr>
      </w:pPr>
    </w:p>
    <w:p>
      <w:pPr>
        <w:ind w:firstLine="1263"/>
        <w:spacing w:after="0" w:line="289" w:lineRule="auto"/>
        <w:tabs>
          <w:tab w:leader="none" w:pos="1943" w:val="left"/>
        </w:tabs>
        <w:numPr>
          <w:ilvl w:val="1"/>
          <w:numId w:val="894"/>
        </w:numPr>
        <w:rPr>
          <w:rFonts w:ascii="Arial" w:cs="Arial" w:eastAsia="Arial" w:hAnsi="Arial"/>
          <w:sz w:val="17"/>
          <w:szCs w:val="17"/>
          <w:color w:val="auto"/>
        </w:rPr>
      </w:pPr>
      <w:r>
        <w:rPr>
          <w:rFonts w:ascii="Arial" w:cs="Arial" w:eastAsia="Arial" w:hAnsi="Arial"/>
          <w:sz w:val="17"/>
          <w:szCs w:val="17"/>
          <w:color w:val="auto"/>
        </w:rPr>
        <w:t>Executive and the Company agree that the limitations as to time and scope of activity to be restrained are reasonable and do not impose a greater restraint on Executive than is necessary to protect the property rights and other business interests of Company.</w:t>
      </w:r>
    </w:p>
    <w:p>
      <w:pPr>
        <w:spacing w:after="0" w:line="158" w:lineRule="exact"/>
        <w:rPr>
          <w:rFonts w:ascii="Arial" w:cs="Arial" w:eastAsia="Arial" w:hAnsi="Arial"/>
          <w:sz w:val="17"/>
          <w:szCs w:val="17"/>
          <w:color w:val="auto"/>
        </w:rPr>
      </w:pPr>
    </w:p>
    <w:p>
      <w:pPr>
        <w:ind w:right="20" w:firstLine="1263"/>
        <w:spacing w:after="0" w:line="273" w:lineRule="auto"/>
        <w:tabs>
          <w:tab w:leader="none" w:pos="1943" w:val="left"/>
        </w:tabs>
        <w:numPr>
          <w:ilvl w:val="1"/>
          <w:numId w:val="894"/>
        </w:numPr>
        <w:rPr>
          <w:rFonts w:ascii="Arial" w:cs="Arial" w:eastAsia="Arial" w:hAnsi="Arial"/>
          <w:sz w:val="17"/>
          <w:szCs w:val="17"/>
          <w:color w:val="auto"/>
        </w:rPr>
      </w:pPr>
      <w:r>
        <w:rPr>
          <w:rFonts w:ascii="Arial" w:cs="Arial" w:eastAsia="Arial" w:hAnsi="Arial"/>
          <w:sz w:val="17"/>
          <w:szCs w:val="17"/>
          <w:color w:val="auto"/>
        </w:rPr>
        <w:t>If Executive fails to comply with, or breaches, or threatens to breach, any of the provisions herein, Company in addition to any other remedies available to it at law or in equity, shall be entitled to immediate injunctive relief to enforce the provisions of this Section 6 and shall be entitled to recover from Executive reasonable attorneys’ fees and other expenses incurred by Company in connection with such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-7493000</wp:posOffset>
            </wp:positionV>
            <wp:extent cx="7271385" cy="2921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-2523490</wp:posOffset>
            </wp:positionV>
            <wp:extent cx="7271385" cy="2921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sectPr>
      </w:pPr>
    </w:p>
    <w:bookmarkStart w:id="480" w:name="page481"/>
    <w:bookmarkEnd w:id="480"/>
    <w:p>
      <w:pPr>
        <w:ind w:right="80" w:firstLine="634"/>
        <w:spacing w:after="0" w:line="302" w:lineRule="auto"/>
        <w:tabs>
          <w:tab w:leader="none" w:pos="1328" w:val="left"/>
        </w:tabs>
        <w:numPr>
          <w:ilvl w:val="0"/>
          <w:numId w:val="895"/>
        </w:numPr>
        <w:rPr>
          <w:rFonts w:ascii="Arial" w:cs="Arial" w:eastAsia="Arial" w:hAnsi="Arial"/>
          <w:sz w:val="16"/>
          <w:szCs w:val="16"/>
          <w:color w:val="auto"/>
        </w:rPr>
      </w:pPr>
      <w:r>
        <w:rPr>
          <w:rFonts w:ascii="Arial" w:cs="Arial" w:eastAsia="Arial" w:hAnsi="Arial"/>
          <w:sz w:val="16"/>
          <w:szCs w:val="16"/>
          <w:b w:val="1"/>
          <w:bCs w:val="1"/>
          <w:u w:val="single" w:color="auto"/>
          <w:color w:val="auto"/>
        </w:rPr>
        <w:t>Non-Solicitation of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For a period of one (1) year after Employee’s termination of employment, whether by termination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otherwise, and without regard to the reason for such termination of employment, Employee promises and agrees not to solicit any other employee of the Company for any purpose which would directly or indirectly interfere or conflict with the other employee’s employment by the Company.</w:t>
      </w:r>
    </w:p>
    <w:p>
      <w:pPr>
        <w:spacing w:after="0" w:line="144" w:lineRule="exact"/>
        <w:rPr>
          <w:rFonts w:ascii="Arial" w:cs="Arial" w:eastAsia="Arial" w:hAnsi="Arial"/>
          <w:sz w:val="16"/>
          <w:szCs w:val="16"/>
          <w:color w:val="auto"/>
        </w:rPr>
      </w:pPr>
    </w:p>
    <w:p>
      <w:pPr>
        <w:ind w:right="60" w:firstLine="634"/>
        <w:spacing w:after="0" w:line="281" w:lineRule="auto"/>
        <w:tabs>
          <w:tab w:leader="none" w:pos="1328" w:val="left"/>
        </w:tabs>
        <w:numPr>
          <w:ilvl w:val="0"/>
          <w:numId w:val="895"/>
        </w:numPr>
        <w:rPr>
          <w:rFonts w:ascii="Arial" w:cs="Arial" w:eastAsia="Arial" w:hAnsi="Arial"/>
          <w:sz w:val="16"/>
          <w:szCs w:val="16"/>
          <w:color w:val="auto"/>
        </w:rPr>
      </w:pPr>
      <w:r>
        <w:rPr>
          <w:rFonts w:ascii="Arial" w:cs="Arial" w:eastAsia="Arial" w:hAnsi="Arial"/>
          <w:sz w:val="16"/>
          <w:szCs w:val="16"/>
          <w:b w:val="1"/>
          <w:bCs w:val="1"/>
          <w:u w:val="single" w:color="auto"/>
          <w:color w:val="auto"/>
        </w:rPr>
        <w:t>Extraordinary Remedies and Attorneys’ Fees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Employee agree that any breach by Employee of any of the provisions or</w:t>
      </w:r>
      <w:r>
        <w:rPr>
          <w:rFonts w:ascii="Arial" w:cs="Arial" w:eastAsia="Arial" w:hAnsi="Arial"/>
          <w:sz w:val="16"/>
          <w:szCs w:val="16"/>
          <w:b w:val="1"/>
          <w:bCs w:val="1"/>
          <w:color w:val="auto"/>
        </w:rPr>
        <w:t xml:space="preserve"> </w:t>
      </w:r>
      <w:r>
        <w:rPr>
          <w:rFonts w:ascii="Arial" w:cs="Arial" w:eastAsia="Arial" w:hAnsi="Arial"/>
          <w:sz w:val="16"/>
          <w:szCs w:val="16"/>
          <w:color w:val="auto"/>
        </w:rPr>
        <w:t>covenants contained in the Agreement would cause irreparable harm and damage to the Company, in an amount that would be difficult to quantify, measure, or ascertain. Therefore, in the event of a breach of this Agreement by Employee, the Company shall be entitled to relief through restraining order, injunction, and all other available remedies, including claims for monetary damages incurred because of such breach. These remedies may be pursued concurrently and in any order, and the pursuit of any of these remedies shall not be deemed to limit the other remedies available to the Company in law or in equity. If any action at law or in equity, including an action for declaratory or injunctive relief, is brought to enforce or interpret the provisions of this Agreement, the prevailing party shall be entitled to recover costs of court and reasonable attorneys’ fees from the other party or parties to such action, which fees may be set by the court in the trial of such action or may be enforced in a separate action brought for that purpose, and which fees shall be in addition to any other relief that may be awarded.</w:t>
      </w:r>
    </w:p>
    <w:p>
      <w:pPr>
        <w:spacing w:after="0" w:line="164" w:lineRule="exact"/>
        <w:rPr>
          <w:rFonts w:ascii="Arial" w:cs="Arial" w:eastAsia="Arial" w:hAnsi="Arial"/>
          <w:sz w:val="16"/>
          <w:szCs w:val="16"/>
          <w:color w:val="auto"/>
        </w:rPr>
      </w:pPr>
    </w:p>
    <w:p>
      <w:pPr>
        <w:ind w:right="240" w:firstLine="634"/>
        <w:spacing w:after="0" w:line="297" w:lineRule="auto"/>
        <w:tabs>
          <w:tab w:leader="none" w:pos="1328" w:val="left"/>
        </w:tabs>
        <w:numPr>
          <w:ilvl w:val="0"/>
          <w:numId w:val="895"/>
        </w:numPr>
        <w:rPr>
          <w:rFonts w:ascii="Arial" w:cs="Arial" w:eastAsia="Arial" w:hAnsi="Arial"/>
          <w:sz w:val="17"/>
          <w:szCs w:val="17"/>
          <w:color w:val="auto"/>
        </w:rPr>
      </w:pPr>
      <w:r>
        <w:rPr>
          <w:rFonts w:ascii="Arial" w:cs="Arial" w:eastAsia="Arial" w:hAnsi="Arial"/>
          <w:sz w:val="17"/>
          <w:szCs w:val="17"/>
          <w:b w:val="1"/>
          <w:bCs w:val="1"/>
          <w:u w:val="single" w:color="auto"/>
          <w:color w:val="auto"/>
        </w:rPr>
        <w:t>Survival of Provisions and Covenants</w:t>
      </w:r>
      <w:r>
        <w:rPr>
          <w:rFonts w:ascii="Arial" w:cs="Arial" w:eastAsia="Arial" w:hAnsi="Arial"/>
          <w:sz w:val="17"/>
          <w:szCs w:val="17"/>
          <w:b w:val="1"/>
          <w:bCs w:val="1"/>
          <w:color w:val="auto"/>
        </w:rPr>
        <w:t xml:space="preserve">. </w:t>
      </w:r>
      <w:r>
        <w:rPr>
          <w:rFonts w:ascii="Arial" w:cs="Arial" w:eastAsia="Arial" w:hAnsi="Arial"/>
          <w:sz w:val="17"/>
          <w:szCs w:val="17"/>
          <w:color w:val="auto"/>
        </w:rPr>
        <w:t>Each and every provision or covenant contained in this contract shall survive the termination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expressly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740"/>
        <w:spacing w:after="0" w:line="289" w:lineRule="auto"/>
        <w:rPr>
          <w:sz w:val="20"/>
          <w:szCs w:val="20"/>
          <w:color w:val="auto"/>
        </w:rPr>
      </w:pPr>
      <w:r>
        <w:rPr>
          <w:rFonts w:ascii="Arial" w:cs="Arial" w:eastAsia="Arial" w:hAnsi="Arial"/>
          <w:sz w:val="17"/>
          <w:szCs w:val="17"/>
          <w:color w:val="auto"/>
        </w:rPr>
        <w:t>herein, and shall constitute an independent agreement between Employee and the Company. Further, the existence of any claim by Employee against the Company shall not constitute a defense to the enforcement of its rights by the Company.</w:t>
      </w:r>
    </w:p>
    <w:p>
      <w:pPr>
        <w:spacing w:after="0" w:line="152" w:lineRule="exact"/>
        <w:rPr>
          <w:sz w:val="20"/>
          <w:szCs w:val="20"/>
          <w:color w:val="auto"/>
        </w:rPr>
      </w:pPr>
    </w:p>
    <w:p>
      <w:pPr>
        <w:ind w:right="240" w:firstLine="634"/>
        <w:spacing w:after="0" w:line="270" w:lineRule="auto"/>
        <w:tabs>
          <w:tab w:leader="none" w:pos="1284" w:val="left"/>
        </w:tabs>
        <w:numPr>
          <w:ilvl w:val="0"/>
          <w:numId w:val="896"/>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It is the intent and agreement of the parties to this Agreement that, in case any one or more of the provisions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for any reason, be held to be invalid, illegal or unenforceable, such invalidity, illegality or unenforceability shall not affect any other provision of this Agreement and this Agreement shall be construed as if such invalid, illegal or unenforceable provision had never been contained herein except that this shall not prohibit any modification allowed or agreed upon pursuant to the terms of this Agreement or any right of reformation.</w:t>
      </w:r>
    </w:p>
    <w:p>
      <w:pPr>
        <w:spacing w:after="0" w:line="169" w:lineRule="exact"/>
        <w:rPr>
          <w:rFonts w:ascii="Arial" w:cs="Arial" w:eastAsia="Arial" w:hAnsi="Arial"/>
          <w:sz w:val="17"/>
          <w:szCs w:val="17"/>
          <w:color w:val="auto"/>
        </w:rPr>
      </w:pPr>
    </w:p>
    <w:p>
      <w:pPr>
        <w:ind w:right="140" w:firstLine="634"/>
        <w:spacing w:after="0" w:line="265" w:lineRule="auto"/>
        <w:tabs>
          <w:tab w:leader="none" w:pos="1278" w:val="left"/>
        </w:tabs>
        <w:numPr>
          <w:ilvl w:val="0"/>
          <w:numId w:val="896"/>
        </w:numPr>
        <w:rPr>
          <w:rFonts w:ascii="Arial" w:cs="Arial" w:eastAsia="Arial" w:hAnsi="Arial"/>
          <w:sz w:val="17"/>
          <w:szCs w:val="17"/>
          <w:color w:val="auto"/>
        </w:rPr>
      </w:pPr>
      <w:r>
        <w:rPr>
          <w:rFonts w:ascii="Arial" w:cs="Arial" w:eastAsia="Arial" w:hAnsi="Arial"/>
          <w:sz w:val="17"/>
          <w:szCs w:val="17"/>
          <w:b w:val="1"/>
          <w:bCs w:val="1"/>
          <w:u w:val="single" w:color="auto"/>
          <w:color w:val="auto"/>
        </w:rPr>
        <w:t>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binding upon and shall inure to the benefit of the parties hereto, together with their respective executors,</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administrators, successors, personal representatives, heirs, and assigns. Notwithstanding the foregoing, the rights, duties and benefits to Employee hereunder are personal to Employee, and no such right or benefit may be assigned by it. The Company shall have the right to assign or transfer this Agreement to its successors or assigns. The terms “successors” and “assigns” shall include any person, corporation, partnership or other entity that buys all or substantially all of Company’s assets or all of its stock, or with which Company merges or consolidates. Any purported assignment of this Agreement, other than as provided above, shall be void.</w:t>
      </w:r>
    </w:p>
    <w:p>
      <w:pPr>
        <w:spacing w:after="0" w:line="173" w:lineRule="exact"/>
        <w:rPr>
          <w:rFonts w:ascii="Arial" w:cs="Arial" w:eastAsia="Arial" w:hAnsi="Arial"/>
          <w:sz w:val="17"/>
          <w:szCs w:val="17"/>
          <w:color w:val="auto"/>
        </w:rPr>
      </w:pPr>
    </w:p>
    <w:p>
      <w:pPr>
        <w:ind w:right="80" w:firstLine="634"/>
        <w:spacing w:after="0" w:line="368" w:lineRule="auto"/>
        <w:tabs>
          <w:tab w:leader="none" w:pos="1284" w:val="left"/>
        </w:tabs>
        <w:numPr>
          <w:ilvl w:val="0"/>
          <w:numId w:val="896"/>
        </w:numPr>
        <w:rPr>
          <w:rFonts w:ascii="Arial" w:cs="Arial" w:eastAsia="Arial" w:hAnsi="Arial"/>
          <w:sz w:val="15"/>
          <w:szCs w:val="15"/>
          <w:color w:val="auto"/>
        </w:rPr>
      </w:pPr>
      <w:r>
        <w:rPr>
          <w:rFonts w:ascii="Arial" w:cs="Arial" w:eastAsia="Arial" w:hAnsi="Arial"/>
          <w:sz w:val="15"/>
          <w:szCs w:val="15"/>
          <w:b w:val="1"/>
          <w:bCs w:val="1"/>
          <w:u w:val="single" w:color="auto"/>
          <w:color w:val="auto"/>
        </w:rPr>
        <w:t>Previously Received Information</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hereby represents to the Company that Employee is under no obligation or agreement that would</w:t>
      </w:r>
      <w:r>
        <w:rPr>
          <w:rFonts w:ascii="Arial" w:cs="Arial" w:eastAsia="Arial" w:hAnsi="Arial"/>
          <w:sz w:val="15"/>
          <w:szCs w:val="15"/>
          <w:b w:val="1"/>
          <w:bCs w:val="1"/>
          <w:color w:val="auto"/>
        </w:rPr>
        <w:t xml:space="preserve"> </w:t>
      </w:r>
      <w:r>
        <w:rPr>
          <w:rFonts w:ascii="Arial" w:cs="Arial" w:eastAsia="Arial" w:hAnsi="Arial"/>
          <w:sz w:val="15"/>
          <w:szCs w:val="15"/>
          <w:color w:val="auto"/>
        </w:rPr>
        <w:t>prevent Employee from becoming an employee of the Company or carrying out the duties of Employee’s proposed position of employment with the Company.</w:t>
      </w:r>
    </w:p>
    <w:p>
      <w:pPr>
        <w:spacing w:after="0" w:line="100" w:lineRule="exact"/>
        <w:rPr>
          <w:rFonts w:ascii="Arial" w:cs="Arial" w:eastAsia="Arial" w:hAnsi="Arial"/>
          <w:sz w:val="15"/>
          <w:szCs w:val="15"/>
          <w:color w:val="auto"/>
        </w:rPr>
      </w:pPr>
    </w:p>
    <w:p>
      <w:pPr>
        <w:ind w:right="200" w:firstLine="634"/>
        <w:spacing w:after="0" w:line="270" w:lineRule="auto"/>
        <w:tabs>
          <w:tab w:leader="none" w:pos="1284" w:val="left"/>
        </w:tabs>
        <w:numPr>
          <w:ilvl w:val="0"/>
          <w:numId w:val="896"/>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 and Venue</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governed by, and construed in accordance with, the procedural and substantive laws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State of Texas. The Company and Employee irrevocably and unconditionally consent to submit to the exclusive jurisdiction of the state or federal courts located in Harris County, Texas as the sole venue and location for any actions, suits, or proceedings arising out of or relating to any aspect of this Agreement and all issues arising out of or relating to the employment relationship between the Company and Employee.</w:t>
      </w:r>
    </w:p>
    <w:p>
      <w:pPr>
        <w:spacing w:after="0" w:line="169" w:lineRule="exact"/>
        <w:rPr>
          <w:rFonts w:ascii="Arial" w:cs="Arial" w:eastAsia="Arial" w:hAnsi="Arial"/>
          <w:sz w:val="17"/>
          <w:szCs w:val="17"/>
          <w:color w:val="auto"/>
        </w:rPr>
      </w:pPr>
    </w:p>
    <w:p>
      <w:pPr>
        <w:ind w:right="240" w:firstLine="634"/>
        <w:spacing w:after="0" w:line="302" w:lineRule="auto"/>
        <w:tabs>
          <w:tab w:leader="none" w:pos="1284" w:val="left"/>
        </w:tabs>
        <w:numPr>
          <w:ilvl w:val="0"/>
          <w:numId w:val="896"/>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Employee Acknowledgement.</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recognizes and acknowledges that Employee has freely entered into this Agreement for the full</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expressed herein, the sufficiency and receipt of which Employee hereby acknowledges, and that Employee has had the opportunity to consult with counsel of Employee’s choice with full knowledge and careful consideration of the consequences and meaning of execution of this Agreement.</w:t>
      </w:r>
    </w:p>
    <w:p>
      <w:pPr>
        <w:spacing w:after="0" w:line="144" w:lineRule="exact"/>
        <w:rPr>
          <w:rFonts w:ascii="Arial" w:cs="Arial" w:eastAsia="Arial" w:hAnsi="Arial"/>
          <w:sz w:val="16"/>
          <w:szCs w:val="16"/>
          <w:color w:val="auto"/>
        </w:rPr>
      </w:pPr>
    </w:p>
    <w:p>
      <w:pPr>
        <w:ind w:right="280" w:firstLine="634"/>
        <w:spacing w:after="0" w:line="302" w:lineRule="auto"/>
        <w:tabs>
          <w:tab w:leader="none" w:pos="1284" w:val="left"/>
        </w:tabs>
        <w:numPr>
          <w:ilvl w:val="0"/>
          <w:numId w:val="896"/>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Upon Employee’s acceptance, this letter will contain the entire agreement and understanding between Employee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with respect to the matters addressed herein and shall supersede any prior or contemporaneous agreements, understandings, communications, offers, representations, warranties, or commitments by or on behalf of the Company and its affiliates (oral or written). The terms of Employee’s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7271385" cy="2921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may in the future be amended, but only in writing signed by both Employee and a duly authorized officer of the Company.</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[SIGNATURES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00" w:type="dxa"/>
            <w:vAlign w:val="bottom"/>
            <w:gridSpan w:val="2"/>
          </w:tcPr>
          <w:p>
            <w:pPr>
              <w:spacing w:after="0"/>
              <w:rPr>
                <w:sz w:val="20"/>
                <w:szCs w:val="20"/>
                <w:color w:val="auto"/>
              </w:rPr>
            </w:pPr>
            <w:r>
              <w:rPr>
                <w:rFonts w:ascii="Arial" w:cs="Arial" w:eastAsia="Arial" w:hAnsi="Arial"/>
                <w:sz w:val="17"/>
                <w:szCs w:val="17"/>
                <w:b w:val="1"/>
                <w:bCs w:val="1"/>
                <w:color w:val="auto"/>
              </w:rPr>
              <w:t>AGREED AND ACCEPTED:</w:t>
            </w:r>
          </w:p>
        </w:tc>
        <w:tc>
          <w:tcPr>
            <w:tcW w:w="6120" w:type="dxa"/>
            <w:vAlign w:val="bottom"/>
            <w:gridSpan w:val="3"/>
          </w:tcPr>
          <w:p>
            <w:pPr>
              <w:ind w:left="380"/>
              <w:spacing w:after="0"/>
              <w:rPr>
                <w:sz w:val="20"/>
                <w:szCs w:val="20"/>
                <w:color w:val="auto"/>
              </w:rPr>
            </w:pPr>
            <w:r>
              <w:rPr>
                <w:rFonts w:ascii="Arial" w:cs="Arial" w:eastAsia="Arial" w:hAnsi="Arial"/>
                <w:sz w:val="17"/>
                <w:szCs w:val="17"/>
                <w:b w:val="1"/>
                <w:bCs w:val="1"/>
                <w:color w:val="auto"/>
              </w:rPr>
              <w:t>AGREED AND ACCEPTED: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300" w:type="dxa"/>
            <w:vAlign w:val="bottom"/>
            <w:gridSpan w:val="2"/>
          </w:tcPr>
          <w:p>
            <w:pPr>
              <w:spacing w:after="0"/>
              <w:rPr>
                <w:sz w:val="20"/>
                <w:szCs w:val="20"/>
                <w:color w:val="auto"/>
              </w:rPr>
            </w:pPr>
            <w:r>
              <w:rPr>
                <w:rFonts w:ascii="Arial" w:cs="Arial" w:eastAsia="Arial" w:hAnsi="Arial"/>
                <w:sz w:val="17"/>
                <w:szCs w:val="17"/>
                <w:b w:val="1"/>
                <w:bCs w:val="1"/>
                <w:color w:val="auto"/>
              </w:rPr>
              <w:t>APPLIED OPTOELECTRONICS, INC.</w:t>
            </w:r>
          </w:p>
        </w:tc>
        <w:tc>
          <w:tcPr>
            <w:tcW w:w="6120" w:type="dxa"/>
            <w:vAlign w:val="bottom"/>
            <w:gridSpan w:val="3"/>
          </w:tcPr>
          <w:p>
            <w:pPr>
              <w:ind w:left="380"/>
              <w:spacing w:after="0"/>
              <w:rPr>
                <w:sz w:val="20"/>
                <w:szCs w:val="20"/>
                <w:color w:val="auto"/>
              </w:rPr>
            </w:pPr>
            <w:r>
              <w:rPr>
                <w:rFonts w:ascii="Arial" w:cs="Arial" w:eastAsia="Arial" w:hAnsi="Arial"/>
                <w:sz w:val="17"/>
                <w:szCs w:val="17"/>
                <w:b w:val="1"/>
                <w:bCs w:val="1"/>
                <w:color w:val="auto"/>
              </w:rPr>
              <w:t>“EMPLOYEE”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47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0" w:type="dxa"/>
            <w:vAlign w:val="bottom"/>
            <w:vMerge w:val="restart"/>
          </w:tcPr>
          <w:p>
            <w:pPr>
              <w:spacing w:after="0"/>
              <w:rPr>
                <w:sz w:val="20"/>
                <w:szCs w:val="20"/>
                <w:color w:val="auto"/>
              </w:rPr>
            </w:pPr>
            <w:r>
              <w:rPr>
                <w:rFonts w:ascii="Arial" w:cs="Arial" w:eastAsia="Arial" w:hAnsi="Arial"/>
                <w:sz w:val="17"/>
                <w:szCs w:val="17"/>
                <w:color w:val="auto"/>
              </w:rPr>
              <w:t>Its:</w:t>
            </w:r>
          </w:p>
        </w:tc>
        <w:tc>
          <w:tcPr>
            <w:tcW w:w="47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rPr>
              <w:t>Signature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vMerge w:val="continue"/>
          </w:tcPr>
          <w:p>
            <w:pPr>
              <w:spacing w:after="0"/>
              <w:rPr>
                <w:sz w:val="17"/>
                <w:szCs w:val="17"/>
                <w:color w:val="auto"/>
              </w:rPr>
            </w:pPr>
          </w:p>
        </w:tc>
        <w:tc>
          <w:tcPr>
            <w:tcW w:w="4720" w:type="dxa"/>
            <w:vAlign w:val="bottom"/>
            <w:tcBorders>
              <w:bottom w:val="single" w:sz="8" w:color="auto"/>
            </w:tcBorders>
            <w:vMerge w:val="continue"/>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gridSpan w:val="2"/>
            <w:vMerge w:val="restart"/>
          </w:tcPr>
          <w:p>
            <w:pPr>
              <w:spacing w:after="0"/>
              <w:rPr>
                <w:sz w:val="20"/>
                <w:szCs w:val="20"/>
                <w:color w:val="auto"/>
              </w:rPr>
            </w:pPr>
            <w:r>
              <w:rPr>
                <w:rFonts w:ascii="Arial" w:cs="Arial" w:eastAsia="Arial" w:hAnsi="Arial"/>
                <w:sz w:val="17"/>
                <w:szCs w:val="17"/>
                <w:color w:val="auto"/>
              </w:rPr>
              <w:t>Date:</w:t>
            </w:r>
          </w:p>
        </w:tc>
        <w:tc>
          <w:tcPr>
            <w:tcW w:w="3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rPr>
              <w:t>Print Name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80" w:type="dxa"/>
            <w:vAlign w:val="bottom"/>
          </w:tcPr>
          <w:p>
            <w:pPr>
              <w:spacing w:after="0"/>
              <w:rPr>
                <w:sz w:val="24"/>
                <w:szCs w:val="24"/>
                <w:color w:val="auto"/>
              </w:rPr>
            </w:pPr>
          </w:p>
        </w:tc>
        <w:tc>
          <w:tcPr>
            <w:tcW w:w="4720" w:type="dxa"/>
            <w:vAlign w:val="bottom"/>
            <w:tcBorders>
              <w:top w:val="single" w:sz="8" w:color="auto"/>
            </w:tcBorders>
          </w:tcPr>
          <w:p>
            <w:pPr>
              <w:spacing w:after="0"/>
              <w:rPr>
                <w:sz w:val="24"/>
                <w:szCs w:val="24"/>
                <w:color w:val="auto"/>
              </w:rPr>
            </w:pPr>
          </w:p>
        </w:tc>
        <w:tc>
          <w:tcPr>
            <w:tcW w:w="6120" w:type="dxa"/>
            <w:vAlign w:val="bottom"/>
            <w:gridSpan w:val="3"/>
          </w:tcPr>
          <w:p>
            <w:pPr>
              <w:ind w:left="380"/>
              <w:spacing w:after="0"/>
              <w:rPr>
                <w:sz w:val="20"/>
                <w:szCs w:val="20"/>
                <w:color w:val="auto"/>
              </w:rPr>
            </w:pPr>
            <w:r>
              <w:rPr>
                <w:rFonts w:ascii="Arial" w:cs="Arial" w:eastAsia="Arial" w:hAnsi="Arial"/>
                <w:sz w:val="17"/>
                <w:szCs w:val="17"/>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80" w:type="dxa"/>
            <w:vAlign w:val="bottom"/>
            <w:tcBorders>
              <w:bottom w:val="single" w:sz="8" w:color="010101"/>
            </w:tcBorders>
          </w:tcPr>
          <w:p>
            <w:pPr>
              <w:spacing w:after="0"/>
              <w:rPr>
                <w:sz w:val="24"/>
                <w:szCs w:val="24"/>
                <w:color w:val="auto"/>
              </w:rPr>
            </w:pPr>
          </w:p>
        </w:tc>
        <w:tc>
          <w:tcPr>
            <w:tcW w:w="472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5100" w:type="dxa"/>
            <w:vAlign w:val="bottom"/>
            <w:tcBorders>
              <w:top w:val="single" w:sz="8" w:color="auto"/>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1" w:right="199" w:bottom="622" w:gutter="0" w:footer="0" w:header="0"/>
        </w:sectPr>
      </w:pPr>
    </w:p>
    <w:bookmarkStart w:id="481" w:name="page482"/>
    <w:bookmarkEnd w:id="481"/>
    <w:p>
      <w:pPr>
        <w:ind w:left="10520"/>
        <w:spacing w:after="0"/>
        <w:rPr>
          <w:sz w:val="20"/>
          <w:szCs w:val="20"/>
          <w:color w:val="auto"/>
        </w:rPr>
      </w:pPr>
      <w:r>
        <w:rPr>
          <w:rFonts w:ascii="Arial" w:cs="Arial" w:eastAsia="Arial" w:hAnsi="Arial"/>
          <w:sz w:val="16"/>
          <w:szCs w:val="16"/>
          <w:b w:val="1"/>
          <w:bCs w:val="1"/>
          <w:color w:val="auto"/>
        </w:rPr>
        <w:t>Exhibit 21.1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 of Formation</w:t>
            </w:r>
          </w:p>
        </w:tc>
        <w:tc>
          <w:tcPr>
            <w:tcW w:w="260" w:type="dxa"/>
            <w:vAlign w:val="bottom"/>
            <w:tcBorders>
              <w:bottom w:val="single" w:sz="8" w:color="CCEEFF"/>
            </w:tcBorders>
          </w:tcPr>
          <w:p>
            <w:pPr>
              <w:spacing w:after="0"/>
              <w:rPr>
                <w:sz w:val="14"/>
                <w:szCs w:val="14"/>
                <w:color w:val="auto"/>
              </w:rPr>
            </w:pPr>
          </w:p>
        </w:tc>
        <w:tc>
          <w:tcPr>
            <w:tcW w:w="8240" w:type="dxa"/>
            <w:vAlign w:val="bottom"/>
            <w:tcBorders>
              <w:bottom w:val="single" w:sz="8" w:color="auto"/>
            </w:tcBorders>
          </w:tcPr>
          <w:p>
            <w:pPr>
              <w:ind w:left="3420"/>
              <w:spacing w:after="0"/>
              <w:rPr>
                <w:sz w:val="20"/>
                <w:szCs w:val="20"/>
                <w:color w:val="auto"/>
              </w:rPr>
            </w:pPr>
            <w:r>
              <w:rPr>
                <w:rFonts w:ascii="Arial" w:cs="Arial" w:eastAsia="Arial" w:hAnsi="Arial"/>
                <w:sz w:val="14"/>
                <w:szCs w:val="14"/>
                <w:b w:val="1"/>
                <w:bCs w:val="1"/>
                <w:color w:val="auto"/>
              </w:rPr>
              <w:t>Subsidiary and address</w:t>
            </w:r>
          </w:p>
        </w:tc>
        <w:tc>
          <w:tcPr>
            <w:tcW w:w="40" w:type="dxa"/>
            <w:vAlign w:val="bottom"/>
          </w:tcPr>
          <w:p>
            <w:pPr>
              <w:spacing w:after="0"/>
              <w:rPr>
                <w:sz w:val="14"/>
                <w:szCs w:val="14"/>
                <w:color w:val="auto"/>
              </w:rPr>
            </w:pPr>
          </w:p>
        </w:tc>
      </w:tr>
      <w:tr>
        <w:trPr>
          <w:trHeight w:val="203"/>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British Virgin Islands</w:t>
            </w:r>
          </w:p>
        </w:tc>
        <w:tc>
          <w:tcPr>
            <w:tcW w:w="260" w:type="dxa"/>
            <w:vAlign w:val="bottom"/>
            <w:shd w:val="clear" w:color="auto" w:fill="CCEEFF"/>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Prime World International Holdings, Ltd.</w:t>
            </w:r>
          </w:p>
        </w:tc>
        <w:tc>
          <w:tcPr>
            <w:tcW w:w="40" w:type="dxa"/>
            <w:vAlign w:val="bottom"/>
          </w:tcPr>
          <w:p>
            <w:pPr>
              <w:spacing w:after="0"/>
              <w:rPr>
                <w:sz w:val="17"/>
                <w:szCs w:val="17"/>
                <w:color w:val="auto"/>
              </w:rPr>
            </w:pPr>
          </w:p>
        </w:tc>
      </w:tr>
      <w:tr>
        <w:trPr>
          <w:trHeight w:val="197"/>
        </w:trPr>
        <w:tc>
          <w:tcPr>
            <w:tcW w:w="2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P.O. Box 438, Road Town</w:t>
            </w:r>
          </w:p>
        </w:tc>
        <w:tc>
          <w:tcPr>
            <w:tcW w:w="40" w:type="dxa"/>
            <w:vAlign w:val="bottom"/>
          </w:tcPr>
          <w:p>
            <w:pPr>
              <w:spacing w:after="0"/>
              <w:rPr>
                <w:sz w:val="17"/>
                <w:szCs w:val="17"/>
                <w:color w:val="auto"/>
              </w:rPr>
            </w:pPr>
          </w:p>
        </w:tc>
      </w:tr>
      <w:tr>
        <w:trPr>
          <w:trHeight w:val="222"/>
        </w:trPr>
        <w:tc>
          <w:tcPr>
            <w:tcW w:w="2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Tortola, British Virgin Islands</w:t>
            </w:r>
          </w:p>
        </w:tc>
        <w:tc>
          <w:tcPr>
            <w:tcW w:w="40" w:type="dxa"/>
            <w:vAlign w:val="bottom"/>
          </w:tcPr>
          <w:p>
            <w:pPr>
              <w:spacing w:after="0"/>
              <w:rPr>
                <w:sz w:val="19"/>
                <w:szCs w:val="19"/>
                <w:color w:val="auto"/>
              </w:rPr>
            </w:pPr>
          </w:p>
        </w:tc>
      </w:tr>
      <w:tr>
        <w:trPr>
          <w:trHeight w:val="564"/>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 of Formation</w:t>
            </w:r>
          </w:p>
        </w:tc>
        <w:tc>
          <w:tcPr>
            <w:tcW w:w="260" w:type="dxa"/>
            <w:vAlign w:val="bottom"/>
            <w:tcBorders>
              <w:bottom w:val="single" w:sz="8" w:color="CCEEFF"/>
            </w:tcBorders>
          </w:tcPr>
          <w:p>
            <w:pPr>
              <w:spacing w:after="0"/>
              <w:rPr>
                <w:sz w:val="24"/>
                <w:szCs w:val="24"/>
                <w:color w:val="auto"/>
              </w:rPr>
            </w:pPr>
          </w:p>
        </w:tc>
        <w:tc>
          <w:tcPr>
            <w:tcW w:w="8240" w:type="dxa"/>
            <w:vAlign w:val="bottom"/>
            <w:tcBorders>
              <w:bottom w:val="single" w:sz="8" w:color="auto"/>
            </w:tcBorders>
          </w:tcPr>
          <w:p>
            <w:pPr>
              <w:ind w:left="3420"/>
              <w:spacing w:after="0"/>
              <w:rPr>
                <w:sz w:val="20"/>
                <w:szCs w:val="20"/>
                <w:color w:val="auto"/>
              </w:rPr>
            </w:pPr>
            <w:r>
              <w:rPr>
                <w:rFonts w:ascii="Arial" w:cs="Arial" w:eastAsia="Arial" w:hAnsi="Arial"/>
                <w:sz w:val="14"/>
                <w:szCs w:val="14"/>
                <w:b w:val="1"/>
                <w:bCs w:val="1"/>
                <w:color w:val="auto"/>
              </w:rPr>
              <w:t>Subsidiary and address</w:t>
            </w:r>
          </w:p>
        </w:tc>
        <w:tc>
          <w:tcPr>
            <w:tcW w:w="40" w:type="dxa"/>
            <w:vAlign w:val="bottom"/>
          </w:tcPr>
          <w:p>
            <w:pPr>
              <w:spacing w:after="0"/>
              <w:rPr>
                <w:sz w:val="24"/>
                <w:szCs w:val="24"/>
                <w:color w:val="auto"/>
              </w:rPr>
            </w:pPr>
          </w:p>
        </w:tc>
      </w:tr>
      <w:tr>
        <w:trPr>
          <w:trHeight w:val="203"/>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China</w:t>
            </w:r>
          </w:p>
        </w:tc>
        <w:tc>
          <w:tcPr>
            <w:tcW w:w="260" w:type="dxa"/>
            <w:vAlign w:val="bottom"/>
            <w:shd w:val="clear" w:color="auto" w:fill="CCEEFF"/>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Global Technology, Inc.</w:t>
            </w:r>
          </w:p>
        </w:tc>
        <w:tc>
          <w:tcPr>
            <w:tcW w:w="40" w:type="dxa"/>
            <w:vAlign w:val="bottom"/>
          </w:tcPr>
          <w:p>
            <w:pPr>
              <w:spacing w:after="0"/>
              <w:rPr>
                <w:sz w:val="17"/>
                <w:szCs w:val="17"/>
                <w:color w:val="auto"/>
              </w:rPr>
            </w:pPr>
          </w:p>
        </w:tc>
      </w:tr>
      <w:tr>
        <w:trPr>
          <w:trHeight w:val="197"/>
        </w:trPr>
        <w:tc>
          <w:tcPr>
            <w:tcW w:w="2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No.88, Qiushi Rd, Wangchun Industrial Park</w:t>
            </w:r>
          </w:p>
        </w:tc>
        <w:tc>
          <w:tcPr>
            <w:tcW w:w="40" w:type="dxa"/>
            <w:vAlign w:val="bottom"/>
          </w:tcPr>
          <w:p>
            <w:pPr>
              <w:spacing w:after="0"/>
              <w:rPr>
                <w:sz w:val="17"/>
                <w:szCs w:val="17"/>
                <w:color w:val="auto"/>
              </w:rPr>
            </w:pPr>
          </w:p>
        </w:tc>
      </w:tr>
      <w:tr>
        <w:trPr>
          <w:trHeight w:val="222"/>
        </w:trPr>
        <w:tc>
          <w:tcPr>
            <w:tcW w:w="2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Ningbo, China 315176</w:t>
            </w:r>
          </w:p>
        </w:tc>
        <w:tc>
          <w:tcPr>
            <w:tcW w:w="40" w:type="dxa"/>
            <w:vAlign w:val="bottom"/>
          </w:tcPr>
          <w:p>
            <w:pPr>
              <w:spacing w:after="0"/>
              <w:rPr>
                <w:sz w:val="19"/>
                <w:szCs w:val="19"/>
                <w:color w:val="auto"/>
              </w:rPr>
            </w:pPr>
          </w:p>
        </w:tc>
      </w:tr>
      <w:tr>
        <w:trPr>
          <w:trHeight w:val="337"/>
        </w:trPr>
        <w:tc>
          <w:tcPr>
            <w:tcW w:w="29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8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7" w:right="199" w:bottom="1440" w:gutter="0" w:footer="0" w:header="0"/>
        </w:sectPr>
      </w:pPr>
    </w:p>
    <w:bookmarkStart w:id="482" w:name="page483"/>
    <w:bookmarkEnd w:id="482"/>
    <w:p>
      <w:pPr>
        <w:spacing w:after="0"/>
        <w:rPr>
          <w:rFonts w:ascii="Arial" w:cs="Arial" w:eastAsia="Arial" w:hAnsi="Arial"/>
          <w:sz w:val="21"/>
          <w:szCs w:val="21"/>
          <w:color w:val="0000EE"/>
        </w:rPr>
      </w:pPr>
      <w:hyperlink w:anchor="page484">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00" w:lineRule="exact"/>
        <w:rPr>
          <w:sz w:val="20"/>
          <w:szCs w:val="20"/>
          <w:color w:val="auto"/>
        </w:rPr>
      </w:pPr>
    </w:p>
    <w:p>
      <w:pPr>
        <w:spacing w:after="0" w:line="223" w:lineRule="exact"/>
        <w:rPr>
          <w:sz w:val="20"/>
          <w:szCs w:val="20"/>
          <w:color w:val="auto"/>
        </w:rPr>
      </w:pPr>
    </w:p>
    <w:p>
      <w:pPr>
        <w:ind w:left="10500"/>
        <w:spacing w:after="0"/>
        <w:rPr>
          <w:sz w:val="20"/>
          <w:szCs w:val="20"/>
          <w:color w:val="auto"/>
        </w:rPr>
      </w:pPr>
      <w:r>
        <w:rPr>
          <w:rFonts w:ascii="Arial" w:cs="Arial" w:eastAsia="Arial" w:hAnsi="Arial"/>
          <w:sz w:val="16"/>
          <w:szCs w:val="16"/>
          <w:b w:val="1"/>
          <w:bCs w:val="1"/>
          <w:color w:val="auto"/>
        </w:rPr>
        <w:t>Exhibit 23.1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8"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We have issued our report dated May 21, 2013, with respect to the consolidated financial statements of Applied Optoelectronics, Inc. contained in the Registration Statement and Prospectus. We consent to the use of the aforementioned report in the Registration Statement and Prospectus, and to the use of our name as it appears under the caption "Experts."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August 13,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141605</wp:posOffset>
            </wp:positionV>
            <wp:extent cx="7254875" cy="209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83" w:name="page484"/>
    <w:bookmarkEnd w:id="483"/>
    <w:p>
      <w:pPr>
        <w:spacing w:after="0"/>
        <w:rPr>
          <w:sz w:val="20"/>
          <w:szCs w:val="20"/>
          <w:color w:val="auto"/>
        </w:rPr>
      </w:pPr>
      <w:r>
        <w:rPr>
          <w:rFonts w:ascii="Arial" w:cs="Arial" w:eastAsia="Arial" w:hAnsi="Arial"/>
          <w:sz w:val="21"/>
          <w:szCs w:val="21"/>
          <w:color w:val="auto"/>
        </w:rPr>
        <w:t>QuickLinks</w:t>
      </w:r>
    </w:p>
    <w:p>
      <w:pPr>
        <w:spacing w:after="0" w:line="217" w:lineRule="exact"/>
        <w:rPr>
          <w:sz w:val="20"/>
          <w:szCs w:val="20"/>
          <w:color w:val="auto"/>
        </w:rPr>
      </w:pPr>
    </w:p>
    <w:p>
      <w:pPr>
        <w:jc w:val="right"/>
        <w:ind w:right="8839"/>
        <w:spacing w:after="0"/>
        <w:rPr>
          <w:rFonts w:ascii="Arial" w:cs="Arial" w:eastAsia="Arial" w:hAnsi="Arial"/>
          <w:sz w:val="17"/>
          <w:szCs w:val="17"/>
          <w:u w:val="single" w:color="auto"/>
          <w:color w:val="0000EE"/>
        </w:rPr>
      </w:pPr>
      <w:hyperlink w:anchor="page483">
        <w:r>
          <w:rPr>
            <w:rFonts w:ascii="Arial" w:cs="Arial" w:eastAsia="Arial" w:hAnsi="Arial"/>
            <w:sz w:val="17"/>
            <w:szCs w:val="17"/>
            <w:u w:val="single" w:color="auto"/>
            <w:color w:val="0000EE"/>
          </w:rPr>
          <w:t>Exhibit 23.1</w:t>
        </w:r>
      </w:hyperlink>
    </w:p>
    <w:p>
      <w:pPr>
        <w:sectPr>
          <w:pgSz w:w="11900" w:h="16838" w:orient="portrait"/>
          <w:cols w:equalWidth="0" w:num="1">
            <w:col w:w="10219"/>
          </w:cols>
          <w:pgMar w:left="240" w:top="800" w:right="1440" w:bottom="1440" w:gutter="0" w:footer="0" w:header="0"/>
        </w:sectPr>
      </w:pPr>
    </w:p>
    <w:bookmarkStart w:id="484" w:name="page485"/>
    <w:bookmarkEnd w:id="484"/>
    <w:p>
      <w:pPr>
        <w:spacing w:after="0"/>
        <w:rPr>
          <w:rFonts w:ascii="Arial" w:cs="Arial" w:eastAsia="Arial" w:hAnsi="Arial"/>
          <w:sz w:val="21"/>
          <w:szCs w:val="21"/>
          <w:color w:val="0000EE"/>
        </w:rPr>
      </w:pPr>
      <w:hyperlink w:anchor="page486">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23.3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OVUM LIMITED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August 13,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Applied Optoelectronics,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13115 Jess Pirtle Blvd.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Sugar Land, TX 77478</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ind w:right="80" w:firstLine="341"/>
        <w:spacing w:after="0" w:line="270" w:lineRule="auto"/>
        <w:rPr>
          <w:sz w:val="20"/>
          <w:szCs w:val="20"/>
          <w:color w:val="auto"/>
        </w:rPr>
      </w:pPr>
      <w:r>
        <w:rPr>
          <w:rFonts w:ascii="Arial" w:cs="Arial" w:eastAsia="Arial" w:hAnsi="Arial"/>
          <w:sz w:val="17"/>
          <w:szCs w:val="17"/>
          <w:color w:val="auto"/>
        </w:rPr>
        <w:t>In relation to a Registration Statement on Form S-1 being filed on or around August 12, 2013, we hereby consent to the inclusion of and reference to the name Ovum Limited, and the quotation and summarization of our reports, or information contained therein, prepared for Applied Optoelectronics, Inc., including the report dated March 14, 2013 entitled "CATV Access Infrastructure and Optics Supplier Landscape."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Ovum Limited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CHRISTIAN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289687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17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Christian Morrison</w:t>
      </w:r>
    </w:p>
    <w:p>
      <w:pPr>
        <w:spacing w:after="0" w:line="20"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i w:val="1"/>
          <w:iCs w:val="1"/>
          <w:color w:val="auto"/>
        </w:rPr>
        <w:t>Sales Manager, U.S.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4875" cy="209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354" w:right="279" w:bottom="1440" w:gutter="0" w:footer="0" w:header="0"/>
        </w:sectPr>
      </w:pPr>
    </w:p>
    <w:bookmarkStart w:id="485" w:name="page486"/>
    <w:bookmarkEnd w:id="485"/>
    <w:p>
      <w:pPr>
        <w:spacing w:after="0"/>
        <w:rPr>
          <w:sz w:val="20"/>
          <w:szCs w:val="20"/>
          <w:color w:val="auto"/>
        </w:rPr>
      </w:pPr>
      <w:r>
        <w:rPr>
          <w:rFonts w:ascii="Arial" w:cs="Arial" w:eastAsia="Arial" w:hAnsi="Arial"/>
          <w:sz w:val="21"/>
          <w:szCs w:val="21"/>
          <w:color w:val="auto"/>
        </w:rPr>
        <w:t>QuickLinks</w:t>
      </w:r>
    </w:p>
    <w:p>
      <w:pPr>
        <w:spacing w:after="0" w:line="217" w:lineRule="exact"/>
        <w:rPr>
          <w:sz w:val="20"/>
          <w:szCs w:val="20"/>
          <w:color w:val="auto"/>
        </w:rPr>
      </w:pPr>
    </w:p>
    <w:p>
      <w:pPr>
        <w:ind w:left="520"/>
        <w:spacing w:after="0"/>
        <w:rPr>
          <w:rFonts w:ascii="Arial" w:cs="Arial" w:eastAsia="Arial" w:hAnsi="Arial"/>
          <w:sz w:val="17"/>
          <w:szCs w:val="17"/>
          <w:u w:val="single" w:color="auto"/>
          <w:color w:val="0000EE"/>
        </w:rPr>
      </w:pPr>
      <w:hyperlink w:anchor="page485">
        <w:r>
          <w:rPr>
            <w:rFonts w:ascii="Arial" w:cs="Arial" w:eastAsia="Arial" w:hAnsi="Arial"/>
            <w:sz w:val="17"/>
            <w:szCs w:val="17"/>
            <w:u w:val="single" w:color="auto"/>
            <w:color w:val="0000EE"/>
          </w:rPr>
          <w:t>Exhibit 23.3</w:t>
        </w:r>
      </w:hyperlink>
    </w:p>
    <w:p>
      <w:pPr>
        <w:spacing w:after="0" w:line="224" w:lineRule="exact"/>
        <w:rPr>
          <w:sz w:val="20"/>
          <w:szCs w:val="20"/>
          <w:color w:val="auto"/>
        </w:rPr>
      </w:pPr>
    </w:p>
    <w:p>
      <w:pPr>
        <w:spacing w:after="0"/>
        <w:rPr>
          <w:rFonts w:ascii="Arial" w:cs="Arial" w:eastAsia="Arial" w:hAnsi="Arial"/>
          <w:sz w:val="16"/>
          <w:szCs w:val="16"/>
          <w:u w:val="single" w:color="auto"/>
          <w:color w:val="0000EE"/>
        </w:rPr>
      </w:pPr>
      <w:hyperlink w:anchor="page485">
        <w:r>
          <w:rPr>
            <w:rFonts w:ascii="Arial" w:cs="Arial" w:eastAsia="Arial" w:hAnsi="Arial"/>
            <w:sz w:val="16"/>
            <w:szCs w:val="16"/>
            <w:u w:val="single" w:color="auto"/>
            <w:color w:val="0000EE"/>
          </w:rPr>
          <w:t>CONSENT OF OVUM LIMITED</w:t>
        </w:r>
      </w:hyperlink>
    </w:p>
    <w:p>
      <w:pPr>
        <w:sectPr>
          <w:pgSz w:w="11900" w:h="16838" w:orient="portrait"/>
          <w:cols w:equalWidth="0" w:num="1">
            <w:col w:w="10219"/>
          </w:cols>
          <w:pgMar w:left="240" w:top="800" w:right="1440" w:bottom="1440" w:gutter="0" w:footer="0" w:header="0"/>
        </w:sectPr>
      </w:pPr>
    </w:p>
    <w:bookmarkStart w:id="486" w:name="page487"/>
    <w:bookmarkEnd w:id="486"/>
    <w:p>
      <w:pPr>
        <w:spacing w:after="0"/>
        <w:rPr>
          <w:rFonts w:ascii="Arial" w:cs="Arial" w:eastAsia="Arial" w:hAnsi="Arial"/>
          <w:sz w:val="21"/>
          <w:szCs w:val="21"/>
          <w:color w:val="0000EE"/>
        </w:rPr>
      </w:pPr>
      <w:hyperlink w:anchor="page488">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23.4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BUSINESS VALUATION EXPERT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August 13,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Applied Optoelectronics,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13115 Jess Pirtle Boulevard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Sugar Land, TX 77478</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jc w:val="both"/>
        <w:ind w:right="160" w:firstLine="341"/>
        <w:spacing w:after="0" w:line="322" w:lineRule="auto"/>
        <w:rPr>
          <w:sz w:val="20"/>
          <w:szCs w:val="20"/>
          <w:color w:val="auto"/>
        </w:rPr>
      </w:pPr>
      <w:r>
        <w:rPr>
          <w:rFonts w:ascii="Arial" w:cs="Arial" w:eastAsia="Arial" w:hAnsi="Arial"/>
          <w:sz w:val="15"/>
          <w:szCs w:val="15"/>
          <w:color w:val="auto"/>
        </w:rPr>
        <w:t>In relation to a Registration Statement on Form S-1 being filed on or around August 12, 2013, we hereby consent to the inclusion of and reference to (including the heading "Experts") the name "Adams Capital, Inc.", and the quotation and summarization of our reports, or information contained therein, prepared for Applied Optoelectronics, Inc., including those dated June 4, 2007, November 21, 2007, February 12, 2008, May 22, 2009, January 29, 2013, and May 2, 2013.</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Adams Capital, Inc.</w:t>
      </w:r>
    </w:p>
    <w:p>
      <w:pPr>
        <w:spacing w:after="0" w:line="200" w:lineRule="exact"/>
        <w:rPr>
          <w:sz w:val="20"/>
          <w:szCs w:val="20"/>
          <w:color w:val="auto"/>
        </w:rPr>
      </w:pPr>
    </w:p>
    <w:p>
      <w:pPr>
        <w:spacing w:after="0" w:line="26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DAVID P. ADAMS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73025</wp:posOffset>
            </wp:positionV>
            <wp:extent cx="208089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2080895" cy="8255"/>
                    </a:xfrm>
                    <a:prstGeom prst="rect">
                      <a:avLst/>
                    </a:prstGeom>
                    <a:noFill/>
                  </pic:spPr>
                </pic:pic>
              </a:graphicData>
            </a:graphic>
          </wp:anchor>
        </w:drawing>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Name:</w:t>
        <w:tab/>
        <w:t>David P. Adams III</w:t>
      </w:r>
    </w:p>
    <w:p>
      <w:pPr>
        <w:spacing w:after="0" w:line="2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4875" cy="209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354" w:right="279" w:bottom="1440" w:gutter="0" w:footer="0" w:header="0"/>
        </w:sectPr>
      </w:pPr>
    </w:p>
    <w:bookmarkStart w:id="487" w:name="page488"/>
    <w:bookmarkEnd w:id="487"/>
    <w:p>
      <w:pPr>
        <w:spacing w:after="0"/>
        <w:rPr>
          <w:sz w:val="20"/>
          <w:szCs w:val="20"/>
          <w:color w:val="auto"/>
        </w:rPr>
      </w:pPr>
      <w:r>
        <w:rPr>
          <w:rFonts w:ascii="Arial" w:cs="Arial" w:eastAsia="Arial" w:hAnsi="Arial"/>
          <w:sz w:val="21"/>
          <w:szCs w:val="21"/>
          <w:color w:val="auto"/>
        </w:rPr>
        <w:t>QuickLinks</w:t>
      </w:r>
    </w:p>
    <w:p>
      <w:pPr>
        <w:spacing w:after="0" w:line="217" w:lineRule="exact"/>
        <w:rPr>
          <w:sz w:val="20"/>
          <w:szCs w:val="20"/>
          <w:color w:val="auto"/>
        </w:rPr>
      </w:pPr>
    </w:p>
    <w:p>
      <w:pPr>
        <w:ind w:left="520"/>
        <w:spacing w:after="0"/>
        <w:rPr>
          <w:rFonts w:ascii="Arial" w:cs="Arial" w:eastAsia="Arial" w:hAnsi="Arial"/>
          <w:sz w:val="17"/>
          <w:szCs w:val="17"/>
          <w:u w:val="single" w:color="auto"/>
          <w:color w:val="0000EE"/>
        </w:rPr>
      </w:pPr>
      <w:hyperlink w:anchor="page487">
        <w:r>
          <w:rPr>
            <w:rFonts w:ascii="Arial" w:cs="Arial" w:eastAsia="Arial" w:hAnsi="Arial"/>
            <w:sz w:val="17"/>
            <w:szCs w:val="17"/>
            <w:u w:val="single" w:color="auto"/>
            <w:color w:val="0000EE"/>
          </w:rPr>
          <w:t>Exhibit 23.4</w:t>
        </w:r>
      </w:hyperlink>
    </w:p>
    <w:p>
      <w:pPr>
        <w:spacing w:after="0" w:line="224" w:lineRule="exact"/>
        <w:rPr>
          <w:sz w:val="20"/>
          <w:szCs w:val="20"/>
          <w:color w:val="auto"/>
        </w:rPr>
      </w:pPr>
    </w:p>
    <w:p>
      <w:pPr>
        <w:spacing w:after="0"/>
        <w:rPr>
          <w:rFonts w:ascii="Arial" w:cs="Arial" w:eastAsia="Arial" w:hAnsi="Arial"/>
          <w:sz w:val="16"/>
          <w:szCs w:val="16"/>
          <w:u w:val="single" w:color="auto"/>
          <w:color w:val="0000EE"/>
        </w:rPr>
      </w:pPr>
      <w:hyperlink w:anchor="page487">
        <w:r>
          <w:rPr>
            <w:rFonts w:ascii="Arial" w:cs="Arial" w:eastAsia="Arial" w:hAnsi="Arial"/>
            <w:sz w:val="16"/>
            <w:szCs w:val="16"/>
            <w:u w:val="single" w:color="auto"/>
            <w:color w:val="0000EE"/>
          </w:rPr>
          <w:t>CONSENT OF INDEPENDENT BUSINESS VALUATION EXPERT</w:t>
        </w:r>
      </w:hyperlink>
    </w:p>
    <w:sectPr>
      <w:pgSz w:w="11900" w:h="16838" w:orient="portrait"/>
      <w:cols w:equalWidth="0" w:num="1">
        <w:col w:w="10219"/>
      </w:cols>
      <w:pgMar w:left="240" w:top="8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11685A"/>
    <w:multiLevelType w:val="hybridMultilevel"/>
    <w:lvl w:ilvl="0">
      <w:lvlJc w:val="left"/>
      <w:lvlText w:val="(%1)"/>
      <w:numFmt w:val="decimal"/>
      <w:start w:val="1"/>
    </w:lvl>
  </w:abstractNum>
  <w:abstractNum w:abstractNumId="1">
    <w:nsid w:val="5E1EAE31"/>
    <w:multiLevelType w:val="hybridMultilevel"/>
    <w:lvl w:ilvl="0">
      <w:lvlJc w:val="left"/>
      <w:lvlText w:val="•"/>
      <w:numFmt w:val="bullet"/>
      <w:start w:val="1"/>
    </w:lvl>
  </w:abstractNum>
  <w:abstractNum w:abstractNumId="2">
    <w:nsid w:val="178E240D"/>
    <w:multiLevelType w:val="hybridMultilevel"/>
    <w:lvl w:ilvl="0">
      <w:lvlJc w:val="left"/>
      <w:lvlText w:val="•"/>
      <w:numFmt w:val="bullet"/>
      <w:start w:val="1"/>
    </w:lvl>
  </w:abstractNum>
  <w:abstractNum w:abstractNumId="3">
    <w:nsid w:val="5556A87B"/>
    <w:multiLevelType w:val="hybridMultilevel"/>
    <w:lvl w:ilvl="0">
      <w:lvlJc w:val="left"/>
      <w:lvlText w:val="•"/>
      <w:numFmt w:val="bullet"/>
      <w:start w:val="1"/>
    </w:lvl>
  </w:abstractNum>
  <w:abstractNum w:abstractNumId="4">
    <w:nsid w:val="28100A9C"/>
    <w:multiLevelType w:val="hybridMultilevel"/>
    <w:lvl w:ilvl="0">
      <w:lvlJc w:val="left"/>
      <w:lvlText w:val="•"/>
      <w:numFmt w:val="bullet"/>
      <w:start w:val="1"/>
    </w:lvl>
  </w:abstractNum>
  <w:abstractNum w:abstractNumId="5">
    <w:nsid w:val="D838636"/>
    <w:multiLevelType w:val="hybridMultilevel"/>
    <w:lvl w:ilvl="0">
      <w:lvlJc w:val="left"/>
      <w:lvlText w:val="•"/>
      <w:numFmt w:val="bullet"/>
      <w:start w:val="1"/>
    </w:lvl>
  </w:abstractNum>
  <w:abstractNum w:abstractNumId="6">
    <w:nsid w:val="71B82AED"/>
    <w:multiLevelType w:val="hybridMultilevel"/>
    <w:lvl w:ilvl="0">
      <w:lvlJc w:val="left"/>
      <w:lvlText w:val="•"/>
      <w:numFmt w:val="bullet"/>
      <w:start w:val="1"/>
    </w:lvl>
  </w:abstractNum>
  <w:abstractNum w:abstractNumId="7">
    <w:nsid w:val="D15FACA"/>
    <w:multiLevelType w:val="hybridMultilevel"/>
    <w:lvl w:ilvl="0">
      <w:lvlJc w:val="left"/>
      <w:lvlText w:val="•"/>
      <w:numFmt w:val="bullet"/>
      <w:start w:val="1"/>
    </w:lvl>
  </w:abstractNum>
  <w:abstractNum w:abstractNumId="8">
    <w:nsid w:val="3D69565B"/>
    <w:multiLevelType w:val="hybridMultilevel"/>
    <w:lvl w:ilvl="0">
      <w:lvlJc w:val="left"/>
      <w:lvlText w:val="•"/>
      <w:numFmt w:val="bullet"/>
      <w:start w:val="1"/>
    </w:lvl>
  </w:abstractNum>
  <w:abstractNum w:abstractNumId="9">
    <w:nsid w:val="2299DCBC"/>
    <w:multiLevelType w:val="hybridMultilevel"/>
    <w:lvl w:ilvl="0">
      <w:lvlJc w:val="left"/>
      <w:lvlText w:val="•"/>
      <w:numFmt w:val="bullet"/>
      <w:start w:val="1"/>
    </w:lvl>
  </w:abstractNum>
  <w:abstractNum w:abstractNumId="10">
    <w:nsid w:val="19908D02"/>
    <w:multiLevelType w:val="hybridMultilevel"/>
    <w:lvl w:ilvl="0">
      <w:lvlJc w:val="left"/>
      <w:lvlText w:val="(%1)"/>
      <w:numFmt w:val="decimal"/>
      <w:start w:val="1"/>
    </w:lvl>
  </w:abstractNum>
  <w:abstractNum w:abstractNumId="11">
    <w:nsid w:val="24D48BDB"/>
    <w:multiLevelType w:val="hybridMultilevel"/>
    <w:lvl w:ilvl="0">
      <w:lvlJc w:val="left"/>
      <w:lvlText w:val="(%1)"/>
      <w:numFmt w:val="decimal"/>
      <w:start w:val="2"/>
    </w:lvl>
  </w:abstractNum>
  <w:abstractNum w:abstractNumId="12">
    <w:nsid w:val="542DA5B5"/>
    <w:multiLevelType w:val="hybridMultilevel"/>
    <w:lvl w:ilvl="0">
      <w:lvlJc w:val="left"/>
      <w:lvlText w:val="•"/>
      <w:numFmt w:val="bullet"/>
      <w:start w:val="1"/>
    </w:lvl>
  </w:abstractNum>
  <w:abstractNum w:abstractNumId="13">
    <w:nsid w:val="793753DE"/>
    <w:multiLevelType w:val="hybridMultilevel"/>
    <w:lvl w:ilvl="0">
      <w:lvlJc w:val="left"/>
      <w:lvlText w:val="(%1)"/>
      <w:numFmt w:val="decimal"/>
      <w:start w:val="1"/>
    </w:lvl>
  </w:abstractNum>
  <w:abstractNum w:abstractNumId="14">
    <w:nsid w:val="1C67CB3D"/>
    <w:multiLevelType w:val="hybridMultilevel"/>
    <w:lvl w:ilvl="0">
      <w:lvlJc w:val="left"/>
      <w:lvlText w:val="•"/>
      <w:numFmt w:val="bullet"/>
      <w:start w:val="1"/>
    </w:lvl>
  </w:abstractNum>
  <w:abstractNum w:abstractNumId="15">
    <w:nsid w:val="40E29452"/>
    <w:multiLevelType w:val="hybridMultilevel"/>
    <w:lvl w:ilvl="0">
      <w:lvlJc w:val="left"/>
      <w:lvlText w:val="•"/>
      <w:numFmt w:val="bullet"/>
      <w:start w:val="1"/>
    </w:lvl>
  </w:abstractNum>
  <w:abstractNum w:abstractNumId="16">
    <w:nsid w:val="63A4AAB6"/>
    <w:multiLevelType w:val="hybridMultilevel"/>
    <w:lvl w:ilvl="0">
      <w:lvlJc w:val="left"/>
      <w:lvlText w:val="•"/>
      <w:numFmt w:val="bullet"/>
      <w:start w:val="1"/>
    </w:lvl>
  </w:abstractNum>
  <w:abstractNum w:abstractNumId="17">
    <w:nsid w:val="77DA4A57"/>
    <w:multiLevelType w:val="hybridMultilevel"/>
    <w:lvl w:ilvl="0">
      <w:lvlJc w:val="left"/>
      <w:lvlText w:val="•"/>
      <w:numFmt w:val="bullet"/>
      <w:start w:val="1"/>
    </w:lvl>
  </w:abstractNum>
  <w:abstractNum w:abstractNumId="18">
    <w:nsid w:val="1230F102"/>
    <w:multiLevelType w:val="hybridMultilevel"/>
    <w:lvl w:ilvl="0">
      <w:lvlJc w:val="left"/>
      <w:lvlText w:val="•"/>
      <w:numFmt w:val="bullet"/>
      <w:start w:val="1"/>
    </w:lvl>
  </w:abstractNum>
  <w:abstractNum w:abstractNumId="19">
    <w:nsid w:val="25B57ED4"/>
    <w:multiLevelType w:val="hybridMultilevel"/>
    <w:lvl w:ilvl="0">
      <w:lvlJc w:val="left"/>
      <w:lvlText w:val="•"/>
      <w:numFmt w:val="bullet"/>
      <w:start w:val="1"/>
    </w:lvl>
  </w:abstractNum>
  <w:abstractNum w:abstractNumId="20">
    <w:nsid w:val="47CF16C4"/>
    <w:multiLevelType w:val="hybridMultilevel"/>
    <w:lvl w:ilvl="0">
      <w:lvlJc w:val="left"/>
      <w:lvlText w:val="•"/>
      <w:numFmt w:val="bullet"/>
      <w:start w:val="1"/>
    </w:lvl>
  </w:abstractNum>
  <w:abstractNum w:abstractNumId="21">
    <w:nsid w:val="527FA04C"/>
    <w:multiLevelType w:val="hybridMultilevel"/>
    <w:lvl w:ilvl="0">
      <w:lvlJc w:val="left"/>
      <w:lvlText w:val="•"/>
      <w:numFmt w:val="bullet"/>
      <w:start w:val="1"/>
    </w:lvl>
  </w:abstractNum>
  <w:abstractNum w:abstractNumId="22">
    <w:nsid w:val="6FCC0624"/>
    <w:multiLevelType w:val="hybridMultilevel"/>
    <w:lvl w:ilvl="0">
      <w:lvlJc w:val="left"/>
      <w:lvlText w:val="•"/>
      <w:numFmt w:val="bullet"/>
      <w:start w:val="1"/>
    </w:lvl>
  </w:abstractNum>
  <w:abstractNum w:abstractNumId="23">
    <w:nsid w:val="1DCDF795"/>
    <w:multiLevelType w:val="hybridMultilevel"/>
    <w:lvl w:ilvl="0">
      <w:lvlJc w:val="left"/>
      <w:lvlText w:val="•"/>
      <w:numFmt w:val="bullet"/>
      <w:start w:val="1"/>
    </w:lvl>
  </w:abstractNum>
  <w:abstractNum w:abstractNumId="24">
    <w:nsid w:val="564580C8"/>
    <w:multiLevelType w:val="hybridMultilevel"/>
    <w:lvl w:ilvl="0">
      <w:lvlJc w:val="left"/>
      <w:lvlText w:val="(%1)"/>
      <w:numFmt w:val="decimal"/>
      <w:start w:val="1"/>
    </w:lvl>
  </w:abstractNum>
  <w:abstractNum w:abstractNumId="25">
    <w:nsid w:val="508ED897"/>
    <w:multiLevelType w:val="hybridMultilevel"/>
    <w:lvl w:ilvl="0">
      <w:lvlJc w:val="left"/>
      <w:lvlText w:val="(%1)"/>
      <w:numFmt w:val="decimal"/>
      <w:start w:val="5"/>
    </w:lvl>
  </w:abstractNum>
  <w:abstractNum w:abstractNumId="26">
    <w:nsid w:val="6A9126B5"/>
    <w:multiLevelType w:val="hybridMultilevel"/>
    <w:lvl w:ilvl="0">
      <w:lvlJc w:val="left"/>
      <w:lvlText w:val="•"/>
      <w:numFmt w:val="bullet"/>
      <w:start w:val="1"/>
    </w:lvl>
  </w:abstractNum>
  <w:abstractNum w:abstractNumId="27">
    <w:nsid w:val="68104812"/>
    <w:multiLevelType w:val="hybridMultilevel"/>
    <w:lvl w:ilvl="0">
      <w:lvlJc w:val="left"/>
      <w:lvlText w:val="•"/>
      <w:numFmt w:val="bullet"/>
      <w:start w:val="1"/>
    </w:lvl>
  </w:abstractNum>
  <w:abstractNum w:abstractNumId="28">
    <w:nsid w:val="62FB8680"/>
    <w:multiLevelType w:val="hybridMultilevel"/>
    <w:lvl w:ilvl="0">
      <w:lvlJc w:val="left"/>
      <w:lvlText w:val="(%1)"/>
      <w:numFmt w:val="decimal"/>
      <w:start w:val="1"/>
    </w:lvl>
  </w:abstractNum>
  <w:abstractNum w:abstractNumId="29">
    <w:nsid w:val="3A45530"/>
    <w:multiLevelType w:val="hybridMultilevel"/>
    <w:lvl w:ilvl="0">
      <w:lvlJc w:val="left"/>
      <w:lvlText w:val="(%1)"/>
      <w:numFmt w:val="decimal"/>
      <w:start w:val="1"/>
    </w:lvl>
  </w:abstractNum>
  <w:abstractNum w:abstractNumId="30">
    <w:nsid w:val="4B9275D2"/>
    <w:multiLevelType w:val="hybridMultilevel"/>
    <w:lvl w:ilvl="0">
      <w:lvlJc w:val="left"/>
      <w:lvlText w:val="(%1)"/>
      <w:numFmt w:val="decimal"/>
      <w:start w:val="1"/>
    </w:lvl>
  </w:abstractNum>
  <w:abstractNum w:abstractNumId="31">
    <w:nsid w:val="4F0CEEDB"/>
    <w:multiLevelType w:val="hybridMultilevel"/>
    <w:lvl w:ilvl="0">
      <w:lvlJc w:val="left"/>
      <w:lvlText w:val="(%1)"/>
      <w:numFmt w:val="decimal"/>
      <w:start w:val="2"/>
    </w:lvl>
  </w:abstractNum>
  <w:abstractNum w:abstractNumId="32">
    <w:nsid w:val="61C30361"/>
    <w:multiLevelType w:val="hybridMultilevel"/>
    <w:lvl w:ilvl="0">
      <w:lvlJc w:val="left"/>
      <w:lvlText w:val="•"/>
      <w:numFmt w:val="bullet"/>
      <w:start w:val="1"/>
    </w:lvl>
  </w:abstractNum>
  <w:abstractNum w:abstractNumId="33">
    <w:nsid w:val="632099E0"/>
    <w:multiLevelType w:val="hybridMultilevel"/>
    <w:lvl w:ilvl="0">
      <w:lvlJc w:val="left"/>
      <w:lvlText w:val="(%1)"/>
      <w:numFmt w:val="decimal"/>
      <w:start w:val="1"/>
    </w:lvl>
  </w:abstractNum>
  <w:abstractNum w:abstractNumId="34">
    <w:nsid w:val="24639756"/>
    <w:multiLevelType w:val="hybridMultilevel"/>
    <w:lvl w:ilvl="0">
      <w:lvlJc w:val="left"/>
      <w:lvlText w:val="(%1)"/>
      <w:numFmt w:val="decimal"/>
      <w:start w:val="2"/>
    </w:lvl>
  </w:abstractNum>
  <w:abstractNum w:abstractNumId="35">
    <w:nsid w:val="9D30DFD"/>
    <w:multiLevelType w:val="hybridMultilevel"/>
    <w:lvl w:ilvl="0">
      <w:lvlJc w:val="left"/>
      <w:lvlText w:val="(%1)"/>
      <w:numFmt w:val="decimal"/>
      <w:start w:val="1"/>
    </w:lvl>
  </w:abstractNum>
  <w:abstractNum w:abstractNumId="36">
    <w:nsid w:val="70A42016"/>
    <w:multiLevelType w:val="hybridMultilevel"/>
    <w:lvl w:ilvl="0">
      <w:lvlJc w:val="left"/>
      <w:lvlText w:val="•"/>
      <w:numFmt w:val="bullet"/>
      <w:start w:val="1"/>
    </w:lvl>
  </w:abstractNum>
  <w:abstractNum w:abstractNumId="37">
    <w:nsid w:val="161BC243"/>
    <w:multiLevelType w:val="hybridMultilevel"/>
    <w:lvl w:ilvl="0">
      <w:lvlJc w:val="left"/>
      <w:lvlText w:val="(%1)"/>
      <w:numFmt w:val="decimal"/>
      <w:start w:val="1"/>
    </w:lvl>
  </w:abstractNum>
  <w:abstractNum w:abstractNumId="38">
    <w:nsid w:val="16E908C8"/>
    <w:multiLevelType w:val="hybridMultilevel"/>
    <w:lvl w:ilvl="0">
      <w:lvlJc w:val="left"/>
      <w:lvlText w:val="•"/>
      <w:numFmt w:val="bullet"/>
      <w:start w:val="1"/>
    </w:lvl>
  </w:abstractNum>
  <w:abstractNum w:abstractNumId="39">
    <w:nsid w:val="2E0D7671"/>
    <w:multiLevelType w:val="hybridMultilevel"/>
    <w:lvl w:ilvl="0">
      <w:lvlJc w:val="left"/>
      <w:lvlText w:val="•"/>
      <w:numFmt w:val="bullet"/>
      <w:start w:val="1"/>
    </w:lvl>
  </w:abstractNum>
  <w:abstractNum w:abstractNumId="40">
    <w:nsid w:val="38B59EFF"/>
    <w:multiLevelType w:val="hybridMultilevel"/>
    <w:lvl w:ilvl="0">
      <w:lvlJc w:val="left"/>
      <w:lvlText w:val="•"/>
      <w:numFmt w:val="bullet"/>
      <w:start w:val="1"/>
    </w:lvl>
  </w:abstractNum>
  <w:abstractNum w:abstractNumId="41">
    <w:nsid w:val="307995CA"/>
    <w:multiLevelType w:val="hybridMultilevel"/>
    <w:lvl w:ilvl="0">
      <w:lvlJc w:val="left"/>
      <w:lvlText w:val="•"/>
      <w:numFmt w:val="bullet"/>
      <w:start w:val="1"/>
    </w:lvl>
  </w:abstractNum>
  <w:abstractNum w:abstractNumId="42">
    <w:nsid w:val="52E2024D"/>
    <w:multiLevelType w:val="hybridMultilevel"/>
    <w:lvl w:ilvl="0">
      <w:lvlJc w:val="left"/>
      <w:lvlText w:val="•"/>
      <w:numFmt w:val="bullet"/>
      <w:start w:val="1"/>
    </w:lvl>
  </w:abstractNum>
  <w:abstractNum w:abstractNumId="43">
    <w:nsid w:val="CE344B5"/>
    <w:multiLevelType w:val="hybridMultilevel"/>
    <w:lvl w:ilvl="0">
      <w:lvlJc w:val="left"/>
      <w:lvlText w:val="•"/>
      <w:numFmt w:val="bullet"/>
      <w:start w:val="1"/>
    </w:lvl>
  </w:abstractNum>
  <w:abstractNum w:abstractNumId="44">
    <w:nsid w:val="29B0E9A8"/>
    <w:multiLevelType w:val="hybridMultilevel"/>
    <w:lvl w:ilvl="0">
      <w:lvlJc w:val="left"/>
      <w:lvlText w:val="•"/>
      <w:numFmt w:val="bullet"/>
      <w:start w:val="1"/>
    </w:lvl>
  </w:abstractNum>
  <w:abstractNum w:abstractNumId="45">
    <w:nsid w:val="6F49CD8A"/>
    <w:multiLevelType w:val="hybridMultilevel"/>
    <w:lvl w:ilvl="0">
      <w:lvlJc w:val="left"/>
      <w:lvlText w:val="•"/>
      <w:numFmt w:val="bullet"/>
      <w:start w:val="1"/>
    </w:lvl>
  </w:abstractNum>
  <w:abstractNum w:abstractNumId="46">
    <w:nsid w:val="4DC5D907"/>
    <w:multiLevelType w:val="hybridMultilevel"/>
    <w:lvl w:ilvl="0">
      <w:lvlJc w:val="left"/>
      <w:lvlText w:val="•"/>
      <w:numFmt w:val="bullet"/>
      <w:start w:val="1"/>
    </w:lvl>
  </w:abstractNum>
  <w:abstractNum w:abstractNumId="47">
    <w:nsid w:val="D55945E"/>
    <w:multiLevelType w:val="hybridMultilevel"/>
    <w:lvl w:ilvl="0">
      <w:lvlJc w:val="left"/>
      <w:lvlText w:val="•"/>
      <w:numFmt w:val="bullet"/>
      <w:start w:val="1"/>
    </w:lvl>
  </w:abstractNum>
  <w:abstractNum w:abstractNumId="48">
    <w:nsid w:val="672417E1"/>
    <w:multiLevelType w:val="hybridMultilevel"/>
    <w:lvl w:ilvl="0">
      <w:lvlJc w:val="left"/>
      <w:lvlText w:val="•"/>
      <w:numFmt w:val="bullet"/>
      <w:start w:val="1"/>
    </w:lvl>
  </w:abstractNum>
  <w:abstractNum w:abstractNumId="49">
    <w:nsid w:val="5FF6CA09"/>
    <w:multiLevelType w:val="hybridMultilevel"/>
    <w:lvl w:ilvl="0">
      <w:lvlJc w:val="left"/>
      <w:lvlText w:val="•"/>
      <w:numFmt w:val="bullet"/>
      <w:start w:val="1"/>
    </w:lvl>
  </w:abstractNum>
  <w:abstractNum w:abstractNumId="50">
    <w:nsid w:val="330B1333"/>
    <w:multiLevelType w:val="hybridMultilevel"/>
    <w:lvl w:ilvl="0">
      <w:lvlJc w:val="left"/>
      <w:lvlText w:val="•"/>
      <w:numFmt w:val="bullet"/>
      <w:start w:val="1"/>
    </w:lvl>
  </w:abstractNum>
  <w:abstractNum w:abstractNumId="51">
    <w:nsid w:val="2EF32EA6"/>
    <w:multiLevelType w:val="hybridMultilevel"/>
    <w:lvl w:ilvl="0">
      <w:lvlJc w:val="left"/>
      <w:lvlText w:val="•"/>
      <w:numFmt w:val="bullet"/>
      <w:start w:val="1"/>
    </w:lvl>
  </w:abstractNum>
  <w:abstractNum w:abstractNumId="52">
    <w:nsid w:val="32766A55"/>
    <w:multiLevelType w:val="hybridMultilevel"/>
    <w:lvl w:ilvl="0">
      <w:lvlJc w:val="left"/>
      <w:lvlText w:val="•"/>
      <w:numFmt w:val="bullet"/>
      <w:start w:val="1"/>
    </w:lvl>
  </w:abstractNum>
  <w:abstractNum w:abstractNumId="53">
    <w:nsid w:val="22D71957"/>
    <w:multiLevelType w:val="hybridMultilevel"/>
    <w:lvl w:ilvl="0">
      <w:lvlJc w:val="left"/>
      <w:lvlText w:val="•"/>
      <w:numFmt w:val="bullet"/>
      <w:start w:val="1"/>
    </w:lvl>
  </w:abstractNum>
  <w:abstractNum w:abstractNumId="54">
    <w:nsid w:val="4CC1263B"/>
    <w:multiLevelType w:val="hybridMultilevel"/>
    <w:lvl w:ilvl="0">
      <w:lvlJc w:val="left"/>
      <w:lvlText w:val="(%1)"/>
      <w:numFmt w:val="decimal"/>
      <w:start w:val="1"/>
    </w:lvl>
  </w:abstractNum>
  <w:abstractNum w:abstractNumId="55">
    <w:nsid w:val="8BBEB1D"/>
    <w:multiLevelType w:val="hybridMultilevel"/>
    <w:lvl w:ilvl="0">
      <w:lvlJc w:val="left"/>
      <w:lvlText w:val="(%1)"/>
      <w:numFmt w:val="decimal"/>
      <w:start w:val="1"/>
    </w:lvl>
  </w:abstractNum>
  <w:abstractNum w:abstractNumId="56">
    <w:nsid w:val="7365F1EE"/>
    <w:multiLevelType w:val="hybridMultilevel"/>
    <w:lvl w:ilvl="0">
      <w:lvlJc w:val="left"/>
      <w:lvlText w:val="•"/>
      <w:numFmt w:val="bullet"/>
      <w:start w:val="1"/>
    </w:lvl>
  </w:abstractNum>
  <w:abstractNum w:abstractNumId="57">
    <w:nsid w:val="37524CF0"/>
    <w:multiLevelType w:val="hybridMultilevel"/>
    <w:lvl w:ilvl="0">
      <w:lvlJc w:val="left"/>
      <w:lvlText w:val="(%1)"/>
      <w:numFmt w:val="decimal"/>
      <w:start w:val="1"/>
    </w:lvl>
  </w:abstractNum>
  <w:abstractNum w:abstractNumId="58">
    <w:nsid w:val="70CC332F"/>
    <w:multiLevelType w:val="hybridMultilevel"/>
    <w:lvl w:ilvl="0">
      <w:lvlJc w:val="left"/>
      <w:lvlText w:val="•"/>
      <w:numFmt w:val="bullet"/>
      <w:start w:val="1"/>
    </w:lvl>
  </w:abstractNum>
  <w:abstractNum w:abstractNumId="59">
    <w:nsid w:val="5661786E"/>
    <w:multiLevelType w:val="hybridMultilevel"/>
    <w:lvl w:ilvl="0">
      <w:lvlJc w:val="left"/>
      <w:lvlText w:val="•"/>
      <w:numFmt w:val="bullet"/>
      <w:start w:val="1"/>
    </w:lvl>
  </w:abstractNum>
  <w:abstractNum w:abstractNumId="60">
    <w:nsid w:val="3AF6A220"/>
    <w:multiLevelType w:val="hybridMultilevel"/>
    <w:lvl w:ilvl="0">
      <w:lvlJc w:val="left"/>
      <w:lvlText w:val="•"/>
      <w:numFmt w:val="bullet"/>
      <w:start w:val="1"/>
    </w:lvl>
  </w:abstractNum>
  <w:abstractNum w:abstractNumId="61">
    <w:nsid w:val="3C5EA902"/>
    <w:multiLevelType w:val="hybridMultilevel"/>
    <w:lvl w:ilvl="0">
      <w:lvlJc w:val="left"/>
      <w:lvlText w:val="•"/>
      <w:numFmt w:val="bullet"/>
      <w:start w:val="1"/>
    </w:lvl>
  </w:abstractNum>
  <w:abstractNum w:abstractNumId="62">
    <w:nsid w:val="256E6749"/>
    <w:multiLevelType w:val="hybridMultilevel"/>
    <w:lvl w:ilvl="0">
      <w:lvlJc w:val="left"/>
      <w:lvlText w:val="(%1)"/>
      <w:numFmt w:val="decimal"/>
      <w:start w:val="1"/>
    </w:lvl>
  </w:abstractNum>
  <w:abstractNum w:abstractNumId="63">
    <w:nsid w:val="1CB9A581"/>
    <w:multiLevelType w:val="hybridMultilevel"/>
    <w:lvl w:ilvl="0">
      <w:lvlJc w:val="left"/>
      <w:lvlText w:val="(%1)"/>
      <w:numFmt w:val="decimal"/>
      <w:start w:val="1"/>
    </w:lvl>
  </w:abstractNum>
  <w:abstractNum w:abstractNumId="64">
    <w:nsid w:val="1F7F42E2"/>
    <w:multiLevelType w:val="hybridMultilevel"/>
    <w:lvl w:ilvl="0">
      <w:lvlJc w:val="left"/>
      <w:lvlText w:val="(%1)"/>
      <w:numFmt w:val="decimal"/>
      <w:start w:val="3"/>
    </w:lvl>
  </w:abstractNum>
  <w:abstractNum w:abstractNumId="65">
    <w:nsid w:val="49D1FEA0"/>
    <w:multiLevelType w:val="hybridMultilevel"/>
    <w:lvl w:ilvl="0">
      <w:lvlJc w:val="left"/>
      <w:lvlText w:val="(%1)"/>
      <w:numFmt w:val="decimal"/>
      <w:start w:val="15"/>
    </w:lvl>
  </w:abstractNum>
  <w:abstractNum w:abstractNumId="66">
    <w:nsid w:val="268CB37F"/>
    <w:multiLevelType w:val="hybridMultilevel"/>
    <w:lvl w:ilvl="0">
      <w:lvlJc w:val="left"/>
      <w:lvlText w:val="(%1)"/>
      <w:numFmt w:val="lowerRoman"/>
      <w:start w:val="1"/>
    </w:lvl>
  </w:abstractNum>
  <w:abstractNum w:abstractNumId="67">
    <w:nsid w:val="102362F8"/>
    <w:multiLevelType w:val="hybridMultilevel"/>
    <w:lvl w:ilvl="0">
      <w:lvlJc w:val="left"/>
      <w:lvlText w:val="(%1)"/>
      <w:numFmt w:val="lowerRoman"/>
      <w:start w:val="5"/>
    </w:lvl>
  </w:abstractNum>
  <w:abstractNum w:abstractNumId="68">
    <w:nsid w:val="5FEDC0E3"/>
    <w:multiLevelType w:val="hybridMultilevel"/>
    <w:lvl w:ilvl="0">
      <w:lvlJc w:val="left"/>
      <w:lvlText w:val="•"/>
      <w:numFmt w:val="bullet"/>
      <w:start w:val="1"/>
    </w:lvl>
  </w:abstractNum>
  <w:abstractNum w:abstractNumId="69">
    <w:nsid w:val="3D75BC47"/>
    <w:multiLevelType w:val="hybridMultilevel"/>
    <w:lvl w:ilvl="0">
      <w:lvlJc w:val="left"/>
      <w:lvlText w:val="•"/>
      <w:numFmt w:val="bullet"/>
      <w:start w:val="1"/>
    </w:lvl>
  </w:abstractNum>
  <w:abstractNum w:abstractNumId="70">
    <w:nsid w:val="3E30D969"/>
    <w:multiLevelType w:val="hybridMultilevel"/>
    <w:lvl w:ilvl="0">
      <w:lvlJc w:val="left"/>
      <w:lvlText w:val="•"/>
      <w:numFmt w:val="bullet"/>
      <w:start w:val="1"/>
    </w:lvl>
  </w:abstractNum>
  <w:abstractNum w:abstractNumId="71">
    <w:nsid w:val="18A35FE3"/>
    <w:multiLevelType w:val="hybridMultilevel"/>
    <w:lvl w:ilvl="0">
      <w:lvlJc w:val="left"/>
      <w:lvlText w:val="•"/>
      <w:numFmt w:val="bullet"/>
      <w:start w:val="1"/>
    </w:lvl>
  </w:abstractNum>
  <w:abstractNum w:abstractNumId="72">
    <w:nsid w:val="6DEF5211"/>
    <w:multiLevelType w:val="hybridMultilevel"/>
    <w:lvl w:ilvl="0">
      <w:lvlJc w:val="left"/>
      <w:lvlText w:val="(%1)"/>
      <w:numFmt w:val="lowerRoman"/>
      <w:start w:val="2"/>
    </w:lvl>
  </w:abstractNum>
  <w:abstractNum w:abstractNumId="73">
    <w:nsid w:val="1112DBB6"/>
    <w:multiLevelType w:val="hybridMultilevel"/>
    <w:lvl w:ilvl="0">
      <w:lvlJc w:val="left"/>
      <w:lvlText w:val="•"/>
      <w:numFmt w:val="bullet"/>
      <w:start w:val="1"/>
    </w:lvl>
  </w:abstractNum>
  <w:abstractNum w:abstractNumId="74">
    <w:nsid w:val="2586A498"/>
    <w:multiLevelType w:val="hybridMultilevel"/>
    <w:lvl w:ilvl="0">
      <w:lvlJc w:val="left"/>
      <w:lvlText w:val="(%1)"/>
      <w:numFmt w:val="decimal"/>
      <w:start w:val="1"/>
    </w:lvl>
  </w:abstractNum>
  <w:abstractNum w:abstractNumId="75">
    <w:nsid w:val="17A03BB9"/>
    <w:multiLevelType w:val="hybridMultilevel"/>
    <w:lvl w:ilvl="0">
      <w:lvlJc w:val="left"/>
      <w:lvlText w:val="(%1)"/>
      <w:numFmt w:val="decimal"/>
      <w:start w:val="2"/>
    </w:lvl>
  </w:abstractNum>
  <w:abstractNum w:abstractNumId="76">
    <w:nsid w:val="5CA941"/>
    <w:multiLevelType w:val="hybridMultilevel"/>
    <w:lvl w:ilvl="0">
      <w:lvlJc w:val="left"/>
      <w:lvlText w:val="•"/>
      <w:numFmt w:val="bullet"/>
      <w:start w:val="1"/>
    </w:lvl>
  </w:abstractNum>
  <w:abstractNum w:abstractNumId="77">
    <w:nsid w:val="734C7D9F"/>
    <w:multiLevelType w:val="hybridMultilevel"/>
    <w:lvl w:ilvl="0">
      <w:lvlJc w:val="left"/>
      <w:lvlText w:val="•"/>
      <w:numFmt w:val="bullet"/>
      <w:start w:val="1"/>
    </w:lvl>
  </w:abstractNum>
  <w:abstractNum w:abstractNumId="78">
    <w:nsid w:val="24F5D018"/>
    <w:multiLevelType w:val="hybridMultilevel"/>
    <w:lvl w:ilvl="0">
      <w:lvlJc w:val="left"/>
      <w:lvlText w:val="•"/>
      <w:numFmt w:val="bullet"/>
      <w:start w:val="1"/>
    </w:lvl>
  </w:abstractNum>
  <w:abstractNum w:abstractNumId="79">
    <w:nsid w:val="6780C122"/>
    <w:multiLevelType w:val="hybridMultilevel"/>
    <w:lvl w:ilvl="0">
      <w:lvlJc w:val="left"/>
      <w:lvlText w:val="•"/>
      <w:numFmt w:val="bullet"/>
      <w:start w:val="1"/>
    </w:lvl>
  </w:abstractNum>
  <w:abstractNum w:abstractNumId="80">
    <w:nsid w:val="534347A8"/>
    <w:multiLevelType w:val="hybridMultilevel"/>
    <w:lvl w:ilvl="0">
      <w:lvlJc w:val="left"/>
      <w:lvlText w:val="•"/>
      <w:numFmt w:val="bullet"/>
      <w:start w:val="1"/>
    </w:lvl>
  </w:abstractNum>
  <w:abstractNum w:abstractNumId="81">
    <w:nsid w:val="5800E34B"/>
    <w:multiLevelType w:val="hybridMultilevel"/>
    <w:lvl w:ilvl="0">
      <w:lvlJc w:val="left"/>
      <w:lvlText w:val="•"/>
      <w:numFmt w:val="bullet"/>
      <w:start w:val="1"/>
    </w:lvl>
  </w:abstractNum>
  <w:abstractNum w:abstractNumId="82">
    <w:nsid w:val="1673EFC8"/>
    <w:multiLevelType w:val="hybridMultilevel"/>
    <w:lvl w:ilvl="0">
      <w:lvlJc w:val="left"/>
      <w:lvlText w:val="•"/>
      <w:numFmt w:val="bullet"/>
      <w:start w:val="1"/>
    </w:lvl>
  </w:abstractNum>
  <w:abstractNum w:abstractNumId="83">
    <w:nsid w:val="5B9B1FD"/>
    <w:multiLevelType w:val="hybridMultilevel"/>
    <w:lvl w:ilvl="0">
      <w:lvlJc w:val="left"/>
      <w:lvlText w:val="•"/>
      <w:numFmt w:val="bullet"/>
      <w:start w:val="1"/>
    </w:lvl>
  </w:abstractNum>
  <w:abstractNum w:abstractNumId="84">
    <w:nsid w:val="7AD7FCA2"/>
    <w:multiLevelType w:val="hybridMultilevel"/>
    <w:lvl w:ilvl="0">
      <w:lvlJc w:val="left"/>
      <w:lvlText w:val="•"/>
      <w:numFmt w:val="bullet"/>
      <w:start w:val="1"/>
    </w:lvl>
  </w:abstractNum>
  <w:abstractNum w:abstractNumId="85">
    <w:nsid w:val="63351604"/>
    <w:multiLevelType w:val="hybridMultilevel"/>
    <w:lvl w:ilvl="0">
      <w:lvlJc w:val="left"/>
      <w:lvlText w:val="•"/>
      <w:numFmt w:val="bullet"/>
      <w:start w:val="1"/>
    </w:lvl>
  </w:abstractNum>
  <w:abstractNum w:abstractNumId="86">
    <w:nsid w:val="E759D1A"/>
    <w:multiLevelType w:val="hybridMultilevel"/>
    <w:lvl w:ilvl="0">
      <w:lvlJc w:val="left"/>
      <w:lvlText w:val="(%1)"/>
      <w:numFmt w:val="lowerRoman"/>
      <w:start w:val="2"/>
    </w:lvl>
  </w:abstractNum>
  <w:abstractNum w:abstractNumId="87">
    <w:nsid w:val="6E3DEE90"/>
    <w:multiLevelType w:val="hybridMultilevel"/>
    <w:lvl w:ilvl="0">
      <w:lvlJc w:val="left"/>
      <w:lvlText w:val="%1."/>
      <w:numFmt w:val="decimal"/>
      <w:start w:val="1"/>
    </w:lvl>
  </w:abstractNum>
  <w:abstractNum w:abstractNumId="88">
    <w:nsid w:val="1A8762F4"/>
    <w:multiLevelType w:val="hybridMultilevel"/>
    <w:lvl w:ilvl="0">
      <w:lvlJc w:val="left"/>
      <w:lvlText w:val="%1."/>
      <w:numFmt w:val="decimal"/>
      <w:start w:val="2"/>
    </w:lvl>
  </w:abstractNum>
  <w:abstractNum w:abstractNumId="89">
    <w:nsid w:val="7F41D049"/>
    <w:multiLevelType w:val="hybridMultilevel"/>
    <w:lvl w:ilvl="0">
      <w:lvlJc w:val="left"/>
      <w:lvlText w:val="%1."/>
      <w:numFmt w:val="decimal"/>
      <w:start w:val="3"/>
    </w:lvl>
  </w:abstractNum>
  <w:abstractNum w:abstractNumId="90">
    <w:nsid w:val="449F66FE"/>
    <w:multiLevelType w:val="hybridMultilevel"/>
    <w:lvl w:ilvl="0">
      <w:lvlJc w:val="left"/>
      <w:lvlText w:val="%1."/>
      <w:numFmt w:val="decimal"/>
      <w:start w:val="4"/>
    </w:lvl>
  </w:abstractNum>
  <w:abstractNum w:abstractNumId="91">
    <w:nsid w:val="557E0515"/>
    <w:multiLevelType w:val="hybridMultilevel"/>
    <w:lvl w:ilvl="0">
      <w:lvlJc w:val="left"/>
      <w:lvlText w:val="%1."/>
      <w:numFmt w:val="decimal"/>
      <w:start w:val="5"/>
    </w:lvl>
  </w:abstractNum>
  <w:abstractNum w:abstractNumId="92">
    <w:nsid w:val="3BA0794B"/>
    <w:multiLevelType w:val="hybridMultilevel"/>
    <w:lvl w:ilvl="0">
      <w:lvlJc w:val="left"/>
      <w:lvlText w:val="%1."/>
      <w:numFmt w:val="decimal"/>
      <w:start w:val="6"/>
    </w:lvl>
  </w:abstractNum>
  <w:abstractNum w:abstractNumId="93">
    <w:nsid w:val="6A0DCE48"/>
    <w:multiLevelType w:val="hybridMultilevel"/>
    <w:lvl w:ilvl="0">
      <w:lvlJc w:val="left"/>
      <w:lvlText w:val="%1."/>
      <w:numFmt w:val="decimal"/>
      <w:start w:val="7"/>
    </w:lvl>
  </w:abstractNum>
  <w:abstractNum w:abstractNumId="94">
    <w:nsid w:val="7237AA96"/>
    <w:multiLevelType w:val="hybridMultilevel"/>
    <w:lvl w:ilvl="0">
      <w:lvlJc w:val="left"/>
      <w:lvlText w:val="%1."/>
      <w:numFmt w:val="decimal"/>
      <w:start w:val="8"/>
    </w:lvl>
  </w:abstractNum>
  <w:abstractNum w:abstractNumId="95">
    <w:nsid w:val="5B1FBC2D"/>
    <w:multiLevelType w:val="hybridMultilevel"/>
    <w:lvl w:ilvl="0">
      <w:lvlJc w:val="left"/>
      <w:lvlText w:val="%1."/>
      <w:numFmt w:val="decimal"/>
      <w:start w:val="9"/>
    </w:lvl>
  </w:abstractNum>
  <w:abstractNum w:abstractNumId="96">
    <w:nsid w:val="33DFCCE8"/>
    <w:multiLevelType w:val="hybridMultilevel"/>
    <w:lvl w:ilvl="0">
      <w:lvlJc w:val="left"/>
      <w:lvlText w:val="%1."/>
      <w:numFmt w:val="decimal"/>
      <w:start w:val="10"/>
    </w:lvl>
  </w:abstractNum>
  <w:abstractNum w:abstractNumId="97">
    <w:nsid w:val="18C45E15"/>
    <w:multiLevelType w:val="hybridMultilevel"/>
    <w:lvl w:ilvl="0">
      <w:lvlJc w:val="left"/>
      <w:lvlText w:val="%1."/>
      <w:numFmt w:val="decimal"/>
      <w:start w:val="11"/>
    </w:lvl>
  </w:abstractNum>
  <w:abstractNum w:abstractNumId="98">
    <w:nsid w:val="6B431F25"/>
    <w:multiLevelType w:val="hybridMultilevel"/>
    <w:lvl w:ilvl="0">
      <w:lvlJc w:val="left"/>
      <w:lvlText w:val="%1."/>
      <w:numFmt w:val="decimal"/>
      <w:start w:val="12"/>
    </w:lvl>
  </w:abstractNum>
  <w:abstractNum w:abstractNumId="99">
    <w:nsid w:val="13CD8DCB"/>
    <w:multiLevelType w:val="hybridMultilevel"/>
    <w:lvl w:ilvl="0">
      <w:lvlJc w:val="left"/>
      <w:lvlText w:val="%1."/>
      <w:numFmt w:val="decimal"/>
      <w:start w:val="13"/>
    </w:lvl>
  </w:abstractNum>
  <w:abstractNum w:abstractNumId="100">
    <w:nsid w:val="563A1A5C"/>
    <w:multiLevelType w:val="hybridMultilevel"/>
    <w:lvl w:ilvl="0">
      <w:lvlJc w:val="left"/>
      <w:lvlText w:val="%1."/>
      <w:numFmt w:val="decimal"/>
      <w:start w:val="14"/>
    </w:lvl>
  </w:abstractNum>
  <w:abstractNum w:abstractNumId="101">
    <w:nsid w:val="2973F88F"/>
    <w:multiLevelType w:val="hybridMultilevel"/>
    <w:lvl w:ilvl="0">
      <w:lvlJc w:val="left"/>
      <w:lvlText w:val="%1."/>
      <w:numFmt w:val="decimal"/>
      <w:start w:val="15"/>
    </w:lvl>
  </w:abstractNum>
  <w:abstractNum w:abstractNumId="102">
    <w:nsid w:val="2C70EDAE"/>
    <w:multiLevelType w:val="hybridMultilevel"/>
    <w:lvl w:ilvl="0">
      <w:lvlJc w:val="left"/>
      <w:lvlText w:val="%1."/>
      <w:numFmt w:val="decimal"/>
      <w:start w:val="16"/>
    </w:lvl>
  </w:abstractNum>
  <w:abstractNum w:abstractNumId="103">
    <w:nsid w:val="44296C6D"/>
    <w:multiLevelType w:val="hybridMultilevel"/>
    <w:lvl w:ilvl="0">
      <w:lvlJc w:val="left"/>
      <w:lvlText w:val="%1."/>
      <w:numFmt w:val="decimal"/>
      <w:start w:val="17"/>
    </w:lvl>
  </w:abstractNum>
  <w:abstractNum w:abstractNumId="104">
    <w:nsid w:val="3A86D445"/>
    <w:multiLevelType w:val="hybridMultilevel"/>
    <w:lvl w:ilvl="0">
      <w:lvlJc w:val="left"/>
      <w:lvlText w:val="%1."/>
      <w:numFmt w:val="decimal"/>
      <w:start w:val="18"/>
    </w:lvl>
  </w:abstractNum>
  <w:abstractNum w:abstractNumId="105">
    <w:nsid w:val="51F79246"/>
    <w:multiLevelType w:val="hybridMultilevel"/>
    <w:lvl w:ilvl="0">
      <w:lvlJc w:val="left"/>
      <w:lvlText w:val="%1."/>
      <w:numFmt w:val="decimal"/>
      <w:start w:val="19"/>
    </w:lvl>
  </w:abstractNum>
  <w:abstractNum w:abstractNumId="106">
    <w:nsid w:val="5BC9A827"/>
    <w:multiLevelType w:val="hybridMultilevel"/>
    <w:lvl w:ilvl="0">
      <w:lvlJc w:val="left"/>
      <w:lvlText w:val="%1."/>
      <w:numFmt w:val="decimal"/>
      <w:start w:val="20"/>
    </w:lvl>
  </w:abstractNum>
  <w:abstractNum w:abstractNumId="107">
    <w:nsid w:val="3AE37D86"/>
    <w:multiLevelType w:val="hybridMultilevel"/>
    <w:lvl w:ilvl="0">
      <w:lvlJc w:val="left"/>
      <w:lvlText w:val="%1."/>
      <w:numFmt w:val="decimal"/>
      <w:start w:val="21"/>
    </w:lvl>
  </w:abstractNum>
  <w:abstractNum w:abstractNumId="108">
    <w:nsid w:val="45440FE5"/>
    <w:multiLevelType w:val="hybridMultilevel"/>
    <w:lvl w:ilvl="0">
      <w:lvlJc w:val="left"/>
      <w:lvlText w:val="%1."/>
      <w:numFmt w:val="decimal"/>
      <w:start w:val="22"/>
    </w:lvl>
  </w:abstractNum>
  <w:abstractNum w:abstractNumId="109">
    <w:nsid w:val="BF783F"/>
    <w:multiLevelType w:val="hybridMultilevel"/>
    <w:lvl w:ilvl="0">
      <w:lvlJc w:val="left"/>
      <w:lvlText w:val="%1."/>
      <w:numFmt w:val="decimal"/>
      <w:start w:val="23"/>
    </w:lvl>
  </w:abstractNum>
  <w:abstractNum w:abstractNumId="110">
    <w:nsid w:val="22643EA9"/>
    <w:multiLevelType w:val="hybridMultilevel"/>
    <w:lvl w:ilvl="0">
      <w:lvlJc w:val="left"/>
      <w:lvlText w:val="%1."/>
      <w:numFmt w:val="decimal"/>
      <w:start w:val="1"/>
    </w:lvl>
  </w:abstractNum>
  <w:abstractNum w:abstractNumId="111">
    <w:nsid w:val="1887578D"/>
    <w:multiLevelType w:val="hybridMultilevel"/>
    <w:lvl w:ilvl="0">
      <w:lvlJc w:val="left"/>
      <w:lvlText w:val="%1."/>
      <w:numFmt w:val="decimal"/>
      <w:start w:val="2"/>
    </w:lvl>
  </w:abstractNum>
  <w:abstractNum w:abstractNumId="112">
    <w:nsid w:val="58C05B8A"/>
    <w:multiLevelType w:val="hybridMultilevel"/>
    <w:lvl w:ilvl="0">
      <w:lvlJc w:val="left"/>
      <w:lvlText w:val="%1."/>
      <w:numFmt w:val="decimal"/>
      <w:start w:val="3"/>
    </w:lvl>
  </w:abstractNum>
  <w:abstractNum w:abstractNumId="113">
    <w:nsid w:val="38D82E71"/>
    <w:multiLevelType w:val="hybridMultilevel"/>
    <w:lvl w:ilvl="0">
      <w:lvlJc w:val="left"/>
      <w:lvlText w:val="•"/>
      <w:numFmt w:val="bullet"/>
      <w:start w:val="1"/>
    </w:lvl>
  </w:abstractNum>
  <w:abstractNum w:abstractNumId="114">
    <w:nsid w:val="1E41098A"/>
    <w:multiLevelType w:val="hybridMultilevel"/>
    <w:lvl w:ilvl="0">
      <w:lvlJc w:val="left"/>
      <w:lvlText w:val="•"/>
      <w:numFmt w:val="bullet"/>
      <w:start w:val="1"/>
    </w:lvl>
  </w:abstractNum>
  <w:abstractNum w:abstractNumId="115">
    <w:nsid w:val="5398582C"/>
    <w:multiLevelType w:val="hybridMultilevel"/>
    <w:lvl w:ilvl="0">
      <w:lvlJc w:val="left"/>
      <w:lvlText w:val="%1."/>
      <w:numFmt w:val="decimal"/>
      <w:start w:val="1"/>
    </w:lvl>
  </w:abstractNum>
  <w:abstractNum w:abstractNumId="116">
    <w:nsid w:val="1C0D4475"/>
    <w:multiLevelType w:val="hybridMultilevel"/>
    <w:lvl w:ilvl="0">
      <w:lvlJc w:val="left"/>
      <w:lvlText w:val="%1."/>
      <w:numFmt w:val="decimal"/>
      <w:start w:val="2"/>
    </w:lvl>
  </w:abstractNum>
  <w:abstractNum w:abstractNumId="117">
    <w:nsid w:val="2CB6A6A4"/>
    <w:multiLevelType w:val="hybridMultilevel"/>
    <w:lvl w:ilvl="0">
      <w:lvlJc w:val="left"/>
      <w:lvlText w:val="%1."/>
      <w:numFmt w:val="decimal"/>
      <w:start w:val="3"/>
    </w:lvl>
  </w:abstractNum>
  <w:abstractNum w:abstractNumId="118">
    <w:nsid w:val="41D646BC"/>
    <w:multiLevelType w:val="hybridMultilevel"/>
    <w:lvl w:ilvl="0">
      <w:lvlJc w:val="left"/>
      <w:lvlText w:val="*"/>
      <w:numFmt w:val="bullet"/>
      <w:start w:val="1"/>
    </w:lvl>
  </w:abstractNum>
  <w:abstractNum w:abstractNumId="119">
    <w:nsid w:val="3694A76A"/>
    <w:multiLevelType w:val="hybridMultilevel"/>
    <w:lvl w:ilvl="0">
      <w:lvlJc w:val="left"/>
      <w:lvlText w:val="•"/>
      <w:numFmt w:val="bullet"/>
      <w:start w:val="1"/>
    </w:lvl>
  </w:abstractNum>
  <w:abstractNum w:abstractNumId="120">
    <w:nsid w:val="2BF876EE"/>
    <w:multiLevelType w:val="hybridMultilevel"/>
    <w:lvl w:ilvl="0">
      <w:lvlJc w:val="left"/>
      <w:lvlText w:val="•"/>
      <w:numFmt w:val="bullet"/>
      <w:start w:val="1"/>
    </w:lvl>
  </w:abstractNum>
  <w:abstractNum w:abstractNumId="121">
    <w:nsid w:val="675ADBA"/>
    <w:multiLevelType w:val="hybridMultilevel"/>
    <w:lvl w:ilvl="0">
      <w:lvlJc w:val="left"/>
      <w:lvlText w:val="•"/>
      <w:numFmt w:val="bullet"/>
      <w:start w:val="1"/>
    </w:lvl>
  </w:abstractNum>
  <w:abstractNum w:abstractNumId="122">
    <w:nsid w:val="C12AC7F"/>
    <w:multiLevelType w:val="hybridMultilevel"/>
    <w:lvl w:ilvl="0">
      <w:lvlJc w:val="left"/>
      <w:lvlText w:val="(%1)"/>
      <w:numFmt w:val="decimal"/>
      <w:start w:val="1"/>
    </w:lvl>
  </w:abstractNum>
  <w:abstractNum w:abstractNumId="123">
    <w:nsid w:val="6798F039"/>
    <w:multiLevelType w:val="hybridMultilevel"/>
    <w:lvl w:ilvl="0">
      <w:lvlJc w:val="left"/>
      <w:lvlText w:val="*"/>
      <w:numFmt w:val="bullet"/>
      <w:start w:val="1"/>
    </w:lvl>
  </w:abstractNum>
  <w:abstractNum w:abstractNumId="124">
    <w:nsid w:val="70837C02"/>
    <w:multiLevelType w:val="hybridMultilevel"/>
    <w:lvl w:ilvl="0">
      <w:lvlJc w:val="left"/>
      <w:lvlText w:val="(%1)"/>
      <w:numFmt w:val="lowerLetter"/>
      <w:start w:val="1"/>
    </w:lvl>
  </w:abstractNum>
  <w:abstractNum w:abstractNumId="125">
    <w:nsid w:val="7E4A5715"/>
    <w:multiLevelType w:val="hybridMultilevel"/>
    <w:lvl w:ilvl="0">
      <w:lvlJc w:val="left"/>
      <w:lvlText w:val="(%1)"/>
      <w:numFmt w:val="lowerLetter"/>
      <w:start w:val="2"/>
    </w:lvl>
    <w:lvl w:ilvl="1">
      <w:lvlJc w:val="left"/>
      <w:lvlText w:val="(%2)"/>
      <w:numFmt w:val="lowerRoman"/>
      <w:start w:val="1"/>
    </w:lvl>
  </w:abstractNum>
  <w:abstractNum w:abstractNumId="126">
    <w:nsid w:val="42B8AC67"/>
    <w:multiLevelType w:val="hybridMultilevel"/>
    <w:lvl w:ilvl="0">
      <w:lvlJc w:val="left"/>
      <w:lvlText w:val="(%1)"/>
      <w:numFmt w:val="lowerLetter"/>
      <w:start w:val="1"/>
    </w:lvl>
  </w:abstractNum>
  <w:abstractNum w:abstractNumId="127">
    <w:nsid w:val="246348E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8">
    <w:nsid w:val="170EB52B"/>
    <w:multiLevelType w:val="hybridMultilevel"/>
    <w:lvl w:ilvl="0">
      <w:lvlJc w:val="left"/>
      <w:lvlText w:val="(%1)"/>
      <w:numFmt w:val="upperLetter"/>
      <w:start w:val="2"/>
    </w:lvl>
  </w:abstractNum>
  <w:abstractNum w:abstractNumId="129">
    <w:nsid w:val="2DFBCB8C"/>
    <w:multiLevelType w:val="hybridMultilevel"/>
    <w:lvl w:ilvl="0">
      <w:lvlJc w:val="left"/>
      <w:lvlText w:val="(%1)"/>
      <w:numFmt w:val="upperLetter"/>
      <w:start w:val="3"/>
    </w:lvl>
  </w:abstractNum>
  <w:abstractNum w:abstractNumId="130">
    <w:nsid w:val="3830D6B6"/>
    <w:multiLevelType w:val="hybridMultilevel"/>
    <w:lvl w:ilvl="0">
      <w:lvlJc w:val="left"/>
      <w:lvlText w:val="(%1)"/>
      <w:numFmt w:val="lowerRoman"/>
      <w:start w:val="2"/>
    </w:lvl>
  </w:abstractNum>
  <w:abstractNum w:abstractNumId="131">
    <w:nsid w:val="6D48CF87"/>
    <w:multiLevelType w:val="hybridMultilevel"/>
    <w:lvl w:ilvl="0">
      <w:lvlJc w:val="left"/>
      <w:lvlText w:val="(%1)"/>
      <w:numFmt w:val="lowerRoman"/>
      <w:start w:val="3"/>
    </w:lvl>
  </w:abstractNum>
  <w:abstractNum w:abstractNumId="132">
    <w:nsid w:val="576FC41B"/>
    <w:multiLevelType w:val="hybridMultilevel"/>
    <w:lvl w:ilvl="0">
      <w:lvlJc w:val="left"/>
      <w:lvlText w:val="(%1)"/>
      <w:numFmt w:val="lowerRoman"/>
      <w:start w:val="5"/>
    </w:lvl>
  </w:abstractNum>
  <w:abstractNum w:abstractNumId="133">
    <w:nsid w:val="64A1C464"/>
    <w:multiLevelType w:val="hybridMultilevel"/>
    <w:lvl w:ilvl="0">
      <w:lvlJc w:val="left"/>
      <w:lvlText w:val="(%1)"/>
      <w:numFmt w:val="lowerLetter"/>
      <w:start w:val="4"/>
    </w:lvl>
  </w:abstractNum>
  <w:abstractNum w:abstractNumId="134">
    <w:nsid w:val="31723BF5"/>
    <w:multiLevelType w:val="hybridMultilevel"/>
    <w:lvl w:ilvl="0">
      <w:lvlJc w:val="left"/>
      <w:lvlText w:val="(%1)"/>
      <w:numFmt w:val="lowerLetter"/>
      <w:start w:val="5"/>
    </w:lvl>
  </w:abstractNum>
  <w:abstractNum w:abstractNumId="135">
    <w:nsid w:val="11F69861"/>
    <w:multiLevelType w:val="hybridMultilevel"/>
    <w:lvl w:ilvl="0">
      <w:lvlJc w:val="left"/>
      <w:lvlText w:val="(%1)"/>
      <w:numFmt w:val="lowerLetter"/>
      <w:start w:val="1"/>
    </w:lvl>
  </w:abstractNum>
  <w:abstractNum w:abstractNumId="136">
    <w:nsid w:val="369956AB"/>
    <w:multiLevelType w:val="hybridMultilevel"/>
    <w:lvl w:ilvl="0">
      <w:lvlJc w:val="left"/>
      <w:lvlText w:val="(%1)"/>
      <w:numFmt w:val="lowerLetter"/>
      <w:start w:val="3"/>
    </w:lvl>
  </w:abstractNum>
  <w:abstractNum w:abstractNumId="137">
    <w:nsid w:val="D3BE41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8">
    <w:nsid w:val="4CDA15E7"/>
    <w:multiLevelType w:val="hybridMultilevel"/>
    <w:lvl w:ilvl="0">
      <w:lvlJc w:val="left"/>
      <w:lvlText w:val="(%1)"/>
      <w:numFmt w:val="upperLetter"/>
      <w:start w:val="4"/>
    </w:lvl>
  </w:abstractNum>
  <w:abstractNum w:abstractNumId="139">
    <w:nsid w:val="7BDD6690"/>
    <w:multiLevelType w:val="hybridMultilevel"/>
    <w:lvl w:ilvl="0">
      <w:lvlJc w:val="left"/>
      <w:lvlText w:val="(%1)"/>
      <w:numFmt w:val="lowerLetter"/>
      <w:start w:val="1"/>
    </w:lvl>
  </w:abstractNum>
  <w:abstractNum w:abstractNumId="140">
    <w:nsid w:val="DFB5C5B"/>
    <w:multiLevelType w:val="hybridMultilevel"/>
    <w:lvl w:ilvl="0">
      <w:lvlJc w:val="left"/>
      <w:lvlText w:val="(%1)"/>
      <w:numFmt w:val="lowerLetter"/>
      <w:start w:val="2"/>
    </w:lvl>
  </w:abstractNum>
  <w:abstractNum w:abstractNumId="141">
    <w:nsid w:val="6F3E5490"/>
    <w:multiLevelType w:val="hybridMultilevel"/>
    <w:lvl w:ilvl="0">
      <w:lvlJc w:val="left"/>
      <w:lvlText w:val="(%1)"/>
      <w:numFmt w:val="lowerLetter"/>
      <w:start w:val="1"/>
    </w:lvl>
    <w:lvl w:ilvl="1">
      <w:lvlJc w:val="left"/>
      <w:lvlText w:val="(%2)"/>
      <w:numFmt w:val="lowerRoman"/>
      <w:start w:val="1"/>
    </w:lvl>
  </w:abstractNum>
  <w:abstractNum w:abstractNumId="142">
    <w:nsid w:val="1464BE1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43">
    <w:nsid w:val="66BBB7E5"/>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5"/>
    </w:lvl>
  </w:abstractNum>
  <w:abstractNum w:abstractNumId="144">
    <w:nsid w:val="28168302"/>
    <w:multiLevelType w:val="hybridMultilevel"/>
    <w:lvl w:ilvl="0">
      <w:lvlJc w:val="left"/>
      <w:lvlText w:val="%1"/>
      <w:numFmt w:val="upperLetter"/>
      <w:start w:val="1"/>
    </w:lvl>
    <w:lvl w:ilvl="1">
      <w:lvlJc w:val="left"/>
      <w:lvlText w:val="(%2)"/>
      <w:numFmt w:val="lowerLetter"/>
      <w:start w:val="4"/>
    </w:lvl>
    <w:lvl w:ilvl="2">
      <w:lvlJc w:val="left"/>
      <w:lvlText w:val="%3"/>
      <w:numFmt w:val="upperLetter"/>
      <w:start w:val="1"/>
    </w:lvl>
  </w:abstractNum>
  <w:abstractNum w:abstractNumId="145">
    <w:nsid w:val="32A5C7A8"/>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abstractNum>
  <w:abstractNum w:abstractNumId="146">
    <w:nsid w:val="3A541011"/>
    <w:multiLevelType w:val="hybridMultilevel"/>
    <w:lvl w:ilvl="0">
      <w:lvlJc w:val="left"/>
      <w:lvlText w:val="(%1)"/>
      <w:numFmt w:val="lowerRoman"/>
      <w:start w:val="1"/>
    </w:lvl>
  </w:abstractNum>
  <w:abstractNum w:abstractNumId="147">
    <w:nsid w:val="4423C777"/>
    <w:multiLevelType w:val="hybridMultilevel"/>
    <w:lvl w:ilvl="0">
      <w:lvlJc w:val="left"/>
      <w:lvlText w:val="(%1)"/>
      <w:numFmt w:val="lowerRoman"/>
      <w:start w:val="2"/>
    </w:lvl>
  </w:abstractNum>
  <w:abstractNum w:abstractNumId="148">
    <w:nsid w:val="5F5C6E4D"/>
    <w:multiLevelType w:val="hybridMultilevel"/>
    <w:lvl w:ilvl="0">
      <w:lvlJc w:val="left"/>
      <w:lvlText w:val="(%1)"/>
      <w:numFmt w:val="lowerRoman"/>
      <w:start w:val="3"/>
    </w:lvl>
  </w:abstractNum>
  <w:abstractNum w:abstractNumId="149">
    <w:nsid w:val="7C2A56CD"/>
    <w:multiLevelType w:val="hybridMultilevel"/>
    <w:lvl w:ilvl="0">
      <w:lvlJc w:val="left"/>
      <w:lvlText w:val="(%1)"/>
      <w:numFmt w:val="lowerLetter"/>
      <w:start w:val="5"/>
    </w:lvl>
  </w:abstractNum>
  <w:abstractNum w:abstractNumId="150">
    <w:nsid w:val="7AB86EE1"/>
    <w:multiLevelType w:val="hybridMultilevel"/>
    <w:lvl w:ilvl="0">
      <w:lvlJc w:val="left"/>
      <w:lvlText w:val="(%1)"/>
      <w:numFmt w:val="lowerLetter"/>
      <w:start w:val="7"/>
    </w:lvl>
  </w:abstractNum>
  <w:abstractNum w:abstractNumId="151">
    <w:nsid w:val="B54E53B"/>
    <w:multiLevelType w:val="hybridMultilevel"/>
    <w:lvl w:ilvl="0">
      <w:lvlJc w:val="left"/>
      <w:lvlText w:val="(%1)"/>
      <w:numFmt w:val="lowerLetter"/>
      <w:start w:val="1"/>
    </w:lvl>
    <w:lvl w:ilvl="1">
      <w:lvlJc w:val="left"/>
      <w:lvlText w:val="(%2)"/>
      <w:numFmt w:val="lowerRoman"/>
      <w:start w:val="1"/>
    </w:lvl>
  </w:abstractNum>
  <w:abstractNum w:abstractNumId="152">
    <w:nsid w:val="2A00487"/>
    <w:multiLevelType w:val="hybridMultilevel"/>
    <w:lvl w:ilvl="0">
      <w:lvlJc w:val="left"/>
      <w:lvlText w:val="(%1)"/>
      <w:numFmt w:val="lowerRoman"/>
      <w:start w:val="4"/>
    </w:lvl>
  </w:abstractNum>
  <w:abstractNum w:abstractNumId="153">
    <w:nsid w:val="6CB1B60"/>
    <w:multiLevelType w:val="hybridMultilevel"/>
    <w:lvl w:ilvl="0">
      <w:lvlJc w:val="left"/>
      <w:lvlText w:val="(%1)"/>
      <w:numFmt w:val="lowerLetter"/>
      <w:start w:val="1"/>
    </w:lvl>
  </w:abstractNum>
  <w:abstractNum w:abstractNumId="154">
    <w:nsid w:val="72EDD574"/>
    <w:multiLevelType w:val="hybridMultilevel"/>
    <w:lvl w:ilvl="0">
      <w:lvlJc w:val="left"/>
      <w:lvlText w:val="(%1)"/>
      <w:numFmt w:val="lowerLetter"/>
      <w:start w:val="2"/>
    </w:lvl>
  </w:abstractNum>
  <w:abstractNum w:abstractNumId="155">
    <w:nsid w:val="7323808A"/>
    <w:multiLevelType w:val="hybridMultilevel"/>
    <w:lvl w:ilvl="0">
      <w:lvlJc w:val="left"/>
      <w:lvlText w:val="(%1)"/>
      <w:numFmt w:val="lowerLetter"/>
      <w:start w:val="1"/>
    </w:lvl>
    <w:lvl w:ilvl="1">
      <w:lvlJc w:val="left"/>
      <w:lvlText w:val="(%2)"/>
      <w:numFmt w:val="lowerRoman"/>
      <w:start w:val="1"/>
    </w:lvl>
  </w:abstractNum>
  <w:abstractNum w:abstractNumId="156">
    <w:nsid w:val="5157276"/>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57">
    <w:nsid w:val="35A681DB"/>
    <w:multiLevelType w:val="hybridMultilevel"/>
    <w:lvl w:ilvl="0">
      <w:lvlJc w:val="left"/>
      <w:lvlText w:val="(%1)"/>
      <w:numFmt w:val="lowerRoman"/>
      <w:start w:val="1"/>
    </w:lvl>
  </w:abstractNum>
  <w:abstractNum w:abstractNumId="158">
    <w:nsid w:val="1786C974"/>
    <w:multiLevelType w:val="hybridMultilevel"/>
    <w:lvl w:ilvl="0">
      <w:lvlJc w:val="left"/>
      <w:lvlText w:val="(%1)"/>
      <w:numFmt w:val="lowerRoman"/>
      <w:start w:val="3"/>
    </w:lvl>
  </w:abstractNum>
  <w:abstractNum w:abstractNumId="159">
    <w:nsid w:val="1C2427A1"/>
    <w:multiLevelType w:val="hybridMultilevel"/>
    <w:lvl w:ilvl="0">
      <w:lvlJc w:val="left"/>
      <w:lvlText w:val="(%1)"/>
      <w:numFmt w:val="lowerLetter"/>
      <w:start w:val="5"/>
    </w:lvl>
  </w:abstractNum>
  <w:abstractNum w:abstractNumId="160">
    <w:nsid w:val="63A24D68"/>
    <w:multiLevelType w:val="hybridMultilevel"/>
    <w:lvl w:ilvl="0">
      <w:lvlJc w:val="left"/>
      <w:lvlText w:val="(%1)"/>
      <w:numFmt w:val="lowerLetter"/>
      <w:start w:val="6"/>
    </w:lvl>
  </w:abstractNum>
  <w:abstractNum w:abstractNumId="161">
    <w:nsid w:val="4FB7A02A"/>
    <w:multiLevelType w:val="hybridMultilevel"/>
    <w:lvl w:ilvl="0">
      <w:lvlJc w:val="left"/>
      <w:lvlText w:val="(%1)"/>
      <w:numFmt w:val="lowerLetter"/>
      <w:start w:val="8"/>
    </w:lvl>
  </w:abstractNum>
  <w:abstractNum w:abstractNumId="162">
    <w:nsid w:val="96CF728"/>
    <w:multiLevelType w:val="hybridMultilevel"/>
    <w:lvl w:ilvl="0">
      <w:lvlJc w:val="left"/>
      <w:lvlText w:val="(%1)"/>
      <w:numFmt w:val="lowerLetter"/>
      <w:start w:val="1"/>
    </w:lvl>
  </w:abstractNum>
  <w:abstractNum w:abstractNumId="163">
    <w:nsid w:val="3B121183"/>
    <w:multiLevelType w:val="hybridMultilevel"/>
    <w:lvl w:ilvl="0">
      <w:lvlJc w:val="left"/>
      <w:lvlText w:val="(%1)"/>
      <w:numFmt w:val="lowerRoman"/>
      <w:start w:val="1"/>
    </w:lvl>
  </w:abstractNum>
  <w:abstractNum w:abstractNumId="164">
    <w:nsid w:val="3459648F"/>
    <w:multiLevelType w:val="hybridMultilevel"/>
    <w:lvl w:ilvl="0">
      <w:lvlJc w:val="left"/>
      <w:lvlText w:val="(%1)"/>
      <w:numFmt w:val="lowerRoman"/>
      <w:start w:val="4"/>
    </w:lvl>
  </w:abstractNum>
  <w:abstractNum w:abstractNumId="165">
    <w:nsid w:val="3ADF331D"/>
    <w:multiLevelType w:val="hybridMultilevel"/>
    <w:lvl w:ilvl="0">
      <w:lvlJc w:val="left"/>
      <w:lvlText w:val="(%1)"/>
      <w:numFmt w:val="lowerLetter"/>
      <w:start w:val="1"/>
    </w:lvl>
  </w:abstractNum>
  <w:abstractNum w:abstractNumId="166">
    <w:nsid w:val="4D08A9E4"/>
    <w:multiLevelType w:val="hybridMultilevel"/>
    <w:lvl w:ilvl="0">
      <w:lvlJc w:val="left"/>
      <w:lvlText w:val="(%1)"/>
      <w:numFmt w:val="lowerLetter"/>
      <w:start w:val="3"/>
    </w:lvl>
  </w:abstractNum>
  <w:abstractNum w:abstractNumId="167">
    <w:nsid w:val="6AF2BB3A"/>
    <w:multiLevelType w:val="hybridMultilevel"/>
    <w:lvl w:ilvl="0">
      <w:lvlJc w:val="left"/>
      <w:lvlText w:val="(%1)"/>
      <w:numFmt w:val="lowerLetter"/>
      <w:start w:val="1"/>
    </w:lvl>
    <w:lvl w:ilvl="1">
      <w:lvlJc w:val="left"/>
      <w:lvlText w:val="(%2)"/>
      <w:numFmt w:val="lowerRoman"/>
      <w:start w:val="1"/>
    </w:lvl>
  </w:abstractNum>
  <w:abstractNum w:abstractNumId="168">
    <w:nsid w:val="481B1739"/>
    <w:multiLevelType w:val="hybridMultilevel"/>
    <w:lvl w:ilvl="0">
      <w:lvlJc w:val="left"/>
      <w:lvlText w:val="(%1)"/>
      <w:numFmt w:val="lowerLetter"/>
      <w:start w:val="3"/>
    </w:lvl>
    <w:lvl w:ilvl="1">
      <w:lvlJc w:val="left"/>
      <w:lvlText w:val="(%2)"/>
      <w:numFmt w:val="lowerLetter"/>
      <w:start w:val="9"/>
    </w:lvl>
  </w:abstractNum>
  <w:abstractNum w:abstractNumId="169">
    <w:nsid w:val="19E2BFCC"/>
    <w:multiLevelType w:val="hybridMultilevel"/>
    <w:lvl w:ilvl="0">
      <w:lvlJc w:val="left"/>
      <w:lvlText w:val="(%1)"/>
      <w:numFmt w:val="upperLetter"/>
      <w:start w:val="1"/>
    </w:lvl>
  </w:abstractNum>
  <w:abstractNum w:abstractNumId="170">
    <w:nsid w:val="66D021CA"/>
    <w:multiLevelType w:val="hybridMultilevel"/>
    <w:lvl w:ilvl="0">
      <w:lvlJc w:val="left"/>
      <w:lvlText w:val="(%1)"/>
      <w:numFmt w:val="upperLetter"/>
      <w:start w:val="2"/>
    </w:lvl>
  </w:abstractNum>
  <w:abstractNum w:abstractNumId="171">
    <w:nsid w:val="56167394"/>
    <w:multiLevelType w:val="hybridMultilevel"/>
    <w:lvl w:ilvl="0">
      <w:lvlJc w:val="left"/>
      <w:lvlText w:val="(%1)"/>
      <w:numFmt w:val="lowerLetter"/>
      <w:start w:val="4"/>
    </w:lvl>
  </w:abstractNum>
  <w:abstractNum w:abstractNumId="172">
    <w:nsid w:val="921145C"/>
    <w:multiLevelType w:val="hybridMultilevel"/>
    <w:lvl w:ilvl="0">
      <w:lvlJc w:val="left"/>
      <w:lvlText w:val="(%1)"/>
      <w:numFmt w:val="lowerRoman"/>
      <w:start w:val="1"/>
    </w:lvl>
  </w:abstractNum>
  <w:abstractNum w:abstractNumId="173">
    <w:nsid w:val="7B34DFE8"/>
    <w:multiLevelType w:val="hybridMultilevel"/>
    <w:lvl w:ilvl="0">
      <w:lvlJc w:val="left"/>
      <w:lvlText w:val="(%1)"/>
      <w:numFmt w:val="lowerRoman"/>
      <w:start w:val="2"/>
    </w:lvl>
  </w:abstractNum>
  <w:abstractNum w:abstractNumId="174">
    <w:nsid w:val="3CD22B79"/>
    <w:multiLevelType w:val="hybridMultilevel"/>
    <w:lvl w:ilvl="0">
      <w:lvlJc w:val="left"/>
      <w:lvlText w:val="(%1)"/>
      <w:numFmt w:val="lowerRoman"/>
      <w:start w:val="3"/>
    </w:lvl>
  </w:abstractNum>
  <w:abstractNum w:abstractNumId="175">
    <w:nsid w:val="3137975E"/>
    <w:multiLevelType w:val="hybridMultilevel"/>
    <w:lvl w:ilvl="0">
      <w:lvlJc w:val="left"/>
      <w:lvlText w:val="(%1)"/>
      <w:numFmt w:val="lowerLetter"/>
      <w:start w:val="5"/>
    </w:lvl>
  </w:abstractNum>
  <w:abstractNum w:abstractNumId="176">
    <w:nsid w:val="2DDAA791"/>
    <w:multiLevelType w:val="hybridMultilevel"/>
    <w:lvl w:ilvl="0">
      <w:lvlJc w:val="left"/>
      <w:lvlText w:val="(%1)"/>
      <w:numFmt w:val="lowerLetter"/>
      <w:start w:val="8"/>
    </w:lvl>
  </w:abstractNum>
  <w:abstractNum w:abstractNumId="177">
    <w:nsid w:val="77263B8A"/>
    <w:multiLevelType w:val="hybridMultilevel"/>
    <w:lvl w:ilvl="0">
      <w:lvlJc w:val="left"/>
      <w:lvlText w:val="(%1)"/>
      <w:numFmt w:val="lowerLetter"/>
      <w:start w:val="1"/>
    </w:lvl>
    <w:lvl w:ilvl="1">
      <w:lvlJc w:val="left"/>
      <w:lvlText w:val="(%2)"/>
      <w:numFmt w:val="lowerRoman"/>
      <w:start w:val="1"/>
    </w:lvl>
  </w:abstractNum>
  <w:abstractNum w:abstractNumId="178">
    <w:nsid w:val="755B5ED6"/>
    <w:multiLevelType w:val="hybridMultilevel"/>
    <w:lvl w:ilvl="0">
      <w:lvlJc w:val="left"/>
      <w:lvlText w:val="(%1)"/>
      <w:numFmt w:val="lowerRoman"/>
      <w:start w:val="6"/>
    </w:lvl>
  </w:abstractNum>
  <w:abstractNum w:abstractNumId="179">
    <w:nsid w:val="D3715DE"/>
    <w:multiLevelType w:val="hybridMultilevel"/>
    <w:lvl w:ilvl="0">
      <w:lvlJc w:val="left"/>
      <w:lvlText w:val="(%1)"/>
      <w:numFmt w:val="lowerLetter"/>
      <w:start w:val="1"/>
    </w:lvl>
  </w:abstractNum>
  <w:abstractNum w:abstractNumId="180">
    <w:nsid w:val="73509257"/>
    <w:multiLevelType w:val="hybridMultilevel"/>
    <w:lvl w:ilvl="0">
      <w:lvlJc w:val="left"/>
      <w:lvlText w:val="(%1)"/>
      <w:numFmt w:val="lowerLetter"/>
      <w:start w:val="1"/>
    </w:lvl>
  </w:abstractNum>
  <w:abstractNum w:abstractNumId="181">
    <w:nsid w:val="7013CDB7"/>
    <w:multiLevelType w:val="hybridMultilevel"/>
    <w:lvl w:ilvl="0">
      <w:lvlJc w:val="left"/>
      <w:lvlText w:val="(%1)"/>
      <w:numFmt w:val="lowerLetter"/>
      <w:start w:val="2"/>
    </w:lvl>
    <w:lvl w:ilvl="1">
      <w:lvlJc w:val="left"/>
      <w:lvlText w:val="(%2)"/>
      <w:numFmt w:val="lowerRoman"/>
      <w:start w:val="1"/>
    </w:lvl>
  </w:abstractNum>
  <w:abstractNum w:abstractNumId="182">
    <w:nsid w:val="188BFB1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83">
    <w:nsid w:val="75F096DF"/>
    <w:multiLevelType w:val="hybridMultilevel"/>
    <w:lvl w:ilvl="0">
      <w:lvlJc w:val="left"/>
      <w:lvlText w:val="(%1)"/>
      <w:numFmt w:val="upperLetter"/>
      <w:start w:val="2"/>
    </w:lvl>
  </w:abstractNum>
  <w:abstractNum w:abstractNumId="184">
    <w:nsid w:val="76DEE918"/>
    <w:multiLevelType w:val="hybridMultilevel"/>
    <w:lvl w:ilvl="0">
      <w:lvlJc w:val="left"/>
      <w:lvlText w:val="(%1)"/>
      <w:numFmt w:val="upperLetter"/>
      <w:start w:val="3"/>
    </w:lvl>
  </w:abstractNum>
  <w:abstractNum w:abstractNumId="185">
    <w:nsid w:val="B79D08D"/>
    <w:multiLevelType w:val="hybridMultilevel"/>
    <w:lvl w:ilvl="0">
      <w:lvlJc w:val="left"/>
      <w:lvlText w:val="(%1)"/>
      <w:numFmt w:val="lowerLetter"/>
      <w:start w:val="4"/>
    </w:lvl>
  </w:abstractNum>
  <w:abstractNum w:abstractNumId="186">
    <w:nsid w:val="69141769"/>
    <w:multiLevelType w:val="hybridMultilevel"/>
    <w:lvl w:ilvl="0">
      <w:lvlJc w:val="left"/>
      <w:lvlText w:val="(%1)"/>
      <w:numFmt w:val="lowerRoman"/>
      <w:start w:val="1"/>
    </w:lvl>
  </w:abstractNum>
  <w:abstractNum w:abstractNumId="187">
    <w:nsid w:val="7BF45B8E"/>
    <w:multiLevelType w:val="hybridMultilevel"/>
    <w:lvl w:ilvl="0">
      <w:lvlJc w:val="left"/>
      <w:lvlText w:val="%1"/>
      <w:numFmt w:val="lowerLetter"/>
      <w:start w:val="1"/>
    </w:lvl>
    <w:lvl w:ilvl="1">
      <w:lvlJc w:val="left"/>
      <w:lvlText w:val="(%2)"/>
      <w:numFmt w:val="lowerLetter"/>
      <w:start w:val="61"/>
    </w:lvl>
  </w:abstractNum>
  <w:abstractNum w:abstractNumId="188">
    <w:nsid w:val="41205269"/>
    <w:multiLevelType w:val="hybridMultilevel"/>
    <w:lvl w:ilvl="0">
      <w:lvlJc w:val="left"/>
      <w:lvlText w:val="(%1)"/>
      <w:numFmt w:val="lowerLetter"/>
      <w:start w:val="5"/>
    </w:lvl>
    <w:lvl w:ilvl="1">
      <w:lvlJc w:val="left"/>
      <w:lvlText w:val="%2"/>
      <w:numFmt w:val="lowerLetter"/>
      <w:start w:val="1"/>
    </w:lvl>
  </w:abstractNum>
  <w:abstractNum w:abstractNumId="189">
    <w:nsid w:val="9AE0DD"/>
    <w:multiLevelType w:val="hybridMultilevel"/>
    <w:lvl w:ilvl="0">
      <w:lvlJc w:val="left"/>
      <w:lvlText w:val="(%1)"/>
      <w:numFmt w:val="lowerLetter"/>
      <w:start w:val="6"/>
    </w:lvl>
  </w:abstractNum>
  <w:abstractNum w:abstractNumId="190">
    <w:nsid w:val="1818832F"/>
    <w:multiLevelType w:val="hybridMultilevel"/>
    <w:lvl w:ilvl="0">
      <w:lvlJc w:val="left"/>
      <w:lvlText w:val="(%1)"/>
      <w:numFmt w:val="lowerLetter"/>
      <w:start w:val="9"/>
    </w:lvl>
  </w:abstractNum>
  <w:abstractNum w:abstractNumId="191">
    <w:nsid w:val="24C29FD1"/>
    <w:multiLevelType w:val="hybridMultilevel"/>
    <w:lvl w:ilvl="0">
      <w:lvlJc w:val="left"/>
      <w:lvlText w:val="(%1)"/>
      <w:numFmt w:val="lowerLetter"/>
      <w:start w:val="1"/>
    </w:lvl>
    <w:lvl w:ilvl="1">
      <w:lvlJc w:val="left"/>
      <w:lvlText w:val="(%2)"/>
      <w:numFmt w:val="lowerRoman"/>
      <w:start w:val="1"/>
    </w:lvl>
  </w:abstractNum>
  <w:abstractNum w:abstractNumId="192">
    <w:nsid w:val="50528108"/>
    <w:multiLevelType w:val="hybridMultilevel"/>
    <w:lvl w:ilvl="0">
      <w:lvlJc w:val="left"/>
      <w:lvlText w:val="(%1)"/>
      <w:numFmt w:val="lowerLetter"/>
      <w:start w:val="1"/>
    </w:lvl>
  </w:abstractNum>
  <w:abstractNum w:abstractNumId="193">
    <w:nsid w:val="21857A57"/>
    <w:multiLevelType w:val="hybridMultilevel"/>
    <w:lvl w:ilvl="0">
      <w:lvlJc w:val="left"/>
      <w:lvlText w:val="(%1)"/>
      <w:numFmt w:val="lowerLetter"/>
      <w:start w:val="2"/>
    </w:lvl>
  </w:abstractNum>
  <w:abstractNum w:abstractNumId="194">
    <w:nsid w:val="5FD4B154"/>
    <w:multiLevelType w:val="hybridMultilevel"/>
    <w:lvl w:ilvl="0">
      <w:lvlJc w:val="left"/>
      <w:lvlText w:val="(%1)"/>
      <w:numFmt w:val="lowerLetter"/>
      <w:start w:val="1"/>
    </w:lvl>
  </w:abstractNum>
  <w:abstractNum w:abstractNumId="195">
    <w:nsid w:val="4ABE597"/>
    <w:multiLevelType w:val="hybridMultilevel"/>
    <w:lvl w:ilvl="0">
      <w:lvlJc w:val="left"/>
      <w:lvlText w:val="(%1)"/>
      <w:numFmt w:val="lowerLetter"/>
      <w:start w:val="2"/>
    </w:lvl>
    <w:lvl w:ilvl="1">
      <w:lvlJc w:val="left"/>
      <w:lvlText w:val="(%2)"/>
      <w:numFmt w:val="lowerRoman"/>
      <w:start w:val="1"/>
    </w:lvl>
  </w:abstractNum>
  <w:abstractNum w:abstractNumId="196">
    <w:nsid w:val="5C64AD7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97">
    <w:nsid w:val="2CDD5B39"/>
    <w:multiLevelType w:val="hybridMultilevel"/>
    <w:lvl w:ilvl="0">
      <w:lvlJc w:val="left"/>
      <w:lvlText w:val="%1"/>
      <w:numFmt w:val="lowerLetter"/>
      <w:start w:val="1"/>
    </w:lvl>
    <w:lvl w:ilvl="1">
      <w:lvlJc w:val="left"/>
      <w:lvlText w:val="(%2)"/>
      <w:numFmt w:val="upperLetter"/>
      <w:start w:val="2"/>
    </w:lvl>
  </w:abstractNum>
  <w:abstractNum w:abstractNumId="198">
    <w:nsid w:val="6F9EA0D1"/>
    <w:multiLevelType w:val="hybridMultilevel"/>
    <w:lvl w:ilvl="0">
      <w:lvlJc w:val="left"/>
      <w:lvlText w:val="(%1)"/>
      <w:numFmt w:val="lowerLetter"/>
      <w:start w:val="4"/>
    </w:lvl>
    <w:lvl w:ilvl="1">
      <w:lvlJc w:val="left"/>
      <w:lvlText w:val="%2"/>
      <w:numFmt w:val="upperLetter"/>
      <w:start w:val="1"/>
    </w:lvl>
  </w:abstractNum>
  <w:abstractNum w:abstractNumId="199">
    <w:nsid w:val="247FC4AE"/>
    <w:multiLevelType w:val="hybridMultilevel"/>
    <w:lvl w:ilvl="0">
      <w:lvlJc w:val="left"/>
      <w:lvlText w:val="(%1)"/>
      <w:numFmt w:val="lowerRoman"/>
      <w:start w:val="1"/>
    </w:lvl>
  </w:abstractNum>
  <w:abstractNum w:abstractNumId="200">
    <w:nsid w:val="46C01B05"/>
    <w:multiLevelType w:val="hybridMultilevel"/>
    <w:lvl w:ilvl="0">
      <w:lvlJc w:val="left"/>
      <w:lvlText w:val="%1"/>
      <w:numFmt w:val="lowerLetter"/>
      <w:start w:val="1"/>
    </w:lvl>
    <w:lvl w:ilvl="1">
      <w:lvlJc w:val="left"/>
      <w:lvlText w:val="(%2)"/>
      <w:numFmt w:val="lowerLetter"/>
      <w:start w:val="61"/>
    </w:lvl>
  </w:abstractNum>
  <w:abstractNum w:abstractNumId="201">
    <w:nsid w:val="566EC29B"/>
    <w:multiLevelType w:val="hybridMultilevel"/>
    <w:lvl w:ilvl="0">
      <w:lvlJc w:val="left"/>
      <w:lvlText w:val="(%1)"/>
      <w:numFmt w:val="lowerLetter"/>
      <w:start w:val="5"/>
    </w:lvl>
    <w:lvl w:ilvl="1">
      <w:lvlJc w:val="left"/>
      <w:lvlText w:val="%2"/>
      <w:numFmt w:val="lowerLetter"/>
      <w:start w:val="1"/>
    </w:lvl>
  </w:abstractNum>
  <w:abstractNum w:abstractNumId="202">
    <w:nsid w:val="7A963843"/>
    <w:multiLevelType w:val="hybridMultilevel"/>
    <w:lvl w:ilvl="0">
      <w:lvlJc w:val="left"/>
      <w:lvlText w:val="(%1)"/>
      <w:numFmt w:val="lowerLetter"/>
      <w:start w:val="6"/>
    </w:lvl>
  </w:abstractNum>
  <w:abstractNum w:abstractNumId="203">
    <w:nsid w:val="4FE12F61"/>
    <w:multiLevelType w:val="hybridMultilevel"/>
    <w:lvl w:ilvl="0">
      <w:lvlJc w:val="left"/>
      <w:lvlText w:val="(%1)"/>
      <w:numFmt w:val="lowerLetter"/>
      <w:start w:val="10"/>
    </w:lvl>
  </w:abstractNum>
  <w:abstractNum w:abstractNumId="204">
    <w:nsid w:val="51A3A284"/>
    <w:multiLevelType w:val="hybridMultilevel"/>
    <w:lvl w:ilvl="0">
      <w:lvlJc w:val="left"/>
      <w:lvlText w:val="(%1)"/>
      <w:numFmt w:val="lowerLetter"/>
      <w:start w:val="1"/>
    </w:lvl>
  </w:abstractNum>
  <w:abstractNum w:abstractNumId="205">
    <w:nsid w:val="376863BC"/>
    <w:multiLevelType w:val="hybridMultilevel"/>
    <w:lvl w:ilvl="0">
      <w:lvlJc w:val="left"/>
      <w:lvlText w:val="(%1)"/>
      <w:numFmt w:val="lowerLetter"/>
      <w:start w:val="2"/>
    </w:lvl>
  </w:abstractNum>
  <w:abstractNum w:abstractNumId="206">
    <w:nsid w:val="118C6C0"/>
    <w:multiLevelType w:val="hybridMultilevel"/>
    <w:lvl w:ilvl="0">
      <w:lvlJc w:val="left"/>
      <w:lvlText w:val="%1."/>
      <w:numFmt w:val="decimal"/>
      <w:start w:val="1"/>
    </w:lvl>
  </w:abstractNum>
  <w:abstractNum w:abstractNumId="207">
    <w:nsid w:val="7F7E4A15"/>
    <w:multiLevelType w:val="hybridMultilevel"/>
    <w:lvl w:ilvl="0">
      <w:lvlJc w:val="left"/>
      <w:lvlText w:val="%1"/>
      <w:numFmt w:val="decimal"/>
      <w:start w:val="245"/>
    </w:lvl>
  </w:abstractNum>
  <w:abstractNum w:abstractNumId="208">
    <w:nsid w:val="2E8E9F47"/>
    <w:multiLevelType w:val="hybridMultilevel"/>
    <w:lvl w:ilvl="0">
      <w:lvlJc w:val="left"/>
      <w:lvlText w:val="%1."/>
      <w:numFmt w:val="decimal"/>
      <w:start w:val="3"/>
    </w:lvl>
  </w:abstractNum>
  <w:abstractNum w:abstractNumId="209">
    <w:nsid w:val="76742596"/>
    <w:multiLevelType w:val="hybridMultilevel"/>
    <w:lvl w:ilvl="0">
      <w:lvlJc w:val="left"/>
      <w:lvlText w:val="(%1)"/>
      <w:numFmt w:val="lowerLetter"/>
      <w:start w:val="1"/>
    </w:lvl>
  </w:abstractNum>
  <w:abstractNum w:abstractNumId="210">
    <w:nsid w:val="CB55FF3"/>
    <w:multiLevelType w:val="hybridMultilevel"/>
    <w:lvl w:ilvl="0">
      <w:lvlJc w:val="left"/>
      <w:lvlText w:val="%1."/>
      <w:numFmt w:val="decimal"/>
      <w:start w:val="1"/>
    </w:lvl>
  </w:abstractNum>
  <w:abstractNum w:abstractNumId="211">
    <w:nsid w:val="21DF319E"/>
    <w:multiLevelType w:val="hybridMultilevel"/>
    <w:lvl w:ilvl="0">
      <w:lvlJc w:val="left"/>
      <w:lvlText w:val="%1."/>
      <w:numFmt w:val="decimal"/>
      <w:start w:val="1"/>
    </w:lvl>
  </w:abstractNum>
  <w:abstractNum w:abstractNumId="212">
    <w:nsid w:val="6687F34D"/>
    <w:multiLevelType w:val="hybridMultilevel"/>
    <w:lvl w:ilvl="0">
      <w:lvlJc w:val="left"/>
      <w:lvlText w:val="%1"/>
      <w:numFmt w:val="lowerRoman"/>
      <w:start w:val="1"/>
    </w:lvl>
    <w:lvl w:ilvl="1">
      <w:lvlJc w:val="left"/>
      <w:lvlText w:val="%2."/>
      <w:numFmt w:val="decimal"/>
      <w:start w:val="4"/>
    </w:lvl>
  </w:abstractNum>
  <w:abstractNum w:abstractNumId="213">
    <w:nsid w:val="25415B0C"/>
    <w:multiLevelType w:val="hybridMultilevel"/>
    <w:lvl w:ilvl="0">
      <w:lvlJc w:val="left"/>
      <w:lvlText w:val="(%1)"/>
      <w:numFmt w:val="lowerRoman"/>
      <w:start w:val="1"/>
    </w:lvl>
    <w:lvl w:ilvl="1">
      <w:lvlJc w:val="left"/>
      <w:lvlText w:val="%2"/>
      <w:numFmt w:val="decimal"/>
      <w:start w:val="1"/>
    </w:lvl>
  </w:abstractNum>
  <w:abstractNum w:abstractNumId="214">
    <w:nsid w:val="17CFC87D"/>
    <w:multiLevelType w:val="hybridMultilevel"/>
    <w:lvl w:ilvl="0">
      <w:lvlJc w:val="left"/>
      <w:lvlText w:val="%1."/>
      <w:numFmt w:val="decimal"/>
      <w:start w:val="1"/>
    </w:lvl>
  </w:abstractNum>
  <w:abstractNum w:abstractNumId="215">
    <w:nsid w:val="5D66DC65"/>
    <w:multiLevelType w:val="hybridMultilevel"/>
    <w:lvl w:ilvl="0">
      <w:lvlJc w:val="left"/>
      <w:lvlText w:val="(%1)"/>
      <w:numFmt w:val="decimal"/>
      <w:start w:val="10"/>
    </w:lvl>
  </w:abstractNum>
  <w:abstractNum w:abstractNumId="216">
    <w:nsid w:val="30BB2B99"/>
    <w:multiLevelType w:val="hybridMultilevel"/>
    <w:lvl w:ilvl="0">
      <w:lvlJc w:val="left"/>
      <w:lvlText w:val="(%1)"/>
      <w:numFmt w:val="upperLetter"/>
      <w:start w:val="1"/>
    </w:lvl>
  </w:abstractNum>
  <w:abstractNum w:abstractNumId="217">
    <w:nsid w:val="E3DFE6"/>
    <w:multiLevelType w:val="hybridMultilevel"/>
    <w:lvl w:ilvl="0">
      <w:lvlJc w:val="left"/>
      <w:lvlText w:val="(%1)"/>
      <w:numFmt w:val="upperLetter"/>
      <w:start w:val="1"/>
    </w:lvl>
  </w:abstractNum>
  <w:abstractNum w:abstractNumId="218">
    <w:nsid w:val="595B37F3"/>
    <w:multiLevelType w:val="hybridMultilevel"/>
    <w:lvl w:ilvl="0">
      <w:lvlJc w:val="left"/>
      <w:lvlText w:val="(%1)"/>
      <w:numFmt w:val="upperLetter"/>
      <w:start w:val="4"/>
    </w:lvl>
    <w:lvl w:ilvl="1">
      <w:lvlJc w:val="left"/>
      <w:lvlText w:val="(%2)"/>
      <w:numFmt w:val="lowerRoman"/>
      <w:start w:val="1"/>
    </w:lvl>
  </w:abstractNum>
  <w:abstractNum w:abstractNumId="219">
    <w:nsid w:val="71DB7E02"/>
    <w:multiLevelType w:val="hybridMultilevel"/>
    <w:lvl w:ilvl="0">
      <w:lvlJc w:val="left"/>
      <w:lvlText w:val="(%1)"/>
      <w:numFmt w:val="upperLetter"/>
      <w:start w:val="1"/>
    </w:lvl>
  </w:abstractNum>
  <w:abstractNum w:abstractNumId="220">
    <w:nsid w:val="17EC0C4"/>
    <w:multiLevelType w:val="hybridMultilevel"/>
    <w:lvl w:ilvl="0">
      <w:lvlJc w:val="left"/>
      <w:lvlText w:val="(%1)"/>
      <w:numFmt w:val="lowerRoman"/>
      <w:start w:val="1"/>
    </w:lvl>
  </w:abstractNum>
  <w:abstractNum w:abstractNumId="221">
    <w:nsid w:val="7173BB22"/>
    <w:multiLevelType w:val="hybridMultilevel"/>
    <w:lvl w:ilvl="0">
      <w:lvlJc w:val="left"/>
      <w:lvlText w:val="%1"/>
      <w:numFmt w:val="upperLetter"/>
      <w:start w:val="1"/>
    </w:lvl>
    <w:lvl w:ilvl="1">
      <w:lvlJc w:val="left"/>
      <w:lvlText w:val="(%2)"/>
      <w:numFmt w:val="lowerRoman"/>
      <w:start w:val="2"/>
    </w:lvl>
  </w:abstractNum>
  <w:abstractNum w:abstractNumId="222">
    <w:nsid w:val="169E1DD3"/>
    <w:multiLevelType w:val="hybridMultilevel"/>
    <w:lvl w:ilvl="0">
      <w:lvlJc w:val="left"/>
      <w:lvlText w:val="(%1)"/>
      <w:numFmt w:val="upperLetter"/>
      <w:start w:val="3"/>
    </w:lvl>
    <w:lvl w:ilvl="1">
      <w:lvlJc w:val="left"/>
      <w:lvlText w:val="%2"/>
      <w:numFmt w:val="lowerRoman"/>
      <w:start w:val="1"/>
    </w:lvl>
  </w:abstractNum>
  <w:abstractNum w:abstractNumId="223">
    <w:nsid w:val="51D141CC"/>
    <w:multiLevelType w:val="hybridMultilevel"/>
    <w:lvl w:ilvl="0">
      <w:lvlJc w:val="left"/>
      <w:lvlText w:val="(%1)"/>
      <w:numFmt w:val="upperLetter"/>
      <w:start w:val="1"/>
    </w:lvl>
  </w:abstractNum>
  <w:abstractNum w:abstractNumId="224">
    <w:nsid w:val="12F9357A"/>
    <w:multiLevelType w:val="hybridMultilevel"/>
    <w:lvl w:ilvl="0">
      <w:lvlJc w:val="left"/>
      <w:lvlText w:val="%1"/>
      <w:numFmt w:val="lowerLetter"/>
      <w:start w:val="1"/>
    </w:lvl>
    <w:lvl w:ilvl="1">
      <w:lvlJc w:val="left"/>
      <w:lvlText w:val="(%2)"/>
      <w:numFmt w:val="upperLetter"/>
      <w:start w:val="1"/>
    </w:lvl>
  </w:abstractNum>
  <w:abstractNum w:abstractNumId="225">
    <w:nsid w:val="7672CF28"/>
    <w:multiLevelType w:val="hybridMultilevel"/>
    <w:lvl w:ilvl="0">
      <w:lvlJc w:val="left"/>
      <w:lvlText w:val="(%1)"/>
      <w:numFmt w:val="lowerLetter"/>
      <w:start w:val="2"/>
    </w:lvl>
    <w:lvl w:ilvl="1">
      <w:lvlJc w:val="left"/>
      <w:lvlText w:val="%2"/>
      <w:numFmt w:val="upperLetter"/>
      <w:start w:val="1"/>
    </w:lvl>
  </w:abstractNum>
  <w:abstractNum w:abstractNumId="226">
    <w:nsid w:val="567D2763"/>
    <w:multiLevelType w:val="hybridMultilevel"/>
    <w:lvl w:ilvl="0">
      <w:lvlJc w:val="left"/>
      <w:lvlText w:val="(%1)"/>
      <w:numFmt w:val="upperLetter"/>
      <w:start w:val="4"/>
    </w:lvl>
  </w:abstractNum>
  <w:abstractNum w:abstractNumId="227">
    <w:nsid w:val="6F5DE2EF"/>
    <w:multiLevelType w:val="hybridMultilevel"/>
    <w:lvl w:ilvl="0">
      <w:lvlJc w:val="left"/>
      <w:lvlText w:val="(%1)"/>
      <w:numFmt w:val="upperLetter"/>
      <w:start w:val="1"/>
    </w:lvl>
  </w:abstractNum>
  <w:abstractNum w:abstractNumId="228">
    <w:nsid w:val="23502A61"/>
    <w:multiLevelType w:val="hybridMultilevel"/>
    <w:lvl w:ilvl="0">
      <w:lvlJc w:val="left"/>
      <w:lvlText w:val="(%1)"/>
      <w:numFmt w:val="upperLetter"/>
      <w:start w:val="1"/>
    </w:lvl>
  </w:abstractNum>
  <w:abstractNum w:abstractNumId="229">
    <w:nsid w:val="461BC834"/>
    <w:multiLevelType w:val="hybridMultilevel"/>
    <w:lvl w:ilvl="0">
      <w:lvlJc w:val="left"/>
      <w:lvlText w:val="(%1)"/>
      <w:numFmt w:val="upperLetter"/>
      <w:start w:val="2"/>
    </w:lvl>
  </w:abstractNum>
  <w:abstractNum w:abstractNumId="230">
    <w:nsid w:val="13DDA79D"/>
    <w:multiLevelType w:val="hybridMultilevel"/>
    <w:lvl w:ilvl="0">
      <w:lvlJc w:val="left"/>
      <w:lvlText w:val="(%1)"/>
      <w:numFmt w:val="lowerLetter"/>
      <w:start w:val="1"/>
    </w:lvl>
    <w:lvl w:ilvl="1">
      <w:lvlJc w:val="left"/>
      <w:lvlText w:val="(%2)"/>
      <w:numFmt w:val="decimal"/>
      <w:start w:val="1"/>
    </w:lvl>
  </w:abstractNum>
  <w:abstractNum w:abstractNumId="231">
    <w:nsid w:val="6A104566"/>
    <w:multiLevelType w:val="hybridMultilevel"/>
    <w:lvl w:ilvl="0">
      <w:lvlJc w:val="left"/>
      <w:lvlText w:val="(%1)"/>
      <w:numFmt w:val="upperLetter"/>
      <w:start w:val="1"/>
    </w:lvl>
  </w:abstractNum>
  <w:abstractNum w:abstractNumId="232">
    <w:nsid w:val="1C8A8ACF"/>
    <w:multiLevelType w:val="hybridMultilevel"/>
    <w:lvl w:ilvl="0">
      <w:lvlJc w:val="left"/>
      <w:lvlText w:val="(%1)"/>
      <w:numFmt w:val="upperLetter"/>
      <w:start w:val="4"/>
    </w:lvl>
  </w:abstractNum>
  <w:abstractNum w:abstractNumId="233">
    <w:nsid w:val="E73DFE0"/>
    <w:multiLevelType w:val="hybridMultilevel"/>
    <w:lvl w:ilvl="0">
      <w:lvlJc w:val="left"/>
      <w:lvlText w:val="%1"/>
      <w:numFmt w:val="lowerLetter"/>
      <w:start w:val="1"/>
    </w:lvl>
    <w:lvl w:ilvl="1">
      <w:lvlJc w:val="left"/>
      <w:lvlText w:val="(%2)"/>
      <w:numFmt w:val="decimal"/>
      <w:start w:val="3"/>
    </w:lvl>
  </w:abstractNum>
  <w:abstractNum w:abstractNumId="234">
    <w:nsid w:val="39F174C7"/>
    <w:multiLevelType w:val="hybridMultilevel"/>
    <w:lvl w:ilvl="0">
      <w:lvlJc w:val="left"/>
      <w:lvlText w:val="(%1)"/>
      <w:numFmt w:val="lowerLetter"/>
      <w:start w:val="2"/>
    </w:lvl>
    <w:lvl w:ilvl="1">
      <w:lvlJc w:val="left"/>
      <w:lvlText w:val="(%2)"/>
      <w:numFmt w:val="decimal"/>
      <w:start w:val="1"/>
    </w:lvl>
  </w:abstractNum>
  <w:abstractNum w:abstractNumId="235">
    <w:nsid w:val="6E2E2D53"/>
    <w:multiLevelType w:val="hybridMultilevel"/>
    <w:lvl w:ilvl="0">
      <w:lvlJc w:val="left"/>
      <w:lvlText w:val="(%1)"/>
      <w:numFmt w:val="decimal"/>
      <w:start w:val="2"/>
    </w:lvl>
  </w:abstractNum>
  <w:abstractNum w:abstractNumId="236">
    <w:nsid w:val="45DC439D"/>
    <w:multiLevelType w:val="hybridMultilevel"/>
    <w:lvl w:ilvl="0">
      <w:lvlJc w:val="left"/>
      <w:lvlText w:val="%1"/>
      <w:numFmt w:val="lowerLetter"/>
      <w:start w:val="1"/>
    </w:lvl>
    <w:lvl w:ilvl="1">
      <w:lvlJc w:val="left"/>
      <w:lvlText w:val="(%2)"/>
      <w:numFmt w:val="lowerLetter"/>
      <w:start w:val="1"/>
    </w:lvl>
  </w:abstractNum>
  <w:abstractNum w:abstractNumId="237">
    <w:nsid w:val="3B0A3B87"/>
    <w:multiLevelType w:val="hybridMultilevel"/>
    <w:lvl w:ilvl="0">
      <w:lvlJc w:val="left"/>
      <w:lvlText w:val="(%1)"/>
      <w:numFmt w:val="lowerLetter"/>
      <w:start w:val="2"/>
    </w:lvl>
    <w:lvl w:ilvl="1">
      <w:lvlJc w:val="left"/>
      <w:lvlText w:val="%2"/>
      <w:numFmt w:val="lowerLetter"/>
      <w:start w:val="1"/>
    </w:lvl>
  </w:abstractNum>
  <w:abstractNum w:abstractNumId="238">
    <w:nsid w:val="6DAC7768"/>
    <w:multiLevelType w:val="hybridMultilevel"/>
    <w:lvl w:ilvl="0">
      <w:lvlJc w:val="left"/>
      <w:lvlText w:val="(%1)"/>
      <w:numFmt w:val="lowerLetter"/>
      <w:start w:val="3"/>
    </w:lvl>
  </w:abstractNum>
  <w:abstractNum w:abstractNumId="239">
    <w:nsid w:val="746AE2E4"/>
    <w:multiLevelType w:val="hybridMultilevel"/>
    <w:lvl w:ilvl="0">
      <w:lvlJc w:val="left"/>
      <w:lvlText w:val="(%1)"/>
      <w:numFmt w:val="lowerLetter"/>
      <w:start w:val="1"/>
    </w:lvl>
  </w:abstractNum>
  <w:abstractNum w:abstractNumId="240">
    <w:nsid w:val="317E611D"/>
    <w:multiLevelType w:val="hybridMultilevel"/>
    <w:lvl w:ilvl="0">
      <w:lvlJc w:val="left"/>
      <w:lvlText w:val="(%1)"/>
      <w:numFmt w:val="lowerLetter"/>
      <w:start w:val="2"/>
    </w:lvl>
  </w:abstractNum>
  <w:abstractNum w:abstractNumId="241">
    <w:nsid w:val="7A61D75B"/>
    <w:multiLevelType w:val="hybridMultilevel"/>
    <w:lvl w:ilvl="0">
      <w:lvlJc w:val="left"/>
      <w:lvlText w:val="(%1)"/>
      <w:numFmt w:val="lowerLetter"/>
      <w:start w:val="3"/>
    </w:lvl>
  </w:abstractNum>
  <w:abstractNum w:abstractNumId="242">
    <w:nsid w:val="164A1482"/>
    <w:multiLevelType w:val="hybridMultilevel"/>
    <w:lvl w:ilvl="0">
      <w:lvlJc w:val="left"/>
      <w:lvlText w:val="(%1)"/>
      <w:numFmt w:val="decimal"/>
      <w:start w:val="48"/>
    </w:lvl>
  </w:abstractNum>
  <w:abstractNum w:abstractNumId="243">
    <w:nsid w:val="1806546B"/>
    <w:multiLevelType w:val="hybridMultilevel"/>
    <w:lvl w:ilvl="0">
      <w:lvlJc w:val="left"/>
      <w:lvlText w:val="(%1)"/>
      <w:numFmt w:val="lowerRoman"/>
      <w:start w:val="1"/>
    </w:lvl>
  </w:abstractNum>
  <w:abstractNum w:abstractNumId="244">
    <w:nsid w:val="1FA33267"/>
    <w:multiLevelType w:val="hybridMultilevel"/>
    <w:lvl w:ilvl="0">
      <w:lvlJc w:val="left"/>
      <w:lvlText w:val="(%1)"/>
      <w:numFmt w:val="lowerLetter"/>
      <w:start w:val="1"/>
    </w:lvl>
  </w:abstractNum>
  <w:abstractNum w:abstractNumId="245">
    <w:nsid w:val="2E19DD00"/>
    <w:multiLevelType w:val="hybridMultilevel"/>
    <w:lvl w:ilvl="0">
      <w:lvlJc w:val="left"/>
      <w:lvlText w:val="(%1)"/>
      <w:numFmt w:val="lowerLetter"/>
      <w:start w:val="2"/>
    </w:lvl>
  </w:abstractNum>
  <w:abstractNum w:abstractNumId="246">
    <w:nsid w:val="756D30D0"/>
    <w:multiLevelType w:val="hybridMultilevel"/>
    <w:lvl w:ilvl="0">
      <w:lvlJc w:val="left"/>
      <w:lvlText w:val="%1"/>
      <w:numFmt w:val="lowerLetter"/>
      <w:start w:val="1"/>
    </w:lvl>
    <w:lvl w:ilvl="1">
      <w:lvlJc w:val="left"/>
      <w:lvlText w:val="(%2)"/>
      <w:numFmt w:val="lowerLetter"/>
      <w:start w:val="6"/>
    </w:lvl>
  </w:abstractNum>
  <w:abstractNum w:abstractNumId="247">
    <w:nsid w:val="505E5E01"/>
    <w:multiLevelType w:val="hybridMultilevel"/>
    <w:lvl w:ilvl="0">
      <w:lvlJc w:val="left"/>
      <w:lvlText w:val="(%1)"/>
      <w:numFmt w:val="lowerLetter"/>
      <w:start w:val="35"/>
    </w:lvl>
    <w:lvl w:ilvl="1">
      <w:lvlJc w:val="left"/>
      <w:lvlText w:val="%2"/>
      <w:numFmt w:val="lowerLetter"/>
      <w:start w:val="1"/>
    </w:lvl>
  </w:abstractNum>
  <w:abstractNum w:abstractNumId="248">
    <w:nsid w:val="2EFDBCE6"/>
    <w:multiLevelType w:val="hybridMultilevel"/>
    <w:lvl w:ilvl="0">
      <w:lvlJc w:val="left"/>
      <w:lvlText w:val="(%1)"/>
      <w:numFmt w:val="lowerLetter"/>
      <w:start w:val="1"/>
    </w:lvl>
  </w:abstractNum>
  <w:abstractNum w:abstractNumId="249">
    <w:nsid w:val="4EC868C4"/>
    <w:multiLevelType w:val="hybridMultilevel"/>
    <w:lvl w:ilvl="0">
      <w:lvlJc w:val="left"/>
      <w:lvlText w:val="(%1)"/>
      <w:numFmt w:val="decimal"/>
      <w:start w:val="1"/>
    </w:lvl>
  </w:abstractNum>
  <w:abstractNum w:abstractNumId="250">
    <w:nsid w:val="4239DC03"/>
    <w:multiLevelType w:val="hybridMultilevel"/>
    <w:lvl w:ilvl="0">
      <w:lvlJc w:val="left"/>
      <w:lvlText w:val="(%1)"/>
      <w:numFmt w:val="lowerLetter"/>
      <w:start w:val="1"/>
    </w:lvl>
  </w:abstractNum>
  <w:abstractNum w:abstractNumId="251">
    <w:nsid w:val="307C7DAA"/>
    <w:multiLevelType w:val="hybridMultilevel"/>
    <w:lvl w:ilvl="0">
      <w:lvlJc w:val="left"/>
      <w:lvlText w:val="(%1)"/>
      <w:numFmt w:val="lowerLetter"/>
      <w:start w:val="3"/>
    </w:lvl>
  </w:abstractNum>
  <w:abstractNum w:abstractNumId="252">
    <w:nsid w:val="403C23E6"/>
    <w:multiLevelType w:val="hybridMultilevel"/>
    <w:lvl w:ilvl="0">
      <w:lvlJc w:val="left"/>
      <w:lvlText w:val="(%1)"/>
      <w:numFmt w:val="lowerLetter"/>
      <w:start w:val="1"/>
    </w:lvl>
  </w:abstractNum>
  <w:abstractNum w:abstractNumId="253">
    <w:nsid w:val="58D7F9D7"/>
    <w:multiLevelType w:val="hybridMultilevel"/>
    <w:lvl w:ilvl="0">
      <w:lvlJc w:val="left"/>
      <w:lvlText w:val="(%1)"/>
      <w:numFmt w:val="lowerLetter"/>
      <w:start w:val="1"/>
    </w:lvl>
  </w:abstractNum>
  <w:abstractNum w:abstractNumId="254">
    <w:nsid w:val="24DBF76"/>
    <w:multiLevelType w:val="hybridMultilevel"/>
    <w:lvl w:ilvl="0">
      <w:lvlJc w:val="left"/>
      <w:lvlText w:val="(%1)"/>
      <w:numFmt w:val="lowerLetter"/>
      <w:start w:val="3"/>
    </w:lvl>
  </w:abstractNum>
  <w:abstractNum w:abstractNumId="255">
    <w:nsid w:val="53355960"/>
    <w:multiLevelType w:val="hybridMultilevel"/>
    <w:lvl w:ilvl="0">
      <w:lvlJc w:val="left"/>
      <w:lvlText w:val="(%1)"/>
      <w:numFmt w:val="lowerLetter"/>
      <w:start w:val="1"/>
    </w:lvl>
  </w:abstractNum>
  <w:abstractNum w:abstractNumId="256">
    <w:nsid w:val="4F4AC8FF"/>
    <w:multiLevelType w:val="hybridMultilevel"/>
    <w:lvl w:ilvl="0">
      <w:lvlJc w:val="left"/>
      <w:lvlText w:val="%1."/>
      <w:numFmt w:val="decimal"/>
      <w:start w:val="1"/>
    </w:lvl>
  </w:abstractNum>
  <w:abstractNum w:abstractNumId="257">
    <w:nsid w:val="58CAE6D9"/>
    <w:multiLevelType w:val="hybridMultilevel"/>
    <w:lvl w:ilvl="0">
      <w:lvlJc w:val="left"/>
      <w:lvlText w:val="(%1)"/>
      <w:numFmt w:val="lowerLetter"/>
      <w:start w:val="1"/>
    </w:lvl>
  </w:abstractNum>
  <w:abstractNum w:abstractNumId="258">
    <w:nsid w:val="42933C4F"/>
    <w:multiLevelType w:val="hybridMultilevel"/>
    <w:lvl w:ilvl="0">
      <w:lvlJc w:val="left"/>
      <w:lvlText w:val="(%1)"/>
      <w:numFmt w:val="lowerLetter"/>
      <w:start w:val="5"/>
    </w:lvl>
  </w:abstractNum>
  <w:abstractNum w:abstractNumId="259">
    <w:nsid w:val="729AF360"/>
    <w:multiLevelType w:val="hybridMultilevel"/>
    <w:lvl w:ilvl="0">
      <w:lvlJc w:val="left"/>
      <w:lvlText w:val="(%1)"/>
      <w:numFmt w:val="lowerLetter"/>
      <w:start w:val="6"/>
    </w:lvl>
  </w:abstractNum>
  <w:abstractNum w:abstractNumId="260">
    <w:nsid w:val="1EE6AF0D"/>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1"/>
    </w:lvl>
  </w:abstractNum>
  <w:abstractNum w:abstractNumId="261">
    <w:nsid w:val="5670E3E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62">
    <w:nsid w:val="5CAB38C6"/>
    <w:multiLevelType w:val="hybridMultilevel"/>
    <w:lvl w:ilvl="0">
      <w:lvlJc w:val="left"/>
      <w:lvlText w:val="(%1)"/>
      <w:numFmt w:val="lowerLetter"/>
      <w:start w:val="4"/>
    </w:lvl>
  </w:abstractNum>
  <w:abstractNum w:abstractNumId="263">
    <w:nsid w:val="3B7139DD"/>
    <w:multiLevelType w:val="hybridMultilevel"/>
    <w:lvl w:ilvl="0">
      <w:lvlJc w:val="left"/>
      <w:lvlText w:val="(%1)"/>
      <w:numFmt w:val="lowerRoman"/>
      <w:start w:val="1"/>
    </w:lvl>
  </w:abstractNum>
  <w:abstractNum w:abstractNumId="264">
    <w:nsid w:val="64E4C3CD"/>
    <w:multiLevelType w:val="hybridMultilevel"/>
    <w:lvl w:ilvl="0">
      <w:lvlJc w:val="left"/>
      <w:lvlText w:val="%1"/>
      <w:numFmt w:val="upperLetter"/>
      <w:start w:val="1"/>
    </w:lvl>
    <w:lvl w:ilvl="1">
      <w:lvlJc w:val="left"/>
      <w:lvlText w:val="(%2)"/>
      <w:numFmt w:val="lowerLetter"/>
      <w:start w:val="1"/>
    </w:lvl>
  </w:abstractNum>
  <w:abstractNum w:abstractNumId="265">
    <w:nsid w:val="169CAD8D"/>
    <w:multiLevelType w:val="hybridMultilevel"/>
    <w:lvl w:ilvl="0">
      <w:lvlJc w:val="left"/>
      <w:lvlText w:val="(%1)"/>
      <w:numFmt w:val="upperLetter"/>
      <w:start w:val="35"/>
    </w:lvl>
    <w:lvl w:ilvl="1">
      <w:lvlJc w:val="left"/>
      <w:lvlText w:val="(%2)"/>
      <w:numFmt w:val="lowerLetter"/>
      <w:start w:val="2"/>
    </w:lvl>
  </w:abstractNum>
  <w:abstractNum w:abstractNumId="266">
    <w:nsid w:val="299F6730"/>
    <w:multiLevelType w:val="hybridMultilevel"/>
    <w:lvl w:ilvl="0">
      <w:lvlJc w:val="left"/>
      <w:lvlText w:val="(%1)"/>
      <w:numFmt w:val="lowerLetter"/>
      <w:start w:val="6"/>
    </w:lvl>
  </w:abstractNum>
  <w:abstractNum w:abstractNumId="267">
    <w:nsid w:val="2AC1076A"/>
    <w:multiLevelType w:val="hybridMultilevel"/>
    <w:lvl w:ilvl="0">
      <w:lvlJc w:val="left"/>
      <w:lvlText w:val="(%1)"/>
      <w:numFmt w:val="lowerLetter"/>
      <w:start w:val="10"/>
    </w:lvl>
  </w:abstractNum>
  <w:abstractNum w:abstractNumId="268">
    <w:nsid w:val="51A6E915"/>
    <w:multiLevelType w:val="hybridMultilevel"/>
    <w:lvl w:ilvl="0">
      <w:lvlJc w:val="left"/>
      <w:lvlText w:val="(%1)"/>
      <w:numFmt w:val="lowerRoman"/>
      <w:start w:val="2"/>
    </w:lvl>
  </w:abstractNum>
  <w:abstractNum w:abstractNumId="269">
    <w:nsid w:val="174BDE99"/>
    <w:multiLevelType w:val="hybridMultilevel"/>
    <w:lvl w:ilvl="0">
      <w:lvlJc w:val="left"/>
      <w:lvlText w:val="(%1)"/>
      <w:numFmt w:val="lowerLetter"/>
      <w:start w:val="1"/>
    </w:lvl>
  </w:abstractNum>
  <w:abstractNum w:abstractNumId="270">
    <w:nsid w:val="1F2BEA4E"/>
    <w:multiLevelType w:val="hybridMultilevel"/>
    <w:lvl w:ilvl="0">
      <w:lvlJc w:val="left"/>
      <w:lvlText w:val="(%1)"/>
      <w:numFmt w:val="lowerLetter"/>
      <w:start w:val="3"/>
    </w:lvl>
  </w:abstractNum>
  <w:abstractNum w:abstractNumId="271">
    <w:nsid w:val="3254A32"/>
    <w:multiLevelType w:val="hybridMultilevel"/>
    <w:lvl w:ilvl="0">
      <w:lvlJc w:val="left"/>
      <w:lvlText w:val="%1"/>
      <w:numFmt w:val="lowerLetter"/>
      <w:start w:val="1"/>
    </w:lvl>
    <w:lvl w:ilvl="1">
      <w:lvlJc w:val="left"/>
      <w:lvlText w:val="(%2)"/>
      <w:numFmt w:val="lowerLetter"/>
      <w:start w:val="4"/>
    </w:lvl>
  </w:abstractNum>
  <w:abstractNum w:abstractNumId="272">
    <w:nsid w:val="11ADB5F4"/>
    <w:multiLevelType w:val="hybridMultilevel"/>
    <w:lvl w:ilvl="0">
      <w:lvlJc w:val="left"/>
      <w:lvlText w:val="(%1)"/>
      <w:numFmt w:val="lowerLetter"/>
      <w:start w:val="9"/>
    </w:lvl>
    <w:lvl w:ilvl="1">
      <w:lvlJc w:val="left"/>
      <w:lvlText w:val="%2"/>
      <w:numFmt w:val="lowerLetter"/>
      <w:start w:val="1"/>
    </w:lvl>
  </w:abstractNum>
  <w:abstractNum w:abstractNumId="273">
    <w:nsid w:val="3575FED1"/>
    <w:multiLevelType w:val="hybridMultilevel"/>
    <w:lvl w:ilvl="0">
      <w:lvlJc w:val="left"/>
      <w:lvlText w:val="(%1)"/>
      <w:numFmt w:val="lowerLetter"/>
      <w:start w:val="5"/>
    </w:lvl>
  </w:abstractNum>
  <w:abstractNum w:abstractNumId="274">
    <w:nsid w:val="1B2B9E9D"/>
    <w:multiLevelType w:val="hybridMultilevel"/>
    <w:lvl w:ilvl="0">
      <w:lvlJc w:val="left"/>
      <w:lvlText w:val="%1)"/>
      <w:numFmt w:val="decimal"/>
      <w:start w:val="144"/>
    </w:lvl>
    <w:lvl w:ilvl="1">
      <w:lvlJc w:val="left"/>
      <w:lvlText w:val="(%2)"/>
      <w:numFmt w:val="lowerLetter"/>
      <w:start w:val="1"/>
    </w:lvl>
  </w:abstractNum>
  <w:abstractNum w:abstractNumId="275">
    <w:nsid w:val="3150E85C"/>
    <w:multiLevelType w:val="hybridMultilevel"/>
    <w:lvl w:ilvl="0">
      <w:lvlJc w:val="left"/>
      <w:lvlText w:val="(%1)"/>
      <w:numFmt w:val="lowerLetter"/>
      <w:start w:val="1"/>
    </w:lvl>
  </w:abstractNum>
  <w:abstractNum w:abstractNumId="276">
    <w:nsid w:val="638FDBD1"/>
    <w:multiLevelType w:val="hybridMultilevel"/>
    <w:lvl w:ilvl="0">
      <w:lvlJc w:val="left"/>
      <w:lvlText w:val="(%1)"/>
      <w:numFmt w:val="lowerLetter"/>
      <w:start w:val="3"/>
    </w:lvl>
  </w:abstractNum>
  <w:abstractNum w:abstractNumId="277">
    <w:nsid w:val="1098CF6E"/>
    <w:multiLevelType w:val="hybridMultilevel"/>
    <w:lvl w:ilvl="0">
      <w:lvlJc w:val="left"/>
      <w:lvlText w:val="%1."/>
      <w:numFmt w:val="decimal"/>
      <w:start w:val="3"/>
    </w:lvl>
  </w:abstractNum>
  <w:abstractNum w:abstractNumId="278">
    <w:nsid w:val="1AF465D"/>
    <w:multiLevelType w:val="hybridMultilevel"/>
    <w:lvl w:ilvl="0">
      <w:lvlJc w:val="left"/>
      <w:lvlText w:val="(%1)"/>
      <w:numFmt w:val="lowerLetter"/>
      <w:start w:val="1"/>
    </w:lvl>
  </w:abstractNum>
  <w:abstractNum w:abstractNumId="279">
    <w:nsid w:val="128D98B7"/>
    <w:multiLevelType w:val="hybridMultilevel"/>
    <w:lvl w:ilvl="0">
      <w:lvlJc w:val="left"/>
      <w:lvlText w:val="(%1)"/>
      <w:numFmt w:val="lowerLetter"/>
      <w:start w:val="2"/>
    </w:lvl>
  </w:abstractNum>
  <w:abstractNum w:abstractNumId="280">
    <w:nsid w:val="5F613832"/>
    <w:multiLevelType w:val="hybridMultilevel"/>
    <w:lvl w:ilvl="0">
      <w:lvlJc w:val="left"/>
      <w:lvlText w:val=","/>
      <w:numFmt w:val="bullet"/>
      <w:start w:val="1"/>
    </w:lvl>
  </w:abstractNum>
  <w:abstractNum w:abstractNumId="281">
    <w:nsid w:val="43E92260"/>
    <w:multiLevelType w:val="hybridMultilevel"/>
    <w:lvl w:ilvl="0">
      <w:lvlJc w:val="left"/>
      <w:lvlText w:val="%1."/>
      <w:numFmt w:val="upperLetter"/>
      <w:start w:val="1"/>
    </w:lvl>
  </w:abstractNum>
  <w:abstractNum w:abstractNumId="282">
    <w:nsid w:val="430A1662"/>
    <w:multiLevelType w:val="hybridMultilevel"/>
    <w:lvl w:ilvl="0">
      <w:lvlJc w:val="left"/>
      <w:lvlText w:val="(%1)"/>
      <w:numFmt w:val="lowerLetter"/>
      <w:start w:val="1"/>
    </w:lvl>
    <w:lvl w:ilvl="1">
      <w:lvlJc w:val="left"/>
      <w:lvlText w:val="(%2)"/>
      <w:numFmt w:val="lowerRoman"/>
      <w:start w:val="1"/>
    </w:lvl>
  </w:abstractNum>
  <w:abstractNum w:abstractNumId="283">
    <w:nsid w:val="1F9D5C18"/>
    <w:multiLevelType w:val="hybridMultilevel"/>
    <w:lvl w:ilvl="0">
      <w:lvlJc w:val="left"/>
      <w:lvlText w:val="%1"/>
      <w:numFmt w:val="lowerLetter"/>
      <w:start w:val="1"/>
    </w:lvl>
    <w:lvl w:ilvl="1">
      <w:lvlJc w:val="left"/>
      <w:lvlText w:val="(%2)"/>
      <w:numFmt w:val="lowerLetter"/>
      <w:start w:val="61"/>
    </w:lvl>
  </w:abstractNum>
  <w:abstractNum w:abstractNumId="284">
    <w:nsid w:val="1CC11C37"/>
    <w:multiLevelType w:val="hybridMultilevel"/>
    <w:lvl w:ilvl="0">
      <w:lvlJc w:val="left"/>
      <w:lvlText w:val="(%1)"/>
      <w:numFmt w:val="lowerLetter"/>
      <w:start w:val="2"/>
    </w:lvl>
    <w:lvl w:ilvl="1">
      <w:lvlJc w:val="left"/>
      <w:lvlText w:val="%2"/>
      <w:numFmt w:val="lowerLetter"/>
      <w:start w:val="1"/>
    </w:lvl>
  </w:abstractNum>
  <w:abstractNum w:abstractNumId="285">
    <w:nsid w:val="4557D5D8"/>
    <w:multiLevelType w:val="hybridMultilevel"/>
    <w:lvl w:ilvl="0">
      <w:lvlJc w:val="left"/>
      <w:lvlText w:val="(%1)"/>
      <w:numFmt w:val="lowerLetter"/>
      <w:start w:val="1"/>
    </w:lvl>
  </w:abstractNum>
  <w:abstractNum w:abstractNumId="286">
    <w:nsid w:val="72D2B579"/>
    <w:multiLevelType w:val="hybridMultilevel"/>
    <w:lvl w:ilvl="0">
      <w:lvlJc w:val="left"/>
      <w:lvlText w:val="(%1)"/>
      <w:numFmt w:val="lowerLetter"/>
      <w:start w:val="3"/>
    </w:lvl>
  </w:abstractNum>
  <w:abstractNum w:abstractNumId="287">
    <w:nsid w:val="6C0BE536"/>
    <w:multiLevelType w:val="hybridMultilevel"/>
    <w:lvl w:ilvl="0">
      <w:lvlJc w:val="left"/>
      <w:lvlText w:val="(%1)"/>
      <w:numFmt w:val="lowerLetter"/>
      <w:start w:val="1"/>
    </w:lvl>
  </w:abstractNum>
  <w:abstractNum w:abstractNumId="288">
    <w:nsid w:val="1E22BCB2"/>
    <w:multiLevelType w:val="hybridMultilevel"/>
    <w:lvl w:ilvl="0">
      <w:lvlJc w:val="left"/>
      <w:lvlText w:val="(%1)"/>
      <w:numFmt w:val="lowerLetter"/>
      <w:start w:val="4"/>
    </w:lvl>
  </w:abstractNum>
  <w:abstractNum w:abstractNumId="289">
    <w:nsid w:val="3565F1C8"/>
    <w:multiLevelType w:val="hybridMultilevel"/>
    <w:lvl w:ilvl="0">
      <w:lvlJc w:val="left"/>
      <w:lvlText w:val="(%1)"/>
      <w:numFmt w:val="lowerLetter"/>
      <w:start w:val="1"/>
    </w:lvl>
  </w:abstractNum>
  <w:abstractNum w:abstractNumId="290">
    <w:nsid w:val="5EA6D896"/>
    <w:multiLevelType w:val="hybridMultilevel"/>
    <w:lvl w:ilvl="0">
      <w:lvlJc w:val="left"/>
      <w:lvlText w:val="(%1)"/>
      <w:numFmt w:val="lowerLetter"/>
      <w:start w:val="3"/>
    </w:lvl>
  </w:abstractNum>
  <w:abstractNum w:abstractNumId="291">
    <w:nsid w:val="3D096BBF"/>
    <w:multiLevelType w:val="hybridMultilevel"/>
    <w:lvl w:ilvl="0">
      <w:lvlJc w:val="left"/>
      <w:lvlText w:val="(%1)"/>
      <w:numFmt w:val="lowerLetter"/>
      <w:start w:val="1"/>
    </w:lvl>
  </w:abstractNum>
  <w:abstractNum w:abstractNumId="292">
    <w:nsid w:val="BD6D5B5"/>
    <w:multiLevelType w:val="hybridMultilevel"/>
    <w:lvl w:ilvl="0">
      <w:lvlJc w:val="left"/>
      <w:lvlText w:val="(%1)"/>
      <w:numFmt w:val="lowerLetter"/>
      <w:start w:val="2"/>
    </w:lvl>
  </w:abstractNum>
  <w:abstractNum w:abstractNumId="293">
    <w:nsid w:val="3B52115C"/>
    <w:multiLevelType w:val="hybridMultilevel"/>
    <w:lvl w:ilvl="0">
      <w:lvlJc w:val="left"/>
      <w:lvlText w:val="(%1)"/>
      <w:numFmt w:val="lowerLetter"/>
      <w:start w:val="1"/>
    </w:lvl>
  </w:abstractNum>
  <w:abstractNum w:abstractNumId="294">
    <w:nsid w:val="787AA59C"/>
    <w:multiLevelType w:val="hybridMultilevel"/>
    <w:lvl w:ilvl="0">
      <w:lvlJc w:val="left"/>
      <w:lvlText w:val="(%1)"/>
      <w:numFmt w:val="lowerLetter"/>
      <w:start w:val="1"/>
    </w:lvl>
  </w:abstractNum>
  <w:abstractNum w:abstractNumId="295">
    <w:nsid w:val="70BB9983"/>
    <w:multiLevelType w:val="hybridMultilevel"/>
    <w:lvl w:ilvl="0">
      <w:lvlJc w:val="left"/>
      <w:lvlText w:val="(%1)"/>
      <w:numFmt w:val="lowerLetter"/>
      <w:start w:val="1"/>
    </w:lvl>
  </w:abstractNum>
  <w:abstractNum w:abstractNumId="296">
    <w:nsid w:val="51EEBEEA"/>
    <w:multiLevelType w:val="hybridMultilevel"/>
    <w:lvl w:ilvl="0">
      <w:lvlJc w:val="left"/>
      <w:lvlText w:val="%1."/>
      <w:numFmt w:val="decimal"/>
      <w:start w:val="1"/>
    </w:lvl>
  </w:abstractNum>
  <w:abstractNum w:abstractNumId="297">
    <w:nsid w:val="221A0CCD"/>
    <w:multiLevelType w:val="hybridMultilevel"/>
    <w:lvl w:ilvl="0">
      <w:lvlJc w:val="left"/>
      <w:lvlText w:val="(%1)"/>
      <w:numFmt w:val="lowerLetter"/>
      <w:start w:val="1"/>
    </w:lvl>
  </w:abstractNum>
  <w:abstractNum w:abstractNumId="298">
    <w:nsid w:val="1B7CA0ED"/>
    <w:multiLevelType w:val="hybridMultilevel"/>
    <w:lvl w:ilvl="0">
      <w:lvlJc w:val="left"/>
      <w:lvlText w:val="(%1)"/>
      <w:numFmt w:val="lowerLetter"/>
      <w:start w:val="1"/>
    </w:lvl>
  </w:abstractNum>
  <w:abstractNum w:abstractNumId="299">
    <w:nsid w:val="2395A7FF"/>
    <w:multiLevelType w:val="hybridMultilevel"/>
    <w:lvl w:ilvl="0">
      <w:lvlJc w:val="left"/>
      <w:lvlText w:val="(%1)"/>
      <w:numFmt w:val="lowerLetter"/>
      <w:start w:val="4"/>
    </w:lvl>
  </w:abstractNum>
  <w:abstractNum w:abstractNumId="300">
    <w:nsid w:val="3965EB66"/>
    <w:multiLevelType w:val="hybridMultilevel"/>
    <w:lvl w:ilvl="0">
      <w:lvlJc w:val="left"/>
      <w:lvlText w:val="(%1)"/>
      <w:numFmt w:val="lowerLetter"/>
      <w:start w:val="1"/>
    </w:lvl>
  </w:abstractNum>
  <w:abstractNum w:abstractNumId="301">
    <w:nsid w:val="3AA88B3C"/>
    <w:multiLevelType w:val="hybridMultilevel"/>
    <w:lvl w:ilvl="0">
      <w:lvlJc w:val="left"/>
      <w:lvlText w:val="%1"/>
      <w:numFmt w:val="lowerLetter"/>
      <w:start w:val="1"/>
    </w:lvl>
    <w:lvl w:ilvl="1">
      <w:lvlJc w:val="left"/>
      <w:lvlText w:val="(%2)"/>
      <w:numFmt w:val="lowerLetter"/>
      <w:start w:val="1"/>
    </w:lvl>
  </w:abstractNum>
  <w:abstractNum w:abstractNumId="302">
    <w:nsid w:val="26BAF231"/>
    <w:multiLevelType w:val="hybridMultilevel"/>
    <w:lvl w:ilvl="0">
      <w:lvlJc w:val="left"/>
      <w:lvlText w:val="(%1)"/>
      <w:numFmt w:val="lowerLetter"/>
      <w:start w:val="35"/>
    </w:lvl>
    <w:lvl w:ilvl="1">
      <w:lvlJc w:val="left"/>
      <w:lvlText w:val="(%2)"/>
      <w:numFmt w:val="lowerLetter"/>
      <w:start w:val="3"/>
    </w:lvl>
  </w:abstractNum>
  <w:abstractNum w:abstractNumId="303">
    <w:nsid w:val="4B13A15A"/>
    <w:multiLevelType w:val="hybridMultilevel"/>
    <w:lvl w:ilvl="0">
      <w:lvlJc w:val="left"/>
      <w:lvlText w:val="(%1)"/>
      <w:numFmt w:val="lowerLetter"/>
      <w:start w:val="1"/>
    </w:lvl>
  </w:abstractNum>
  <w:abstractNum w:abstractNumId="304">
    <w:nsid w:val="701E8A0D"/>
    <w:multiLevelType w:val="hybridMultilevel"/>
    <w:lvl w:ilvl="0">
      <w:lvlJc w:val="left"/>
      <w:lvlText w:val="(%1)"/>
      <w:numFmt w:val="lowerLetter"/>
      <w:start w:val="1"/>
    </w:lvl>
  </w:abstractNum>
  <w:abstractNum w:abstractNumId="305">
    <w:nsid w:val="41E690CF"/>
    <w:multiLevelType w:val="hybridMultilevel"/>
    <w:lvl w:ilvl="0">
      <w:lvlJc w:val="left"/>
      <w:lvlText w:val="(%1)"/>
      <w:numFmt w:val="lowerLetter"/>
      <w:start w:val="1"/>
    </w:lvl>
  </w:abstractNum>
  <w:abstractNum w:abstractNumId="306">
    <w:nsid w:val="7C6489B6"/>
    <w:multiLevelType w:val="hybridMultilevel"/>
    <w:lvl w:ilvl="0">
      <w:lvlJc w:val="left"/>
      <w:lvlText w:val="(%1)"/>
      <w:numFmt w:val="lowerLetter"/>
      <w:start w:val="1"/>
    </w:lvl>
    <w:lvl w:ilvl="1">
      <w:lvlJc w:val="left"/>
      <w:lvlText w:val="(%2)"/>
      <w:numFmt w:val="lowerLetter"/>
      <w:start w:val="9"/>
    </w:lvl>
  </w:abstractNum>
  <w:abstractNum w:abstractNumId="307">
    <w:nsid w:val="53AE65DE"/>
    <w:multiLevelType w:val="hybridMultilevel"/>
    <w:lvl w:ilvl="0">
      <w:lvlJc w:val="left"/>
      <w:lvlText w:val="(%1)"/>
      <w:numFmt w:val="lowerRoman"/>
      <w:start w:val="2"/>
    </w:lvl>
  </w:abstractNum>
  <w:abstractNum w:abstractNumId="308">
    <w:nsid w:val="527F603D"/>
    <w:multiLevelType w:val="hybridMultilevel"/>
    <w:lvl w:ilvl="0">
      <w:lvlJc w:val="left"/>
      <w:lvlText w:val="(%1)"/>
      <w:numFmt w:val="lowerLetter"/>
      <w:start w:val="2"/>
    </w:lvl>
  </w:abstractNum>
  <w:abstractNum w:abstractNumId="309">
    <w:nsid w:val="7E13D013"/>
    <w:multiLevelType w:val="hybridMultilevel"/>
    <w:lvl w:ilvl="0">
      <w:lvlJc w:val="left"/>
      <w:lvlText w:val="(%1)"/>
      <w:numFmt w:val="lowerLetter"/>
      <w:start w:val="1"/>
    </w:lvl>
  </w:abstractNum>
  <w:abstractNum w:abstractNumId="310">
    <w:nsid w:val="663BFE95"/>
    <w:multiLevelType w:val="hybridMultilevel"/>
    <w:lvl w:ilvl="0">
      <w:lvlJc w:val="left"/>
      <w:lvlText w:val="(%1)"/>
      <w:numFmt w:val="lowerLetter"/>
      <w:start w:val="6"/>
    </w:lvl>
  </w:abstractNum>
  <w:abstractNum w:abstractNumId="311">
    <w:nsid w:val="31E0986F"/>
    <w:multiLevelType w:val="hybridMultilevel"/>
    <w:lvl w:ilvl="0">
      <w:lvlJc w:val="left"/>
      <w:lvlText w:val="(%1)"/>
      <w:numFmt w:val="lowerLetter"/>
      <w:start w:val="1"/>
    </w:lvl>
  </w:abstractNum>
  <w:abstractNum w:abstractNumId="312">
    <w:nsid w:val="41FCF274"/>
    <w:multiLevelType w:val="hybridMultilevel"/>
    <w:lvl w:ilvl="0">
      <w:lvlJc w:val="left"/>
      <w:lvlText w:val="(%1)"/>
      <w:numFmt w:val="lowerLetter"/>
      <w:start w:val="2"/>
    </w:lvl>
  </w:abstractNum>
  <w:abstractNum w:abstractNumId="313">
    <w:nsid w:val="294614F7"/>
    <w:multiLevelType w:val="hybridMultilevel"/>
    <w:lvl w:ilvl="0">
      <w:lvlJc w:val="left"/>
      <w:lvlText w:val="(%1)"/>
      <w:numFmt w:val="lowerLetter"/>
      <w:start w:val="1"/>
    </w:lvl>
  </w:abstractNum>
  <w:abstractNum w:abstractNumId="314">
    <w:nsid w:val="517DF487"/>
    <w:multiLevelType w:val="hybridMultilevel"/>
    <w:lvl w:ilvl="0">
      <w:lvlJc w:val="left"/>
      <w:lvlText w:val="(%1)"/>
      <w:numFmt w:val="lowerLetter"/>
      <w:start w:val="2"/>
    </w:lvl>
  </w:abstractNum>
  <w:abstractNum w:abstractNumId="315">
    <w:nsid w:val="5EBE0EAB"/>
    <w:multiLevelType w:val="hybridMultilevel"/>
    <w:lvl w:ilvl="0">
      <w:lvlJc w:val="left"/>
      <w:lvlText w:val="(%1)"/>
      <w:numFmt w:val="lowerLetter"/>
      <w:start w:val="3"/>
    </w:lvl>
  </w:abstractNum>
  <w:abstractNum w:abstractNumId="316">
    <w:nsid w:val="6E9DEAD0"/>
    <w:multiLevelType w:val="hybridMultilevel"/>
    <w:lvl w:ilvl="0">
      <w:lvlJc w:val="left"/>
      <w:lvlText w:val="(%1)"/>
      <w:numFmt w:val="lowerLetter"/>
      <w:start w:val="1"/>
    </w:lvl>
    <w:lvl w:ilvl="1">
      <w:lvlJc w:val="left"/>
      <w:lvlText w:val="(%2)"/>
      <w:numFmt w:val="lowerRoman"/>
      <w:start w:val="1"/>
    </w:lvl>
  </w:abstractNum>
  <w:abstractNum w:abstractNumId="317">
    <w:nsid w:val="4450AA00"/>
    <w:multiLevelType w:val="hybridMultilevel"/>
    <w:lvl w:ilvl="0">
      <w:lvlJc w:val="left"/>
      <w:lvlText w:val="(%1)"/>
      <w:numFmt w:val="lowerLetter"/>
      <w:start w:val="3"/>
    </w:lvl>
  </w:abstractNum>
  <w:abstractNum w:abstractNumId="318">
    <w:nsid w:val="4AC9F3E2"/>
    <w:multiLevelType w:val="hybridMultilevel"/>
    <w:lvl w:ilvl="0">
      <w:lvlJc w:val="left"/>
      <w:lvlText w:val="(%1)"/>
      <w:numFmt w:val="lowerLetter"/>
      <w:start w:val="4"/>
    </w:lvl>
  </w:abstractNum>
  <w:abstractNum w:abstractNumId="319">
    <w:nsid w:val="CC0A782"/>
    <w:multiLevelType w:val="hybridMultilevel"/>
    <w:lvl w:ilvl="0">
      <w:lvlJc w:val="left"/>
      <w:lvlText w:val="(%1)"/>
      <w:numFmt w:val="lowerRoman"/>
      <w:start w:val="1"/>
    </w:lvl>
  </w:abstractNum>
  <w:abstractNum w:abstractNumId="320">
    <w:nsid w:val="79B69BC9"/>
    <w:multiLevelType w:val="hybridMultilevel"/>
    <w:lvl w:ilvl="0">
      <w:lvlJc w:val="left"/>
      <w:lvlText w:val="(%1)"/>
      <w:numFmt w:val="lowerRoman"/>
      <w:start w:val="2"/>
    </w:lvl>
  </w:abstractNum>
  <w:abstractNum w:abstractNumId="321">
    <w:nsid w:val="2970CC78"/>
    <w:multiLevelType w:val="hybridMultilevel"/>
    <w:lvl w:ilvl="0">
      <w:lvlJc w:val="left"/>
      <w:lvlText w:val="%1."/>
      <w:numFmt w:val="decimal"/>
    </w:lvl>
    <w:lvl w:ilvl="1">
      <w:lvlJc w:val="left"/>
      <w:lvlText w:val="o"/>
      <w:numFmt w:val="bullet"/>
      <w:start w:val="1"/>
    </w:lvl>
  </w:abstractNum>
  <w:abstractNum w:abstractNumId="322">
    <w:nsid w:val="49CA1341"/>
    <w:multiLevelType w:val="hybridMultilevel"/>
    <w:lvl w:ilvl="0">
      <w:lvlJc w:val="left"/>
      <w:lvlText w:val="%1."/>
      <w:numFmt w:val="decimal"/>
      <w:start w:val="2"/>
    </w:lvl>
    <w:lvl w:ilvl="1">
      <w:lvlJc w:val="left"/>
      <w:lvlText w:val="(%2)"/>
      <w:numFmt w:val="lowerLetter"/>
      <w:start w:val="1"/>
    </w:lvl>
  </w:abstractNum>
  <w:abstractNum w:abstractNumId="323">
    <w:nsid w:val="58D717E"/>
    <w:multiLevelType w:val="hybridMultilevel"/>
    <w:lvl w:ilvl="0">
      <w:lvlJc w:val="left"/>
      <w:lvlText w:val="%1."/>
      <w:numFmt w:val="decimal"/>
      <w:start w:val="3"/>
    </w:lvl>
    <w:lvl w:ilvl="1">
      <w:lvlJc w:val="left"/>
      <w:lvlText w:val="(%2)"/>
      <w:numFmt w:val="lowerLetter"/>
      <w:start w:val="1"/>
    </w:lvl>
  </w:abstractNum>
  <w:abstractNum w:abstractNumId="324">
    <w:nsid w:val="64C2DDD5"/>
    <w:multiLevelType w:val="hybridMultilevel"/>
    <w:lvl w:ilvl="0">
      <w:lvlJc w:val="left"/>
      <w:lvlText w:val="(%1)"/>
      <w:numFmt w:val="lowerLetter"/>
      <w:start w:val="2"/>
    </w:lvl>
  </w:abstractNum>
  <w:abstractNum w:abstractNumId="325">
    <w:nsid w:val="4244B8D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26">
    <w:nsid w:val="76490B01"/>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327">
    <w:nsid w:val="36B19CBF"/>
    <w:multiLevelType w:val="hybridMultilevel"/>
    <w:lvl w:ilvl="0">
      <w:lvlJc w:val="left"/>
      <w:lvlText w:val="(%1)"/>
      <w:numFmt w:val="lowerLetter"/>
      <w:start w:val="3"/>
    </w:lvl>
    <w:lvl w:ilvl="1">
      <w:lvlJc w:val="left"/>
      <w:lvlText w:val="%2."/>
      <w:numFmt w:val="decimal"/>
      <w:start w:val="6"/>
    </w:lvl>
    <w:lvl w:ilvl="2">
      <w:lvlJc w:val="left"/>
      <w:lvlText w:val="%3"/>
      <w:numFmt w:val="lowerLetter"/>
      <w:start w:val="1"/>
    </w:lvl>
  </w:abstractNum>
  <w:abstractNum w:abstractNumId="328">
    <w:nsid w:val="645EC5AB"/>
    <w:multiLevelType w:val="hybridMultilevel"/>
    <w:lvl w:ilvl="0">
      <w:lvlJc w:val="left"/>
      <w:lvlText w:val="%1."/>
      <w:numFmt w:val="decimal"/>
      <w:start w:val="7"/>
    </w:lvl>
    <w:lvl w:ilvl="1">
      <w:lvlJc w:val="left"/>
      <w:lvlText w:val="(%2)"/>
      <w:numFmt w:val="lowerLetter"/>
      <w:start w:val="1"/>
    </w:lvl>
  </w:abstractNum>
  <w:abstractNum w:abstractNumId="329">
    <w:nsid w:val="11C5ABEF"/>
    <w:multiLevelType w:val="hybridMultilevel"/>
    <w:lvl w:ilvl="0">
      <w:lvlJc w:val="left"/>
      <w:lvlText w:val="%1."/>
      <w:numFmt w:val="decimal"/>
      <w:start w:val="9"/>
    </w:lvl>
  </w:abstractNum>
  <w:abstractNum w:abstractNumId="330">
    <w:nsid w:val="5A4744BE"/>
    <w:multiLevelType w:val="hybridMultilevel"/>
    <w:lvl w:ilvl="0">
      <w:lvlJc w:val="left"/>
      <w:lvlText w:val="(%1)"/>
      <w:numFmt w:val="lowerLetter"/>
      <w:start w:val="1"/>
    </w:lvl>
  </w:abstractNum>
  <w:abstractNum w:abstractNumId="331">
    <w:nsid w:val="1DC4B111"/>
    <w:multiLevelType w:val="hybridMultilevel"/>
    <w:lvl w:ilvl="0">
      <w:lvlJc w:val="left"/>
      <w:lvlText w:val="%1"/>
      <w:numFmt w:val="decimal"/>
      <w:start w:val="1"/>
    </w:lvl>
    <w:lvl w:ilvl="1">
      <w:lvlJc w:val="left"/>
      <w:lvlText w:val="(%2)"/>
      <w:numFmt w:val="lowerLetter"/>
      <w:start w:val="2"/>
    </w:lvl>
  </w:abstractNum>
  <w:abstractNum w:abstractNumId="332">
    <w:nsid w:val="4C6E372B"/>
    <w:multiLevelType w:val="hybridMultilevel"/>
    <w:lvl w:ilvl="0">
      <w:lvlJc w:val="left"/>
      <w:lvlText w:val="%1."/>
      <w:numFmt w:val="decimal"/>
      <w:start w:val="10"/>
    </w:lvl>
    <w:lvl w:ilvl="1">
      <w:lvlJc w:val="left"/>
      <w:lvlText w:val="(%2)"/>
      <w:numFmt w:val="lowerLetter"/>
      <w:start w:val="1"/>
    </w:lvl>
  </w:abstractNum>
  <w:abstractNum w:abstractNumId="333">
    <w:nsid w:val="10236EF"/>
    <w:multiLevelType w:val="hybridMultilevel"/>
    <w:lvl w:ilvl="0">
      <w:lvlJc w:val="left"/>
      <w:lvlText w:val="%1"/>
      <w:numFmt w:val="decimal"/>
      <w:start w:val="1"/>
    </w:lvl>
    <w:lvl w:ilvl="1">
      <w:lvlJc w:val="left"/>
      <w:lvlText w:val="(%2)"/>
      <w:numFmt w:val="lowerLetter"/>
      <w:start w:val="3"/>
    </w:lvl>
  </w:abstractNum>
  <w:abstractNum w:abstractNumId="334">
    <w:nsid w:val="68D8526B"/>
    <w:multiLevelType w:val="hybridMultilevel"/>
    <w:lvl w:ilvl="0">
      <w:lvlJc w:val="left"/>
      <w:lvlText w:val="%1."/>
      <w:numFmt w:val="decimal"/>
      <w:start w:val="13"/>
    </w:lvl>
    <w:lvl w:ilvl="1">
      <w:lvlJc w:val="left"/>
      <w:lvlText w:val="(%2)"/>
      <w:numFmt w:val="lowerLetter"/>
      <w:start w:val="1"/>
    </w:lvl>
  </w:abstractNum>
  <w:abstractNum w:abstractNumId="335">
    <w:nsid w:val="3C8CC138"/>
    <w:multiLevelType w:val="hybridMultilevel"/>
    <w:lvl w:ilvl="0">
      <w:lvlJc w:val="left"/>
      <w:lvlText w:val="%1."/>
      <w:numFmt w:val="decimal"/>
      <w:start w:val="14"/>
    </w:lvl>
  </w:abstractNum>
  <w:abstractNum w:abstractNumId="336">
    <w:nsid w:val="42E8C7BE"/>
    <w:multiLevelType w:val="hybridMultilevel"/>
    <w:lvl w:ilvl="0">
      <w:lvlJc w:val="left"/>
      <w:lvlText w:val="%1."/>
      <w:numFmt w:val="decimal"/>
      <w:start w:val="1"/>
    </w:lvl>
  </w:abstractNum>
  <w:abstractNum w:abstractNumId="337">
    <w:nsid w:val="653CDC22"/>
    <w:multiLevelType w:val="hybridMultilevel"/>
    <w:lvl w:ilvl="0">
      <w:lvlJc w:val="left"/>
      <w:lvlText w:val="%1."/>
      <w:numFmt w:val="decimal"/>
      <w:start w:val="4"/>
    </w:lvl>
    <w:lvl w:ilvl="1">
      <w:lvlJc w:val="left"/>
      <w:lvlText w:val="(%2)"/>
      <w:numFmt w:val="lowerLetter"/>
      <w:start w:val="1"/>
    </w:lvl>
  </w:abstractNum>
  <w:abstractNum w:abstractNumId="338">
    <w:nsid w:val="103B2716"/>
    <w:multiLevelType w:val="hybridMultilevel"/>
    <w:lvl w:ilvl="0">
      <w:lvlJc w:val="left"/>
      <w:lvlText w:val="%1."/>
      <w:numFmt w:val="decimal"/>
      <w:start w:val="9"/>
    </w:lvl>
  </w:abstractNum>
  <w:abstractNum w:abstractNumId="339">
    <w:nsid w:val="156827FB"/>
    <w:multiLevelType w:val="hybridMultilevel"/>
    <w:lvl w:ilvl="0">
      <w:lvlJc w:val="left"/>
      <w:lvlText w:val="%1."/>
      <w:numFmt w:val="decimal"/>
      <w:start w:val="14"/>
    </w:lvl>
    <w:lvl w:ilvl="1">
      <w:lvlJc w:val="left"/>
      <w:lvlText w:val="(%2)"/>
      <w:numFmt w:val="lowerLetter"/>
      <w:start w:val="1"/>
    </w:lvl>
  </w:abstractNum>
  <w:abstractNum w:abstractNumId="340">
    <w:nsid w:val="6350AC35"/>
    <w:multiLevelType w:val="hybridMultilevel"/>
    <w:lvl w:ilvl="0">
      <w:lvlJc w:val="left"/>
      <w:lvlText w:val="(%1)"/>
      <w:numFmt w:val="lowerLetter"/>
      <w:start w:val="2"/>
    </w:lvl>
  </w:abstractNum>
  <w:abstractNum w:abstractNumId="341">
    <w:nsid w:val="767725AB"/>
    <w:multiLevelType w:val="hybridMultilevel"/>
    <w:lvl w:ilvl="0">
      <w:lvlJc w:val="left"/>
      <w:lvlText w:val="%1"/>
      <w:numFmt w:val="lowerLetter"/>
      <w:start w:val="1"/>
    </w:lvl>
    <w:lvl w:ilvl="1">
      <w:lvlJc w:val="left"/>
      <w:lvlText w:val="(%2)"/>
      <w:numFmt w:val="lowerLetter"/>
      <w:start w:val="3"/>
    </w:lvl>
  </w:abstractNum>
  <w:abstractNum w:abstractNumId="342">
    <w:nsid w:val="4748C06A"/>
    <w:multiLevelType w:val="hybridMultilevel"/>
    <w:lvl w:ilvl="0">
      <w:lvlJc w:val="left"/>
      <w:lvlText w:val="(%1)"/>
      <w:numFmt w:val="lowerLetter"/>
      <w:start w:val="9"/>
    </w:lvl>
    <w:lvl w:ilvl="1">
      <w:lvlJc w:val="left"/>
      <w:lvlText w:val="%2"/>
      <w:numFmt w:val="lowerLetter"/>
      <w:start w:val="1"/>
    </w:lvl>
  </w:abstractNum>
  <w:abstractNum w:abstractNumId="343">
    <w:nsid w:val="254D9EA9"/>
    <w:multiLevelType w:val="hybridMultilevel"/>
    <w:lvl w:ilvl="0">
      <w:lvlJc w:val="left"/>
      <w:lvlText w:val="(%1)"/>
      <w:numFmt w:val="lowerLetter"/>
      <w:start w:val="5"/>
    </w:lvl>
  </w:abstractNum>
  <w:abstractNum w:abstractNumId="344">
    <w:nsid w:val="1FBD3AA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345">
    <w:nsid w:val="18C6B4F2"/>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346">
    <w:nsid w:val="40BAD5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347">
    <w:nsid w:val="E5B2573"/>
    <w:multiLevelType w:val="hybridMultilevel"/>
    <w:lvl w:ilvl="0">
      <w:lvlJc w:val="left"/>
      <w:lvlText w:val="%1."/>
      <w:numFmt w:val="decimal"/>
      <w:start w:val="19"/>
    </w:lvl>
    <w:lvl w:ilvl="1">
      <w:lvlJc w:val="left"/>
      <w:lvlText w:val="(%2)"/>
      <w:numFmt w:val="lowerLetter"/>
      <w:start w:val="1"/>
    </w:lvl>
  </w:abstractNum>
  <w:abstractNum w:abstractNumId="348">
    <w:nsid w:val="5D175EF2"/>
    <w:multiLevelType w:val="hybridMultilevel"/>
    <w:lvl w:ilvl="0">
      <w:lvlJc w:val="left"/>
      <w:lvlText w:val="(%1)"/>
      <w:numFmt w:val="lowerLetter"/>
      <w:start w:val="2"/>
    </w:lvl>
  </w:abstractNum>
  <w:abstractNum w:abstractNumId="349">
    <w:nsid w:val="4ED5A137"/>
    <w:multiLevelType w:val="hybridMultilevel"/>
    <w:lvl w:ilvl="0">
      <w:lvlJc w:val="left"/>
      <w:lvlText w:val="(%1)"/>
      <w:numFmt w:val="lowerLetter"/>
      <w:start w:val="3"/>
    </w:lvl>
  </w:abstractNum>
  <w:abstractNum w:abstractNumId="350">
    <w:nsid w:val="1B1BCCF5"/>
    <w:multiLevelType w:val="hybridMultilevel"/>
    <w:lvl w:ilvl="0">
      <w:lvlJc w:val="left"/>
      <w:lvlText w:val="(%1)"/>
      <w:numFmt w:val="lowerLetter"/>
      <w:start w:val="1"/>
    </w:lvl>
    <w:lvl w:ilvl="1">
      <w:lvlJc w:val="left"/>
      <w:lvlText w:val="(%2)"/>
      <w:numFmt w:val="lowerLetter"/>
      <w:start w:val="9"/>
    </w:lvl>
  </w:abstractNum>
  <w:abstractNum w:abstractNumId="351">
    <w:nsid w:val="56CDFABB"/>
    <w:multiLevelType w:val="hybridMultilevel"/>
    <w:lvl w:ilvl="0">
      <w:lvlJc w:val="left"/>
      <w:lvlText w:val="(%1)"/>
      <w:numFmt w:val="lowerRoman"/>
      <w:start w:val="2"/>
    </w:lvl>
  </w:abstractNum>
  <w:abstractNum w:abstractNumId="352">
    <w:nsid w:val="78466DAF"/>
    <w:multiLevelType w:val="hybridMultilevel"/>
    <w:lvl w:ilvl="0">
      <w:lvlJc w:val="left"/>
      <w:lvlText w:val="(%1)"/>
      <w:numFmt w:val="lowerLetter"/>
      <w:start w:val="2"/>
    </w:lvl>
  </w:abstractNum>
  <w:abstractNum w:abstractNumId="353">
    <w:nsid w:val="64E5E036"/>
    <w:multiLevelType w:val="hybridMultilevel"/>
    <w:lvl w:ilvl="0">
      <w:lvlJc w:val="left"/>
      <w:lvlText w:val="(%1)"/>
      <w:numFmt w:val="lowerLetter"/>
      <w:start w:val="1"/>
    </w:lvl>
  </w:abstractNum>
  <w:abstractNum w:abstractNumId="354">
    <w:nsid w:val="5C5B6C3A"/>
    <w:multiLevelType w:val="hybridMultilevel"/>
    <w:lvl w:ilvl="0">
      <w:lvlJc w:val="left"/>
      <w:lvlText w:val="(%1)"/>
      <w:numFmt w:val="lowerLetter"/>
      <w:start w:val="6"/>
    </w:lvl>
  </w:abstractNum>
  <w:abstractNum w:abstractNumId="355">
    <w:nsid w:val="5D094B84"/>
    <w:multiLevelType w:val="hybridMultilevel"/>
    <w:lvl w:ilvl="0">
      <w:lvlJc w:val="left"/>
      <w:lvlText w:val="(%1)"/>
      <w:numFmt w:val="lowerLetter"/>
      <w:start w:val="1"/>
    </w:lvl>
  </w:abstractNum>
  <w:abstractNum w:abstractNumId="356">
    <w:nsid w:val="272A9914"/>
    <w:multiLevelType w:val="hybridMultilevel"/>
    <w:lvl w:ilvl="0">
      <w:lvlJc w:val="left"/>
      <w:lvlText w:val="(%1)"/>
      <w:numFmt w:val="lowerLetter"/>
      <w:start w:val="2"/>
    </w:lvl>
  </w:abstractNum>
  <w:abstractNum w:abstractNumId="357">
    <w:nsid w:val="52A4773B"/>
    <w:multiLevelType w:val="hybridMultilevel"/>
    <w:lvl w:ilvl="0">
      <w:lvlJc w:val="left"/>
      <w:lvlText w:val="(%1)"/>
      <w:numFmt w:val="lowerLetter"/>
      <w:start w:val="1"/>
    </w:lvl>
  </w:abstractNum>
  <w:abstractNum w:abstractNumId="358">
    <w:nsid w:val="13BAE843"/>
    <w:multiLevelType w:val="hybridMultilevel"/>
    <w:lvl w:ilvl="0">
      <w:lvlJc w:val="left"/>
      <w:lvlText w:val="(%1)"/>
      <w:numFmt w:val="lowerLetter"/>
      <w:start w:val="2"/>
    </w:lvl>
  </w:abstractNum>
  <w:abstractNum w:abstractNumId="359">
    <w:nsid w:val="B895EBF"/>
    <w:multiLevelType w:val="hybridMultilevel"/>
    <w:lvl w:ilvl="0">
      <w:lvlJc w:val="left"/>
      <w:lvlText w:val="(%1)"/>
      <w:numFmt w:val="lowerLetter"/>
      <w:start w:val="3"/>
    </w:lvl>
  </w:abstractNum>
  <w:abstractNum w:abstractNumId="360">
    <w:nsid w:val="646A232A"/>
    <w:multiLevelType w:val="hybridMultilevel"/>
    <w:lvl w:ilvl="0">
      <w:lvlJc w:val="left"/>
      <w:lvlText w:val="(%1)"/>
      <w:numFmt w:val="lowerLetter"/>
      <w:start w:val="1"/>
    </w:lvl>
    <w:lvl w:ilvl="1">
      <w:lvlJc w:val="left"/>
      <w:lvlText w:val="(%2)"/>
      <w:numFmt w:val="lowerRoman"/>
      <w:start w:val="1"/>
    </w:lvl>
  </w:abstractNum>
  <w:abstractNum w:abstractNumId="361">
    <w:nsid w:val="6E022D01"/>
    <w:multiLevelType w:val="hybridMultilevel"/>
    <w:lvl w:ilvl="0">
      <w:lvlJc w:val="left"/>
      <w:lvlText w:val="(%1)"/>
      <w:numFmt w:val="lowerLetter"/>
      <w:start w:val="3"/>
    </w:lvl>
  </w:abstractNum>
  <w:abstractNum w:abstractNumId="362">
    <w:nsid w:val="294E0FD0"/>
    <w:multiLevelType w:val="hybridMultilevel"/>
    <w:lvl w:ilvl="0">
      <w:lvlJc w:val="left"/>
      <w:lvlText w:val="(%1)"/>
      <w:numFmt w:val="lowerLetter"/>
      <w:start w:val="4"/>
    </w:lvl>
  </w:abstractNum>
  <w:abstractNum w:abstractNumId="363">
    <w:nsid w:val="30D85A55"/>
    <w:multiLevelType w:val="hybridMultilevel"/>
    <w:lvl w:ilvl="0">
      <w:lvlJc w:val="left"/>
      <w:lvlText w:val="(%1)"/>
      <w:numFmt w:val="lowerRoman"/>
      <w:start w:val="1"/>
    </w:lvl>
  </w:abstractNum>
  <w:abstractNum w:abstractNumId="364">
    <w:nsid w:val="6F0463F1"/>
    <w:multiLevelType w:val="hybridMultilevel"/>
    <w:lvl w:ilvl="0">
      <w:lvlJc w:val="left"/>
      <w:lvlText w:val="%1."/>
      <w:numFmt w:val="decimal"/>
    </w:lvl>
    <w:lvl w:ilvl="1">
      <w:lvlJc w:val="left"/>
      <w:lvlText w:val="(%2)"/>
      <w:numFmt w:val="lowerLetter"/>
      <w:start w:val="1"/>
    </w:lvl>
    <w:lvl w:ilvl="2">
      <w:lvlJc w:val="left"/>
      <w:lvlText w:val="o"/>
      <w:numFmt w:val="bullet"/>
      <w:start w:val="1"/>
    </w:lvl>
  </w:abstractNum>
  <w:abstractNum w:abstractNumId="365">
    <w:nsid w:val="1226623C"/>
    <w:multiLevelType w:val="hybridMultilevel"/>
    <w:lvl w:ilvl="0">
      <w:lvlJc w:val="left"/>
      <w:lvlText w:val="(%1)"/>
      <w:numFmt w:val="lowerLetter"/>
      <w:start w:val="2"/>
    </w:lvl>
  </w:abstractNum>
  <w:abstractNum w:abstractNumId="366">
    <w:nsid w:val="6D651B8D"/>
    <w:multiLevelType w:val="hybridMultilevel"/>
    <w:lvl w:ilvl="0">
      <w:lvlJc w:val="left"/>
      <w:lvlText w:val="%1."/>
      <w:numFmt w:val="decimal"/>
      <w:start w:val="3"/>
    </w:lvl>
    <w:lvl w:ilvl="1">
      <w:lvlJc w:val="left"/>
      <w:lvlText w:val="(%2)"/>
      <w:numFmt w:val="lowerLetter"/>
      <w:start w:val="1"/>
    </w:lvl>
  </w:abstractNum>
  <w:abstractNum w:abstractNumId="367">
    <w:nsid w:val="31ED2BAF"/>
    <w:multiLevelType w:val="hybridMultilevel"/>
    <w:lvl w:ilvl="0">
      <w:lvlJc w:val="left"/>
      <w:lvlText w:val="(%1)"/>
      <w:numFmt w:val="lowerRoman"/>
      <w:start w:val="2"/>
    </w:lvl>
  </w:abstractNum>
  <w:abstractNum w:abstractNumId="368">
    <w:nsid w:val="77633E5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69">
    <w:nsid w:val="7DA042A3"/>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370">
    <w:nsid w:val="475553AB"/>
    <w:multiLevelType w:val="hybridMultilevel"/>
    <w:lvl w:ilvl="0">
      <w:lvlJc w:val="left"/>
      <w:lvlText w:val="(%1)"/>
      <w:numFmt w:val="lowerLetter"/>
      <w:start w:val="3"/>
    </w:lvl>
    <w:lvl w:ilvl="1">
      <w:lvlJc w:val="left"/>
      <w:lvlText w:val="%2."/>
      <w:numFmt w:val="decimal"/>
      <w:start w:val="6"/>
    </w:lvl>
    <w:lvl w:ilvl="2">
      <w:lvlJc w:val="left"/>
      <w:lvlText w:val="%3"/>
      <w:numFmt w:val="lowerLetter"/>
      <w:start w:val="1"/>
    </w:lvl>
  </w:abstractNum>
  <w:abstractNum w:abstractNumId="371">
    <w:nsid w:val="5AB3EA93"/>
    <w:multiLevelType w:val="hybridMultilevel"/>
    <w:lvl w:ilvl="0">
      <w:lvlJc w:val="left"/>
      <w:lvlText w:val="%1."/>
      <w:numFmt w:val="decimal"/>
      <w:start w:val="8"/>
    </w:lvl>
    <w:lvl w:ilvl="1">
      <w:lvlJc w:val="left"/>
      <w:lvlText w:val="(%2)"/>
      <w:numFmt w:val="lowerLetter"/>
      <w:start w:val="1"/>
    </w:lvl>
  </w:abstractNum>
  <w:abstractNum w:abstractNumId="372">
    <w:nsid w:val="7417684F"/>
    <w:multiLevelType w:val="hybridMultilevel"/>
    <w:lvl w:ilvl="0">
      <w:lvlJc w:val="left"/>
      <w:lvlText w:val="%1."/>
      <w:numFmt w:val="decimal"/>
      <w:start w:val="9"/>
    </w:lvl>
  </w:abstractNum>
  <w:abstractNum w:abstractNumId="373">
    <w:nsid w:val="E9E1415"/>
    <w:multiLevelType w:val="hybridMultilevel"/>
    <w:lvl w:ilvl="0">
      <w:lvlJc w:val="left"/>
      <w:lvlText w:val="(%1)"/>
      <w:numFmt w:val="lowerLetter"/>
      <w:start w:val="1"/>
    </w:lvl>
  </w:abstractNum>
  <w:abstractNum w:abstractNumId="374">
    <w:nsid w:val="1893D"/>
    <w:multiLevelType w:val="hybridMultilevel"/>
    <w:lvl w:ilvl="0">
      <w:lvlJc w:val="left"/>
      <w:lvlText w:val="%1"/>
      <w:numFmt w:val="decimal"/>
      <w:start w:val="1"/>
    </w:lvl>
    <w:lvl w:ilvl="1">
      <w:lvlJc w:val="left"/>
      <w:lvlText w:val="(%2)"/>
      <w:numFmt w:val="lowerLetter"/>
      <w:start w:val="2"/>
    </w:lvl>
  </w:abstractNum>
  <w:abstractNum w:abstractNumId="375">
    <w:nsid w:val="13D4A2F2"/>
    <w:multiLevelType w:val="hybridMultilevel"/>
    <w:lvl w:ilvl="0">
      <w:lvlJc w:val="left"/>
      <w:lvlText w:val="%1."/>
      <w:numFmt w:val="decimal"/>
      <w:start w:val="10"/>
    </w:lvl>
    <w:lvl w:ilvl="1">
      <w:lvlJc w:val="left"/>
      <w:lvlText w:val="(%2)"/>
      <w:numFmt w:val="lowerLetter"/>
      <w:start w:val="1"/>
    </w:lvl>
  </w:abstractNum>
  <w:abstractNum w:abstractNumId="376">
    <w:nsid w:val="2764C907"/>
    <w:multiLevelType w:val="hybridMultilevel"/>
    <w:lvl w:ilvl="0">
      <w:lvlJc w:val="left"/>
      <w:lvlText w:val="%1"/>
      <w:numFmt w:val="decimal"/>
      <w:start w:val="1"/>
    </w:lvl>
    <w:lvl w:ilvl="1">
      <w:lvlJc w:val="left"/>
      <w:lvlText w:val="(%2)"/>
      <w:numFmt w:val="lowerLetter"/>
      <w:start w:val="3"/>
    </w:lvl>
  </w:abstractNum>
  <w:abstractNum w:abstractNumId="377">
    <w:nsid w:val="40D3692"/>
    <w:multiLevelType w:val="hybridMultilevel"/>
    <w:lvl w:ilvl="0">
      <w:lvlJc w:val="left"/>
      <w:lvlText w:val="%1."/>
      <w:numFmt w:val="decimal"/>
      <w:start w:val="13"/>
    </w:lvl>
    <w:lvl w:ilvl="1">
      <w:lvlJc w:val="left"/>
      <w:lvlText w:val="(%2)"/>
      <w:numFmt w:val="lowerLetter"/>
      <w:start w:val="1"/>
    </w:lvl>
  </w:abstractNum>
  <w:abstractNum w:abstractNumId="378">
    <w:nsid w:val="222FC865"/>
    <w:multiLevelType w:val="hybridMultilevel"/>
    <w:lvl w:ilvl="0">
      <w:lvlJc w:val="left"/>
      <w:lvlText w:val="%1."/>
      <w:numFmt w:val="decimal"/>
      <w:start w:val="14"/>
    </w:lvl>
  </w:abstractNum>
  <w:abstractNum w:abstractNumId="379">
    <w:nsid w:val="47C27FA"/>
    <w:multiLevelType w:val="hybridMultilevel"/>
    <w:lvl w:ilvl="0">
      <w:lvlJc w:val="left"/>
      <w:lvlText w:val="%1."/>
      <w:numFmt w:val="decimal"/>
      <w:start w:val="1"/>
    </w:lvl>
  </w:abstractNum>
  <w:abstractNum w:abstractNumId="380">
    <w:nsid w:val="52E2D7C9"/>
    <w:multiLevelType w:val="hybridMultilevel"/>
    <w:lvl w:ilvl="0">
      <w:lvlJc w:val="left"/>
      <w:lvlText w:val="%1."/>
      <w:numFmt w:val="decimal"/>
      <w:start w:val="4"/>
    </w:lvl>
    <w:lvl w:ilvl="1">
      <w:lvlJc w:val="left"/>
      <w:lvlText w:val="(%2)"/>
      <w:numFmt w:val="lowerLetter"/>
      <w:start w:val="1"/>
    </w:lvl>
  </w:abstractNum>
  <w:abstractNum w:abstractNumId="381">
    <w:nsid w:val="3D4B955A"/>
    <w:multiLevelType w:val="hybridMultilevel"/>
    <w:lvl w:ilvl="0">
      <w:lvlJc w:val="left"/>
      <w:lvlText w:val="%1."/>
      <w:numFmt w:val="decimal"/>
      <w:start w:val="9"/>
    </w:lvl>
  </w:abstractNum>
  <w:abstractNum w:abstractNumId="382">
    <w:nsid w:val="5B4A22B5"/>
    <w:multiLevelType w:val="hybridMultilevel"/>
    <w:lvl w:ilvl="0">
      <w:lvlJc w:val="left"/>
      <w:lvlText w:val="%1."/>
      <w:numFmt w:val="decimal"/>
      <w:start w:val="14"/>
    </w:lvl>
    <w:lvl w:ilvl="1">
      <w:lvlJc w:val="left"/>
      <w:lvlText w:val="(%2)"/>
      <w:numFmt w:val="lowerLetter"/>
      <w:start w:val="1"/>
    </w:lvl>
  </w:abstractNum>
  <w:abstractNum w:abstractNumId="383">
    <w:nsid w:val="4B294578"/>
    <w:multiLevelType w:val="hybridMultilevel"/>
    <w:lvl w:ilvl="0">
      <w:lvlJc w:val="left"/>
      <w:lvlText w:val="(%1)"/>
      <w:numFmt w:val="lowerLetter"/>
      <w:start w:val="2"/>
    </w:lvl>
  </w:abstractNum>
  <w:abstractNum w:abstractNumId="384">
    <w:nsid w:val="22317590"/>
    <w:multiLevelType w:val="hybridMultilevel"/>
    <w:lvl w:ilvl="0">
      <w:lvlJc w:val="left"/>
      <w:lvlText w:val="%1"/>
      <w:numFmt w:val="lowerLetter"/>
      <w:start w:val="1"/>
    </w:lvl>
    <w:lvl w:ilvl="1">
      <w:lvlJc w:val="left"/>
      <w:lvlText w:val="(%2)"/>
      <w:numFmt w:val="lowerLetter"/>
      <w:start w:val="3"/>
    </w:lvl>
  </w:abstractNum>
  <w:abstractNum w:abstractNumId="385">
    <w:nsid w:val="37A58EEF"/>
    <w:multiLevelType w:val="hybridMultilevel"/>
    <w:lvl w:ilvl="0">
      <w:lvlJc w:val="left"/>
      <w:lvlText w:val="(%1)"/>
      <w:numFmt w:val="lowerLetter"/>
      <w:start w:val="9"/>
    </w:lvl>
    <w:lvl w:ilvl="1">
      <w:lvlJc w:val="left"/>
      <w:lvlText w:val="%2"/>
      <w:numFmt w:val="lowerLetter"/>
      <w:start w:val="1"/>
    </w:lvl>
  </w:abstractNum>
  <w:abstractNum w:abstractNumId="386">
    <w:nsid w:val="283290FD"/>
    <w:multiLevelType w:val="hybridMultilevel"/>
    <w:lvl w:ilvl="0">
      <w:lvlJc w:val="left"/>
      <w:lvlText w:val="(%1)"/>
      <w:numFmt w:val="lowerLetter"/>
      <w:start w:val="5"/>
    </w:lvl>
  </w:abstractNum>
  <w:abstractNum w:abstractNumId="387">
    <w:nsid w:val="495C0EA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388">
    <w:nsid w:val="A4A062B"/>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389">
    <w:nsid w:val="3BED7940"/>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390">
    <w:nsid w:val="54E56D64"/>
    <w:multiLevelType w:val="hybridMultilevel"/>
    <w:lvl w:ilvl="0">
      <w:lvlJc w:val="left"/>
      <w:lvlText w:val="%1."/>
      <w:numFmt w:val="decimal"/>
      <w:start w:val="19"/>
    </w:lvl>
    <w:lvl w:ilvl="1">
      <w:lvlJc w:val="left"/>
      <w:lvlText w:val="(%2)"/>
      <w:numFmt w:val="lowerLetter"/>
      <w:start w:val="1"/>
    </w:lvl>
  </w:abstractNum>
  <w:abstractNum w:abstractNumId="391">
    <w:nsid w:val="6EB42955"/>
    <w:multiLevelType w:val="hybridMultilevel"/>
    <w:lvl w:ilvl="0">
      <w:lvlJc w:val="left"/>
      <w:lvlText w:val="(%1)"/>
      <w:numFmt w:val="lowerLetter"/>
      <w:start w:val="2"/>
    </w:lvl>
  </w:abstractNum>
  <w:abstractNum w:abstractNumId="392">
    <w:nsid w:val="29EFA642"/>
    <w:multiLevelType w:val="hybridMultilevel"/>
    <w:lvl w:ilvl="0">
      <w:lvlJc w:val="left"/>
      <w:lvlText w:val="(%1)"/>
      <w:numFmt w:val="lowerLetter"/>
      <w:start w:val="3"/>
    </w:lvl>
  </w:abstractNum>
  <w:abstractNum w:abstractNumId="393">
    <w:nsid w:val="7E337D35"/>
    <w:multiLevelType w:val="hybridMultilevel"/>
    <w:lvl w:ilvl="0">
      <w:lvlJc w:val="left"/>
      <w:lvlText w:val="(%1)"/>
      <w:numFmt w:val="lowerLetter"/>
      <w:start w:val="1"/>
    </w:lvl>
    <w:lvl w:ilvl="1">
      <w:lvlJc w:val="left"/>
      <w:lvlText w:val="(%2)"/>
      <w:numFmt w:val="lowerLetter"/>
      <w:start w:val="9"/>
    </w:lvl>
  </w:abstractNum>
  <w:abstractNum w:abstractNumId="394">
    <w:nsid w:val="1F8C83AB"/>
    <w:multiLevelType w:val="hybridMultilevel"/>
    <w:lvl w:ilvl="0">
      <w:lvlJc w:val="left"/>
      <w:lvlText w:val="(%1)"/>
      <w:numFmt w:val="lowerRoman"/>
      <w:start w:val="2"/>
    </w:lvl>
  </w:abstractNum>
  <w:abstractNum w:abstractNumId="395">
    <w:nsid w:val="18F40A33"/>
    <w:multiLevelType w:val="hybridMultilevel"/>
    <w:lvl w:ilvl="0">
      <w:lvlJc w:val="left"/>
      <w:lvlText w:val="(%1)"/>
      <w:numFmt w:val="lowerLetter"/>
      <w:start w:val="2"/>
    </w:lvl>
  </w:abstractNum>
  <w:abstractNum w:abstractNumId="396">
    <w:nsid w:val="1059DF71"/>
    <w:multiLevelType w:val="hybridMultilevel"/>
    <w:lvl w:ilvl="0">
      <w:lvlJc w:val="left"/>
      <w:lvlText w:val="(%1)"/>
      <w:numFmt w:val="lowerLetter"/>
      <w:start w:val="1"/>
    </w:lvl>
  </w:abstractNum>
  <w:abstractNum w:abstractNumId="397">
    <w:nsid w:val="CF19F38"/>
    <w:multiLevelType w:val="hybridMultilevel"/>
    <w:lvl w:ilvl="0">
      <w:lvlJc w:val="left"/>
      <w:lvlText w:val="(%1)"/>
      <w:numFmt w:val="lowerLetter"/>
      <w:start w:val="6"/>
    </w:lvl>
  </w:abstractNum>
  <w:abstractNum w:abstractNumId="398">
    <w:nsid w:val="4AE135E2"/>
    <w:multiLevelType w:val="hybridMultilevel"/>
    <w:lvl w:ilvl="0">
      <w:lvlJc w:val="left"/>
      <w:lvlText w:val="(%1)"/>
      <w:numFmt w:val="lowerLetter"/>
      <w:start w:val="1"/>
    </w:lvl>
  </w:abstractNum>
  <w:abstractNum w:abstractNumId="399">
    <w:nsid w:val="7BD1DCF"/>
    <w:multiLevelType w:val="hybridMultilevel"/>
    <w:lvl w:ilvl="0">
      <w:lvlJc w:val="left"/>
      <w:lvlText w:val="(%1)"/>
      <w:numFmt w:val="lowerLetter"/>
      <w:start w:val="2"/>
    </w:lvl>
  </w:abstractNum>
  <w:abstractNum w:abstractNumId="400">
    <w:nsid w:val="A91E1DC"/>
    <w:multiLevelType w:val="hybridMultilevel"/>
    <w:lvl w:ilvl="0">
      <w:lvlJc w:val="left"/>
      <w:lvlText w:val="(%1)"/>
      <w:numFmt w:val="lowerLetter"/>
      <w:start w:val="1"/>
    </w:lvl>
  </w:abstractNum>
  <w:abstractNum w:abstractNumId="401">
    <w:nsid w:val="1236898D"/>
    <w:multiLevelType w:val="hybridMultilevel"/>
    <w:lvl w:ilvl="0">
      <w:lvlJc w:val="left"/>
      <w:lvlText w:val="(%1)"/>
      <w:numFmt w:val="lowerLetter"/>
      <w:start w:val="2"/>
    </w:lvl>
  </w:abstractNum>
  <w:abstractNum w:abstractNumId="402">
    <w:nsid w:val="62710862"/>
    <w:multiLevelType w:val="hybridMultilevel"/>
    <w:lvl w:ilvl="0">
      <w:lvlJc w:val="left"/>
      <w:lvlText w:val="(%1)"/>
      <w:numFmt w:val="lowerLetter"/>
      <w:start w:val="3"/>
    </w:lvl>
  </w:abstractNum>
  <w:abstractNum w:abstractNumId="403">
    <w:nsid w:val="7EA94A2B"/>
    <w:multiLevelType w:val="hybridMultilevel"/>
    <w:lvl w:ilvl="0">
      <w:lvlJc w:val="left"/>
      <w:lvlText w:val="(%1)"/>
      <w:numFmt w:val="lowerLetter"/>
      <w:start w:val="1"/>
    </w:lvl>
    <w:lvl w:ilvl="1">
      <w:lvlJc w:val="left"/>
      <w:lvlText w:val="(%2)"/>
      <w:numFmt w:val="lowerRoman"/>
      <w:start w:val="1"/>
    </w:lvl>
  </w:abstractNum>
  <w:abstractNum w:abstractNumId="404">
    <w:nsid w:val="20D49DA3"/>
    <w:multiLevelType w:val="hybridMultilevel"/>
    <w:lvl w:ilvl="0">
      <w:lvlJc w:val="left"/>
      <w:lvlText w:val="(%1)"/>
      <w:numFmt w:val="lowerLetter"/>
      <w:start w:val="3"/>
    </w:lvl>
  </w:abstractNum>
  <w:abstractNum w:abstractNumId="405">
    <w:nsid w:val="6272919F"/>
    <w:multiLevelType w:val="hybridMultilevel"/>
    <w:lvl w:ilvl="0">
      <w:lvlJc w:val="left"/>
      <w:lvlText w:val="(%1)"/>
      <w:numFmt w:val="lowerLetter"/>
      <w:start w:val="4"/>
    </w:lvl>
  </w:abstractNum>
  <w:abstractNum w:abstractNumId="406">
    <w:nsid w:val="127DED1D"/>
    <w:multiLevelType w:val="hybridMultilevel"/>
    <w:lvl w:ilvl="0">
      <w:lvlJc w:val="left"/>
      <w:lvlText w:val="(%1)"/>
      <w:numFmt w:val="lowerRoman"/>
      <w:start w:val="1"/>
    </w:lvl>
  </w:abstractNum>
  <w:abstractNum w:abstractNumId="407">
    <w:nsid w:val="483966AA"/>
    <w:multiLevelType w:val="hybridMultilevel"/>
    <w:lvl w:ilvl="0">
      <w:lvlJc w:val="left"/>
      <w:lvlText w:val="%1."/>
      <w:numFmt w:val="decimal"/>
    </w:lvl>
    <w:lvl w:ilvl="1">
      <w:lvlJc w:val="left"/>
      <w:lvlText w:val="o"/>
      <w:numFmt w:val="bullet"/>
      <w:start w:val="1"/>
    </w:lvl>
  </w:abstractNum>
  <w:abstractNum w:abstractNumId="408">
    <w:nsid w:val="667FC831"/>
    <w:multiLevelType w:val="hybridMultilevel"/>
    <w:lvl w:ilvl="0">
      <w:lvlJc w:val="left"/>
      <w:lvlText w:val="%1."/>
      <w:numFmt w:val="decimal"/>
      <w:start w:val="2"/>
    </w:lvl>
    <w:lvl w:ilvl="1">
      <w:lvlJc w:val="left"/>
      <w:lvlText w:val="(%2)"/>
      <w:numFmt w:val="lowerLetter"/>
      <w:start w:val="1"/>
    </w:lvl>
  </w:abstractNum>
  <w:abstractNum w:abstractNumId="409">
    <w:nsid w:val="34ADB582"/>
    <w:multiLevelType w:val="hybridMultilevel"/>
    <w:lvl w:ilvl="0">
      <w:lvlJc w:val="left"/>
      <w:lvlText w:val="%1."/>
      <w:numFmt w:val="decimal"/>
      <w:start w:val="3"/>
    </w:lvl>
    <w:lvl w:ilvl="1">
      <w:lvlJc w:val="left"/>
      <w:lvlText w:val="(%2)"/>
      <w:numFmt w:val="lowerLetter"/>
      <w:start w:val="1"/>
    </w:lvl>
  </w:abstractNum>
  <w:abstractNum w:abstractNumId="410">
    <w:nsid w:val="4CB58EA4"/>
    <w:multiLevelType w:val="hybridMultilevel"/>
    <w:lvl w:ilvl="0">
      <w:lvlJc w:val="left"/>
      <w:lvlText w:val="(%1)"/>
      <w:numFmt w:val="lowerLetter"/>
      <w:start w:val="2"/>
    </w:lvl>
  </w:abstractNum>
  <w:abstractNum w:abstractNumId="411">
    <w:nsid w:val="39629FF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12">
    <w:nsid w:val="71F94ADC"/>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413">
    <w:nsid w:val="27FFB15A"/>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414">
    <w:nsid w:val="48BE573"/>
    <w:multiLevelType w:val="hybridMultilevel"/>
    <w:lvl w:ilvl="0">
      <w:lvlJc w:val="left"/>
      <w:lvlText w:val="%1."/>
      <w:numFmt w:val="decimal"/>
      <w:start w:val="6"/>
    </w:lvl>
    <w:lvl w:ilvl="1">
      <w:lvlJc w:val="left"/>
      <w:lvlText w:val="(%2)"/>
      <w:numFmt w:val="lowerLetter"/>
      <w:start w:val="1"/>
    </w:lvl>
  </w:abstractNum>
  <w:abstractNum w:abstractNumId="415">
    <w:nsid w:val="142AC06C"/>
    <w:multiLevelType w:val="hybridMultilevel"/>
    <w:lvl w:ilvl="0">
      <w:lvlJc w:val="left"/>
      <w:lvlText w:val="%1."/>
      <w:numFmt w:val="decimal"/>
      <w:start w:val="9"/>
    </w:lvl>
  </w:abstractNum>
  <w:abstractNum w:abstractNumId="416">
    <w:nsid w:val="5FA54049"/>
    <w:multiLevelType w:val="hybridMultilevel"/>
    <w:lvl w:ilvl="0">
      <w:lvlJc w:val="left"/>
      <w:lvlText w:val="(%1)"/>
      <w:numFmt w:val="lowerLetter"/>
      <w:start w:val="1"/>
    </w:lvl>
  </w:abstractNum>
  <w:abstractNum w:abstractNumId="417">
    <w:nsid w:val="2CBE7670"/>
    <w:multiLevelType w:val="hybridMultilevel"/>
    <w:lvl w:ilvl="0">
      <w:lvlJc w:val="left"/>
      <w:lvlText w:val="%1"/>
      <w:numFmt w:val="decimal"/>
      <w:start w:val="1"/>
    </w:lvl>
    <w:lvl w:ilvl="1">
      <w:lvlJc w:val="left"/>
      <w:lvlText w:val="(%2)"/>
      <w:numFmt w:val="lowerLetter"/>
      <w:start w:val="2"/>
    </w:lvl>
  </w:abstractNum>
  <w:abstractNum w:abstractNumId="418">
    <w:nsid w:val="5D86CF11"/>
    <w:multiLevelType w:val="hybridMultilevel"/>
    <w:lvl w:ilvl="0">
      <w:lvlJc w:val="left"/>
      <w:lvlText w:val="%1."/>
      <w:numFmt w:val="decimal"/>
      <w:start w:val="10"/>
    </w:lvl>
    <w:lvl w:ilvl="1">
      <w:lvlJc w:val="left"/>
      <w:lvlText w:val="(%2)"/>
      <w:numFmt w:val="lowerLetter"/>
      <w:start w:val="1"/>
    </w:lvl>
  </w:abstractNum>
  <w:abstractNum w:abstractNumId="419">
    <w:nsid w:val="69EF4674"/>
    <w:multiLevelType w:val="hybridMultilevel"/>
    <w:lvl w:ilvl="0">
      <w:lvlJc w:val="left"/>
      <w:lvlText w:val="%1"/>
      <w:numFmt w:val="decimal"/>
      <w:start w:val="1"/>
    </w:lvl>
    <w:lvl w:ilvl="1">
      <w:lvlJc w:val="left"/>
      <w:lvlText w:val="(%2)"/>
      <w:numFmt w:val="lowerLetter"/>
      <w:start w:val="2"/>
    </w:lvl>
  </w:abstractNum>
  <w:abstractNum w:abstractNumId="420">
    <w:nsid w:val="68ABEFB0"/>
    <w:multiLevelType w:val="hybridMultilevel"/>
    <w:lvl w:ilvl="0">
      <w:lvlJc w:val="left"/>
      <w:lvlText w:val="%1."/>
      <w:numFmt w:val="decimal"/>
      <w:start w:val="13"/>
    </w:lvl>
    <w:lvl w:ilvl="1">
      <w:lvlJc w:val="left"/>
      <w:lvlText w:val="(%2)"/>
      <w:numFmt w:val="lowerLetter"/>
      <w:start w:val="1"/>
    </w:lvl>
  </w:abstractNum>
  <w:abstractNum w:abstractNumId="421">
    <w:nsid w:val="326C3C76"/>
    <w:multiLevelType w:val="hybridMultilevel"/>
    <w:lvl w:ilvl="0">
      <w:lvlJc w:val="left"/>
      <w:lvlText w:val="%1."/>
      <w:numFmt w:val="decimal"/>
      <w:start w:val="14"/>
    </w:lvl>
  </w:abstractNum>
  <w:abstractNum w:abstractNumId="422">
    <w:nsid w:val="58A36FCA"/>
    <w:multiLevelType w:val="hybridMultilevel"/>
    <w:lvl w:ilvl="0">
      <w:lvlJc w:val="left"/>
      <w:lvlText w:val="(%1)"/>
      <w:numFmt w:val="decimal"/>
      <w:start w:val="24"/>
    </w:lvl>
  </w:abstractNum>
  <w:abstractNum w:abstractNumId="423">
    <w:nsid w:val="129B95F2"/>
    <w:multiLevelType w:val="hybridMultilevel"/>
    <w:lvl w:ilvl="0">
      <w:lvlJc w:val="left"/>
      <w:lvlText w:val="(%1)"/>
      <w:numFmt w:val="lowerRoman"/>
      <w:start w:val="3"/>
    </w:lvl>
  </w:abstractNum>
  <w:abstractNum w:abstractNumId="424">
    <w:nsid w:val="309FB9AB"/>
    <w:multiLevelType w:val="hybridMultilevel"/>
    <w:lvl w:ilvl="0">
      <w:lvlJc w:val="left"/>
      <w:lvlText w:val="(%1)"/>
      <w:numFmt w:val="lowerLetter"/>
      <w:start w:val="1"/>
    </w:lvl>
    <w:lvl w:ilvl="1">
      <w:lvlJc w:val="left"/>
      <w:lvlText w:val="(%2)"/>
      <w:numFmt w:val="lowerLetter"/>
      <w:start w:val="9"/>
    </w:lvl>
  </w:abstractNum>
  <w:abstractNum w:abstractNumId="425">
    <w:nsid w:val="782FF375"/>
    <w:multiLevelType w:val="hybridMultilevel"/>
    <w:lvl w:ilvl="0">
      <w:lvlJc w:val="left"/>
      <w:lvlText w:val="(%1)"/>
      <w:numFmt w:val="lowerRoman"/>
      <w:start w:val="2"/>
    </w:lvl>
  </w:abstractNum>
  <w:abstractNum w:abstractNumId="426">
    <w:nsid w:val="2B8FA025"/>
    <w:multiLevelType w:val="hybridMultilevel"/>
    <w:lvl w:ilvl="0">
      <w:lvlJc w:val="left"/>
      <w:lvlText w:val="(%1)"/>
      <w:numFmt w:val="lowerRoman"/>
      <w:start w:val="4"/>
    </w:lvl>
  </w:abstractNum>
  <w:abstractNum w:abstractNumId="427">
    <w:nsid w:val="40F9991C"/>
    <w:multiLevelType w:val="hybridMultilevel"/>
    <w:lvl w:ilvl="0">
      <w:lvlJc w:val="left"/>
      <w:lvlText w:val="(%1)"/>
      <w:numFmt w:val="lowerLetter"/>
      <w:start w:val="2"/>
    </w:lvl>
  </w:abstractNum>
  <w:abstractNum w:abstractNumId="428">
    <w:nsid w:val="52192AD"/>
    <w:multiLevelType w:val="hybridMultilevel"/>
    <w:lvl w:ilvl="0">
      <w:lvlJc w:val="left"/>
      <w:lvlText w:val="(%1)"/>
      <w:numFmt w:val="lowerLetter"/>
      <w:start w:val="3"/>
    </w:lvl>
  </w:abstractNum>
  <w:abstractNum w:abstractNumId="429">
    <w:nsid w:val="7670D608"/>
    <w:multiLevelType w:val="hybridMultilevel"/>
    <w:lvl w:ilvl="0">
      <w:lvlJc w:val="left"/>
      <w:lvlText w:val="(%1)"/>
      <w:numFmt w:val="lowerLetter"/>
      <w:start w:val="1"/>
    </w:lvl>
  </w:abstractNum>
  <w:abstractNum w:abstractNumId="430">
    <w:nsid w:val="48B6B6EB"/>
    <w:multiLevelType w:val="hybridMultilevel"/>
    <w:lvl w:ilvl="0">
      <w:lvlJc w:val="left"/>
      <w:lvlText w:val="(%1)"/>
      <w:numFmt w:val="lowerLetter"/>
      <w:start w:val="1"/>
    </w:lvl>
  </w:abstractNum>
  <w:abstractNum w:abstractNumId="431">
    <w:nsid w:val="FB37489"/>
    <w:multiLevelType w:val="hybridMultilevel"/>
    <w:lvl w:ilvl="0">
      <w:lvlJc w:val="left"/>
      <w:lvlText w:val="(%1)"/>
      <w:numFmt w:val="lowerLetter"/>
      <w:start w:val="6"/>
    </w:lvl>
  </w:abstractNum>
  <w:abstractNum w:abstractNumId="432">
    <w:nsid w:val="8A75F95"/>
    <w:multiLevelType w:val="hybridMultilevel"/>
    <w:lvl w:ilvl="0">
      <w:lvlJc w:val="left"/>
      <w:lvlText w:val="(%1)"/>
      <w:numFmt w:val="lowerLetter"/>
      <w:start w:val="1"/>
    </w:lvl>
  </w:abstractNum>
  <w:abstractNum w:abstractNumId="433">
    <w:nsid w:val="2B27BF4D"/>
    <w:multiLevelType w:val="hybridMultilevel"/>
    <w:lvl w:ilvl="0">
      <w:lvlJc w:val="left"/>
      <w:lvlText w:val="(%1)"/>
      <w:numFmt w:val="lowerLetter"/>
      <w:start w:val="2"/>
    </w:lvl>
  </w:abstractNum>
  <w:abstractNum w:abstractNumId="434">
    <w:nsid w:val="E5CBEB4"/>
    <w:multiLevelType w:val="hybridMultilevel"/>
    <w:lvl w:ilvl="0">
      <w:lvlJc w:val="left"/>
      <w:lvlText w:val="(%1)"/>
      <w:numFmt w:val="lowerLetter"/>
      <w:start w:val="4"/>
    </w:lvl>
  </w:abstractNum>
  <w:abstractNum w:abstractNumId="435">
    <w:nsid w:val="297BFD38"/>
    <w:multiLevelType w:val="hybridMultilevel"/>
    <w:lvl w:ilvl="0">
      <w:lvlJc w:val="left"/>
      <w:lvlText w:val="(%1)"/>
      <w:numFmt w:val="lowerLetter"/>
      <w:start w:val="1"/>
    </w:lvl>
  </w:abstractNum>
  <w:abstractNum w:abstractNumId="436">
    <w:nsid w:val="D9A50ED"/>
    <w:multiLevelType w:val="hybridMultilevel"/>
    <w:lvl w:ilvl="0">
      <w:lvlJc w:val="left"/>
      <w:lvlText w:val="(%1)"/>
      <w:numFmt w:val="lowerLetter"/>
      <w:start w:val="2"/>
    </w:lvl>
  </w:abstractNum>
  <w:abstractNum w:abstractNumId="437">
    <w:nsid w:val="20DAABD1"/>
    <w:multiLevelType w:val="hybridMultilevel"/>
    <w:lvl w:ilvl="0">
      <w:lvlJc w:val="left"/>
      <w:lvlText w:val="(%1)"/>
      <w:numFmt w:val="lowerLetter"/>
      <w:start w:val="3"/>
    </w:lvl>
  </w:abstractNum>
  <w:abstractNum w:abstractNumId="438">
    <w:nsid w:val="71B563E3"/>
    <w:multiLevelType w:val="hybridMultilevel"/>
    <w:lvl w:ilvl="0">
      <w:lvlJc w:val="left"/>
      <w:lvlText w:val="(%1)"/>
      <w:numFmt w:val="lowerLetter"/>
      <w:start w:val="1"/>
    </w:lvl>
  </w:abstractNum>
  <w:abstractNum w:abstractNumId="439">
    <w:nsid w:val="741A191E"/>
    <w:multiLevelType w:val="hybridMultilevel"/>
    <w:lvl w:ilvl="0">
      <w:lvlJc w:val="left"/>
      <w:lvlText w:val="(%1)"/>
      <w:numFmt w:val="lowerLetter"/>
      <w:start w:val="2"/>
    </w:lvl>
  </w:abstractNum>
  <w:abstractNum w:abstractNumId="440">
    <w:nsid w:val="55886153"/>
    <w:multiLevelType w:val="hybridMultilevel"/>
    <w:lvl w:ilvl="0">
      <w:lvlJc w:val="left"/>
      <w:lvlText w:val="(%1)"/>
      <w:numFmt w:val="lowerLetter"/>
      <w:start w:val="1"/>
    </w:lvl>
  </w:abstractNum>
  <w:abstractNum w:abstractNumId="441">
    <w:nsid w:val="3E6AF287"/>
    <w:multiLevelType w:val="hybridMultilevel"/>
    <w:lvl w:ilvl="0">
      <w:lvlJc w:val="left"/>
      <w:lvlText w:val="(%1)"/>
      <w:numFmt w:val="lowerLetter"/>
      <w:start w:val="1"/>
    </w:lvl>
  </w:abstractNum>
  <w:abstractNum w:abstractNumId="442">
    <w:nsid w:val="2D7CB919"/>
    <w:multiLevelType w:val="hybridMultilevel"/>
    <w:lvl w:ilvl="0">
      <w:lvlJc w:val="left"/>
      <w:lvlText w:val="(%1)"/>
      <w:numFmt w:val="lowerLetter"/>
      <w:start w:val="2"/>
    </w:lvl>
  </w:abstractNum>
  <w:abstractNum w:abstractNumId="443">
    <w:nsid w:val="4781AC2F"/>
    <w:multiLevelType w:val="hybridMultilevel"/>
    <w:lvl w:ilvl="0">
      <w:lvlJc w:val="left"/>
      <w:lvlText w:val="(%1)"/>
      <w:numFmt w:val="lowerLetter"/>
      <w:start w:val="1"/>
    </w:lvl>
  </w:abstractNum>
  <w:abstractNum w:abstractNumId="444">
    <w:nsid w:val="666AA3E1"/>
    <w:multiLevelType w:val="hybridMultilevel"/>
    <w:lvl w:ilvl="0">
      <w:lvlJc w:val="left"/>
      <w:lvlText w:val="(%1)"/>
      <w:numFmt w:val="lowerLetter"/>
      <w:start w:val="2"/>
    </w:lvl>
  </w:abstractNum>
  <w:abstractNum w:abstractNumId="445">
    <w:nsid w:val="32089E8C"/>
    <w:multiLevelType w:val="hybridMultilevel"/>
    <w:lvl w:ilvl="0">
      <w:lvlJc w:val="left"/>
      <w:lvlText w:val="%1."/>
      <w:numFmt w:val="decimal"/>
    </w:lvl>
    <w:lvl w:ilvl="1">
      <w:lvlJc w:val="left"/>
      <w:lvlText w:val="o"/>
      <w:numFmt w:val="bullet"/>
      <w:start w:val="1"/>
    </w:lvl>
  </w:abstractNum>
  <w:abstractNum w:abstractNumId="446">
    <w:nsid w:val="5BAC6C9C"/>
    <w:multiLevelType w:val="hybridMultilevel"/>
    <w:lvl w:ilvl="0">
      <w:lvlJc w:val="left"/>
      <w:lvlText w:val="%1."/>
      <w:numFmt w:val="decimal"/>
      <w:start w:val="3"/>
    </w:lvl>
  </w:abstractNum>
  <w:abstractNum w:abstractNumId="447">
    <w:nsid w:val="460FE42B"/>
    <w:multiLevelType w:val="hybridMultilevel"/>
    <w:lvl w:ilvl="0">
      <w:lvlJc w:val="left"/>
      <w:lvlText w:val="(%1)"/>
      <w:numFmt w:val="lowerLetter"/>
      <w:start w:val="1"/>
    </w:lvl>
  </w:abstractNum>
  <w:abstractNum w:abstractNumId="448">
    <w:nsid w:val="5EC714FC"/>
    <w:multiLevelType w:val="hybridMultilevel"/>
    <w:lvl w:ilvl="0">
      <w:lvlJc w:val="left"/>
      <w:lvlText w:val="%1."/>
      <w:numFmt w:val="decimal"/>
      <w:start w:val="4"/>
    </w:lvl>
  </w:abstractNum>
  <w:abstractNum w:abstractNumId="449">
    <w:nsid w:val="39333BAD"/>
    <w:multiLevelType w:val="hybridMultilevel"/>
    <w:lvl w:ilvl="0">
      <w:lvlJc w:val="left"/>
      <w:lvlText w:val="(%1)"/>
      <w:numFmt w:val="lowerLetter"/>
      <w:start w:val="1"/>
    </w:lvl>
  </w:abstractNum>
  <w:abstractNum w:abstractNumId="450">
    <w:nsid w:val="2FFF2A9F"/>
    <w:multiLevelType w:val="hybridMultilevel"/>
    <w:lvl w:ilvl="0">
      <w:lvlJc w:val="left"/>
      <w:lvlText w:val="(%1)"/>
      <w:numFmt w:val="lowerLetter"/>
      <w:start w:val="2"/>
    </w:lvl>
  </w:abstractNum>
  <w:abstractNum w:abstractNumId="451">
    <w:nsid w:val="477304AC"/>
    <w:multiLevelType w:val="hybridMultilevel"/>
    <w:lvl w:ilvl="0">
      <w:lvlJc w:val="left"/>
      <w:lvlText w:val="%1."/>
      <w:numFmt w:val="decimal"/>
      <w:start w:val="7"/>
    </w:lvl>
  </w:abstractNum>
  <w:abstractNum w:abstractNumId="452">
    <w:nsid w:val="6B9F7823"/>
    <w:multiLevelType w:val="hybridMultilevel"/>
    <w:lvl w:ilvl="0">
      <w:lvlJc w:val="left"/>
      <w:lvlText w:val="%1."/>
      <w:numFmt w:val="decimal"/>
      <w:start w:val="9"/>
    </w:lvl>
  </w:abstractNum>
  <w:abstractNum w:abstractNumId="453">
    <w:nsid w:val="8A29A69"/>
    <w:multiLevelType w:val="hybridMultilevel"/>
    <w:lvl w:ilvl="0">
      <w:lvlJc w:val="left"/>
      <w:lvlText w:val="(%1)"/>
      <w:numFmt w:val="lowerLetter"/>
      <w:start w:val="1"/>
    </w:lvl>
  </w:abstractNum>
  <w:abstractNum w:abstractNumId="454">
    <w:nsid w:val="5A0E9A9F"/>
    <w:multiLevelType w:val="hybridMultilevel"/>
    <w:lvl w:ilvl="0">
      <w:lvlJc w:val="left"/>
      <w:lvlText w:val="%1."/>
      <w:numFmt w:val="decimal"/>
      <w:start w:val="12"/>
    </w:lvl>
  </w:abstractNum>
  <w:abstractNum w:abstractNumId="455">
    <w:nsid w:val="1C3F31CE"/>
    <w:multiLevelType w:val="hybridMultilevel"/>
    <w:lvl w:ilvl="0">
      <w:lvlJc w:val="left"/>
      <w:lvlText w:val="%1."/>
      <w:numFmt w:val="decimal"/>
      <w:start w:val="16"/>
    </w:lvl>
  </w:abstractNum>
  <w:abstractNum w:abstractNumId="456">
    <w:nsid w:val="D28DDE"/>
    <w:multiLevelType w:val="hybridMultilevel"/>
    <w:lvl w:ilvl="0">
      <w:lvlJc w:val="left"/>
      <w:lvlText w:val="o"/>
      <w:numFmt w:val="bullet"/>
      <w:start w:val="1"/>
    </w:lvl>
  </w:abstractNum>
  <w:abstractNum w:abstractNumId="457">
    <w:nsid w:val="59E3AC4"/>
    <w:multiLevelType w:val="hybridMultilevel"/>
    <w:lvl w:ilvl="0">
      <w:lvlJc w:val="left"/>
      <w:lvlText w:val="%1."/>
      <w:numFmt w:val="decimal"/>
      <w:start w:val="17"/>
    </w:lvl>
  </w:abstractNum>
  <w:abstractNum w:abstractNumId="458">
    <w:nsid w:val="5D38CAEA"/>
    <w:multiLevelType w:val="hybridMultilevel"/>
    <w:lvl w:ilvl="0">
      <w:lvlJc w:val="left"/>
      <w:lvlText w:val="%1."/>
      <w:numFmt w:val="decimal"/>
      <w:start w:val="23"/>
    </w:lvl>
  </w:abstractNum>
  <w:abstractNum w:abstractNumId="459">
    <w:nsid w:val="5F4208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60">
    <w:nsid w:val="7C0F10CC"/>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461">
    <w:nsid w:val="25EF81D5"/>
    <w:multiLevelType w:val="hybridMultilevel"/>
    <w:lvl w:ilvl="0">
      <w:lvlJc w:val="left"/>
      <w:lvlText w:val="%1"/>
      <w:numFmt w:val="lowerLetter"/>
      <w:start w:val="1"/>
    </w:lvl>
    <w:lvl w:ilvl="1">
      <w:lvlJc w:val="left"/>
      <w:lvlText w:val="(%2)"/>
      <w:numFmt w:val="lowerRoman"/>
      <w:start w:val="4"/>
    </w:lvl>
  </w:abstractNum>
  <w:abstractNum w:abstractNumId="462">
    <w:nsid w:val="15A79515"/>
    <w:multiLevelType w:val="hybridMultilevel"/>
    <w:lvl w:ilvl="0">
      <w:lvlJc w:val="left"/>
      <w:lvlText w:val="(%1)"/>
      <w:numFmt w:val="lowerLetter"/>
      <w:start w:val="8"/>
    </w:lvl>
    <w:lvl w:ilvl="1">
      <w:lvlJc w:val="left"/>
      <w:lvlText w:val="%2"/>
      <w:numFmt w:val="lowerRoman"/>
      <w:start w:val="1"/>
    </w:lvl>
  </w:abstractNum>
  <w:abstractNum w:abstractNumId="463">
    <w:nsid w:val="4B67062"/>
    <w:multiLevelType w:val="hybridMultilevel"/>
    <w:lvl w:ilvl="0">
      <w:lvlJc w:val="left"/>
      <w:lvlText w:val="(%1)"/>
      <w:numFmt w:val="lowerLetter"/>
      <w:start w:val="16"/>
    </w:lvl>
  </w:abstractNum>
  <w:abstractNum w:abstractNumId="464">
    <w:nsid w:val="51174123"/>
    <w:multiLevelType w:val="hybridMultilevel"/>
    <w:lvl w:ilvl="0">
      <w:lvlJc w:val="left"/>
      <w:lvlText w:val="(%1)"/>
      <w:numFmt w:val="lowerLetter"/>
      <w:start w:val="19"/>
    </w:lvl>
    <w:lvl w:ilvl="1">
      <w:lvlJc w:val="left"/>
      <w:lvlText w:val="(%2)"/>
      <w:numFmt w:val="lowerRoman"/>
      <w:start w:val="1"/>
    </w:lvl>
  </w:abstractNum>
  <w:abstractNum w:abstractNumId="465">
    <w:nsid w:val="240453CA"/>
    <w:multiLevelType w:val="hybridMultilevel"/>
    <w:lvl w:ilvl="0">
      <w:lvlJc w:val="left"/>
      <w:lvlText w:val="(%1)"/>
      <w:numFmt w:val="lowerLetter"/>
      <w:start w:val="27"/>
    </w:lvl>
  </w:abstractNum>
  <w:abstractNum w:abstractNumId="466">
    <w:nsid w:val="2E326D9A"/>
    <w:multiLevelType w:val="hybridMultilevel"/>
    <w:lvl w:ilvl="0">
      <w:lvlJc w:val="left"/>
      <w:lvlText w:val="(%1)"/>
      <w:numFmt w:val="lowerLetter"/>
      <w:start w:val="32"/>
    </w:lvl>
  </w:abstractNum>
  <w:abstractNum w:abstractNumId="467">
    <w:nsid w:val="5EB19210"/>
    <w:multiLevelType w:val="hybridMultilevel"/>
    <w:lvl w:ilvl="0">
      <w:lvlJc w:val="left"/>
      <w:lvlText w:val="(%1)"/>
      <w:numFmt w:val="lowerLetter"/>
      <w:start w:val="33"/>
    </w:lvl>
  </w:abstractNum>
  <w:abstractNum w:abstractNumId="468">
    <w:nsid w:val="44DEFF9B"/>
    <w:multiLevelType w:val="hybridMultilevel"/>
    <w:lvl w:ilvl="0">
      <w:lvlJc w:val="left"/>
      <w:lvlText w:val="(%1)"/>
      <w:numFmt w:val="lowerLetter"/>
      <w:start w:val="37"/>
    </w:lvl>
  </w:abstractNum>
  <w:abstractNum w:abstractNumId="469">
    <w:nsid w:val="1FE7D17D"/>
    <w:multiLevelType w:val="hybridMultilevel"/>
    <w:lvl w:ilvl="0">
      <w:lvlJc w:val="left"/>
      <w:lvlText w:val="%1."/>
      <w:numFmt w:val="decimal"/>
      <w:start w:val="3"/>
    </w:lvl>
    <w:lvl w:ilvl="1">
      <w:lvlJc w:val="left"/>
      <w:lvlText w:val="(%2)"/>
      <w:numFmt w:val="lowerLetter"/>
      <w:start w:val="1"/>
    </w:lvl>
  </w:abstractNum>
  <w:abstractNum w:abstractNumId="470">
    <w:nsid w:val="52CBAB2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71">
    <w:nsid w:val="1A6760EF"/>
    <w:multiLevelType w:val="hybridMultilevel"/>
    <w:lvl w:ilvl="0">
      <w:lvlJc w:val="left"/>
      <w:lvlText w:val="(%1)"/>
      <w:numFmt w:val="lowerRoman"/>
      <w:start w:val="2"/>
    </w:lvl>
  </w:abstractNum>
  <w:abstractNum w:abstractNumId="472">
    <w:nsid w:val="5E52C405"/>
    <w:multiLevelType w:val="hybridMultilevel"/>
    <w:lvl w:ilvl="0">
      <w:lvlJc w:val="left"/>
      <w:lvlText w:val="%1"/>
      <w:numFmt w:val="lowerLetter"/>
      <w:start w:val="1"/>
    </w:lvl>
    <w:lvl w:ilvl="1">
      <w:lvlJc w:val="left"/>
      <w:lvlText w:val="(%2)"/>
      <w:numFmt w:val="lowerLetter"/>
      <w:start w:val="22"/>
    </w:lvl>
  </w:abstractNum>
  <w:abstractNum w:abstractNumId="473">
    <w:nsid w:val="486447"/>
    <w:multiLevelType w:val="hybridMultilevel"/>
    <w:lvl w:ilvl="0">
      <w:lvlJc w:val="left"/>
      <w:lvlText w:val="(%1)"/>
      <w:numFmt w:val="lowerLetter"/>
      <w:start w:val="2"/>
    </w:lvl>
    <w:lvl w:ilvl="1">
      <w:lvlJc w:val="left"/>
      <w:lvlText w:val="(%2)"/>
      <w:numFmt w:val="lowerLetter"/>
      <w:start w:val="9"/>
    </w:lvl>
  </w:abstractNum>
  <w:abstractNum w:abstractNumId="474">
    <w:nsid w:val="61E90D1E"/>
    <w:multiLevelType w:val="hybridMultilevel"/>
    <w:lvl w:ilvl="0">
      <w:lvlJc w:val="left"/>
      <w:lvlText w:val="(%1)"/>
      <w:numFmt w:val="lowerRoman"/>
      <w:start w:val="2"/>
    </w:lvl>
  </w:abstractNum>
  <w:abstractNum w:abstractNumId="475">
    <w:nsid w:val="44BD67E6"/>
    <w:multiLevelType w:val="hybridMultilevel"/>
    <w:lvl w:ilvl="0">
      <w:lvlJc w:val="left"/>
      <w:lvlText w:val="(%1)"/>
      <w:numFmt w:val="lowerRoman"/>
      <w:start w:val="10"/>
    </w:lvl>
  </w:abstractNum>
  <w:abstractNum w:abstractNumId="476">
    <w:nsid w:val="325102D3"/>
    <w:multiLevelType w:val="hybridMultilevel"/>
    <w:lvl w:ilvl="0">
      <w:lvlJc w:val="left"/>
      <w:lvlText w:val="%1"/>
      <w:numFmt w:val="decimal"/>
      <w:start w:val="1"/>
    </w:lvl>
    <w:lvl w:ilvl="1">
      <w:lvlJc w:val="left"/>
      <w:lvlText w:val="(%2)"/>
      <w:numFmt w:val="lowerLetter"/>
      <w:start w:val="3"/>
    </w:lvl>
  </w:abstractNum>
  <w:abstractNum w:abstractNumId="477">
    <w:nsid w:val="3D9579BA"/>
    <w:multiLevelType w:val="hybridMultilevel"/>
    <w:lvl w:ilvl="0">
      <w:lvlJc w:val="left"/>
      <w:lvlText w:val="%1."/>
      <w:numFmt w:val="decimal"/>
      <w:start w:val="5"/>
    </w:lvl>
    <w:lvl w:ilvl="1">
      <w:lvlJc w:val="left"/>
      <w:lvlText w:val="(%2)"/>
      <w:numFmt w:val="lowerLetter"/>
      <w:start w:val="1"/>
    </w:lvl>
  </w:abstractNum>
  <w:abstractNum w:abstractNumId="478">
    <w:nsid w:val="ACD4C11"/>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479">
    <w:nsid w:val="111817CF"/>
    <w:multiLevelType w:val="hybridMultilevel"/>
    <w:lvl w:ilvl="0">
      <w:lvlJc w:val="left"/>
      <w:lvlText w:val="(%1)"/>
      <w:numFmt w:val="lowerRoman"/>
      <w:start w:val="4"/>
    </w:lvl>
  </w:abstractNum>
  <w:abstractNum w:abstractNumId="480">
    <w:nsid w:val="76C8B568"/>
    <w:multiLevelType w:val="hybridMultilevel"/>
    <w:lvl w:ilvl="0">
      <w:lvlJc w:val="left"/>
      <w:lvlText w:val="(%1)"/>
      <w:numFmt w:val="lowerRoman"/>
      <w:start w:val="5"/>
    </w:lvl>
  </w:abstractNum>
  <w:abstractNum w:abstractNumId="481">
    <w:nsid w:val="3ACC76B1"/>
    <w:multiLevelType w:val="hybridMultilevel"/>
    <w:lvl w:ilvl="0">
      <w:lvlJc w:val="left"/>
      <w:lvlText w:val="%1"/>
      <w:numFmt w:val="lowerLetter"/>
      <w:start w:val="1"/>
    </w:lvl>
    <w:lvl w:ilvl="1">
      <w:lvlJc w:val="left"/>
      <w:lvlText w:val="(%2)"/>
      <w:numFmt w:val="lowerRoman"/>
      <w:start w:val="6"/>
    </w:lvl>
  </w:abstractNum>
  <w:abstractNum w:abstractNumId="482">
    <w:nsid w:val="588B1C7C"/>
    <w:multiLevelType w:val="hybridMultilevel"/>
    <w:lvl w:ilvl="0">
      <w:lvlJc w:val="left"/>
      <w:lvlText w:val="(%1)"/>
      <w:numFmt w:val="lowerLetter"/>
      <w:start w:val="4"/>
    </w:lvl>
    <w:lvl w:ilvl="1">
      <w:lvlJc w:val="left"/>
      <w:lvlText w:val="(%2)"/>
      <w:numFmt w:val="lowerRoman"/>
      <w:start w:val="1"/>
    </w:lvl>
  </w:abstractNum>
  <w:abstractNum w:abstractNumId="483">
    <w:nsid w:val="62682D8B"/>
    <w:multiLevelType w:val="hybridMultilevel"/>
    <w:lvl w:ilvl="0">
      <w:lvlJc w:val="left"/>
      <w:lvlText w:val="%1."/>
      <w:numFmt w:val="decimal"/>
      <w:start w:val="8"/>
    </w:lvl>
    <w:lvl w:ilvl="1">
      <w:lvlJc w:val="left"/>
      <w:lvlText w:val="(%2)"/>
      <w:numFmt w:val="lowerLetter"/>
      <w:start w:val="1"/>
    </w:lvl>
  </w:abstractNum>
  <w:abstractNum w:abstractNumId="484">
    <w:nsid w:val="436F111A"/>
    <w:multiLevelType w:val="hybridMultilevel"/>
    <w:lvl w:ilvl="0">
      <w:lvlJc w:val="left"/>
      <w:lvlText w:val="%1"/>
      <w:numFmt w:val="decimal"/>
      <w:start w:val="1"/>
    </w:lvl>
    <w:lvl w:ilvl="1">
      <w:lvlJc w:val="left"/>
      <w:lvlText w:val="(%2)"/>
      <w:numFmt w:val="lowerLetter"/>
      <w:start w:val="5"/>
    </w:lvl>
  </w:abstractNum>
  <w:abstractNum w:abstractNumId="485">
    <w:nsid w:val="3299B71B"/>
    <w:multiLevelType w:val="hybridMultilevel"/>
    <w:lvl w:ilvl="0">
      <w:lvlJc w:val="left"/>
      <w:lvlText w:val="%1."/>
      <w:numFmt w:val="decimal"/>
      <w:start w:val="9"/>
    </w:lvl>
    <w:lvl w:ilvl="1">
      <w:lvlJc w:val="left"/>
      <w:lvlText w:val="(%2)"/>
      <w:numFmt w:val="lowerLetter"/>
      <w:start w:val="1"/>
    </w:lvl>
  </w:abstractNum>
  <w:abstractNum w:abstractNumId="486">
    <w:nsid w:val="7EA75F5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87">
    <w:nsid w:val="44419EF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88">
    <w:nsid w:val="3837F1DF"/>
    <w:multiLevelType w:val="hybridMultilevel"/>
    <w:lvl w:ilvl="0">
      <w:lvlJc w:val="left"/>
      <w:lvlText w:val="%1"/>
      <w:numFmt w:val="decimal"/>
      <w:start w:val="1"/>
    </w:lvl>
    <w:lvl w:ilvl="1">
      <w:lvlJc w:val="left"/>
      <w:lvlText w:val="(%2)"/>
      <w:numFmt w:val="lowerLetter"/>
      <w:start w:val="5"/>
    </w:lvl>
  </w:abstractNum>
  <w:abstractNum w:abstractNumId="489">
    <w:nsid w:val="5BE02A44"/>
    <w:multiLevelType w:val="hybridMultilevel"/>
    <w:lvl w:ilvl="0">
      <w:lvlJc w:val="left"/>
      <w:lvlText w:val="%1."/>
      <w:numFmt w:val="decimal"/>
      <w:start w:val="11"/>
    </w:lvl>
    <w:lvl w:ilvl="1">
      <w:lvlJc w:val="left"/>
      <w:lvlText w:val="%2"/>
      <w:numFmt w:val="lowerLetter"/>
      <w:start w:val="1"/>
    </w:lvl>
  </w:abstractNum>
  <w:abstractNum w:abstractNumId="490">
    <w:nsid w:val="4A35BF85"/>
    <w:multiLevelType w:val="hybridMultilevel"/>
    <w:lvl w:ilvl="0">
      <w:lvlJc w:val="left"/>
      <w:lvlText w:val="%1."/>
      <w:numFmt w:val="decimal"/>
      <w:start w:val="12"/>
    </w:lvl>
    <w:lvl w:ilvl="1">
      <w:lvlJc w:val="left"/>
      <w:lvlText w:val="(%2)"/>
      <w:numFmt w:val="lowerLetter"/>
      <w:start w:val="1"/>
    </w:lvl>
  </w:abstractNum>
  <w:abstractNum w:abstractNumId="491">
    <w:nsid w:val="344702AC"/>
    <w:multiLevelType w:val="hybridMultilevel"/>
    <w:lvl w:ilvl="0">
      <w:lvlJc w:val="left"/>
      <w:lvlText w:val="(%1)"/>
      <w:numFmt w:val="lowerLetter"/>
      <w:start w:val="2"/>
    </w:lvl>
    <w:lvl w:ilvl="1">
      <w:lvlJc w:val="left"/>
      <w:lvlText w:val="(%2)"/>
      <w:numFmt w:val="lowerLetter"/>
      <w:start w:val="9"/>
    </w:lvl>
  </w:abstractNum>
  <w:abstractNum w:abstractNumId="492">
    <w:nsid w:val="1CFAC1A"/>
    <w:multiLevelType w:val="hybridMultilevel"/>
    <w:lvl w:ilvl="0">
      <w:lvlJc w:val="left"/>
      <w:lvlText w:val="(%1)"/>
      <w:numFmt w:val="lowerRoman"/>
      <w:start w:val="2"/>
    </w:lvl>
  </w:abstractNum>
  <w:abstractNum w:abstractNumId="493">
    <w:nsid w:val="5FDD549A"/>
    <w:multiLevelType w:val="hybridMultilevel"/>
    <w:lvl w:ilvl="0">
      <w:lvlJc w:val="left"/>
      <w:lvlText w:val="%1"/>
      <w:numFmt w:val="decimal"/>
      <w:start w:val="1"/>
    </w:lvl>
    <w:lvl w:ilvl="1">
      <w:lvlJc w:val="left"/>
      <w:lvlText w:val="(%2)"/>
      <w:numFmt w:val="lowerRoman"/>
      <w:start w:val="3"/>
    </w:lvl>
  </w:abstractNum>
  <w:abstractNum w:abstractNumId="494">
    <w:nsid w:val="38FD730E"/>
    <w:multiLevelType w:val="hybridMultilevel"/>
    <w:lvl w:ilvl="0">
      <w:lvlJc w:val="left"/>
      <w:lvlText w:val="%1."/>
      <w:numFmt w:val="decimal"/>
      <w:start w:val="16"/>
    </w:lvl>
    <w:lvl w:ilvl="1">
      <w:lvlJc w:val="left"/>
      <w:lvlText w:val="%2"/>
      <w:numFmt w:val="lowerRoman"/>
      <w:start w:val="1"/>
    </w:lvl>
  </w:abstractNum>
  <w:abstractNum w:abstractNumId="495">
    <w:nsid w:val="52E6ED3D"/>
    <w:multiLevelType w:val="hybridMultilevel"/>
    <w:lvl w:ilvl="0">
      <w:lvlJc w:val="left"/>
      <w:lvlText w:val="%1."/>
      <w:numFmt w:val="decimal"/>
      <w:start w:val="18"/>
    </w:lvl>
    <w:lvl w:ilvl="1">
      <w:lvlJc w:val="left"/>
      <w:lvlText w:val="(%2)"/>
      <w:numFmt w:val="lowerLetter"/>
      <w:start w:val="1"/>
    </w:lvl>
  </w:abstractNum>
  <w:abstractNum w:abstractNumId="496">
    <w:nsid w:val="3E1A864"/>
    <w:multiLevelType w:val="hybridMultilevel"/>
    <w:lvl w:ilvl="0">
      <w:lvlJc w:val="left"/>
      <w:lvlText w:val="%1."/>
      <w:numFmt w:val="decimal"/>
      <w:start w:val="22"/>
    </w:lvl>
  </w:abstractNum>
  <w:abstractNum w:abstractNumId="497">
    <w:nsid w:val="672FE0A8"/>
    <w:multiLevelType w:val="hybridMultilevel"/>
    <w:lvl w:ilvl="0">
      <w:lvlJc w:val="left"/>
      <w:lvlText w:val="%1."/>
      <w:numFmt w:val="decimal"/>
      <w:start w:val="25"/>
    </w:lvl>
    <w:lvl w:ilvl="1">
      <w:lvlJc w:val="left"/>
      <w:lvlText w:val="(%2)"/>
      <w:numFmt w:val="lowerLetter"/>
      <w:start w:val="1"/>
    </w:lvl>
  </w:abstractNum>
  <w:abstractNum w:abstractNumId="498">
    <w:nsid w:val="31987F4D"/>
    <w:multiLevelType w:val="hybridMultilevel"/>
    <w:lvl w:ilvl="0">
      <w:lvlJc w:val="left"/>
      <w:lvlText w:val="%1"/>
      <w:numFmt w:val="decimal"/>
      <w:start w:val="1"/>
    </w:lvl>
    <w:lvl w:ilvl="1">
      <w:lvlJc w:val="left"/>
      <w:lvlText w:val="(%2)"/>
      <w:numFmt w:val="lowerLetter"/>
      <w:start w:val="3"/>
    </w:lvl>
  </w:abstractNum>
  <w:abstractNum w:abstractNumId="499">
    <w:nsid w:val="48C0A800"/>
    <w:multiLevelType w:val="hybridMultilevel"/>
    <w:lvl w:ilvl="0">
      <w:lvlJc w:val="left"/>
      <w:lvlText w:val="%1."/>
      <w:numFmt w:val="decimal"/>
      <w:start w:val="29"/>
    </w:lvl>
    <w:lvl w:ilvl="1">
      <w:lvlJc w:val="left"/>
      <w:lvlText w:val="%2"/>
      <w:numFmt w:val="lowerLetter"/>
      <w:start w:val="1"/>
    </w:lvl>
  </w:abstractNum>
  <w:abstractNum w:abstractNumId="500">
    <w:nsid w:val="717B226"/>
    <w:multiLevelType w:val="hybridMultilevel"/>
    <w:lvl w:ilvl="0">
      <w:lvlJc w:val="left"/>
      <w:lvlText w:val="["/>
      <w:numFmt w:val="bullet"/>
      <w:start w:val="1"/>
    </w:lvl>
  </w:abstractNum>
  <w:abstractNum w:abstractNumId="501">
    <w:nsid w:val="4642A7B"/>
    <w:multiLevelType w:val="hybridMultilevel"/>
    <w:lvl w:ilvl="0">
      <w:lvlJc w:val="left"/>
      <w:lvlText w:val="%1."/>
      <w:numFmt w:val="decimal"/>
      <w:start w:val="1"/>
    </w:lvl>
    <w:lvl w:ilvl="1">
      <w:lvlJc w:val="left"/>
      <w:lvlText w:val="(%2)"/>
      <w:numFmt w:val="lowerLetter"/>
      <w:start w:val="1"/>
    </w:lvl>
  </w:abstractNum>
  <w:abstractNum w:abstractNumId="502">
    <w:nsid w:val="632808EF"/>
    <w:multiLevelType w:val="hybridMultilevel"/>
    <w:lvl w:ilvl="0">
      <w:lvlJc w:val="left"/>
      <w:lvlText w:val="%1."/>
      <w:numFmt w:val="decimal"/>
      <w:start w:val="5"/>
    </w:lvl>
    <w:lvl w:ilvl="1">
      <w:lvlJc w:val="left"/>
      <w:lvlText w:val="(%2)"/>
      <w:numFmt w:val="lowerLetter"/>
      <w:start w:val="1"/>
    </w:lvl>
  </w:abstractNum>
  <w:abstractNum w:abstractNumId="503">
    <w:nsid w:val="656A762B"/>
    <w:multiLevelType w:val="hybridMultilevel"/>
    <w:lvl w:ilvl="0">
      <w:lvlJc w:val="left"/>
      <w:lvlText w:val="(%1)"/>
      <w:numFmt w:val="lowerLetter"/>
      <w:start w:val="2"/>
    </w:lvl>
  </w:abstractNum>
  <w:abstractNum w:abstractNumId="504">
    <w:nsid w:val="4AC8EC3"/>
    <w:multiLevelType w:val="hybridMultilevel"/>
    <w:lvl w:ilvl="0">
      <w:lvlJc w:val="left"/>
      <w:lvlText w:val="%1"/>
      <w:numFmt w:val="decimal"/>
      <w:start w:val="1"/>
    </w:lvl>
    <w:lvl w:ilvl="1">
      <w:lvlJc w:val="left"/>
      <w:lvlText w:val="(%2)"/>
      <w:numFmt w:val="lowerLetter"/>
      <w:start w:val="3"/>
    </w:lvl>
  </w:abstractNum>
  <w:abstractNum w:abstractNumId="505">
    <w:nsid w:val="4511160D"/>
    <w:multiLevelType w:val="hybridMultilevel"/>
    <w:lvl w:ilvl="0">
      <w:lvlJc w:val="left"/>
      <w:lvlText w:val="%1."/>
      <w:numFmt w:val="decimal"/>
      <w:start w:val="8"/>
    </w:lvl>
    <w:lvl w:ilvl="1">
      <w:lvlJc w:val="left"/>
      <w:lvlText w:val="(%2)"/>
      <w:numFmt w:val="lowerLetter"/>
      <w:start w:val="1"/>
    </w:lvl>
  </w:abstractNum>
  <w:abstractNum w:abstractNumId="506">
    <w:nsid w:val="2A27DE11"/>
    <w:multiLevelType w:val="hybridMultilevel"/>
    <w:lvl w:ilvl="0">
      <w:lvlJc w:val="left"/>
      <w:lvlText w:val="(%1)"/>
      <w:numFmt w:val="lowerLetter"/>
      <w:start w:val="2"/>
    </w:lvl>
  </w:abstractNum>
  <w:abstractNum w:abstractNumId="507">
    <w:nsid w:val="36FD9196"/>
    <w:multiLevelType w:val="hybridMultilevel"/>
    <w:lvl w:ilvl="0">
      <w:lvlJc w:val="left"/>
      <w:lvlText w:val="%1."/>
      <w:numFmt w:val="decimal"/>
      <w:start w:val="10"/>
    </w:lvl>
    <w:lvl w:ilvl="1">
      <w:lvlJc w:val="left"/>
      <w:lvlText w:val="(%2)"/>
      <w:numFmt w:val="lowerLetter"/>
      <w:start w:val="1"/>
    </w:lvl>
  </w:abstractNum>
  <w:abstractNum w:abstractNumId="508">
    <w:nsid w:val="2A68FC8"/>
    <w:multiLevelType w:val="hybridMultilevel"/>
    <w:lvl w:ilvl="0">
      <w:lvlJc w:val="left"/>
      <w:lvlText w:val="%1."/>
      <w:numFmt w:val="decimal"/>
      <w:start w:val="14"/>
    </w:lvl>
  </w:abstractNum>
  <w:abstractNum w:abstractNumId="509">
    <w:nsid w:val="34F52A23"/>
    <w:multiLevelType w:val="hybridMultilevel"/>
    <w:lvl w:ilvl="0">
      <w:lvlJc w:val="left"/>
      <w:lvlText w:val="%1."/>
      <w:numFmt w:val="decimal"/>
      <w:start w:val="15"/>
    </w:lvl>
  </w:abstractNum>
  <w:abstractNum w:abstractNumId="510">
    <w:nsid w:val="4815A966"/>
    <w:multiLevelType w:val="hybridMultilevel"/>
    <w:lvl w:ilvl="0">
      <w:lvlJc w:val="left"/>
      <w:lvlText w:val="%1."/>
      <w:numFmt w:val="decimal"/>
      <w:start w:val="1"/>
    </w:lvl>
  </w:abstractNum>
  <w:abstractNum w:abstractNumId="511">
    <w:nsid w:val="796F4530"/>
    <w:multiLevelType w:val="hybridMultilevel"/>
    <w:lvl w:ilvl="0">
      <w:lvlJc w:val="left"/>
      <w:lvlText w:val="%1."/>
      <w:numFmt w:val="decimal"/>
      <w:start w:val="4"/>
    </w:lvl>
  </w:abstractNum>
  <w:abstractNum w:abstractNumId="512">
    <w:nsid w:val="6FC1A0D4"/>
    <w:multiLevelType w:val="hybridMultilevel"/>
    <w:lvl w:ilvl="0">
      <w:lvlJc w:val="left"/>
      <w:lvlText w:val="%1."/>
      <w:numFmt w:val="decimal"/>
      <w:start w:val="7"/>
    </w:lvl>
  </w:abstractNum>
  <w:abstractNum w:abstractNumId="513">
    <w:nsid w:val="20A0C5E2"/>
    <w:multiLevelType w:val="hybridMultilevel"/>
    <w:lvl w:ilvl="0">
      <w:lvlJc w:val="left"/>
      <w:lvlText w:val="%1."/>
      <w:numFmt w:val="decimal"/>
      <w:start w:val="2"/>
    </w:lvl>
  </w:abstractNum>
  <w:abstractNum w:abstractNumId="514">
    <w:nsid w:val="5BD772BB"/>
    <w:multiLevelType w:val="hybridMultilevel"/>
    <w:lvl w:ilvl="0">
      <w:lvlJc w:val="left"/>
      <w:lvlText w:val="%1."/>
      <w:numFmt w:val="decimal"/>
      <w:start w:val="3"/>
    </w:lvl>
  </w:abstractNum>
  <w:abstractNum w:abstractNumId="515">
    <w:nsid w:val="3330B1EE"/>
    <w:multiLevelType w:val="hybridMultilevel"/>
    <w:lvl w:ilvl="0">
      <w:lvlJc w:val="left"/>
      <w:lvlText w:val="%1."/>
      <w:numFmt w:val="decimal"/>
      <w:start w:val="1"/>
    </w:lvl>
    <w:lvl w:ilvl="1">
      <w:lvlJc w:val="left"/>
      <w:lvlText w:val="(%2)"/>
      <w:numFmt w:val="lowerLetter"/>
      <w:start w:val="1"/>
    </w:lvl>
  </w:abstractNum>
  <w:abstractNum w:abstractNumId="516">
    <w:nsid w:val="533A7CFD"/>
    <w:multiLevelType w:val="hybridMultilevel"/>
    <w:lvl w:ilvl="0">
      <w:lvlJc w:val="left"/>
      <w:lvlText w:val="%1"/>
      <w:numFmt w:val="decimal"/>
      <w:start w:val="1"/>
    </w:lvl>
    <w:lvl w:ilvl="1">
      <w:lvlJc w:val="left"/>
      <w:lvlText w:val="(%2)"/>
      <w:numFmt w:val="lowerLetter"/>
      <w:start w:val="3"/>
    </w:lvl>
  </w:abstractNum>
  <w:abstractNum w:abstractNumId="517">
    <w:nsid w:val="5A7ED215"/>
    <w:multiLevelType w:val="hybridMultilevel"/>
    <w:lvl w:ilvl="0">
      <w:lvlJc w:val="left"/>
      <w:lvlText w:val="%1."/>
      <w:numFmt w:val="decimal"/>
      <w:start w:val="4"/>
    </w:lvl>
    <w:lvl w:ilvl="1">
      <w:lvlJc w:val="left"/>
      <w:lvlText w:val="%2"/>
      <w:numFmt w:val="lowerLetter"/>
      <w:start w:val="1"/>
    </w:lvl>
  </w:abstractNum>
  <w:abstractNum w:abstractNumId="518">
    <w:nsid w:val="777250E7"/>
    <w:multiLevelType w:val="hybridMultilevel"/>
    <w:lvl w:ilvl="0">
      <w:lvlJc w:val="left"/>
      <w:lvlText w:val="%1."/>
      <w:numFmt w:val="decimal"/>
      <w:start w:val="8"/>
    </w:lvl>
  </w:abstractNum>
  <w:abstractNum w:abstractNumId="519">
    <w:nsid w:val="B726EDC"/>
    <w:multiLevelType w:val="hybridMultilevel"/>
    <w:lvl w:ilvl="0">
      <w:lvlJc w:val="left"/>
      <w:lvlText w:val="%1."/>
      <w:numFmt w:val="decimal"/>
      <w:start w:val="9"/>
    </w:lvl>
  </w:abstractNum>
  <w:abstractNum w:abstractNumId="520">
    <w:nsid w:val="365EFC5A"/>
    <w:multiLevelType w:val="hybridMultilevel"/>
    <w:lvl w:ilvl="0">
      <w:lvlJc w:val="left"/>
      <w:lvlText w:val="%1."/>
      <w:numFmt w:val="decimal"/>
      <w:start w:val="17"/>
    </w:lvl>
    <w:lvl w:ilvl="1">
      <w:lvlJc w:val="left"/>
      <w:lvlText w:val="*"/>
      <w:numFmt w:val="bullet"/>
      <w:start w:val="1"/>
    </w:lvl>
  </w:abstractNum>
  <w:abstractNum w:abstractNumId="521">
    <w:nsid w:val="41A8106C"/>
    <w:multiLevelType w:val="hybridMultilevel"/>
    <w:lvl w:ilvl="0">
      <w:lvlJc w:val="left"/>
      <w:lvlText w:val="%1."/>
      <w:numFmt w:val="decimal"/>
      <w:start w:val="2"/>
    </w:lvl>
  </w:abstractNum>
  <w:abstractNum w:abstractNumId="522">
    <w:nsid w:val="3FB97188"/>
    <w:multiLevelType w:val="hybridMultilevel"/>
    <w:lvl w:ilvl="0">
      <w:lvlJc w:val="left"/>
      <w:lvlText w:val="%1."/>
      <w:numFmt w:val="decimal"/>
      <w:start w:val="3"/>
    </w:lvl>
  </w:abstractNum>
  <w:abstractNum w:abstractNumId="523">
    <w:nsid w:val="382EA874"/>
    <w:multiLevelType w:val="hybridMultilevel"/>
    <w:lvl w:ilvl="0">
      <w:lvlJc w:val="left"/>
      <w:lvlText w:val="%1."/>
      <w:numFmt w:val="decimal"/>
      <w:start w:val="5"/>
    </w:lvl>
  </w:abstractNum>
  <w:abstractNum w:abstractNumId="524">
    <w:nsid w:val="21856507"/>
    <w:multiLevelType w:val="hybridMultilevel"/>
    <w:lvl w:ilvl="0">
      <w:lvlJc w:val="left"/>
      <w:lvlText w:val="%1."/>
      <w:numFmt w:val="decimal"/>
      <w:start w:val="1"/>
    </w:lvl>
    <w:lvl w:ilvl="1">
      <w:lvlJc w:val="left"/>
      <w:lvlText w:val="(%2)"/>
      <w:numFmt w:val="lowerLetter"/>
      <w:start w:val="1"/>
    </w:lvl>
  </w:abstractNum>
  <w:abstractNum w:abstractNumId="525">
    <w:nsid w:val="78B6E496"/>
    <w:multiLevelType w:val="hybridMultilevel"/>
    <w:lvl w:ilvl="0">
      <w:lvlJc w:val="left"/>
      <w:lvlText w:val="%1"/>
      <w:numFmt w:val="decimal"/>
      <w:start w:val="1"/>
    </w:lvl>
    <w:lvl w:ilvl="1">
      <w:lvlJc w:val="left"/>
      <w:lvlText w:val="(%2)"/>
      <w:numFmt w:val="lowerLetter"/>
      <w:start w:val="2"/>
    </w:lvl>
  </w:abstractNum>
  <w:abstractNum w:abstractNumId="526">
    <w:nsid w:val="B1595B1"/>
    <w:multiLevelType w:val="hybridMultilevel"/>
    <w:lvl w:ilvl="0">
      <w:lvlJc w:val="left"/>
      <w:lvlText w:val="%1."/>
      <w:numFmt w:val="decimal"/>
      <w:start w:val="5"/>
    </w:lvl>
    <w:lvl w:ilvl="1">
      <w:lvlJc w:val="left"/>
      <w:lvlText w:val="%2"/>
      <w:numFmt w:val="lowerLetter"/>
      <w:start w:val="1"/>
    </w:lvl>
  </w:abstractNum>
  <w:abstractNum w:abstractNumId="527">
    <w:nsid w:val="25670D6B"/>
    <w:multiLevelType w:val="hybridMultilevel"/>
    <w:lvl w:ilvl="0">
      <w:lvlJc w:val="left"/>
      <w:lvlText w:val="%1."/>
      <w:numFmt w:val="decimal"/>
      <w:start w:val="11"/>
    </w:lvl>
  </w:abstractNum>
  <w:abstractNum w:abstractNumId="528">
    <w:nsid w:val="5FE6C53F"/>
    <w:multiLevelType w:val="hybridMultilevel"/>
    <w:lvl w:ilvl="0">
      <w:lvlJc w:val="left"/>
      <w:lvlText w:val="%1."/>
      <w:numFmt w:val="decimal"/>
      <w:start w:val="18"/>
    </w:lvl>
  </w:abstractNum>
  <w:abstractNum w:abstractNumId="529">
    <w:nsid w:val="3CAE14FE"/>
    <w:multiLevelType w:val="hybridMultilevel"/>
    <w:lvl w:ilvl="0">
      <w:lvlJc w:val="left"/>
      <w:lvlText w:val="%1."/>
      <w:numFmt w:val="decimal"/>
      <w:start w:val="2"/>
    </w:lvl>
  </w:abstractNum>
  <w:abstractNum w:abstractNumId="530">
    <w:nsid w:val="6E27B56B"/>
    <w:multiLevelType w:val="hybridMultilevel"/>
    <w:lvl w:ilvl="0">
      <w:lvlJc w:val="left"/>
      <w:lvlText w:val="%1."/>
      <w:numFmt w:val="decimal"/>
      <w:start w:val="3"/>
    </w:lvl>
  </w:abstractNum>
  <w:abstractNum w:abstractNumId="531">
    <w:nsid w:val="66FE7765"/>
    <w:multiLevelType w:val="hybridMultilevel"/>
    <w:lvl w:ilvl="0">
      <w:lvlJc w:val="left"/>
      <w:lvlText w:val="%1."/>
      <w:numFmt w:val="decimal"/>
      <w:start w:val="4"/>
    </w:lvl>
  </w:abstractNum>
  <w:abstractNum w:abstractNumId="532">
    <w:nsid w:val="41123F79"/>
    <w:multiLevelType w:val="hybridMultilevel"/>
    <w:lvl w:ilvl="0">
      <w:lvlJc w:val="left"/>
      <w:lvlText w:val="%1."/>
      <w:numFmt w:val="decimal"/>
      <w:start w:val="1"/>
    </w:lvl>
  </w:abstractNum>
  <w:abstractNum w:abstractNumId="533">
    <w:nsid w:val="514FBE5A"/>
    <w:multiLevelType w:val="hybridMultilevel"/>
    <w:lvl w:ilvl="0">
      <w:lvlJc w:val="left"/>
      <w:lvlText w:val="%1."/>
      <w:numFmt w:val="decimal"/>
      <w:start w:val="2"/>
    </w:lvl>
    <w:lvl w:ilvl="1">
      <w:lvlJc w:val="left"/>
      <w:lvlText w:val="(%2)"/>
      <w:numFmt w:val="lowerLetter"/>
      <w:start w:val="1"/>
    </w:lvl>
  </w:abstractNum>
  <w:abstractNum w:abstractNumId="534">
    <w:nsid w:val="4C68ED90"/>
    <w:multiLevelType w:val="hybridMultilevel"/>
    <w:lvl w:ilvl="0">
      <w:lvlJc w:val="left"/>
      <w:lvlText w:val="%1"/>
      <w:numFmt w:val="decimal"/>
      <w:start w:val="1"/>
    </w:lvl>
    <w:lvl w:ilvl="1">
      <w:lvlJc w:val="left"/>
      <w:lvlText w:val="(%2)"/>
      <w:numFmt w:val="lowerLetter"/>
      <w:start w:val="3"/>
    </w:lvl>
  </w:abstractNum>
  <w:abstractNum w:abstractNumId="535">
    <w:nsid w:val="45BECE3C"/>
    <w:multiLevelType w:val="hybridMultilevel"/>
    <w:lvl w:ilvl="0">
      <w:lvlJc w:val="left"/>
      <w:lvlText w:val="%1."/>
      <w:numFmt w:val="decimal"/>
      <w:start w:val="5"/>
    </w:lvl>
    <w:lvl w:ilvl="1">
      <w:lvlJc w:val="left"/>
      <w:lvlText w:val="(%2)"/>
      <w:numFmt w:val="lowerLetter"/>
      <w:start w:val="1"/>
    </w:lvl>
  </w:abstractNum>
  <w:abstractNum w:abstractNumId="536">
    <w:nsid w:val="1660D468"/>
    <w:multiLevelType w:val="hybridMultilevel"/>
    <w:lvl w:ilvl="0">
      <w:lvlJc w:val="left"/>
      <w:lvlText w:val="%1"/>
      <w:numFmt w:val="decimal"/>
      <w:start w:val="1"/>
    </w:lvl>
    <w:lvl w:ilvl="1">
      <w:lvlJc w:val="left"/>
      <w:lvlText w:val="(%2)"/>
      <w:numFmt w:val="lowerLetter"/>
      <w:start w:val="3"/>
    </w:lvl>
  </w:abstractNum>
  <w:abstractNum w:abstractNumId="537">
    <w:nsid w:val="7690CBA1"/>
    <w:multiLevelType w:val="hybridMultilevel"/>
    <w:lvl w:ilvl="0">
      <w:lvlJc w:val="left"/>
      <w:lvlText w:val="%1."/>
      <w:numFmt w:val="decimal"/>
      <w:start w:val="6"/>
    </w:lvl>
    <w:lvl w:ilvl="1">
      <w:lvlJc w:val="left"/>
      <w:lvlText w:val="%2"/>
      <w:numFmt w:val="lowerLetter"/>
      <w:start w:val="1"/>
    </w:lvl>
  </w:abstractNum>
  <w:abstractNum w:abstractNumId="538">
    <w:nsid w:val="7CBC5FD3"/>
    <w:multiLevelType w:val="hybridMultilevel"/>
    <w:lvl w:ilvl="0">
      <w:lvlJc w:val="left"/>
      <w:lvlText w:val="%1."/>
      <w:numFmt w:val="decimal"/>
      <w:start w:val="7"/>
    </w:lvl>
    <w:lvl w:ilvl="1">
      <w:lvlJc w:val="left"/>
      <w:lvlText w:val="(%2)"/>
      <w:numFmt w:val="lowerLetter"/>
      <w:start w:val="1"/>
    </w:lvl>
  </w:abstractNum>
  <w:abstractNum w:abstractNumId="539">
    <w:nsid w:val="19076430"/>
    <w:multiLevelType w:val="hybridMultilevel"/>
    <w:lvl w:ilvl="0">
      <w:lvlJc w:val="left"/>
      <w:lvlText w:val="%1."/>
      <w:numFmt w:val="decimal"/>
      <w:start w:val="13"/>
    </w:lvl>
  </w:abstractNum>
  <w:abstractNum w:abstractNumId="540">
    <w:nsid w:val="2B85F5C4"/>
    <w:multiLevelType w:val="hybridMultilevel"/>
    <w:lvl w:ilvl="0">
      <w:lvlJc w:val="left"/>
      <w:lvlText w:val="%1."/>
      <w:numFmt w:val="decimal"/>
      <w:start w:val="20"/>
    </w:lvl>
  </w:abstractNum>
  <w:abstractNum w:abstractNumId="541">
    <w:nsid w:val="44D20939"/>
    <w:multiLevelType w:val="hybridMultilevel"/>
    <w:lvl w:ilvl="0">
      <w:lvlJc w:val="left"/>
      <w:lvlText w:val="%1."/>
      <w:numFmt w:val="decimal"/>
      <w:start w:val="3"/>
    </w:lvl>
  </w:abstractNum>
  <w:abstractNum w:abstractNumId="542">
    <w:nsid w:val="1276A960"/>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43">
    <w:nsid w:val="1B479698"/>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544">
    <w:nsid w:val="6572CF1B"/>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545">
    <w:nsid w:val="6E4E1C1B"/>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546">
    <w:nsid w:val="4E784887"/>
    <w:multiLevelType w:val="hybridMultilevel"/>
    <w:lvl w:ilvl="0">
      <w:lvlJc w:val="left"/>
      <w:lvlText w:val="%1."/>
      <w:numFmt w:val="decimal"/>
      <w:start w:val="4"/>
    </w:lvl>
  </w:abstractNum>
  <w:abstractNum w:abstractNumId="547">
    <w:nsid w:val="38AD4C18"/>
    <w:multiLevelType w:val="hybridMultilevel"/>
    <w:lvl w:ilvl="0">
      <w:lvlJc w:val="left"/>
      <w:lvlText w:val="%1."/>
      <w:numFmt w:val="decimal"/>
      <w:start w:val="6"/>
    </w:lvl>
  </w:abstractNum>
  <w:abstractNum w:abstractNumId="548">
    <w:nsid w:val="48CCEE31"/>
    <w:multiLevelType w:val="hybridMultilevel"/>
    <w:lvl w:ilvl="0">
      <w:lvlJc w:val="left"/>
      <w:lvlText w:val="%1."/>
      <w:numFmt w:val="decimal"/>
      <w:start w:val="9"/>
    </w:lvl>
    <w:lvl w:ilvl="1">
      <w:lvlJc w:val="left"/>
      <w:lvlText w:val="(%2)"/>
      <w:numFmt w:val="lowerLetter"/>
      <w:start w:val="1"/>
    </w:lvl>
  </w:abstractNum>
  <w:abstractNum w:abstractNumId="549">
    <w:nsid w:val="45EA996E"/>
    <w:multiLevelType w:val="hybridMultilevel"/>
    <w:lvl w:ilvl="0">
      <w:lvlJc w:val="left"/>
      <w:lvlText w:val="(%1)"/>
      <w:numFmt w:val="decimal"/>
      <w:start w:val="6"/>
    </w:lvl>
    <w:lvl w:ilvl="1">
      <w:lvlJc w:val="left"/>
      <w:lvlText w:val="(%2)"/>
      <w:numFmt w:val="lowerLetter"/>
      <w:start w:val="4"/>
    </w:lvl>
  </w:abstractNum>
  <w:abstractNum w:abstractNumId="550">
    <w:nsid w:val="441FBAF4"/>
    <w:multiLevelType w:val="hybridMultilevel"/>
    <w:lvl w:ilvl="0">
      <w:lvlJc w:val="left"/>
      <w:lvlText w:val="%1."/>
      <w:numFmt w:val="decimal"/>
      <w:start w:val="20"/>
    </w:lvl>
    <w:lvl w:ilvl="1">
      <w:lvlJc w:val="left"/>
      <w:lvlText w:val="(%2)"/>
      <w:numFmt w:val="lowerLetter"/>
      <w:start w:val="1"/>
    </w:lvl>
  </w:abstractNum>
  <w:abstractNum w:abstractNumId="551">
    <w:nsid w:val="7F2BEA8B"/>
    <w:multiLevelType w:val="hybridMultilevel"/>
    <w:lvl w:ilvl="0">
      <w:lvlJc w:val="left"/>
      <w:lvlText w:val="%1."/>
      <w:numFmt w:val="decimal"/>
      <w:start w:val="26"/>
    </w:lvl>
  </w:abstractNum>
  <w:abstractNum w:abstractNumId="552">
    <w:nsid w:val="792A9DB"/>
    <w:multiLevelType w:val="hybridMultilevel"/>
    <w:lvl w:ilvl="0">
      <w:lvlJc w:val="left"/>
      <w:lvlText w:val="%1."/>
      <w:numFmt w:val="decimal"/>
      <w:start w:val="39"/>
    </w:lvl>
  </w:abstractNum>
  <w:abstractNum w:abstractNumId="553">
    <w:nsid w:val="3D92C7D"/>
    <w:multiLevelType w:val="hybridMultilevel"/>
    <w:lvl w:ilvl="0">
      <w:lvlJc w:val="left"/>
      <w:lvlText w:val="%1."/>
      <w:numFmt w:val="decimal"/>
      <w:start w:val="41"/>
    </w:lvl>
  </w:abstractNum>
  <w:abstractNum w:abstractNumId="554">
    <w:nsid w:val="375A92FF"/>
    <w:multiLevelType w:val="hybridMultilevel"/>
    <w:lvl w:ilvl="0">
      <w:lvlJc w:val="left"/>
      <w:lvlText w:val="%1."/>
      <w:numFmt w:val="decimal"/>
      <w:start w:val="1"/>
    </w:lvl>
    <w:lvl w:ilvl="1">
      <w:lvlJc w:val="left"/>
      <w:lvlText w:val="%2."/>
      <w:numFmt w:val="decimal"/>
      <w:start w:val="6"/>
    </w:lvl>
  </w:abstractNum>
  <w:abstractNum w:abstractNumId="555">
    <w:nsid w:val="29180EE2"/>
    <w:multiLevelType w:val="hybridMultilevel"/>
    <w:lvl w:ilvl="0">
      <w:lvlJc w:val="left"/>
      <w:lvlText w:val="%1."/>
      <w:numFmt w:val="decimal"/>
      <w:start w:val="8"/>
    </w:lvl>
  </w:abstractNum>
  <w:abstractNum w:abstractNumId="556">
    <w:nsid w:val="7C901113"/>
    <w:multiLevelType w:val="hybridMultilevel"/>
    <w:lvl w:ilvl="0">
      <w:lvlJc w:val="left"/>
      <w:lvlText w:val="%1"/>
      <w:numFmt w:val="decimal"/>
      <w:start w:val="1"/>
    </w:lvl>
    <w:lvl w:ilvl="1">
      <w:lvlJc w:val="left"/>
      <w:lvlText w:val="%2."/>
      <w:numFmt w:val="decimal"/>
      <w:start w:val="14"/>
    </w:lvl>
  </w:abstractNum>
  <w:abstractNum w:abstractNumId="557">
    <w:nsid w:val="427028B0"/>
    <w:multiLevelType w:val="hybridMultilevel"/>
    <w:lvl w:ilvl="0">
      <w:lvlJc w:val="left"/>
      <w:lvlText w:val="%1."/>
      <w:numFmt w:val="decimal"/>
      <w:start w:val="15"/>
    </w:lvl>
    <w:lvl w:ilvl="1">
      <w:lvlJc w:val="left"/>
      <w:lvlText w:val="%2"/>
      <w:numFmt w:val="decimal"/>
      <w:start w:val="1"/>
    </w:lvl>
  </w:abstractNum>
  <w:abstractNum w:abstractNumId="558">
    <w:nsid w:val="4E7F1C4D"/>
    <w:multiLevelType w:val="hybridMultilevel"/>
    <w:lvl w:ilvl="0">
      <w:lvlJc w:val="left"/>
      <w:lvlText w:val="%1."/>
      <w:numFmt w:val="decimal"/>
      <w:start w:val="18"/>
    </w:lvl>
  </w:abstractNum>
  <w:abstractNum w:abstractNumId="559">
    <w:nsid w:val="5C76D652"/>
    <w:multiLevelType w:val="hybridMultilevel"/>
    <w:lvl w:ilvl="0">
      <w:lvlJc w:val="left"/>
      <w:lvlText w:val="%1."/>
      <w:numFmt w:val="upperLetter"/>
      <w:start w:val="35"/>
    </w:lvl>
    <w:lvl w:ilvl="1">
      <w:lvlJc w:val="left"/>
      <w:lvlText w:val="%2."/>
      <w:numFmt w:val="decimal"/>
      <w:start w:val="1"/>
    </w:lvl>
  </w:abstractNum>
  <w:abstractNum w:abstractNumId="560">
    <w:nsid w:val="7F1E3DAE"/>
    <w:multiLevelType w:val="hybridMultilevel"/>
    <w:lvl w:ilvl="0">
      <w:lvlJc w:val="left"/>
      <w:lvlText w:val="%1."/>
      <w:numFmt w:val="upperLetter"/>
      <w:start w:val="61"/>
    </w:lvl>
  </w:abstractNum>
  <w:abstractNum w:abstractNumId="561">
    <w:nsid w:val="3CA6D1B9"/>
    <w:multiLevelType w:val="hybridMultilevel"/>
    <w:lvl w:ilvl="0">
      <w:lvlJc w:val="left"/>
      <w:lvlText w:val="%1."/>
      <w:numFmt w:val="decimal"/>
      <w:start w:val="1"/>
    </w:lvl>
  </w:abstractNum>
  <w:abstractNum w:abstractNumId="562">
    <w:nsid w:val="43754DB7"/>
    <w:multiLevelType w:val="hybridMultilevel"/>
    <w:lvl w:ilvl="0">
      <w:lvlJc w:val="left"/>
      <w:lvlText w:val="%1"/>
      <w:numFmt w:val="upperLetter"/>
      <w:start w:val="1"/>
    </w:lvl>
    <w:lvl w:ilvl="1">
      <w:lvlJc w:val="left"/>
      <w:lvlText w:val="%2."/>
      <w:numFmt w:val="decimal"/>
      <w:start w:val="2"/>
    </w:lvl>
  </w:abstractNum>
  <w:abstractNum w:abstractNumId="563">
    <w:nsid w:val="40307D27"/>
    <w:multiLevelType w:val="hybridMultilevel"/>
    <w:lvl w:ilvl="0">
      <w:lvlJc w:val="left"/>
      <w:lvlText w:val="%1."/>
      <w:numFmt w:val="upperLetter"/>
      <w:start w:val="22"/>
    </w:lvl>
    <w:lvl w:ilvl="1">
      <w:lvlJc w:val="left"/>
      <w:lvlText w:val="%2."/>
      <w:numFmt w:val="decimal"/>
      <w:start w:val="1"/>
    </w:lvl>
  </w:abstractNum>
  <w:abstractNum w:abstractNumId="564">
    <w:nsid w:val="DF69013"/>
    <w:multiLevelType w:val="hybridMultilevel"/>
    <w:lvl w:ilvl="0">
      <w:lvlJc w:val="left"/>
      <w:lvlText w:val="%1."/>
      <w:numFmt w:val="decimal"/>
      <w:start w:val="2"/>
    </w:lvl>
  </w:abstractNum>
  <w:abstractNum w:abstractNumId="565">
    <w:nsid w:val="FDE3B47"/>
    <w:multiLevelType w:val="hybridMultilevel"/>
    <w:lvl w:ilvl="0">
      <w:lvlJc w:val="left"/>
      <w:lvlText w:val="%1."/>
      <w:numFmt w:val="decimal"/>
      <w:start w:val="1"/>
    </w:lvl>
  </w:abstractNum>
  <w:abstractNum w:abstractNumId="566">
    <w:nsid w:val="5EF4B64"/>
    <w:multiLevelType w:val="hybridMultilevel"/>
    <w:lvl w:ilvl="0">
      <w:lvlJc w:val="left"/>
      <w:lvlText w:val="%1."/>
      <w:numFmt w:val="decimal"/>
      <w:start w:val="6"/>
    </w:lvl>
  </w:abstractNum>
  <w:abstractNum w:abstractNumId="567">
    <w:nsid w:val="2457647B"/>
    <w:multiLevelType w:val="hybridMultilevel"/>
    <w:lvl w:ilvl="0">
      <w:lvlJc w:val="left"/>
      <w:lvlText w:val="%1."/>
      <w:numFmt w:val="decimal"/>
      <w:start w:val="1"/>
    </w:lvl>
  </w:abstractNum>
  <w:abstractNum w:abstractNumId="568">
    <w:nsid w:val="66F06E9"/>
    <w:multiLevelType w:val="hybridMultilevel"/>
    <w:lvl w:ilvl="0">
      <w:lvlJc w:val="left"/>
      <w:lvlText w:val="%1."/>
      <w:numFmt w:val="decimal"/>
      <w:start w:val="1"/>
    </w:lvl>
  </w:abstractNum>
  <w:abstractNum w:abstractNumId="569">
    <w:nsid w:val="2ABAB37"/>
    <w:multiLevelType w:val="hybridMultilevel"/>
    <w:lvl w:ilvl="0">
      <w:lvlJc w:val="left"/>
      <w:lvlText w:val="%1."/>
      <w:numFmt w:val="decimal"/>
      <w:start w:val="2"/>
    </w:lvl>
  </w:abstractNum>
  <w:abstractNum w:abstractNumId="570">
    <w:nsid w:val="3D5EC8AB"/>
    <w:multiLevelType w:val="hybridMultilevel"/>
    <w:lvl w:ilvl="0">
      <w:lvlJc w:val="left"/>
      <w:lvlText w:val="%1."/>
      <w:numFmt w:val="upperLetter"/>
      <w:start w:val="24"/>
    </w:lvl>
    <w:lvl w:ilvl="1">
      <w:lvlJc w:val="left"/>
      <w:lvlText w:val="%2."/>
      <w:numFmt w:val="decimal"/>
      <w:start w:val="1"/>
    </w:lvl>
  </w:abstractNum>
  <w:abstractNum w:abstractNumId="571">
    <w:nsid w:val="31F4FCAD"/>
    <w:multiLevelType w:val="hybridMultilevel"/>
    <w:lvl w:ilvl="0">
      <w:lvlJc w:val="left"/>
      <w:lvlText w:val="%1."/>
      <w:numFmt w:val="decimal"/>
      <w:start w:val="7"/>
    </w:lvl>
  </w:abstractNum>
  <w:abstractNum w:abstractNumId="572">
    <w:nsid w:val="477DB470"/>
    <w:multiLevelType w:val="hybridMultilevel"/>
    <w:lvl w:ilvl="0">
      <w:lvlJc w:val="left"/>
      <w:lvlText w:val="%1."/>
      <w:numFmt w:val="decimal"/>
      <w:start w:val="1"/>
    </w:lvl>
  </w:abstractNum>
  <w:abstractNum w:abstractNumId="573">
    <w:nsid w:val="4FD5720B"/>
    <w:multiLevelType w:val="hybridMultilevel"/>
    <w:lvl w:ilvl="0">
      <w:lvlJc w:val="left"/>
      <w:lvlText w:val="%1."/>
      <w:numFmt w:val="decimal"/>
      <w:start w:val="1"/>
    </w:lvl>
  </w:abstractNum>
  <w:abstractNum w:abstractNumId="574">
    <w:nsid w:val="4D3C9346"/>
    <w:multiLevelType w:val="hybridMultilevel"/>
    <w:lvl w:ilvl="0">
      <w:lvlJc w:val="left"/>
      <w:lvlText w:val="%1."/>
      <w:numFmt w:val="decimal"/>
      <w:start w:val="2"/>
    </w:lvl>
  </w:abstractNum>
  <w:abstractNum w:abstractNumId="575">
    <w:nsid w:val="2CF0838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Roman"/>
      <w:start w:val="1"/>
    </w:lvl>
    <w:lvl w:ilvl="4">
      <w:lvlJc w:val="left"/>
      <w:lvlText w:val="%5."/>
      <w:numFmt w:val="lowerRoman"/>
      <w:start w:val="1"/>
    </w:lvl>
  </w:abstractNum>
  <w:abstractNum w:abstractNumId="576">
    <w:nsid w:val="3E238E27"/>
    <w:multiLevelType w:val="hybridMultilevel"/>
    <w:lvl w:ilvl="0">
      <w:lvlJc w:val="left"/>
      <w:lvlText w:val="%1"/>
      <w:numFmt w:val="decimal"/>
      <w:start w:val="1"/>
    </w:lvl>
    <w:lvl w:ilvl="1">
      <w:lvlJc w:val="left"/>
      <w:lvlText w:val="%2."/>
      <w:numFmt w:val="lowerRoman"/>
      <w:start w:val="2"/>
    </w:lvl>
  </w:abstractNum>
  <w:abstractNum w:abstractNumId="577">
    <w:nsid w:val="1BB4DBCD"/>
    <w:multiLevelType w:val="hybridMultilevel"/>
    <w:lvl w:ilvl="0">
      <w:lvlJc w:val="left"/>
      <w:lvlText w:val="%1."/>
      <w:numFmt w:val="decimal"/>
      <w:start w:val="2"/>
    </w:lvl>
    <w:lvl w:ilvl="1">
      <w:lvlJc w:val="left"/>
      <w:lvlText w:val="%2"/>
      <w:numFmt w:val="lowerRoman"/>
      <w:start w:val="1"/>
    </w:lvl>
  </w:abstractNum>
  <w:abstractNum w:abstractNumId="578">
    <w:nsid w:val="659DCFA3"/>
    <w:multiLevelType w:val="hybridMultilevel"/>
    <w:lvl w:ilvl="0">
      <w:lvlJc w:val="left"/>
      <w:lvlText w:val="%1."/>
      <w:numFmt w:val="upperLetter"/>
      <w:start w:val="35"/>
    </w:lvl>
    <w:lvl w:ilvl="1">
      <w:lvlJc w:val="left"/>
      <w:lvlText w:val="%2."/>
      <w:numFmt w:val="decimal"/>
      <w:start w:val="1"/>
    </w:lvl>
  </w:abstractNum>
  <w:abstractNum w:abstractNumId="579">
    <w:nsid w:val="6F07C58"/>
    <w:multiLevelType w:val="hybridMultilevel"/>
    <w:lvl w:ilvl="0">
      <w:lvlJc w:val="left"/>
      <w:lvlText w:val="%1."/>
      <w:numFmt w:val="upperLetter"/>
      <w:start w:val="61"/>
    </w:lvl>
  </w:abstractNum>
  <w:abstractNum w:abstractNumId="580">
    <w:nsid w:val="619F753B"/>
    <w:multiLevelType w:val="hybridMultilevel"/>
    <w:lvl w:ilvl="0">
      <w:lvlJc w:val="left"/>
      <w:lvlText w:val="%1"/>
      <w:numFmt w:val="upperLetter"/>
      <w:start w:val="1"/>
    </w:lvl>
    <w:lvl w:ilvl="1">
      <w:lvlJc w:val="left"/>
      <w:lvlText w:val="%2."/>
      <w:numFmt w:val="decimal"/>
      <w:start w:val="1"/>
    </w:lvl>
  </w:abstractNum>
  <w:abstractNum w:abstractNumId="581">
    <w:nsid w:val="29BD8A97"/>
    <w:multiLevelType w:val="hybridMultilevel"/>
    <w:lvl w:ilvl="0">
      <w:lvlJc w:val="left"/>
      <w:lvlText w:val="%1"/>
      <w:numFmt w:val="upperLetter"/>
      <w:start w:val="1"/>
    </w:lvl>
    <w:lvl w:ilvl="1">
      <w:lvlJc w:val="left"/>
      <w:lvlText w:val="%2."/>
      <w:numFmt w:val="decimal"/>
      <w:start w:val="1"/>
    </w:lvl>
  </w:abstractNum>
  <w:abstractNum w:abstractNumId="582">
    <w:nsid w:val="61C66E3"/>
    <w:multiLevelType w:val="hybridMultilevel"/>
    <w:lvl w:ilvl="0">
      <w:lvlJc w:val="left"/>
      <w:lvlText w:val="%1."/>
      <w:numFmt w:val="decimal"/>
      <w:start w:val="1"/>
    </w:lvl>
  </w:abstractNum>
  <w:abstractNum w:abstractNumId="583">
    <w:nsid w:val="69321F16"/>
    <w:multiLevelType w:val="hybridMultilevel"/>
    <w:lvl w:ilvl="0">
      <w:lvlJc w:val="left"/>
      <w:lvlText w:val="%1."/>
      <w:numFmt w:val="decimal"/>
      <w:start w:val="2"/>
    </w:lvl>
  </w:abstractNum>
  <w:abstractNum w:abstractNumId="584">
    <w:nsid w:val="2D96B714"/>
    <w:multiLevelType w:val="hybridMultilevel"/>
    <w:lvl w:ilvl="0">
      <w:lvlJc w:val="left"/>
      <w:lvlText w:val="%1."/>
      <w:numFmt w:val="decimal"/>
      <w:start w:val="7"/>
    </w:lvl>
  </w:abstractNum>
  <w:abstractNum w:abstractNumId="585">
    <w:nsid w:val="3D76F9E2"/>
    <w:multiLevelType w:val="hybridMultilevel"/>
    <w:lvl w:ilvl="0">
      <w:lvlJc w:val="left"/>
      <w:lvlText w:val="%1."/>
      <w:numFmt w:val="decimal"/>
      <w:start w:val="1"/>
    </w:lvl>
  </w:abstractNum>
  <w:abstractNum w:abstractNumId="586">
    <w:nsid w:val="124A2DF8"/>
    <w:multiLevelType w:val="hybridMultilevel"/>
    <w:lvl w:ilvl="0">
      <w:lvlJc w:val="left"/>
      <w:lvlText w:val="%1."/>
      <w:numFmt w:val="decimal"/>
      <w:start w:val="1"/>
    </w:lvl>
  </w:abstractNum>
  <w:abstractNum w:abstractNumId="587">
    <w:nsid w:val="2A26C828"/>
    <w:multiLevelType w:val="hybridMultilevel"/>
    <w:lvl w:ilvl="0">
      <w:lvlJc w:val="left"/>
      <w:lvlText w:val="%1."/>
      <w:numFmt w:val="decimal"/>
      <w:start w:val="2"/>
    </w:lvl>
  </w:abstractNum>
  <w:abstractNum w:abstractNumId="588">
    <w:nsid w:val="7FE72292"/>
    <w:multiLevelType w:val="hybridMultilevel"/>
    <w:lvl w:ilvl="0">
      <w:lvlJc w:val="left"/>
      <w:lvlText w:val="%1."/>
      <w:numFmt w:val="upperLetter"/>
      <w:start w:val="24"/>
    </w:lvl>
    <w:lvl w:ilvl="1">
      <w:lvlJc w:val="left"/>
      <w:lvlText w:val="%2."/>
      <w:numFmt w:val="decimal"/>
      <w:start w:val="1"/>
    </w:lvl>
  </w:abstractNum>
  <w:abstractNum w:abstractNumId="589">
    <w:nsid w:val="60C94A46"/>
    <w:multiLevelType w:val="hybridMultilevel"/>
    <w:lvl w:ilvl="0">
      <w:lvlJc w:val="left"/>
      <w:lvlText w:val="%1."/>
      <w:numFmt w:val="decimal"/>
      <w:start w:val="7"/>
    </w:lvl>
  </w:abstractNum>
  <w:abstractNum w:abstractNumId="590">
    <w:nsid w:val="69D9E7A"/>
    <w:multiLevelType w:val="hybridMultilevel"/>
    <w:lvl w:ilvl="0">
      <w:lvlJc w:val="left"/>
      <w:lvlText w:val="%1."/>
      <w:numFmt w:val="decimal"/>
      <w:start w:val="1"/>
    </w:lvl>
  </w:abstractNum>
  <w:abstractNum w:abstractNumId="591">
    <w:nsid w:val="7F056040"/>
    <w:multiLevelType w:val="hybridMultilevel"/>
    <w:lvl w:ilvl="0">
      <w:lvlJc w:val="left"/>
      <w:lvlText w:val="%1."/>
      <w:numFmt w:val="decimal"/>
      <w:start w:val="1"/>
    </w:lvl>
  </w:abstractNum>
  <w:abstractNum w:abstractNumId="592">
    <w:nsid w:val="1D701BFF"/>
    <w:multiLevelType w:val="hybridMultilevel"/>
    <w:lvl w:ilvl="0">
      <w:lvlJc w:val="left"/>
      <w:lvlText w:val="%1."/>
      <w:numFmt w:val="decimal"/>
      <w:start w:val="2"/>
    </w:lvl>
  </w:abstractNum>
  <w:abstractNum w:abstractNumId="593">
    <w:nsid w:val="4A12EC32"/>
    <w:multiLevelType w:val="hybridMultilevel"/>
    <w:lvl w:ilvl="0">
      <w:lvlJc w:val="left"/>
      <w:lvlText w:val="%1."/>
      <w:numFmt w:val="decimal"/>
      <w:start w:val="3"/>
    </w:lvl>
  </w:abstractNum>
  <w:abstractNum w:abstractNumId="594">
    <w:nsid w:val="3F35DD67"/>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595">
    <w:nsid w:val="2B66AC12"/>
    <w:multiLevelType w:val="hybridMultilevel"/>
    <w:lvl w:ilvl="0">
      <w:lvlJc w:val="left"/>
      <w:lvlText w:val="%1."/>
      <w:numFmt w:val="decimal"/>
      <w:start w:val="2"/>
    </w:lvl>
  </w:abstractNum>
  <w:abstractNum w:abstractNumId="596">
    <w:nsid w:val="59F12779"/>
    <w:multiLevelType w:val="hybridMultilevel"/>
    <w:lvl w:ilvl="0">
      <w:lvlJc w:val="left"/>
      <w:lvlText w:val="%1."/>
      <w:numFmt w:val="decimal"/>
      <w:start w:val="1"/>
    </w:lvl>
  </w:abstractNum>
  <w:abstractNum w:abstractNumId="597">
    <w:nsid w:val="452528CB"/>
    <w:multiLevelType w:val="hybridMultilevel"/>
    <w:lvl w:ilvl="0">
      <w:lvlJc w:val="left"/>
      <w:lvlText w:val="%1."/>
      <w:numFmt w:val="upperLetter"/>
      <w:start w:val="50"/>
    </w:lvl>
  </w:abstractNum>
  <w:abstractNum w:abstractNumId="598">
    <w:nsid w:val="4FBE108E"/>
    <w:multiLevelType w:val="hybridMultilevel"/>
    <w:lvl w:ilvl="0">
      <w:lvlJc w:val="left"/>
      <w:lvlText w:val="%1."/>
      <w:numFmt w:val="decimal"/>
      <w:start w:val="1"/>
    </w:lvl>
  </w:abstractNum>
  <w:abstractNum w:abstractNumId="599">
    <w:nsid w:val="60602E62"/>
    <w:multiLevelType w:val="hybridMultilevel"/>
    <w:lvl w:ilvl="0">
      <w:lvlJc w:val="left"/>
      <w:lvlText w:val="%1"/>
      <w:numFmt w:val="lowerLetter"/>
      <w:start w:val="1"/>
    </w:lvl>
    <w:lvl w:ilvl="1">
      <w:lvlJc w:val="left"/>
      <w:lvlText w:val="(%2)"/>
      <w:numFmt w:val="lowerLetter"/>
      <w:start w:val="1"/>
    </w:lvl>
  </w:abstractNum>
  <w:abstractNum w:abstractNumId="600">
    <w:nsid w:val="47D0D402"/>
    <w:multiLevelType w:val="hybridMultilevel"/>
    <w:lvl w:ilvl="0">
      <w:lvlJc w:val="left"/>
      <w:lvlText w:val="(%1)"/>
      <w:numFmt w:val="lowerLetter"/>
      <w:start w:val="35"/>
    </w:lvl>
    <w:lvl w:ilvl="1">
      <w:lvlJc w:val="left"/>
      <w:lvlText w:val="(%2)"/>
      <w:numFmt w:val="lowerLetter"/>
      <w:start w:val="3"/>
    </w:lvl>
  </w:abstractNum>
  <w:abstractNum w:abstractNumId="601">
    <w:nsid w:val="D1CD939"/>
    <w:multiLevelType w:val="hybridMultilevel"/>
    <w:lvl w:ilvl="0">
      <w:lvlJc w:val="left"/>
      <w:lvlText w:val="(%1)"/>
      <w:numFmt w:val="lowerLetter"/>
      <w:start w:val="1"/>
    </w:lvl>
  </w:abstractNum>
  <w:abstractNum w:abstractNumId="602">
    <w:nsid w:val="12552B10"/>
    <w:multiLevelType w:val="hybridMultilevel"/>
    <w:lvl w:ilvl="0">
      <w:lvlJc w:val="left"/>
      <w:lvlText w:val="(%1)"/>
      <w:numFmt w:val="lowerLetter"/>
      <w:start w:val="6"/>
    </w:lvl>
  </w:abstractNum>
  <w:abstractNum w:abstractNumId="603">
    <w:nsid w:val="F4E8872"/>
    <w:multiLevelType w:val="hybridMultilevel"/>
    <w:lvl w:ilvl="0">
      <w:lvlJc w:val="left"/>
      <w:lvlText w:val="(%1)"/>
      <w:numFmt w:val="lowerRoman"/>
      <w:start w:val="3"/>
    </w:lvl>
  </w:abstractNum>
  <w:abstractNum w:abstractNumId="604">
    <w:nsid w:val="5CF24B45"/>
    <w:multiLevelType w:val="hybridMultilevel"/>
    <w:lvl w:ilvl="0">
      <w:lvlJc w:val="left"/>
      <w:lvlText w:val="(%1)"/>
      <w:numFmt w:val="lowerLetter"/>
      <w:start w:val="1"/>
    </w:lvl>
  </w:abstractNum>
  <w:abstractNum w:abstractNumId="605">
    <w:nsid w:val="5F91BE56"/>
    <w:multiLevelType w:val="hybridMultilevel"/>
    <w:lvl w:ilvl="0">
      <w:lvlJc w:val="left"/>
      <w:lvlText w:val="(%1)"/>
      <w:numFmt w:val="lowerLetter"/>
      <w:start w:val="1"/>
    </w:lvl>
    <w:lvl w:ilvl="1">
      <w:lvlJc w:val="left"/>
      <w:lvlText w:val="(%2)"/>
      <w:numFmt w:val="lowerLetter"/>
      <w:start w:val="1"/>
    </w:lvl>
  </w:abstractNum>
  <w:abstractNum w:abstractNumId="606">
    <w:nsid w:val="3C3F0BFD"/>
    <w:multiLevelType w:val="hybridMultilevel"/>
    <w:lvl w:ilvl="0">
      <w:lvlJc w:val="left"/>
      <w:lvlText w:val="%1"/>
      <w:numFmt w:val="lowerLetter"/>
      <w:start w:val="1"/>
    </w:lvl>
    <w:lvl w:ilvl="1">
      <w:lvlJc w:val="left"/>
      <w:lvlText w:val="(%2)"/>
      <w:numFmt w:val="lowerLetter"/>
      <w:start w:val="3"/>
    </w:lvl>
  </w:abstractNum>
  <w:abstractNum w:abstractNumId="607">
    <w:nsid w:val="1B15D96C"/>
    <w:multiLevelType w:val="hybridMultilevel"/>
    <w:lvl w:ilvl="0">
      <w:lvlJc w:val="left"/>
      <w:lvlText w:val="(%1)"/>
      <w:numFmt w:val="lowerLetter"/>
      <w:start w:val="1"/>
    </w:lvl>
    <w:lvl w:ilvl="1">
      <w:lvlJc w:val="left"/>
      <w:lvlText w:val="%2"/>
      <w:numFmt w:val="lowerLetter"/>
      <w:start w:val="1"/>
    </w:lvl>
  </w:abstractNum>
  <w:abstractNum w:abstractNumId="608">
    <w:nsid w:val="7B469A23"/>
    <w:multiLevelType w:val="hybridMultilevel"/>
    <w:lvl w:ilvl="0">
      <w:lvlJc w:val="left"/>
      <w:lvlText w:val="(%1)"/>
      <w:numFmt w:val="lowerLetter"/>
      <w:start w:val="1"/>
    </w:lvl>
  </w:abstractNum>
  <w:abstractNum w:abstractNumId="609">
    <w:nsid w:val="21DCDBA0"/>
    <w:multiLevelType w:val="hybridMultilevel"/>
    <w:lvl w:ilvl="0">
      <w:lvlJc w:val="left"/>
      <w:lvlText w:val="%1."/>
      <w:numFmt w:val="decimal"/>
      <w:start w:val="2"/>
    </w:lvl>
    <w:lvl w:ilvl="1">
      <w:lvlJc w:val="left"/>
      <w:lvlText w:val="(%2)"/>
      <w:numFmt w:val="lowerLetter"/>
      <w:start w:val="1"/>
    </w:lvl>
  </w:abstractNum>
  <w:abstractNum w:abstractNumId="610">
    <w:nsid w:val="220655C4"/>
    <w:multiLevelType w:val="hybridMultilevel"/>
    <w:lvl w:ilvl="0">
      <w:lvlJc w:val="left"/>
      <w:lvlText w:val="(%1)"/>
      <w:numFmt w:val="lowerLetter"/>
      <w:start w:val="2"/>
    </w:lvl>
    <w:lvl w:ilvl="1">
      <w:lvlJc w:val="left"/>
      <w:lvlText w:val="(%2)"/>
      <w:numFmt w:val="lowerRoman"/>
      <w:start w:val="1"/>
    </w:lvl>
  </w:abstractNum>
  <w:abstractNum w:abstractNumId="611">
    <w:nsid w:val="5CE60F5E"/>
    <w:multiLevelType w:val="hybridMultilevel"/>
    <w:lvl w:ilvl="0">
      <w:lvlJc w:val="left"/>
      <w:lvlText w:val="%1"/>
      <w:numFmt w:val="lowerLetter"/>
      <w:start w:val="1"/>
    </w:lvl>
    <w:lvl w:ilvl="1">
      <w:lvlJc w:val="left"/>
      <w:lvlText w:val="(%2)"/>
      <w:numFmt w:val="lowerRoman"/>
      <w:start w:val="3"/>
    </w:lvl>
  </w:abstractNum>
  <w:abstractNum w:abstractNumId="612">
    <w:nsid w:val="4B9A6638"/>
    <w:multiLevelType w:val="hybridMultilevel"/>
    <w:lvl w:ilvl="0">
      <w:lvlJc w:val="left"/>
      <w:lvlText w:val="(%1)"/>
      <w:numFmt w:val="lowerLetter"/>
      <w:start w:val="3"/>
    </w:lvl>
    <w:lvl w:ilvl="1">
      <w:lvlJc w:val="left"/>
      <w:lvlText w:val="(%2)"/>
      <w:numFmt w:val="lowerRoman"/>
      <w:start w:val="1"/>
    </w:lvl>
  </w:abstractNum>
  <w:abstractNum w:abstractNumId="613">
    <w:nsid w:val="2822BCA7"/>
    <w:multiLevelType w:val="hybridMultilevel"/>
    <w:lvl w:ilvl="0">
      <w:lvlJc w:val="left"/>
      <w:lvlText w:val="(%1)"/>
      <w:numFmt w:val="lowerRoman"/>
      <w:start w:val="3"/>
    </w:lvl>
  </w:abstractNum>
  <w:abstractNum w:abstractNumId="614">
    <w:nsid w:val="46182E75"/>
    <w:multiLevelType w:val="hybridMultilevel"/>
    <w:lvl w:ilvl="0">
      <w:lvlJc w:val="left"/>
      <w:lvlText w:val="(%1)"/>
      <w:numFmt w:val="lowerLetter"/>
      <w:start w:val="1"/>
    </w:lvl>
    <w:lvl w:ilvl="1">
      <w:lvlJc w:val="left"/>
      <w:lvlText w:val="(%2)"/>
      <w:numFmt w:val="lowerRoman"/>
      <w:start w:val="1"/>
    </w:lvl>
  </w:abstractNum>
  <w:abstractNum w:abstractNumId="615">
    <w:nsid w:val="79311D4C"/>
    <w:multiLevelType w:val="hybridMultilevel"/>
    <w:lvl w:ilvl="0">
      <w:lvlJc w:val="left"/>
      <w:lvlText w:val="(%1)"/>
      <w:numFmt w:val="lowerLetter"/>
      <w:start w:val="2"/>
    </w:lvl>
  </w:abstractNum>
  <w:abstractNum w:abstractNumId="616">
    <w:nsid w:val="6599B689"/>
    <w:multiLevelType w:val="hybridMultilevel"/>
    <w:lvl w:ilvl="0">
      <w:lvlJc w:val="left"/>
      <w:lvlText w:val="(%1)"/>
      <w:numFmt w:val="lowerLetter"/>
      <w:start w:val="4"/>
    </w:lvl>
  </w:abstractNum>
  <w:abstractNum w:abstractNumId="617">
    <w:nsid w:val="58625C6D"/>
    <w:multiLevelType w:val="hybridMultilevel"/>
    <w:lvl w:ilvl="0">
      <w:lvlJc w:val="left"/>
      <w:lvlText w:val="(%1)"/>
      <w:numFmt w:val="lowerLetter"/>
      <w:start w:val="1"/>
    </w:lvl>
  </w:abstractNum>
  <w:abstractNum w:abstractNumId="618">
    <w:nsid w:val="2357E574"/>
    <w:multiLevelType w:val="hybridMultilevel"/>
    <w:lvl w:ilvl="0">
      <w:lvlJc w:val="left"/>
      <w:lvlText w:val="(%1)"/>
      <w:numFmt w:val="lowerLetter"/>
      <w:start w:val="2"/>
    </w:lvl>
  </w:abstractNum>
  <w:abstractNum w:abstractNumId="619">
    <w:nsid w:val="6580D91B"/>
    <w:multiLevelType w:val="hybridMultilevel"/>
    <w:lvl w:ilvl="0">
      <w:lvlJc w:val="left"/>
      <w:lvlText w:val="%1."/>
      <w:numFmt w:val="decimal"/>
      <w:start w:val="3"/>
    </w:lvl>
  </w:abstractNum>
  <w:abstractNum w:abstractNumId="620">
    <w:nsid w:val="392BA6B3"/>
    <w:multiLevelType w:val="hybridMultilevel"/>
    <w:lvl w:ilvl="0">
      <w:lvlJc w:val="left"/>
      <w:lvlText w:val="(%1)"/>
      <w:numFmt w:val="lowerLetter"/>
      <w:start w:val="1"/>
    </w:lvl>
  </w:abstractNum>
  <w:abstractNum w:abstractNumId="621">
    <w:nsid w:val="29F583EF"/>
    <w:multiLevelType w:val="hybridMultilevel"/>
    <w:lvl w:ilvl="0">
      <w:lvlJc w:val="left"/>
      <w:lvlText w:val="(%1)"/>
      <w:numFmt w:val="lowerLetter"/>
      <w:start w:val="3"/>
    </w:lvl>
  </w:abstractNum>
  <w:abstractNum w:abstractNumId="622">
    <w:nsid w:val="6486395B"/>
    <w:multiLevelType w:val="hybridMultilevel"/>
    <w:lvl w:ilvl="0">
      <w:lvlJc w:val="left"/>
      <w:lvlText w:val="(%1)"/>
      <w:numFmt w:val="lowerLetter"/>
      <w:start w:val="4"/>
    </w:lvl>
  </w:abstractNum>
  <w:abstractNum w:abstractNumId="623">
    <w:nsid w:val="569BC2B2"/>
    <w:multiLevelType w:val="hybridMultilevel"/>
    <w:lvl w:ilvl="0">
      <w:lvlJc w:val="left"/>
      <w:lvlText w:val="(%1)"/>
      <w:numFmt w:val="lowerLetter"/>
      <w:start w:val="5"/>
    </w:lvl>
  </w:abstractNum>
  <w:abstractNum w:abstractNumId="624">
    <w:nsid w:val="74087021"/>
    <w:multiLevelType w:val="hybridMultilevel"/>
    <w:lvl w:ilvl="0">
      <w:lvlJc w:val="left"/>
      <w:lvlText w:val="%1"/>
      <w:numFmt w:val="decimal"/>
      <w:start w:val="1"/>
    </w:lvl>
    <w:lvl w:ilvl="1">
      <w:lvlJc w:val="left"/>
      <w:lvlText w:val="(%2)"/>
      <w:numFmt w:val="lowerLetter"/>
      <w:start w:val="1"/>
    </w:lvl>
  </w:abstractNum>
  <w:abstractNum w:abstractNumId="625">
    <w:nsid w:val="23BC16C2"/>
    <w:multiLevelType w:val="hybridMultilevel"/>
    <w:lvl w:ilvl="0">
      <w:lvlJc w:val="left"/>
      <w:lvlText w:val="%1."/>
      <w:numFmt w:val="decimal"/>
      <w:start w:val="4"/>
    </w:lvl>
    <w:lvl w:ilvl="1">
      <w:lvlJc w:val="left"/>
      <w:lvlText w:val="%2"/>
      <w:numFmt w:val="lowerLetter"/>
      <w:start w:val="1"/>
    </w:lvl>
  </w:abstractNum>
  <w:abstractNum w:abstractNumId="626">
    <w:nsid w:val="2026EC5"/>
    <w:multiLevelType w:val="hybridMultilevel"/>
    <w:lvl w:ilvl="0">
      <w:lvlJc w:val="left"/>
      <w:lvlText w:val="%1."/>
      <w:numFmt w:val="decimal"/>
      <w:start w:val="5"/>
    </w:lvl>
  </w:abstractNum>
  <w:abstractNum w:abstractNumId="627">
    <w:nsid w:val="4DF9979A"/>
    <w:multiLevelType w:val="hybridMultilevel"/>
    <w:lvl w:ilvl="0">
      <w:lvlJc w:val="left"/>
      <w:lvlText w:val="%1."/>
      <w:numFmt w:val="decimal"/>
      <w:start w:val="6"/>
    </w:lvl>
  </w:abstractNum>
  <w:abstractNum w:abstractNumId="628">
    <w:nsid w:val="68E13F8E"/>
    <w:multiLevelType w:val="hybridMultilevel"/>
    <w:lvl w:ilvl="0">
      <w:lvlJc w:val="left"/>
      <w:lvlText w:val="%1"/>
      <w:numFmt w:val="lowerRoman"/>
      <w:start w:val="1"/>
    </w:lvl>
    <w:lvl w:ilvl="1">
      <w:lvlJc w:val="left"/>
      <w:lvlText w:val="(%2)"/>
      <w:numFmt w:val="lowerLetter"/>
      <w:start w:val="1"/>
    </w:lvl>
  </w:abstractNum>
  <w:abstractNum w:abstractNumId="629">
    <w:nsid w:val="51C07F53"/>
    <w:multiLevelType w:val="hybridMultilevel"/>
    <w:lvl w:ilvl="0">
      <w:lvlJc w:val="left"/>
      <w:lvlText w:val="(%1)"/>
      <w:numFmt w:val="lowerRoman"/>
      <w:start w:val="6"/>
    </w:lvl>
    <w:lvl w:ilvl="1">
      <w:lvlJc w:val="left"/>
      <w:lvlText w:val="(%2)"/>
      <w:numFmt w:val="lowerLetter"/>
      <w:start w:val="2"/>
    </w:lvl>
  </w:abstractNum>
  <w:abstractNum w:abstractNumId="630">
    <w:nsid w:val="2E59C5FD"/>
    <w:multiLevelType w:val="hybridMultilevel"/>
    <w:lvl w:ilvl="0">
      <w:lvlJc w:val="left"/>
      <w:lvlText w:val="(%1)"/>
      <w:numFmt w:val="lowerLetter"/>
      <w:start w:val="4"/>
    </w:lvl>
  </w:abstractNum>
  <w:abstractNum w:abstractNumId="631">
    <w:nsid w:val="30B21390"/>
    <w:multiLevelType w:val="hybridMultilevel"/>
    <w:lvl w:ilvl="0">
      <w:lvlJc w:val="left"/>
      <w:lvlText w:val="(%1)"/>
      <w:numFmt w:val="lowerLetter"/>
      <w:start w:val="1"/>
    </w:lvl>
  </w:abstractNum>
  <w:abstractNum w:abstractNumId="632">
    <w:nsid w:val="5EDD588C"/>
    <w:multiLevelType w:val="hybridMultilevel"/>
    <w:lvl w:ilvl="0">
      <w:lvlJc w:val="left"/>
      <w:lvlText w:val="(%1)"/>
      <w:numFmt w:val="lowerLetter"/>
      <w:start w:val="2"/>
    </w:lvl>
  </w:abstractNum>
  <w:abstractNum w:abstractNumId="633">
    <w:nsid w:val="40AEF10D"/>
    <w:multiLevelType w:val="hybridMultilevel"/>
    <w:lvl w:ilvl="0">
      <w:lvlJc w:val="left"/>
      <w:lvlText w:val="(%1)"/>
      <w:numFmt w:val="lowerLetter"/>
      <w:start w:val="1"/>
    </w:lvl>
  </w:abstractNum>
  <w:abstractNum w:abstractNumId="634">
    <w:nsid w:val="40009C03"/>
    <w:multiLevelType w:val="hybridMultilevel"/>
    <w:lvl w:ilvl="0">
      <w:lvlJc w:val="left"/>
      <w:lvlText w:val="%1."/>
      <w:numFmt w:val="decimal"/>
      <w:start w:val="7"/>
    </w:lvl>
  </w:abstractNum>
  <w:abstractNum w:abstractNumId="635">
    <w:nsid w:val="3BCFA3D1"/>
    <w:multiLevelType w:val="hybridMultilevel"/>
    <w:lvl w:ilvl="0">
      <w:lvlJc w:val="left"/>
      <w:lvlText w:val="%1."/>
      <w:numFmt w:val="decimal"/>
      <w:start w:val="8"/>
    </w:lvl>
  </w:abstractNum>
  <w:abstractNum w:abstractNumId="636">
    <w:nsid w:val="2040AF63"/>
    <w:multiLevelType w:val="hybridMultilevel"/>
    <w:lvl w:ilvl="0">
      <w:lvlJc w:val="left"/>
      <w:lvlText w:val="(%1)"/>
      <w:numFmt w:val="lowerLetter"/>
      <w:start w:val="1"/>
    </w:lvl>
  </w:abstractNum>
  <w:abstractNum w:abstractNumId="637">
    <w:nsid w:val="7C3FA800"/>
    <w:multiLevelType w:val="hybridMultilevel"/>
    <w:lvl w:ilvl="0">
      <w:lvlJc w:val="left"/>
      <w:lvlText w:val="(%1)"/>
      <w:numFmt w:val="lowerLetter"/>
      <w:start w:val="2"/>
    </w:lvl>
  </w:abstractNum>
  <w:abstractNum w:abstractNumId="638">
    <w:nsid w:val="56E57D3D"/>
    <w:multiLevelType w:val="hybridMultilevel"/>
    <w:lvl w:ilvl="0">
      <w:lvlJc w:val="left"/>
      <w:lvlText w:val="%1."/>
      <w:numFmt w:val="decimal"/>
      <w:start w:val="9"/>
    </w:lvl>
  </w:abstractNum>
  <w:abstractNum w:abstractNumId="639">
    <w:nsid w:val="1B874986"/>
    <w:multiLevelType w:val="hybridMultilevel"/>
    <w:lvl w:ilvl="0">
      <w:lvlJc w:val="left"/>
      <w:lvlText w:val="(%1)"/>
      <w:numFmt w:val="lowerLetter"/>
      <w:start w:val="1"/>
    </w:lvl>
  </w:abstractNum>
  <w:abstractNum w:abstractNumId="640">
    <w:nsid w:val="1E1C83A1"/>
    <w:multiLevelType w:val="hybridMultilevel"/>
    <w:lvl w:ilvl="0">
      <w:lvlJc w:val="left"/>
      <w:lvlText w:val="(%1)"/>
      <w:numFmt w:val="lowerLetter"/>
      <w:start w:val="5"/>
    </w:lvl>
  </w:abstractNum>
  <w:abstractNum w:abstractNumId="641">
    <w:nsid w:val="78EBD301"/>
    <w:multiLevelType w:val="hybridMultilevel"/>
    <w:lvl w:ilvl="0">
      <w:lvlJc w:val="left"/>
      <w:lvlText w:val="(%1)"/>
      <w:numFmt w:val="lowerRoman"/>
      <w:start w:val="3"/>
    </w:lvl>
  </w:abstractNum>
  <w:abstractNum w:abstractNumId="642">
    <w:nsid w:val="786D58E4"/>
    <w:multiLevelType w:val="hybridMultilevel"/>
    <w:lvl w:ilvl="0">
      <w:lvlJc w:val="left"/>
      <w:lvlText w:val="%1."/>
      <w:numFmt w:val="decimal"/>
      <w:start w:val="10"/>
    </w:lvl>
  </w:abstractNum>
  <w:abstractNum w:abstractNumId="643">
    <w:nsid w:val="69B6E9D9"/>
    <w:multiLevelType w:val="hybridMultilevel"/>
    <w:lvl w:ilvl="0">
      <w:lvlJc w:val="left"/>
      <w:lvlText w:val="%1."/>
      <w:numFmt w:val="decimal"/>
      <w:start w:val="11"/>
    </w:lvl>
  </w:abstractNum>
  <w:abstractNum w:abstractNumId="644">
    <w:nsid w:val="210E8FA8"/>
    <w:multiLevelType w:val="hybridMultilevel"/>
    <w:lvl w:ilvl="0">
      <w:lvlJc w:val="left"/>
      <w:lvlText w:val="%1."/>
      <w:numFmt w:val="decimal"/>
      <w:start w:val="12"/>
    </w:lvl>
  </w:abstractNum>
  <w:abstractNum w:abstractNumId="645">
    <w:nsid w:val="3E858759"/>
    <w:multiLevelType w:val="hybridMultilevel"/>
    <w:lvl w:ilvl="0">
      <w:lvlJc w:val="left"/>
      <w:lvlText w:val="%1"/>
      <w:numFmt w:val="lowerRoman"/>
      <w:start w:val="1"/>
    </w:lvl>
    <w:lvl w:ilvl="1">
      <w:lvlJc w:val="left"/>
      <w:lvlText w:val="(%2)"/>
      <w:numFmt w:val="lowerLetter"/>
      <w:start w:val="1"/>
    </w:lvl>
  </w:abstractNum>
  <w:abstractNum w:abstractNumId="646">
    <w:nsid w:val="62E80725"/>
    <w:multiLevelType w:val="hybridMultilevel"/>
    <w:lvl w:ilvl="0">
      <w:lvlJc w:val="left"/>
      <w:lvlText w:val="(%1)"/>
      <w:numFmt w:val="lowerRoman"/>
      <w:start w:val="2"/>
    </w:lvl>
    <w:lvl w:ilvl="1">
      <w:lvlJc w:val="left"/>
      <w:lvlText w:val="%2"/>
      <w:numFmt w:val="lowerLetter"/>
      <w:start w:val="1"/>
    </w:lvl>
  </w:abstractNum>
  <w:abstractNum w:abstractNumId="647">
    <w:nsid w:val="6A84631"/>
    <w:multiLevelType w:val="hybridMultilevel"/>
    <w:lvl w:ilvl="0">
      <w:lvlJc w:val="left"/>
      <w:lvlText w:val="(%1)"/>
      <w:numFmt w:val="lowerRoman"/>
      <w:start w:val="4"/>
    </w:lvl>
    <w:lvl w:ilvl="1">
      <w:lvlJc w:val="left"/>
      <w:lvlText w:val="(%2)"/>
      <w:numFmt w:val="lowerLetter"/>
      <w:start w:val="5"/>
    </w:lvl>
  </w:abstractNum>
  <w:abstractNum w:abstractNumId="648">
    <w:nsid w:val="16E7E3C7"/>
    <w:multiLevelType w:val="hybridMultilevel"/>
    <w:lvl w:ilvl="0">
      <w:lvlJc w:val="left"/>
      <w:lvlText w:val="%1."/>
      <w:numFmt w:val="decimal"/>
      <w:start w:val="13"/>
    </w:lvl>
  </w:abstractNum>
  <w:abstractNum w:abstractNumId="649">
    <w:nsid w:val="63FEC9A"/>
    <w:multiLevelType w:val="hybridMultilevel"/>
    <w:lvl w:ilvl="0">
      <w:lvlJc w:val="left"/>
      <w:lvlText w:val="%1."/>
      <w:numFmt w:val="decimal"/>
      <w:start w:val="23"/>
    </w:lvl>
  </w:abstractNum>
  <w:abstractNum w:abstractNumId="650">
    <w:nsid w:val="6C291F4C"/>
    <w:multiLevelType w:val="hybridMultilevel"/>
    <w:lvl w:ilvl="0">
      <w:lvlJc w:val="left"/>
      <w:lvlText w:val="1"/>
      <w:numFmt w:val="bullet"/>
      <w:start w:val="1"/>
    </w:lvl>
  </w:abstractNum>
  <w:abstractNum w:abstractNumId="651">
    <w:nsid w:val="50138A7A"/>
    <w:multiLevelType w:val="hybridMultilevel"/>
    <w:lvl w:ilvl="0">
      <w:lvlJc w:val="left"/>
      <w:lvlText w:val="7"/>
      <w:numFmt w:val="bullet"/>
      <w:start w:val="1"/>
    </w:lvl>
  </w:abstractNum>
  <w:abstractNum w:abstractNumId="652">
    <w:nsid w:val="30357089"/>
    <w:multiLevelType w:val="hybridMultilevel"/>
    <w:lvl w:ilvl="0">
      <w:lvlJc w:val="left"/>
      <w:lvlText w:val="8"/>
      <w:numFmt w:val="bullet"/>
      <w:start w:val="1"/>
    </w:lvl>
  </w:abstractNum>
  <w:abstractNum w:abstractNumId="653">
    <w:nsid w:val="50AF58A7"/>
    <w:multiLevelType w:val="hybridMultilevel"/>
    <w:lvl w:ilvl="0">
      <w:lvlJc w:val="left"/>
      <w:lvlText w:val="%1"/>
      <w:numFmt w:val="decimal"/>
      <w:start w:val="15"/>
    </w:lvl>
  </w:abstractNum>
  <w:abstractNum w:abstractNumId="654">
    <w:nsid w:val="26AF4D2D"/>
    <w:multiLevelType w:val="hybridMultilevel"/>
    <w:lvl w:ilvl="0">
      <w:lvlJc w:val="left"/>
      <w:lvlText w:val="I"/>
      <w:numFmt w:val="bullet"/>
      <w:start w:val="1"/>
    </w:lvl>
  </w:abstractNum>
  <w:abstractNum w:abstractNumId="655">
    <w:nsid w:val="243DE0AA"/>
    <w:multiLevelType w:val="hybridMultilevel"/>
    <w:lvl w:ilvl="0">
      <w:lvlJc w:val="left"/>
      <w:lvlText w:val="%1."/>
      <w:numFmt w:val="decimal"/>
      <w:start w:val="1"/>
    </w:lvl>
  </w:abstractNum>
  <w:abstractNum w:abstractNumId="656">
    <w:nsid w:val="746B6F6A"/>
    <w:multiLevelType w:val="hybridMultilevel"/>
    <w:lvl w:ilvl="0">
      <w:lvlJc w:val="left"/>
      <w:lvlText w:val="%1."/>
      <w:numFmt w:val="decimal"/>
      <w:start w:val="2"/>
    </w:lvl>
  </w:abstractNum>
  <w:abstractNum w:abstractNumId="657">
    <w:nsid w:val="28B1BBF2"/>
    <w:multiLevelType w:val="hybridMultilevel"/>
    <w:lvl w:ilvl="0">
      <w:lvlJc w:val="left"/>
      <w:lvlText w:val="%1."/>
      <w:numFmt w:val="decimal"/>
      <w:start w:val="3"/>
    </w:lvl>
    <w:lvl w:ilvl="1">
      <w:lvlJc w:val="left"/>
      <w:lvlText w:val="(%2)"/>
      <w:numFmt w:val="lowerLetter"/>
      <w:start w:val="3"/>
    </w:lvl>
    <w:lvl w:ilvl="2">
      <w:lvlJc w:val="left"/>
      <w:lvlText w:val="(%3)"/>
      <w:numFmt w:val="lowerRoman"/>
      <w:start w:val="1"/>
    </w:lvl>
  </w:abstractNum>
  <w:abstractNum w:abstractNumId="658">
    <w:nsid w:val="72377844"/>
    <w:multiLevelType w:val="hybridMultilevel"/>
    <w:lvl w:ilvl="0">
      <w:lvlJc w:val="left"/>
      <w:lvlText w:val="%1"/>
      <w:numFmt w:val="decimal"/>
      <w:start w:val="1"/>
    </w:lvl>
    <w:lvl w:ilvl="1">
      <w:lvlJc w:val="left"/>
      <w:lvlText w:val="(%2)"/>
      <w:numFmt w:val="lowerLetter"/>
      <w:start w:val="35"/>
    </w:lvl>
    <w:lvl w:ilvl="2">
      <w:lvlJc w:val="left"/>
      <w:lvlText w:val="%3"/>
      <w:numFmt w:val="lowerRoman"/>
      <w:start w:val="1"/>
    </w:lvl>
  </w:abstractNum>
  <w:abstractNum w:abstractNumId="659">
    <w:nsid w:val="5D4CAEF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60">
    <w:nsid w:val="7A723B45"/>
    <w:multiLevelType w:val="hybridMultilevel"/>
    <w:lvl w:ilvl="0">
      <w:lvlJc w:val="left"/>
      <w:lvlText w:val="(%1)"/>
      <w:numFmt w:val="lowerLetter"/>
      <w:start w:val="1"/>
    </w:lvl>
    <w:lvl w:ilvl="1">
      <w:lvlJc w:val="left"/>
      <w:lvlText w:val="(%2)"/>
      <w:numFmt w:val="lowerRoman"/>
      <w:start w:val="1"/>
    </w:lvl>
  </w:abstractNum>
  <w:abstractNum w:abstractNumId="661">
    <w:nsid w:val="20913E41"/>
    <w:multiLevelType w:val="hybridMultilevel"/>
    <w:lvl w:ilvl="0">
      <w:lvlJc w:val="left"/>
      <w:lvlText w:val="(%1)"/>
      <w:numFmt w:val="lowerRoman"/>
      <w:start w:val="4"/>
    </w:lvl>
  </w:abstractNum>
  <w:abstractNum w:abstractNumId="662">
    <w:nsid w:val="DFEC288"/>
    <w:multiLevelType w:val="hybridMultilevel"/>
    <w:lvl w:ilvl="0">
      <w:lvlJc w:val="left"/>
      <w:lvlText w:val="%1."/>
      <w:numFmt w:val="decimal"/>
      <w:start w:val="7"/>
    </w:lvl>
    <w:lvl w:ilvl="1">
      <w:lvlJc w:val="left"/>
      <w:lvlText w:val="(%2)"/>
      <w:numFmt w:val="lowerLetter"/>
      <w:start w:val="7"/>
    </w:lvl>
  </w:abstractNum>
  <w:abstractNum w:abstractNumId="663">
    <w:nsid w:val="594F93D1"/>
    <w:multiLevelType w:val="hybridMultilevel"/>
    <w:lvl w:ilvl="0">
      <w:lvlJc w:val="left"/>
      <w:lvlText w:val="%1."/>
      <w:numFmt w:val="decimal"/>
      <w:start w:val="9"/>
    </w:lvl>
  </w:abstractNum>
  <w:abstractNum w:abstractNumId="664">
    <w:nsid w:val="61402F4E"/>
    <w:multiLevelType w:val="hybridMultilevel"/>
    <w:lvl w:ilvl="0">
      <w:lvlJc w:val="left"/>
      <w:lvlText w:val="%1."/>
      <w:numFmt w:val="decimal"/>
      <w:start w:val="10"/>
    </w:lvl>
  </w:abstractNum>
  <w:abstractNum w:abstractNumId="665">
    <w:nsid w:val="4DFF5E8B"/>
    <w:multiLevelType w:val="hybridMultilevel"/>
    <w:lvl w:ilvl="0">
      <w:lvlJc w:val="left"/>
      <w:lvlText w:val="%1."/>
      <w:numFmt w:val="decimal"/>
      <w:start w:val="11"/>
    </w:lvl>
  </w:abstractNum>
  <w:abstractNum w:abstractNumId="666">
    <w:nsid w:val="151F37A3"/>
    <w:multiLevelType w:val="hybridMultilevel"/>
    <w:lvl w:ilvl="0">
      <w:lvlJc w:val="left"/>
      <w:lvlText w:val="%1."/>
      <w:numFmt w:val="decimal"/>
      <w:start w:val="12"/>
    </w:lvl>
  </w:abstractNum>
  <w:abstractNum w:abstractNumId="667">
    <w:nsid w:val="180DEB1"/>
    <w:multiLevelType w:val="hybridMultilevel"/>
    <w:lvl w:ilvl="0">
      <w:lvlJc w:val="left"/>
      <w:lvlText w:val="%1."/>
      <w:numFmt w:val="decimal"/>
      <w:start w:val="13"/>
    </w:lvl>
  </w:abstractNum>
  <w:abstractNum w:abstractNumId="668">
    <w:nsid w:val="4A3F068C"/>
    <w:multiLevelType w:val="hybridMultilevel"/>
    <w:lvl w:ilvl="0">
      <w:lvlJc w:val="left"/>
      <w:lvlText w:val="%1."/>
      <w:numFmt w:val="decimal"/>
      <w:start w:val="16"/>
    </w:lvl>
    <w:lvl w:ilvl="1">
      <w:lvlJc w:val="left"/>
      <w:lvlText w:val="(%2)"/>
      <w:numFmt w:val="lowerLetter"/>
      <w:start w:val="1"/>
    </w:lvl>
  </w:abstractNum>
  <w:abstractNum w:abstractNumId="669">
    <w:nsid w:val="6C04B4E0"/>
    <w:multiLevelType w:val="hybridMultilevel"/>
    <w:lvl w:ilvl="0">
      <w:lvlJc w:val="left"/>
      <w:lvlText w:val="%1."/>
      <w:numFmt w:val="decimal"/>
      <w:start w:val="1"/>
    </w:lvl>
    <w:lvl w:ilvl="1">
      <w:lvlJc w:val="left"/>
      <w:lvlText w:val="(%2)"/>
      <w:numFmt w:val="lowerLetter"/>
      <w:start w:val="1"/>
    </w:lvl>
  </w:abstractNum>
  <w:abstractNum w:abstractNumId="670">
    <w:nsid w:val="1D082837"/>
    <w:multiLevelType w:val="hybridMultilevel"/>
    <w:lvl w:ilvl="0">
      <w:lvlJc w:val="left"/>
      <w:lvlText w:val="%1"/>
      <w:numFmt w:val="decimal"/>
      <w:start w:val="1"/>
    </w:lvl>
    <w:lvl w:ilvl="1">
      <w:lvlJc w:val="left"/>
      <w:lvlText w:val="(%2)"/>
      <w:numFmt w:val="lowerLetter"/>
      <w:start w:val="35"/>
    </w:lvl>
  </w:abstractNum>
  <w:abstractNum w:abstractNumId="671">
    <w:nsid w:val="685B8A2D"/>
    <w:multiLevelType w:val="hybridMultilevel"/>
    <w:lvl w:ilvl="0">
      <w:lvlJc w:val="left"/>
      <w:lvlText w:val="%1."/>
      <w:numFmt w:val="decimal"/>
      <w:start w:val="4"/>
    </w:lvl>
    <w:lvl w:ilvl="1">
      <w:lvlJc w:val="left"/>
      <w:lvlText w:val="%2"/>
      <w:numFmt w:val="lowerLetter"/>
      <w:start w:val="1"/>
    </w:lvl>
  </w:abstractNum>
  <w:abstractNum w:abstractNumId="672">
    <w:nsid w:val="64F087E2"/>
    <w:multiLevelType w:val="hybridMultilevel"/>
    <w:lvl w:ilvl="0">
      <w:lvlJc w:val="left"/>
      <w:lvlText w:val="%1."/>
      <w:numFmt w:val="decimal"/>
      <w:start w:val="6"/>
    </w:lvl>
    <w:lvl w:ilvl="1">
      <w:lvlJc w:val="left"/>
      <w:lvlText w:val="(%2)"/>
      <w:numFmt w:val="lowerLetter"/>
      <w:start w:val="1"/>
    </w:lvl>
  </w:abstractNum>
  <w:abstractNum w:abstractNumId="673">
    <w:nsid w:val="1575811C"/>
    <w:multiLevelType w:val="hybridMultilevel"/>
    <w:lvl w:ilvl="0">
      <w:lvlJc w:val="left"/>
      <w:lvlText w:val="%1."/>
      <w:numFmt w:val="decimal"/>
      <w:start w:val="1"/>
    </w:lvl>
  </w:abstractNum>
  <w:abstractNum w:abstractNumId="674">
    <w:nsid w:val="52127406"/>
    <w:multiLevelType w:val="hybridMultilevel"/>
    <w:lvl w:ilvl="0">
      <w:lvlJc w:val="left"/>
      <w:lvlText w:val="%1."/>
      <w:numFmt w:val="decimal"/>
      <w:start w:val="2"/>
    </w:lvl>
    <w:lvl w:ilvl="1">
      <w:lvlJc w:val="left"/>
      <w:lvlText w:val="(%2)"/>
      <w:numFmt w:val="lowerLetter"/>
      <w:start w:val="6"/>
    </w:lvl>
    <w:lvl w:ilvl="2">
      <w:lvlJc w:val="left"/>
      <w:lvlText w:val="(%3)"/>
      <w:numFmt w:val="lowerRoman"/>
      <w:start w:val="1"/>
    </w:lvl>
  </w:abstractNum>
  <w:abstractNum w:abstractNumId="675">
    <w:nsid w:val="5FF178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676">
    <w:nsid w:val="53FB0875"/>
    <w:multiLevelType w:val="hybridMultilevel"/>
    <w:lvl w:ilvl="0">
      <w:lvlJc w:val="left"/>
      <w:lvlText w:val="%1."/>
      <w:numFmt w:val="decimal"/>
      <w:start w:val="3"/>
    </w:lvl>
    <w:lvl w:ilvl="1">
      <w:lvlJc w:val="left"/>
      <w:lvlText w:val="(%2)"/>
      <w:numFmt w:val="lowerLetter"/>
      <w:start w:val="7"/>
    </w:lvl>
    <w:lvl w:ilvl="2">
      <w:lvlJc w:val="left"/>
      <w:lvlText w:val="%3"/>
      <w:numFmt w:val="lowerRoman"/>
      <w:start w:val="1"/>
    </w:lvl>
  </w:abstractNum>
  <w:abstractNum w:abstractNumId="677">
    <w:nsid w:val="34FA7B2B"/>
    <w:multiLevelType w:val="hybridMultilevel"/>
    <w:lvl w:ilvl="0">
      <w:lvlJc w:val="left"/>
      <w:lvlText w:val="%1."/>
      <w:numFmt w:val="decimal"/>
      <w:start w:val="4"/>
    </w:lvl>
  </w:abstractNum>
  <w:abstractNum w:abstractNumId="678">
    <w:nsid w:val="CA75DBC"/>
    <w:multiLevelType w:val="hybridMultilevel"/>
    <w:lvl w:ilvl="0">
      <w:lvlJc w:val="left"/>
      <w:lvlText w:val="%1."/>
      <w:numFmt w:val="decimal"/>
      <w:start w:val="5"/>
    </w:lvl>
    <w:lvl w:ilvl="1">
      <w:lvlJc w:val="left"/>
      <w:lvlText w:val="(%2)"/>
      <w:numFmt w:val="lowerLetter"/>
      <w:start w:val="8"/>
    </w:lvl>
  </w:abstractNum>
  <w:abstractNum w:abstractNumId="679">
    <w:nsid w:val="6AE2EC3C"/>
    <w:multiLevelType w:val="hybridMultilevel"/>
    <w:lvl w:ilvl="0">
      <w:lvlJc w:val="left"/>
      <w:lvlText w:val="%1"/>
      <w:numFmt w:val="decimal"/>
      <w:start w:val="1"/>
    </w:lvl>
    <w:lvl w:ilvl="1">
      <w:lvlJc w:val="left"/>
      <w:lvlText w:val="(%2)"/>
      <w:numFmt w:val="lowerLetter"/>
      <w:start w:val="2"/>
    </w:lvl>
  </w:abstractNum>
  <w:abstractNum w:abstractNumId="680">
    <w:nsid w:val="3B3A67C5"/>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681">
    <w:nsid w:val="78D07D08"/>
    <w:multiLevelType w:val="hybridMultilevel"/>
    <w:lvl w:ilvl="0">
      <w:lvlJc w:val="left"/>
      <w:lvlText w:val="(%1)"/>
      <w:numFmt w:val="lowerLetter"/>
      <w:start w:val="1"/>
    </w:lvl>
  </w:abstractNum>
  <w:abstractNum w:abstractNumId="682">
    <w:nsid w:val="3AF676B7"/>
    <w:multiLevelType w:val="hybridMultilevel"/>
    <w:lvl w:ilvl="0">
      <w:lvlJc w:val="left"/>
      <w:lvlText w:val="%1."/>
      <w:numFmt w:val="decimal"/>
      <w:start w:val="1"/>
    </w:lvl>
  </w:abstractNum>
  <w:abstractNum w:abstractNumId="683">
    <w:nsid w:val="6B6FD84E"/>
    <w:multiLevelType w:val="hybridMultilevel"/>
    <w:lvl w:ilvl="0">
      <w:lvlJc w:val="left"/>
      <w:lvlText w:val="%1."/>
      <w:numFmt w:val="decimal"/>
      <w:start w:val="3"/>
    </w:lvl>
    <w:lvl w:ilvl="1">
      <w:lvlJc w:val="left"/>
      <w:lvlText w:val="(%2)"/>
      <w:numFmt w:val="lowerLetter"/>
      <w:start w:val="35"/>
    </w:lvl>
    <w:lvl w:ilvl="2">
      <w:lvlJc w:val="left"/>
      <w:lvlText w:val="%3"/>
      <w:numFmt w:val="lowerRoman"/>
      <w:start w:val="1"/>
    </w:lvl>
  </w:abstractNum>
  <w:abstractNum w:abstractNumId="684">
    <w:nsid w:val="497FD5B0"/>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685">
    <w:nsid w:val="61A5C3E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86">
    <w:nsid w:val="FADB8F8"/>
    <w:multiLevelType w:val="hybridMultilevel"/>
    <w:lvl w:ilvl="0">
      <w:lvlJc w:val="left"/>
      <w:lvlText w:val="%1"/>
      <w:numFmt w:val="decimal"/>
      <w:start w:val="1"/>
    </w:lvl>
    <w:lvl w:ilvl="1">
      <w:lvlJc w:val="left"/>
      <w:lvlText w:val="(%2)"/>
      <w:numFmt w:val="lowerLetter"/>
      <w:start w:val="1"/>
    </w:lvl>
  </w:abstractNum>
  <w:abstractNum w:abstractNumId="687">
    <w:nsid w:val="3DEB451A"/>
    <w:multiLevelType w:val="hybridMultilevel"/>
    <w:lvl w:ilvl="0">
      <w:lvlJc w:val="left"/>
      <w:lvlText w:val="%1."/>
      <w:numFmt w:val="decimal"/>
      <w:start w:val="6"/>
    </w:lvl>
    <w:lvl w:ilvl="1">
      <w:lvlJc w:val="left"/>
      <w:lvlText w:val="%2"/>
      <w:numFmt w:val="lowerLetter"/>
      <w:start w:val="1"/>
    </w:lvl>
  </w:abstractNum>
  <w:abstractNum w:abstractNumId="688">
    <w:nsid w:val="A577FD6"/>
    <w:multiLevelType w:val="hybridMultilevel"/>
    <w:lvl w:ilvl="0">
      <w:lvlJc w:val="left"/>
      <w:lvlText w:val="%1."/>
      <w:numFmt w:val="decimal"/>
      <w:start w:val="7"/>
    </w:lvl>
  </w:abstractNum>
  <w:abstractNum w:abstractNumId="689">
    <w:nsid w:val="1E5313D"/>
    <w:multiLevelType w:val="hybridMultilevel"/>
    <w:lvl w:ilvl="0">
      <w:lvlJc w:val="left"/>
      <w:lvlText w:val="%1."/>
      <w:numFmt w:val="decimal"/>
      <w:start w:val="8"/>
    </w:lvl>
  </w:abstractNum>
  <w:abstractNum w:abstractNumId="690">
    <w:nsid w:val="1B37F412"/>
    <w:multiLevelType w:val="hybridMultilevel"/>
    <w:lvl w:ilvl="0">
      <w:lvlJc w:val="left"/>
      <w:lvlText w:val="%1."/>
      <w:numFmt w:val="decimal"/>
      <w:start w:val="9"/>
    </w:lvl>
    <w:lvl w:ilvl="1">
      <w:lvlJc w:val="left"/>
      <w:lvlText w:val="(%2)"/>
      <w:numFmt w:val="lowerLetter"/>
      <w:start w:val="1"/>
    </w:lvl>
  </w:abstractNum>
  <w:abstractNum w:abstractNumId="691">
    <w:nsid w:val="4C9BB1B"/>
    <w:multiLevelType w:val="hybridMultilevel"/>
    <w:lvl w:ilvl="0">
      <w:lvlJc w:val="left"/>
      <w:lvlText w:val="%1."/>
      <w:numFmt w:val="decimal"/>
      <w:start w:val="1"/>
    </w:lvl>
  </w:abstractNum>
  <w:abstractNum w:abstractNumId="692">
    <w:nsid w:val="22766F7E"/>
    <w:multiLevelType w:val="hybridMultilevel"/>
    <w:lvl w:ilvl="0">
      <w:lvlJc w:val="left"/>
      <w:lvlText w:val="%1."/>
      <w:numFmt w:val="decimal"/>
      <w:start w:val="3"/>
    </w:lvl>
    <w:lvl w:ilvl="1">
      <w:lvlJc w:val="left"/>
      <w:lvlText w:val="(%2)"/>
      <w:numFmt w:val="lowerLetter"/>
      <w:start w:val="1"/>
    </w:lvl>
  </w:abstractNum>
  <w:abstractNum w:abstractNumId="693">
    <w:nsid w:val="2936B69A"/>
    <w:multiLevelType w:val="hybridMultilevel"/>
    <w:lvl w:ilvl="0">
      <w:lvlJc w:val="left"/>
      <w:lvlText w:val="%1."/>
      <w:numFmt w:val="decimal"/>
      <w:start w:val="1"/>
    </w:lvl>
  </w:abstractNum>
  <w:abstractNum w:abstractNumId="694">
    <w:nsid w:val="5E194EEC"/>
    <w:multiLevelType w:val="hybridMultilevel"/>
    <w:lvl w:ilvl="0">
      <w:lvlJc w:val="left"/>
      <w:lvlText w:val="%1."/>
      <w:numFmt w:val="decimal"/>
      <w:start w:val="3"/>
    </w:lvl>
    <w:lvl w:ilvl="1">
      <w:lvlJc w:val="left"/>
      <w:lvlText w:val="(%2)"/>
      <w:numFmt w:val="lowerLetter"/>
      <w:start w:val="1"/>
    </w:lvl>
  </w:abstractNum>
  <w:abstractNum w:abstractNumId="695">
    <w:nsid w:val="3B69ECD"/>
    <w:multiLevelType w:val="hybridMultilevel"/>
    <w:lvl w:ilvl="0">
      <w:lvlJc w:val="left"/>
      <w:lvlText w:val="%1."/>
      <w:numFmt w:val="decimal"/>
      <w:start w:val="4"/>
    </w:lvl>
    <w:lvl w:ilvl="1">
      <w:lvlJc w:val="left"/>
      <w:lvlText w:val="(%2)"/>
      <w:numFmt w:val="lowerLetter"/>
      <w:start w:val="1"/>
    </w:lvl>
  </w:abstractNum>
  <w:abstractNum w:abstractNumId="696">
    <w:nsid w:val="77361526"/>
    <w:multiLevelType w:val="hybridMultilevel"/>
    <w:lvl w:ilvl="0">
      <w:lvlJc w:val="left"/>
      <w:lvlText w:val="%1."/>
      <w:numFmt w:val="decimal"/>
      <w:start w:val="1"/>
    </w:lvl>
  </w:abstractNum>
  <w:abstractNum w:abstractNumId="697">
    <w:nsid w:val="7338868F"/>
    <w:multiLevelType w:val="hybridMultilevel"/>
    <w:lvl w:ilvl="0">
      <w:lvlJc w:val="left"/>
      <w:lvlText w:val="%1."/>
      <w:numFmt w:val="decimal"/>
      <w:start w:val="4"/>
    </w:lvl>
  </w:abstractNum>
  <w:abstractNum w:abstractNumId="698">
    <w:nsid w:val="5377D7E"/>
    <w:multiLevelType w:val="hybridMultilevel"/>
    <w:lvl w:ilvl="0">
      <w:lvlJc w:val="left"/>
      <w:lvlText w:val="%1."/>
      <w:numFmt w:val="decimal"/>
      <w:start w:val="5"/>
    </w:lvl>
  </w:abstractNum>
  <w:abstractNum w:abstractNumId="699">
    <w:nsid w:val="41751BB2"/>
    <w:multiLevelType w:val="hybridMultilevel"/>
    <w:lvl w:ilvl="0">
      <w:lvlJc w:val="left"/>
      <w:lvlText w:val="%1."/>
      <w:numFmt w:val="decimal"/>
      <w:start w:val="7"/>
    </w:lvl>
    <w:lvl w:ilvl="1">
      <w:lvlJc w:val="left"/>
      <w:lvlText w:val="(%2)"/>
      <w:numFmt w:val="lowerLetter"/>
      <w:start w:val="1"/>
    </w:lvl>
  </w:abstractNum>
  <w:abstractNum w:abstractNumId="700">
    <w:nsid w:val="5F3D3B70"/>
    <w:multiLevelType w:val="hybridMultilevel"/>
    <w:lvl w:ilvl="0">
      <w:lvlJc w:val="left"/>
      <w:lvlText w:val="(%1)"/>
      <w:numFmt w:val="lowerLetter"/>
      <w:start w:val="2"/>
    </w:lvl>
  </w:abstractNum>
  <w:abstractNum w:abstractNumId="701">
    <w:nsid w:val="223FA5B6"/>
    <w:multiLevelType w:val="hybridMultilevel"/>
    <w:lvl w:ilvl="0">
      <w:lvlJc w:val="left"/>
      <w:lvlText w:val="%1."/>
      <w:numFmt w:val="decimal"/>
      <w:start w:val="1"/>
    </w:lvl>
  </w:abstractNum>
  <w:abstractNum w:abstractNumId="702">
    <w:nsid w:val="29D0A5DF"/>
    <w:multiLevelType w:val="hybridMultilevel"/>
    <w:lvl w:ilvl="0">
      <w:lvlJc w:val="left"/>
      <w:lvlText w:val="%1."/>
      <w:numFmt w:val="decimal"/>
      <w:start w:val="4"/>
    </w:lvl>
    <w:lvl w:ilvl="1">
      <w:lvlJc w:val="left"/>
      <w:lvlText w:val="(%2)"/>
      <w:numFmt w:val="lowerLetter"/>
      <w:start w:val="3"/>
    </w:lvl>
  </w:abstractNum>
  <w:abstractNum w:abstractNumId="703">
    <w:nsid w:val="442DC352"/>
    <w:multiLevelType w:val="hybridMultilevel"/>
    <w:lvl w:ilvl="0">
      <w:lvlJc w:val="left"/>
      <w:lvlText w:val="%1."/>
      <w:numFmt w:val="decimal"/>
      <w:start w:val="7"/>
    </w:lvl>
  </w:abstractNum>
  <w:abstractNum w:abstractNumId="704">
    <w:nsid w:val="37B526D2"/>
    <w:multiLevelType w:val="hybridMultilevel"/>
    <w:lvl w:ilvl="0">
      <w:lvlJc w:val="left"/>
      <w:lvlText w:val="%1."/>
      <w:numFmt w:val="decimal"/>
      <w:start w:val="8"/>
    </w:lvl>
  </w:abstractNum>
  <w:abstractNum w:abstractNumId="705">
    <w:nsid w:val="7BE319E5"/>
    <w:multiLevelType w:val="hybridMultilevel"/>
    <w:lvl w:ilvl="0">
      <w:lvlJc w:val="left"/>
      <w:lvlText w:val="%1."/>
      <w:numFmt w:val="decimal"/>
      <w:start w:val="9"/>
    </w:lvl>
  </w:abstractNum>
  <w:abstractNum w:abstractNumId="706">
    <w:nsid w:val="4A2CDADC"/>
    <w:multiLevelType w:val="hybridMultilevel"/>
    <w:lvl w:ilvl="0">
      <w:lvlJc w:val="left"/>
      <w:lvlText w:val="%1."/>
      <w:numFmt w:val="decimal"/>
      <w:start w:val="10"/>
    </w:lvl>
  </w:abstractNum>
  <w:abstractNum w:abstractNumId="707">
    <w:nsid w:val="BB02F47"/>
    <w:multiLevelType w:val="hybridMultilevel"/>
    <w:lvl w:ilvl="0">
      <w:lvlJc w:val="left"/>
      <w:lvlText w:val="%1."/>
      <w:numFmt w:val="decimal"/>
      <w:start w:val="11"/>
    </w:lvl>
    <w:lvl w:ilvl="1">
      <w:lvlJc w:val="left"/>
      <w:lvlText w:val="(%2)"/>
      <w:numFmt w:val="lowerLetter"/>
      <w:start w:val="1"/>
    </w:lvl>
  </w:abstractNum>
  <w:abstractNum w:abstractNumId="708">
    <w:nsid w:val="30DD9510"/>
    <w:multiLevelType w:val="hybridMultilevel"/>
    <w:lvl w:ilvl="0">
      <w:lvlJc w:val="left"/>
      <w:lvlText w:val="%1."/>
      <w:numFmt w:val="decimal"/>
      <w:start w:val="1"/>
    </w:lvl>
  </w:abstractNum>
  <w:abstractNum w:abstractNumId="709">
    <w:nsid w:val="56D4389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710">
    <w:nsid w:val="76931B84"/>
    <w:multiLevelType w:val="hybridMultilevel"/>
    <w:lvl w:ilvl="0">
      <w:lvlJc w:val="left"/>
      <w:lvlText w:val="(%1)"/>
      <w:numFmt w:val="lowerRoman"/>
      <w:start w:val="2"/>
    </w:lvl>
  </w:abstractNum>
  <w:abstractNum w:abstractNumId="711">
    <w:nsid w:val="6C17FCD6"/>
    <w:multiLevelType w:val="hybridMultilevel"/>
    <w:lvl w:ilvl="0">
      <w:lvlJc w:val="left"/>
      <w:lvlText w:val="%1."/>
      <w:numFmt w:val="decimal"/>
      <w:start w:val="5"/>
    </w:lvl>
    <w:lvl w:ilvl="1">
      <w:lvlJc w:val="left"/>
      <w:lvlText w:val="(%2)"/>
      <w:numFmt w:val="lowerLetter"/>
      <w:start w:val="1"/>
    </w:lvl>
  </w:abstractNum>
  <w:abstractNum w:abstractNumId="712">
    <w:nsid w:val="4FA4B5A1"/>
    <w:multiLevelType w:val="hybridMultilevel"/>
    <w:lvl w:ilvl="0">
      <w:lvlJc w:val="left"/>
      <w:lvlText w:val="(%1)"/>
      <w:numFmt w:val="lowerLetter"/>
      <w:start w:val="3"/>
    </w:lvl>
  </w:abstractNum>
  <w:abstractNum w:abstractNumId="713">
    <w:nsid w:val="3189923B"/>
    <w:multiLevelType w:val="hybridMultilevel"/>
    <w:lvl w:ilvl="0">
      <w:lvlJc w:val="left"/>
      <w:lvlText w:val="(%1)"/>
      <w:numFmt w:val="lowerLetter"/>
      <w:start w:val="4"/>
    </w:lvl>
  </w:abstractNum>
  <w:abstractNum w:abstractNumId="714">
    <w:nsid w:val="5787D524"/>
    <w:multiLevelType w:val="hybridMultilevel"/>
    <w:lvl w:ilvl="0">
      <w:lvlJc w:val="left"/>
      <w:lvlText w:val="(%1)"/>
      <w:numFmt w:val="decimal"/>
      <w:start w:val="1"/>
    </w:lvl>
  </w:abstractNum>
  <w:abstractNum w:abstractNumId="715">
    <w:nsid w:val="19248B51"/>
    <w:multiLevelType w:val="hybridMultilevel"/>
    <w:lvl w:ilvl="0">
      <w:lvlJc w:val="left"/>
      <w:lvlText w:val="%1."/>
      <w:numFmt w:val="decimal"/>
      <w:start w:val="1"/>
    </w:lvl>
  </w:abstractNum>
  <w:abstractNum w:abstractNumId="716">
    <w:nsid w:val="132F561F"/>
    <w:multiLevelType w:val="hybridMultilevel"/>
    <w:lvl w:ilvl="0">
      <w:lvlJc w:val="left"/>
      <w:lvlText w:val="(%1)"/>
      <w:numFmt w:val="decimal"/>
      <w:start w:val="2"/>
    </w:lvl>
  </w:abstractNum>
  <w:abstractNum w:abstractNumId="717">
    <w:nsid w:val="67358E1D"/>
    <w:multiLevelType w:val="hybridMultilevel"/>
    <w:lvl w:ilvl="0">
      <w:lvlJc w:val="left"/>
      <w:lvlText w:val="(%1)"/>
      <w:numFmt w:val="decimal"/>
      <w:start w:val="1"/>
    </w:lvl>
  </w:abstractNum>
  <w:abstractNum w:abstractNumId="718">
    <w:nsid w:val="570FD06B"/>
    <w:multiLevelType w:val="hybridMultilevel"/>
    <w:lvl w:ilvl="0">
      <w:lvlJc w:val="left"/>
      <w:lvlText w:val="(%1)"/>
      <w:numFmt w:val="decimal"/>
      <w:start w:val="1"/>
    </w:lvl>
  </w:abstractNum>
  <w:abstractNum w:abstractNumId="719">
    <w:nsid w:val="1D86D5F5"/>
    <w:multiLevelType w:val="hybridMultilevel"/>
    <w:lvl w:ilvl="0">
      <w:lvlJc w:val="left"/>
      <w:lvlText w:val="(%1)"/>
      <w:numFmt w:val="decimal"/>
      <w:start w:val="2"/>
    </w:lvl>
    <w:lvl w:ilvl="1">
      <w:lvlJc w:val="left"/>
      <w:lvlText w:val="(%2)"/>
      <w:numFmt w:val="lowerRoman"/>
      <w:start w:val="1"/>
    </w:lvl>
  </w:abstractNum>
  <w:abstractNum w:abstractNumId="720">
    <w:nsid w:val="691ABF5A"/>
    <w:multiLevelType w:val="hybridMultilevel"/>
    <w:lvl w:ilvl="0">
      <w:lvlJc w:val="left"/>
      <w:lvlText w:val="%1."/>
      <w:numFmt w:val="decimal"/>
      <w:start w:val="5"/>
    </w:lvl>
  </w:abstractNum>
  <w:abstractNum w:abstractNumId="721">
    <w:nsid w:val="7247C47D"/>
    <w:multiLevelType w:val="hybridMultilevel"/>
    <w:lvl w:ilvl="0">
      <w:lvlJc w:val="left"/>
      <w:lvlText w:val="(%1)"/>
      <w:numFmt w:val="decimal"/>
      <w:start w:val="1"/>
    </w:lvl>
  </w:abstractNum>
  <w:abstractNum w:abstractNumId="722">
    <w:nsid w:val="22509110"/>
    <w:multiLevelType w:val="hybridMultilevel"/>
    <w:lvl w:ilvl="0">
      <w:lvlJc w:val="left"/>
      <w:lvlText w:val="(%1)"/>
      <w:numFmt w:val="decimal"/>
      <w:start w:val="7"/>
    </w:lvl>
  </w:abstractNum>
  <w:abstractNum w:abstractNumId="723">
    <w:nsid w:val="B912ED8"/>
    <w:multiLevelType w:val="hybridMultilevel"/>
    <w:lvl w:ilvl="0">
      <w:lvlJc w:val="left"/>
      <w:lvlText w:val="(%1)"/>
      <w:numFmt w:val="decimal"/>
      <w:start w:val="1"/>
    </w:lvl>
  </w:abstractNum>
  <w:abstractNum w:abstractNumId="724">
    <w:nsid w:val="1B7E7B17"/>
    <w:multiLevelType w:val="hybridMultilevel"/>
    <w:lvl w:ilvl="0">
      <w:lvlJc w:val="left"/>
      <w:lvlText w:val="(%1)"/>
      <w:numFmt w:val="decimal"/>
      <w:start w:val="2"/>
    </w:lvl>
  </w:abstractNum>
  <w:abstractNum w:abstractNumId="725">
    <w:nsid w:val="69DFFC"/>
    <w:multiLevelType w:val="hybridMultilevel"/>
    <w:lvl w:ilvl="0">
      <w:lvlJc w:val="left"/>
      <w:lvlText w:val="(%1)"/>
      <w:numFmt w:val="decimal"/>
      <w:start w:val="3"/>
    </w:lvl>
  </w:abstractNum>
  <w:abstractNum w:abstractNumId="726">
    <w:nsid w:val="F47CDA5"/>
    <w:multiLevelType w:val="hybridMultilevel"/>
    <w:lvl w:ilvl="0">
      <w:lvlJc w:val="left"/>
      <w:lvlText w:val="(%1)"/>
      <w:numFmt w:val="decimal"/>
      <w:start w:val="1"/>
    </w:lvl>
  </w:abstractNum>
  <w:abstractNum w:abstractNumId="727">
    <w:nsid w:val="12B4903D"/>
    <w:multiLevelType w:val="hybridMultilevel"/>
    <w:lvl w:ilvl="0">
      <w:lvlJc w:val="left"/>
      <w:lvlText w:val="(%1)"/>
      <w:numFmt w:val="decimal"/>
      <w:start w:val="1"/>
    </w:lvl>
  </w:abstractNum>
  <w:abstractNum w:abstractNumId="728">
    <w:nsid w:val="73A2668C"/>
    <w:multiLevelType w:val="hybridMultilevel"/>
    <w:lvl w:ilvl="0">
      <w:lvlJc w:val="left"/>
      <w:lvlText w:val="(%1)"/>
      <w:numFmt w:val="decimal"/>
      <w:start w:val="1"/>
    </w:lvl>
  </w:abstractNum>
  <w:abstractNum w:abstractNumId="729">
    <w:nsid w:val="147F4B24"/>
    <w:multiLevelType w:val="hybridMultilevel"/>
    <w:lvl w:ilvl="0">
      <w:lvlJc w:val="left"/>
      <w:lvlText w:val="(%1)"/>
      <w:numFmt w:val="decimal"/>
      <w:start w:val="1"/>
    </w:lvl>
  </w:abstractNum>
  <w:abstractNum w:abstractNumId="730">
    <w:nsid w:val="5429ABEF"/>
    <w:multiLevelType w:val="hybridMultilevel"/>
    <w:lvl w:ilvl="0">
      <w:lvlJc w:val="left"/>
      <w:lvlText w:val="(%1)"/>
      <w:numFmt w:val="decimal"/>
      <w:start w:val="1"/>
    </w:lvl>
  </w:abstractNum>
  <w:abstractNum w:abstractNumId="731">
    <w:nsid w:val="52DFA1FC"/>
    <w:multiLevelType w:val="hybridMultilevel"/>
    <w:lvl w:ilvl="0">
      <w:lvlJc w:val="left"/>
      <w:lvlText w:val="(%1)"/>
      <w:numFmt w:val="lowerRoman"/>
      <w:start w:val="1"/>
    </w:lvl>
  </w:abstractNum>
  <w:abstractNum w:abstractNumId="732">
    <w:nsid w:val="36BEF0DA"/>
    <w:multiLevelType w:val="hybridMultilevel"/>
    <w:lvl w:ilvl="0">
      <w:lvlJc w:val="left"/>
      <w:lvlText w:val="(%1)"/>
      <w:numFmt w:val="lowerRoman"/>
      <w:start w:val="2"/>
    </w:lvl>
  </w:abstractNum>
  <w:abstractNum w:abstractNumId="733">
    <w:nsid w:val="7DFA51CE"/>
    <w:multiLevelType w:val="hybridMultilevel"/>
    <w:lvl w:ilvl="0">
      <w:lvlJc w:val="left"/>
      <w:lvlText w:val="(%1)"/>
      <w:numFmt w:val="decimal"/>
      <w:start w:val="2"/>
    </w:lvl>
  </w:abstractNum>
  <w:abstractNum w:abstractNumId="734">
    <w:nsid w:val="170D654E"/>
    <w:multiLevelType w:val="hybridMultilevel"/>
    <w:lvl w:ilvl="0">
      <w:lvlJc w:val="left"/>
      <w:lvlText w:val="(%1)"/>
      <w:numFmt w:val="lowerRoman"/>
      <w:start w:val="1"/>
    </w:lvl>
  </w:abstractNum>
  <w:abstractNum w:abstractNumId="735">
    <w:nsid w:val="6E7417AC"/>
    <w:multiLevelType w:val="hybridMultilevel"/>
    <w:lvl w:ilvl="0">
      <w:lvlJc w:val="left"/>
      <w:lvlText w:val="(%1)"/>
      <w:numFmt w:val="decimal"/>
      <w:start w:val="6"/>
    </w:lvl>
  </w:abstractNum>
  <w:abstractNum w:abstractNumId="736">
    <w:nsid w:val="79DD6BB3"/>
    <w:multiLevelType w:val="hybridMultilevel"/>
    <w:lvl w:ilvl="0">
      <w:lvlJc w:val="left"/>
      <w:lvlText w:val="(%1)"/>
      <w:numFmt w:val="decimal"/>
      <w:start w:val="1"/>
    </w:lvl>
  </w:abstractNum>
  <w:abstractNum w:abstractNumId="737">
    <w:nsid w:val="613A402A"/>
    <w:multiLevelType w:val="hybridMultilevel"/>
    <w:lvl w:ilvl="0">
      <w:lvlJc w:val="left"/>
      <w:lvlText w:val="%1."/>
      <w:numFmt w:val="decimal"/>
      <w:start w:val="6"/>
    </w:lvl>
  </w:abstractNum>
  <w:abstractNum w:abstractNumId="738">
    <w:nsid w:val="7A2446F3"/>
    <w:multiLevelType w:val="hybridMultilevel"/>
    <w:lvl w:ilvl="0">
      <w:lvlJc w:val="left"/>
      <w:lvlText w:val="(%1)"/>
      <w:numFmt w:val="decimal"/>
      <w:start w:val="2"/>
    </w:lvl>
  </w:abstractNum>
  <w:abstractNum w:abstractNumId="739">
    <w:nsid w:val="2ABB00C4"/>
    <w:multiLevelType w:val="hybridMultilevel"/>
    <w:lvl w:ilvl="0">
      <w:lvlJc w:val="left"/>
      <w:lvlText w:val="(%1)"/>
      <w:numFmt w:val="lowerRoman"/>
      <w:start w:val="1"/>
    </w:lvl>
  </w:abstractNum>
  <w:abstractNum w:abstractNumId="740">
    <w:nsid w:val="380E78C3"/>
    <w:multiLevelType w:val="hybridMultilevel"/>
    <w:lvl w:ilvl="0">
      <w:lvlJc w:val="left"/>
      <w:lvlText w:val="(%1)"/>
      <w:numFmt w:val="lowerRoman"/>
      <w:start w:val="6"/>
    </w:lvl>
  </w:abstractNum>
  <w:abstractNum w:abstractNumId="741">
    <w:nsid w:val="70B76277"/>
    <w:multiLevelType w:val="hybridMultilevel"/>
    <w:lvl w:ilvl="0">
      <w:lvlJc w:val="left"/>
      <w:lvlText w:val="(%1)"/>
      <w:numFmt w:val="lowerRoman"/>
      <w:start w:val="10"/>
    </w:lvl>
  </w:abstractNum>
  <w:abstractNum w:abstractNumId="742">
    <w:nsid w:val="16D2FD9A"/>
    <w:multiLevelType w:val="hybridMultilevel"/>
    <w:lvl w:ilvl="0">
      <w:lvlJc w:val="left"/>
      <w:lvlText w:val="%1."/>
      <w:numFmt w:val="decimal"/>
      <w:start w:val="7"/>
    </w:lvl>
  </w:abstractNum>
  <w:abstractNum w:abstractNumId="743">
    <w:nsid w:val="7B32E64"/>
    <w:multiLevelType w:val="hybridMultilevel"/>
    <w:lvl w:ilvl="0">
      <w:lvlJc w:val="left"/>
      <w:lvlText w:val="(%1)"/>
      <w:numFmt w:val="decimal"/>
      <w:start w:val="1"/>
    </w:lvl>
  </w:abstractNum>
  <w:abstractNum w:abstractNumId="744">
    <w:nsid w:val="2240F4B2"/>
    <w:multiLevelType w:val="hybridMultilevel"/>
    <w:lvl w:ilvl="0">
      <w:lvlJc w:val="left"/>
      <w:lvlText w:val="(%1)"/>
      <w:numFmt w:val="decimal"/>
      <w:start w:val="1"/>
    </w:lvl>
  </w:abstractNum>
  <w:abstractNum w:abstractNumId="745">
    <w:nsid w:val="6E5AD2BE"/>
    <w:multiLevelType w:val="hybridMultilevel"/>
    <w:lvl w:ilvl="0">
      <w:lvlJc w:val="left"/>
      <w:lvlText w:val="%1."/>
      <w:numFmt w:val="decimal"/>
      <w:start w:val="8"/>
    </w:lvl>
    <w:lvl w:ilvl="1">
      <w:lvlJc w:val="left"/>
      <w:lvlText w:val="(%2)"/>
      <w:numFmt w:val="decimal"/>
      <w:start w:val="1"/>
    </w:lvl>
  </w:abstractNum>
  <w:abstractNum w:abstractNumId="746">
    <w:nsid w:val="20D7B9B5"/>
    <w:multiLevelType w:val="hybridMultilevel"/>
    <w:lvl w:ilvl="0">
      <w:lvlJc w:val="left"/>
      <w:lvlText w:val="(%1)"/>
      <w:numFmt w:val="decimal"/>
      <w:start w:val="1"/>
    </w:lvl>
  </w:abstractNum>
  <w:abstractNum w:abstractNumId="747">
    <w:nsid w:val="35704AD1"/>
    <w:multiLevelType w:val="hybridMultilevel"/>
    <w:lvl w:ilvl="0">
      <w:lvlJc w:val="left"/>
      <w:lvlText w:val="%1"/>
      <w:numFmt w:val="decimal"/>
      <w:start w:val="1"/>
    </w:lvl>
    <w:lvl w:ilvl="1">
      <w:lvlJc w:val="left"/>
      <w:lvlText w:val="(%2)"/>
      <w:numFmt w:val="decimal"/>
      <w:start w:val="5"/>
    </w:lvl>
  </w:abstractNum>
  <w:abstractNum w:abstractNumId="748">
    <w:nsid w:val="559060DB"/>
    <w:multiLevelType w:val="hybridMultilevel"/>
    <w:lvl w:ilvl="0">
      <w:lvlJc w:val="left"/>
      <w:lvlText w:val="%1."/>
      <w:numFmt w:val="decimal"/>
      <w:start w:val="9"/>
    </w:lvl>
    <w:lvl w:ilvl="1">
      <w:lvlJc w:val="left"/>
      <w:lvlText w:val="%2"/>
      <w:numFmt w:val="decimal"/>
      <w:start w:val="1"/>
    </w:lvl>
  </w:abstractNum>
  <w:abstractNum w:abstractNumId="749">
    <w:nsid w:val="77E78A20"/>
    <w:multiLevelType w:val="hybridMultilevel"/>
    <w:lvl w:ilvl="0">
      <w:lvlJc w:val="left"/>
      <w:lvlText w:val="(%1)"/>
      <w:numFmt w:val="decimal"/>
      <w:start w:val="1"/>
    </w:lvl>
  </w:abstractNum>
  <w:abstractNum w:abstractNumId="750">
    <w:nsid w:val="52F720C6"/>
    <w:multiLevelType w:val="hybridMultilevel"/>
    <w:lvl w:ilvl="0">
      <w:lvlJc w:val="left"/>
      <w:lvlText w:val="%1."/>
      <w:numFmt w:val="decimal"/>
      <w:start w:val="10"/>
    </w:lvl>
  </w:abstractNum>
  <w:abstractNum w:abstractNumId="751">
    <w:nsid w:val="3EAB2035"/>
    <w:multiLevelType w:val="hybridMultilevel"/>
    <w:lvl w:ilvl="0">
      <w:lvlJc w:val="left"/>
      <w:lvlText w:val="(%1)"/>
      <w:numFmt w:val="decimal"/>
      <w:start w:val="1"/>
    </w:lvl>
  </w:abstractNum>
  <w:abstractNum w:abstractNumId="752">
    <w:nsid w:val="6A2F4E9D"/>
    <w:multiLevelType w:val="hybridMultilevel"/>
    <w:lvl w:ilvl="0">
      <w:lvlJc w:val="left"/>
      <w:lvlText w:val="(%1)"/>
      <w:numFmt w:val="decimal"/>
      <w:start w:val="1"/>
    </w:lvl>
  </w:abstractNum>
  <w:abstractNum w:abstractNumId="753">
    <w:nsid w:val="7547B1D6"/>
    <w:multiLevelType w:val="hybridMultilevel"/>
    <w:lvl w:ilvl="0">
      <w:lvlJc w:val="left"/>
      <w:lvlText w:val="(%1)"/>
      <w:numFmt w:val="decimal"/>
      <w:start w:val="1"/>
    </w:lvl>
    <w:lvl w:ilvl="1">
      <w:lvlJc w:val="left"/>
      <w:lvlText w:val="(%2)"/>
      <w:numFmt w:val="lowerRoman"/>
      <w:start w:val="1"/>
    </w:lvl>
  </w:abstractNum>
  <w:abstractNum w:abstractNumId="754">
    <w:nsid w:val="4A3C4F0E"/>
    <w:multiLevelType w:val="hybridMultilevel"/>
    <w:lvl w:ilvl="0">
      <w:lvlJc w:val="left"/>
      <w:lvlText w:val="(%1)"/>
      <w:numFmt w:val="decimal"/>
      <w:start w:val="6"/>
    </w:lvl>
    <w:lvl w:ilvl="1">
      <w:lvlJc w:val="left"/>
      <w:lvlText w:val="(%2)"/>
      <w:numFmt w:val="lowerRoman"/>
      <w:start w:val="1"/>
    </w:lvl>
  </w:abstractNum>
  <w:abstractNum w:abstractNumId="755">
    <w:nsid w:val="5ADC9B4"/>
    <w:multiLevelType w:val="hybridMultilevel"/>
    <w:lvl w:ilvl="0">
      <w:lvlJc w:val="left"/>
      <w:lvlText w:val="(%1)"/>
      <w:numFmt w:val="decimal"/>
      <w:start w:val="1"/>
    </w:lvl>
  </w:abstractNum>
  <w:abstractNum w:abstractNumId="756">
    <w:nsid w:val="75B191D3"/>
    <w:multiLevelType w:val="hybridMultilevel"/>
    <w:lvl w:ilvl="0">
      <w:lvlJc w:val="left"/>
      <w:lvlText w:val="(%1)"/>
      <w:numFmt w:val="decimal"/>
      <w:start w:val="2"/>
    </w:lvl>
    <w:lvl w:ilvl="1">
      <w:lvlJc w:val="left"/>
      <w:lvlText w:val="(%2)"/>
      <w:numFmt w:val="lowerRoman"/>
      <w:start w:val="1"/>
    </w:lvl>
  </w:abstractNum>
  <w:abstractNum w:abstractNumId="757">
    <w:nsid w:val="59841CB3"/>
    <w:multiLevelType w:val="hybridMultilevel"/>
    <w:lvl w:ilvl="0">
      <w:lvlJc w:val="left"/>
      <w:lvlText w:val="%1."/>
      <w:numFmt w:val="decimal"/>
      <w:start w:val="11"/>
    </w:lvl>
  </w:abstractNum>
  <w:abstractNum w:abstractNumId="758">
    <w:nsid w:val="186259F2"/>
    <w:multiLevelType w:val="hybridMultilevel"/>
    <w:lvl w:ilvl="0">
      <w:lvlJc w:val="left"/>
      <w:lvlText w:val="(%1)"/>
      <w:numFmt w:val="decimal"/>
      <w:start w:val="1"/>
    </w:lvl>
  </w:abstractNum>
  <w:abstractNum w:abstractNumId="759">
    <w:nsid w:val="6953F85F"/>
    <w:multiLevelType w:val="hybridMultilevel"/>
    <w:lvl w:ilvl="0">
      <w:lvlJc w:val="left"/>
      <w:lvlText w:val="(%1)"/>
      <w:numFmt w:val="decimal"/>
      <w:start w:val="1"/>
    </w:lvl>
  </w:abstractNum>
  <w:abstractNum w:abstractNumId="760">
    <w:nsid w:val="6E0367D7"/>
    <w:multiLevelType w:val="hybridMultilevel"/>
    <w:lvl w:ilvl="0">
      <w:lvlJc w:val="left"/>
      <w:lvlText w:val="(%1)"/>
      <w:numFmt w:val="decimal"/>
      <w:start w:val="1"/>
    </w:lvl>
  </w:abstractNum>
  <w:abstractNum w:abstractNumId="761">
    <w:nsid w:val="6C8C05E1"/>
    <w:multiLevelType w:val="hybridMultilevel"/>
    <w:lvl w:ilvl="0">
      <w:lvlJc w:val="left"/>
      <w:lvlText w:val="%1."/>
      <w:numFmt w:val="decimal"/>
      <w:start w:val="12"/>
    </w:lvl>
  </w:abstractNum>
  <w:abstractNum w:abstractNumId="762">
    <w:nsid w:val="3C339A5B"/>
    <w:multiLevelType w:val="hybridMultilevel"/>
    <w:lvl w:ilvl="0">
      <w:lvlJc w:val="left"/>
      <w:lvlText w:val="%1."/>
      <w:numFmt w:val="decimal"/>
      <w:start w:val="1"/>
    </w:lvl>
  </w:abstractNum>
  <w:abstractNum w:abstractNumId="763">
    <w:nsid w:val="24C258B1"/>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abstractNum>
  <w:abstractNum w:abstractNumId="764">
    <w:nsid w:val="6A8657B0"/>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765">
    <w:nsid w:val="5340FFA9"/>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3"/>
    </w:lvl>
  </w:abstractNum>
  <w:abstractNum w:abstractNumId="766">
    <w:nsid w:val="1336705D"/>
    <w:multiLevelType w:val="hybridMultilevel"/>
    <w:lvl w:ilvl="0">
      <w:lvlJc w:val="left"/>
      <w:lvlText w:val="%1."/>
      <w:numFmt w:val="upperLetter"/>
      <w:start w:val="1"/>
    </w:lvl>
  </w:abstractNum>
  <w:abstractNum w:abstractNumId="767">
    <w:nsid w:val="6463C363"/>
    <w:multiLevelType w:val="hybridMultilevel"/>
    <w:lvl w:ilvl="0">
      <w:lvlJc w:val="left"/>
      <w:lvlText w:val="%1."/>
      <w:numFmt w:val="upperLetter"/>
      <w:start w:val="2"/>
    </w:lvl>
    <w:lvl w:ilvl="1">
      <w:lvlJc w:val="left"/>
      <w:lvlText w:val="(%2)"/>
      <w:numFmt w:val="lowerRoman"/>
      <w:start w:val="1"/>
    </w:lvl>
  </w:abstractNum>
  <w:abstractNum w:abstractNumId="768">
    <w:nsid w:val="347B3FD3"/>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3"/>
    </w:lvl>
    <w:lvl w:ilvl="3">
      <w:lvlJc w:val="left"/>
      <w:lvlText w:val="%4."/>
      <w:numFmt w:val="decimal"/>
      <w:start w:val="4"/>
    </w:lvl>
  </w:abstractNum>
  <w:abstractNum w:abstractNumId="769">
    <w:nsid w:val="D5AB751"/>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lvl w:ilvl="3">
      <w:lvlJc w:val="left"/>
      <w:lvlText w:val="%4"/>
      <w:numFmt w:val="decimal"/>
      <w:start w:val="1"/>
    </w:lvl>
  </w:abstractNum>
  <w:abstractNum w:abstractNumId="770">
    <w:nsid w:val="F1EC427"/>
    <w:multiLevelType w:val="hybridMultilevel"/>
    <w:lvl w:ilvl="0">
      <w:lvlJc w:val="left"/>
      <w:lvlText w:val="(%1)"/>
      <w:numFmt w:val="lowerRoman"/>
      <w:start w:val="3"/>
    </w:lvl>
    <w:lvl w:ilvl="1">
      <w:lvlJc w:val="left"/>
      <w:lvlText w:val="%2"/>
      <w:numFmt w:val="upperLetter"/>
      <w:start w:val="1"/>
    </w:lvl>
    <w:lvl w:ilvl="2">
      <w:lvlJc w:val="left"/>
      <w:lvlText w:val="%3"/>
      <w:numFmt w:val="lowerRoman"/>
      <w:start w:val="1"/>
    </w:lvl>
    <w:lvl w:ilvl="3">
      <w:lvlJc w:val="left"/>
      <w:lvlText w:val="%4"/>
      <w:numFmt w:val="decimal"/>
      <w:start w:val="1"/>
    </w:lvl>
  </w:abstractNum>
  <w:abstractNum w:abstractNumId="771">
    <w:nsid w:val="6C89B896"/>
    <w:multiLevelType w:val="hybridMultilevel"/>
    <w:lvl w:ilvl="0">
      <w:lvlJc w:val="left"/>
      <w:lvlText w:val="%1."/>
      <w:numFmt w:val="upperLetter"/>
      <w:start w:val="3"/>
    </w:lvl>
  </w:abstractNum>
  <w:abstractNum w:abstractNumId="772">
    <w:nsid w:val="7E1219C8"/>
    <w:multiLevelType w:val="hybridMultilevel"/>
    <w:lvl w:ilvl="0">
      <w:lvlJc w:val="left"/>
      <w:lvlText w:val="%1"/>
      <w:numFmt w:val="upperLetter"/>
      <w:start w:val="1"/>
    </w:lvl>
    <w:lvl w:ilvl="1">
      <w:lvlJc w:val="left"/>
      <w:lvlText w:val="%2."/>
      <w:numFmt w:val="decimal"/>
      <w:start w:val="5"/>
    </w:lvl>
  </w:abstractNum>
  <w:abstractNum w:abstractNumId="773">
    <w:nsid w:val="25F1C1C1"/>
    <w:multiLevelType w:val="hybridMultilevel"/>
    <w:lvl w:ilvl="0">
      <w:lvlJc w:val="left"/>
      <w:lvlText w:val="%1."/>
      <w:numFmt w:val="upperLetter"/>
      <w:start w:val="1"/>
    </w:lvl>
    <w:lvl w:ilvl="1">
      <w:lvlJc w:val="left"/>
      <w:lvlText w:val="%2"/>
      <w:numFmt w:val="decimal"/>
      <w:start w:val="1"/>
    </w:lvl>
  </w:abstractNum>
  <w:abstractNum w:abstractNumId="774">
    <w:nsid w:val="743CE6FA"/>
    <w:multiLevelType w:val="hybridMultilevel"/>
    <w:lvl w:ilvl="0">
      <w:lvlJc w:val="left"/>
      <w:lvlText w:val="%1"/>
      <w:numFmt w:val="upperLetter"/>
      <w:start w:val="1"/>
    </w:lvl>
    <w:lvl w:ilvl="1">
      <w:lvlJc w:val="left"/>
      <w:lvlText w:val="(%2)"/>
      <w:numFmt w:val="lowerRoman"/>
      <w:start w:val="1"/>
    </w:lvl>
  </w:abstractNum>
  <w:abstractNum w:abstractNumId="775">
    <w:nsid w:val="20530E7B"/>
    <w:multiLevelType w:val="hybridMultilevel"/>
    <w:lvl w:ilvl="0">
      <w:lvlJc w:val="left"/>
      <w:lvlText w:val="%1."/>
      <w:numFmt w:val="upperLetter"/>
      <w:start w:val="3"/>
    </w:lvl>
    <w:lvl w:ilvl="1">
      <w:lvlJc w:val="left"/>
      <w:lvlText w:val="%2"/>
      <w:numFmt w:val="lowerRoman"/>
      <w:start w:val="1"/>
    </w:lvl>
  </w:abstractNum>
  <w:abstractNum w:abstractNumId="776">
    <w:nsid w:val="144C9480"/>
    <w:multiLevelType w:val="hybridMultilevel"/>
    <w:lvl w:ilvl="0">
      <w:lvlJc w:val="left"/>
      <w:lvlText w:val="%1."/>
      <w:numFmt w:val="upperLetter"/>
      <w:start w:val="5"/>
    </w:lvl>
  </w:abstractNum>
  <w:abstractNum w:abstractNumId="777">
    <w:nsid w:val="1514A0AF"/>
    <w:multiLevelType w:val="hybridMultilevel"/>
    <w:lvl w:ilvl="0">
      <w:lvlJc w:val="left"/>
      <w:lvlText w:val="%1"/>
      <w:numFmt w:val="upperLetter"/>
      <w:start w:val="1"/>
    </w:lvl>
    <w:lvl w:ilvl="1">
      <w:lvlJc w:val="left"/>
      <w:lvlText w:val="%2."/>
      <w:numFmt w:val="decimal"/>
      <w:start w:val="6"/>
    </w:lvl>
  </w:abstractNum>
  <w:abstractNum w:abstractNumId="778">
    <w:nsid w:val="55C3594C"/>
    <w:multiLevelType w:val="hybridMultilevel"/>
    <w:lvl w:ilvl="0">
      <w:lvlJc w:val="left"/>
      <w:lvlText w:val="%1."/>
      <w:numFmt w:val="upperLetter"/>
      <w:start w:val="1"/>
    </w:lvl>
    <w:lvl w:ilvl="1">
      <w:lvlJc w:val="left"/>
      <w:lvlText w:val="%2"/>
      <w:numFmt w:val="decimal"/>
      <w:start w:val="1"/>
    </w:lvl>
  </w:abstractNum>
  <w:abstractNum w:abstractNumId="779">
    <w:nsid w:val="69DCF55B"/>
    <w:multiLevelType w:val="hybridMultilevel"/>
    <w:lvl w:ilvl="0">
      <w:lvlJc w:val="left"/>
      <w:lvlText w:val="%1."/>
      <w:numFmt w:val="upperLetter"/>
      <w:start w:val="3"/>
    </w:lvl>
  </w:abstractNum>
  <w:abstractNum w:abstractNumId="780">
    <w:nsid w:val="CFC2ACF"/>
    <w:multiLevelType w:val="hybridMultilevel"/>
    <w:lvl w:ilvl="0">
      <w:lvlJc w:val="left"/>
      <w:lvlText w:val="%1."/>
      <w:numFmt w:val="upperLetter"/>
      <w:start w:val="5"/>
    </w:lvl>
    <w:lvl w:ilvl="1">
      <w:lvlJc w:val="left"/>
      <w:lvlText w:val="(%2)"/>
      <w:numFmt w:val="lowerRoman"/>
      <w:start w:val="1"/>
    </w:lvl>
  </w:abstractNum>
  <w:abstractNum w:abstractNumId="781">
    <w:nsid w:val="28BA7A13"/>
    <w:multiLevelType w:val="hybridMultilevel"/>
    <w:lvl w:ilvl="0">
      <w:lvlJc w:val="left"/>
      <w:lvlText w:val="%1."/>
      <w:numFmt w:val="upperLetter"/>
      <w:start w:val="9"/>
    </w:lvl>
    <w:lvl w:ilvl="1">
      <w:lvlJc w:val="left"/>
      <w:lvlText w:val="%2."/>
      <w:numFmt w:val="decimal"/>
      <w:start w:val="7"/>
    </w:lvl>
  </w:abstractNum>
  <w:abstractNum w:abstractNumId="782">
    <w:nsid w:val="28881591"/>
    <w:multiLevelType w:val="hybridMultilevel"/>
    <w:lvl w:ilvl="0">
      <w:lvlJc w:val="left"/>
      <w:lvlText w:val="%1."/>
      <w:numFmt w:val="upperLetter"/>
      <w:start w:val="1"/>
    </w:lvl>
  </w:abstractNum>
  <w:abstractNum w:abstractNumId="783">
    <w:nsid w:val="772B796C"/>
    <w:multiLevelType w:val="hybridMultilevel"/>
    <w:lvl w:ilvl="0">
      <w:lvlJc w:val="left"/>
      <w:lvlText w:val="%1."/>
      <w:numFmt w:val="upperLetter"/>
      <w:start w:val="3"/>
    </w:lvl>
  </w:abstractNum>
  <w:abstractNum w:abstractNumId="784">
    <w:nsid w:val="1E022BE9"/>
    <w:multiLevelType w:val="hybridMultilevel"/>
    <w:lvl w:ilvl="0">
      <w:lvlJc w:val="left"/>
      <w:lvlText w:val="%1."/>
      <w:numFmt w:val="upperLetter"/>
      <w:start w:val="4"/>
    </w:lvl>
  </w:abstractNum>
  <w:abstractNum w:abstractNumId="785">
    <w:nsid w:val="72C4649F"/>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abstractNum>
  <w:abstractNum w:abstractNumId="786">
    <w:nsid w:val="7CD94321"/>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787">
    <w:nsid w:val="13B3BDBC"/>
    <w:multiLevelType w:val="hybridMultilevel"/>
    <w:lvl w:ilvl="0">
      <w:lvlJc w:val="left"/>
      <w:lvlText w:val="%1."/>
      <w:numFmt w:val="upperLetter"/>
      <w:start w:val="2"/>
    </w:lvl>
    <w:lvl w:ilvl="1">
      <w:lvlJc w:val="left"/>
      <w:lvlText w:val="(%2)"/>
      <w:numFmt w:val="lowerRoman"/>
      <w:start w:val="1"/>
    </w:lvl>
  </w:abstractNum>
  <w:abstractNum w:abstractNumId="788">
    <w:nsid w:val="4C488152"/>
    <w:multiLevelType w:val="hybridMultilevel"/>
    <w:lvl w:ilvl="0">
      <w:lvlJc w:val="left"/>
      <w:lvlText w:val="%1"/>
      <w:numFmt w:val="upperLetter"/>
      <w:start w:val="1"/>
    </w:lvl>
    <w:lvl w:ilvl="1">
      <w:lvlJc w:val="left"/>
      <w:lvlText w:val="%2."/>
      <w:numFmt w:val="decimal"/>
      <w:start w:val="3"/>
    </w:lvl>
  </w:abstractNum>
  <w:abstractNum w:abstractNumId="789">
    <w:nsid w:val="153B9D13"/>
    <w:multiLevelType w:val="hybridMultilevel"/>
    <w:lvl w:ilvl="0">
      <w:lvlJc w:val="left"/>
      <w:lvlText w:val="%1."/>
      <w:numFmt w:val="upperLetter"/>
      <w:start w:val="2"/>
    </w:lvl>
    <w:lvl w:ilvl="1">
      <w:lvlJc w:val="left"/>
      <w:lvlText w:val="(%2)"/>
      <w:numFmt w:val="lowerRoman"/>
      <w:start w:val="1"/>
    </w:lvl>
  </w:abstractNum>
  <w:abstractNum w:abstractNumId="790">
    <w:nsid w:val="7D07B61B"/>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3"/>
    </w:lvl>
    <w:lvl w:ilvl="3">
      <w:lvlJc w:val="left"/>
      <w:lvlText w:val="%4."/>
      <w:numFmt w:val="decimal"/>
      <w:start w:val="4"/>
    </w:lvl>
  </w:abstractNum>
  <w:abstractNum w:abstractNumId="791">
    <w:nsid w:val="3A4BE92A"/>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lvl w:ilvl="3">
      <w:lvlJc w:val="left"/>
      <w:lvlText w:val="%4"/>
      <w:numFmt w:val="decimal"/>
      <w:start w:val="1"/>
    </w:lvl>
  </w:abstractNum>
  <w:abstractNum w:abstractNumId="792">
    <w:nsid w:val="1C7A2F4"/>
    <w:multiLevelType w:val="hybridMultilevel"/>
    <w:lvl w:ilvl="0">
      <w:lvlJc w:val="left"/>
      <w:lvlText w:val="(%1)"/>
      <w:numFmt w:val="lowerRoman"/>
      <w:start w:val="3"/>
    </w:lvl>
    <w:lvl w:ilvl="1">
      <w:lvlJc w:val="left"/>
      <w:lvlText w:val="%2"/>
      <w:numFmt w:val="upperLetter"/>
      <w:start w:val="1"/>
    </w:lvl>
    <w:lvl w:ilvl="2">
      <w:lvlJc w:val="left"/>
      <w:lvlText w:val="%3"/>
      <w:numFmt w:val="lowerRoman"/>
      <w:start w:val="1"/>
    </w:lvl>
    <w:lvl w:ilvl="3">
      <w:lvlJc w:val="left"/>
      <w:lvlText w:val="%4"/>
      <w:numFmt w:val="decimal"/>
      <w:start w:val="1"/>
    </w:lvl>
  </w:abstractNum>
  <w:abstractNum w:abstractNumId="793">
    <w:nsid w:val="393B5076"/>
    <w:multiLevelType w:val="hybridMultilevel"/>
    <w:lvl w:ilvl="0">
      <w:lvlJc w:val="left"/>
      <w:lvlText w:val="%1."/>
      <w:numFmt w:val="upperLetter"/>
      <w:start w:val="3"/>
    </w:lvl>
  </w:abstractNum>
  <w:abstractNum w:abstractNumId="794">
    <w:nsid w:val="5F0E41DB"/>
    <w:multiLevelType w:val="hybridMultilevel"/>
    <w:lvl w:ilvl="0">
      <w:lvlJc w:val="left"/>
      <w:lvlText w:val="%1."/>
      <w:numFmt w:val="upperLetter"/>
      <w:start w:val="4"/>
    </w:lvl>
  </w:abstractNum>
  <w:abstractNum w:abstractNumId="795">
    <w:nsid w:val="6C4DFAA4"/>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5"/>
    </w:lvl>
  </w:abstractNum>
  <w:abstractNum w:abstractNumId="796">
    <w:nsid w:val="C7C501F"/>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797">
    <w:nsid w:val="7244B239"/>
    <w:multiLevelType w:val="hybridMultilevel"/>
    <w:lvl w:ilvl="0">
      <w:lvlJc w:val="left"/>
      <w:lvlText w:val="%1."/>
      <w:numFmt w:val="upperLetter"/>
      <w:start w:val="3"/>
    </w:lvl>
  </w:abstractNum>
  <w:abstractNum w:abstractNumId="798">
    <w:nsid w:val="50B1BE08"/>
    <w:multiLevelType w:val="hybridMultilevel"/>
    <w:lvl w:ilvl="0">
      <w:lvlJc w:val="left"/>
      <w:lvlText w:val="%1."/>
      <w:numFmt w:val="upperLetter"/>
      <w:start w:val="5"/>
    </w:lvl>
    <w:lvl w:ilvl="1">
      <w:lvlJc w:val="left"/>
      <w:lvlText w:val="%2."/>
      <w:numFmt w:val="decimal"/>
      <w:start w:val="6"/>
    </w:lvl>
  </w:abstractNum>
  <w:abstractNum w:abstractNumId="799">
    <w:nsid w:val="40F78FF3"/>
    <w:multiLevelType w:val="hybridMultilevel"/>
    <w:lvl w:ilvl="0">
      <w:lvlJc w:val="left"/>
      <w:lvlText w:val="%1."/>
      <w:numFmt w:val="upperLetter"/>
      <w:start w:val="1"/>
    </w:lvl>
  </w:abstractNum>
  <w:abstractNum w:abstractNumId="800">
    <w:nsid w:val="7F9F698A"/>
    <w:multiLevelType w:val="hybridMultilevel"/>
    <w:lvl w:ilvl="0">
      <w:lvlJc w:val="left"/>
      <w:lvlText w:val="%1."/>
      <w:numFmt w:val="upperLetter"/>
      <w:start w:val="2"/>
    </w:lvl>
    <w:lvl w:ilvl="1">
      <w:lvlJc w:val="left"/>
      <w:lvlText w:val="(%2)"/>
      <w:numFmt w:val="lowerRoman"/>
      <w:start w:val="1"/>
    </w:lvl>
  </w:abstractNum>
  <w:abstractNum w:abstractNumId="801">
    <w:nsid w:val="5FD0822F"/>
    <w:multiLevelType w:val="hybridMultilevel"/>
    <w:lvl w:ilvl="0">
      <w:lvlJc w:val="left"/>
      <w:lvlText w:val="%1"/>
      <w:numFmt w:val="upperLetter"/>
      <w:start w:val="1"/>
    </w:lvl>
    <w:lvl w:ilvl="1">
      <w:lvlJc w:val="left"/>
      <w:lvlText w:val="(%2)"/>
      <w:numFmt w:val="lowerRoman"/>
      <w:start w:val="3"/>
    </w:lvl>
  </w:abstractNum>
  <w:abstractNum w:abstractNumId="802">
    <w:nsid w:val="2D814889"/>
    <w:multiLevelType w:val="hybridMultilevel"/>
    <w:lvl w:ilvl="0">
      <w:lvlJc w:val="left"/>
      <w:lvlText w:val="%1."/>
      <w:numFmt w:val="upperLetter"/>
      <w:start w:val="6"/>
    </w:lvl>
    <w:lvl w:ilvl="1">
      <w:lvlJc w:val="left"/>
      <w:lvlText w:val="(%2)"/>
      <w:numFmt w:val="lowerRoman"/>
      <w:start w:val="1"/>
    </w:lvl>
  </w:abstractNum>
  <w:abstractNum w:abstractNumId="803">
    <w:nsid w:val="7DB18352"/>
    <w:multiLevelType w:val="hybridMultilevel"/>
    <w:lvl w:ilvl="0">
      <w:lvlJc w:val="left"/>
      <w:lvlText w:val="%1."/>
      <w:numFmt w:val="upperLetter"/>
      <w:start w:val="10"/>
    </w:lvl>
    <w:lvl w:ilvl="1">
      <w:lvlJc w:val="left"/>
      <w:lvlText w:val="%2."/>
      <w:numFmt w:val="decimal"/>
      <w:start w:val="7"/>
    </w:lvl>
  </w:abstractNum>
  <w:abstractNum w:abstractNumId="804">
    <w:nsid w:val="5C243F1"/>
    <w:multiLevelType w:val="hybridMultilevel"/>
    <w:lvl w:ilvl="0">
      <w:lvlJc w:val="left"/>
      <w:lvlText w:val="%1."/>
      <w:numFmt w:val="upperLetter"/>
      <w:start w:val="1"/>
    </w:lvl>
  </w:abstractNum>
  <w:abstractNum w:abstractNumId="805">
    <w:nsid w:val="21BE2F84"/>
    <w:multiLevelType w:val="hybridMultilevel"/>
    <w:lvl w:ilvl="0">
      <w:lvlJc w:val="left"/>
      <w:lvlText w:val="%1."/>
      <w:numFmt w:val="upperLetter"/>
      <w:start w:val="2"/>
    </w:lvl>
  </w:abstractNum>
  <w:abstractNum w:abstractNumId="806">
    <w:nsid w:val="1E0491CD"/>
    <w:multiLevelType w:val="hybridMultilevel"/>
    <w:lvl w:ilvl="0">
      <w:lvlJc w:val="left"/>
      <w:lvlText w:val="%1."/>
      <w:numFmt w:val="upperLetter"/>
      <w:start w:val="8"/>
    </w:lvl>
  </w:abstractNum>
  <w:abstractNum w:abstractNumId="807">
    <w:nsid w:val="1A0ED871"/>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abstractNum>
  <w:abstractNum w:abstractNumId="808">
    <w:nsid w:val="36D2D033"/>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809">
    <w:nsid w:val="73C7EB1A"/>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3"/>
    </w:lvl>
  </w:abstractNum>
  <w:abstractNum w:abstractNumId="810">
    <w:nsid w:val="3EBCDCC"/>
    <w:multiLevelType w:val="hybridMultilevel"/>
    <w:lvl w:ilvl="0">
      <w:lvlJc w:val="left"/>
      <w:lvlText w:val="%1."/>
      <w:numFmt w:val="upperLetter"/>
      <w:start w:val="1"/>
    </w:lvl>
  </w:abstractNum>
  <w:abstractNum w:abstractNumId="811">
    <w:nsid w:val="43CEFB03"/>
    <w:multiLevelType w:val="hybridMultilevel"/>
    <w:lvl w:ilvl="0">
      <w:lvlJc w:val="left"/>
      <w:lvlText w:val="%1."/>
      <w:numFmt w:val="upperLetter"/>
      <w:start w:val="2"/>
    </w:lvl>
    <w:lvl w:ilvl="1">
      <w:lvlJc w:val="left"/>
      <w:lvlText w:val="(%2)"/>
      <w:numFmt w:val="lowerRoman"/>
      <w:start w:val="1"/>
    </w:lvl>
  </w:abstractNum>
  <w:abstractNum w:abstractNumId="812">
    <w:nsid w:val="1C82652D"/>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4"/>
    </w:lvl>
  </w:abstractNum>
  <w:abstractNum w:abstractNumId="813">
    <w:nsid w:val="2C73E35D"/>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814">
    <w:nsid w:val="3AFA746F"/>
    <w:multiLevelType w:val="hybridMultilevel"/>
    <w:lvl w:ilvl="0">
      <w:lvlJc w:val="left"/>
      <w:lvlText w:val="%1."/>
      <w:numFmt w:val="upperLetter"/>
      <w:start w:val="3"/>
    </w:lvl>
  </w:abstractNum>
  <w:abstractNum w:abstractNumId="815">
    <w:nsid w:val="3A849116"/>
    <w:multiLevelType w:val="hybridMultilevel"/>
    <w:lvl w:ilvl="0">
      <w:lvlJc w:val="left"/>
      <w:lvlText w:val="%1"/>
      <w:numFmt w:val="upperLetter"/>
      <w:start w:val="1"/>
    </w:lvl>
    <w:lvl w:ilvl="1">
      <w:lvlJc w:val="left"/>
      <w:lvlText w:val="%2."/>
      <w:numFmt w:val="decimal"/>
      <w:start w:val="5"/>
    </w:lvl>
  </w:abstractNum>
  <w:abstractNum w:abstractNumId="816">
    <w:nsid w:val="1F3847FC"/>
    <w:multiLevelType w:val="hybridMultilevel"/>
    <w:lvl w:ilvl="0">
      <w:lvlJc w:val="left"/>
      <w:lvlText w:val="%1."/>
      <w:numFmt w:val="upperLetter"/>
      <w:start w:val="2"/>
    </w:lvl>
    <w:lvl w:ilvl="1">
      <w:lvlJc w:val="left"/>
      <w:lvlText w:val="(%2)"/>
      <w:numFmt w:val="lowerRoman"/>
      <w:start w:val="1"/>
    </w:lvl>
  </w:abstractNum>
  <w:abstractNum w:abstractNumId="817">
    <w:nsid w:val="37D3B790"/>
    <w:multiLevelType w:val="hybridMultilevel"/>
    <w:lvl w:ilvl="0">
      <w:lvlJc w:val="left"/>
      <w:lvlText w:val="%1."/>
      <w:numFmt w:val="upperLetter"/>
      <w:start w:val="4"/>
    </w:lvl>
    <w:lvl w:ilvl="1">
      <w:lvlJc w:val="left"/>
      <w:lvlText w:val="%2."/>
      <w:numFmt w:val="decimal"/>
      <w:start w:val="6"/>
    </w:lvl>
  </w:abstractNum>
  <w:abstractNum w:abstractNumId="818">
    <w:nsid w:val="4E384ED3"/>
    <w:multiLevelType w:val="hybridMultilevel"/>
    <w:lvl w:ilvl="0">
      <w:lvlJc w:val="left"/>
      <w:lvlText w:val="%1."/>
      <w:numFmt w:val="upperLetter"/>
      <w:start w:val="1"/>
    </w:lvl>
  </w:abstractNum>
  <w:abstractNum w:abstractNumId="819">
    <w:nsid w:val="6B80C94F"/>
    <w:multiLevelType w:val="hybridMultilevel"/>
    <w:lvl w:ilvl="0">
      <w:lvlJc w:val="left"/>
      <w:lvlText w:val="%1."/>
      <w:numFmt w:val="upperLetter"/>
      <w:start w:val="3"/>
    </w:lvl>
    <w:lvl w:ilvl="1">
      <w:lvlJc w:val="left"/>
      <w:lvlText w:val="(%2)"/>
      <w:numFmt w:val="lowerRoman"/>
      <w:start w:val="1"/>
    </w:lvl>
  </w:abstractNum>
  <w:abstractNum w:abstractNumId="820">
    <w:nsid w:val="4D0F54A3"/>
    <w:multiLevelType w:val="hybridMultilevel"/>
    <w:lvl w:ilvl="0">
      <w:lvlJc w:val="left"/>
      <w:lvlText w:val="%1."/>
      <w:numFmt w:val="upperLetter"/>
      <w:start w:val="7"/>
    </w:lvl>
    <w:lvl w:ilvl="1">
      <w:lvlJc w:val="left"/>
      <w:lvlText w:val="%2."/>
      <w:numFmt w:val="decimal"/>
      <w:start w:val="7"/>
    </w:lvl>
  </w:abstractNum>
  <w:abstractNum w:abstractNumId="821">
    <w:nsid w:val="4B4004EE"/>
    <w:multiLevelType w:val="hybridMultilevel"/>
    <w:lvl w:ilvl="0">
      <w:lvlJc w:val="left"/>
      <w:lvlText w:val="%1."/>
      <w:numFmt w:val="upperLetter"/>
      <w:start w:val="1"/>
    </w:lvl>
  </w:abstractNum>
  <w:abstractNum w:abstractNumId="822">
    <w:nsid w:val="25CCB279"/>
    <w:multiLevelType w:val="hybridMultilevel"/>
    <w:lvl w:ilvl="0">
      <w:lvlJc w:val="left"/>
      <w:lvlText w:val="%1."/>
      <w:numFmt w:val="upperLetter"/>
      <w:start w:val="2"/>
    </w:lvl>
  </w:abstractNum>
  <w:abstractNum w:abstractNumId="823">
    <w:nsid w:val="4ED6F798"/>
    <w:multiLevelType w:val="hybridMultilevel"/>
    <w:lvl w:ilvl="0">
      <w:lvlJc w:val="left"/>
      <w:lvlText w:val="%1."/>
      <w:numFmt w:val="upperLetter"/>
      <w:start w:val="4"/>
    </w:lvl>
  </w:abstractNum>
  <w:abstractNum w:abstractNumId="824">
    <w:nsid w:val="47B5565"/>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abstractNum>
  <w:abstractNum w:abstractNumId="825">
    <w:nsid w:val="4DAF454"/>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826">
    <w:nsid w:val="3B24F23C"/>
    <w:multiLevelType w:val="hybridMultilevel"/>
    <w:lvl w:ilvl="0">
      <w:lvlJc w:val="left"/>
      <w:lvlText w:val="%1."/>
      <w:numFmt w:val="upperLetter"/>
      <w:start w:val="2"/>
    </w:lvl>
    <w:lvl w:ilvl="1">
      <w:lvlJc w:val="left"/>
      <w:lvlText w:val="(%2)"/>
      <w:numFmt w:val="lowerRoman"/>
      <w:start w:val="1"/>
    </w:lvl>
  </w:abstractNum>
  <w:abstractNum w:abstractNumId="827">
    <w:nsid w:val="10F7A584"/>
    <w:multiLevelType w:val="hybridMultilevel"/>
    <w:lvl w:ilvl="0">
      <w:lvlJc w:val="left"/>
      <w:lvlText w:val="%1"/>
      <w:numFmt w:val="upperLetter"/>
      <w:start w:val="1"/>
    </w:lvl>
    <w:lvl w:ilvl="1">
      <w:lvlJc w:val="left"/>
      <w:lvlText w:val="%2."/>
      <w:numFmt w:val="decimal"/>
      <w:start w:val="3"/>
    </w:lvl>
  </w:abstractNum>
  <w:abstractNum w:abstractNumId="828">
    <w:nsid w:val="771FA68D"/>
    <w:multiLevelType w:val="hybridMultilevel"/>
    <w:lvl w:ilvl="0">
      <w:lvlJc w:val="left"/>
      <w:lvlText w:val="%1."/>
      <w:numFmt w:val="upperLetter"/>
      <w:start w:val="2"/>
    </w:lvl>
    <w:lvl w:ilvl="1">
      <w:lvlJc w:val="left"/>
      <w:lvlText w:val="(%2)"/>
      <w:numFmt w:val="lowerRoman"/>
      <w:start w:val="1"/>
    </w:lvl>
  </w:abstractNum>
  <w:abstractNum w:abstractNumId="829">
    <w:nsid w:val="BD6B044"/>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3"/>
    </w:lvl>
    <w:lvl w:ilvl="3">
      <w:lvlJc w:val="left"/>
      <w:lvlText w:val="%4."/>
      <w:numFmt w:val="decimal"/>
      <w:start w:val="4"/>
    </w:lvl>
  </w:abstractNum>
  <w:abstractNum w:abstractNumId="830">
    <w:nsid w:val="51EF3577"/>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lvl w:ilvl="3">
      <w:lvlJc w:val="left"/>
      <w:lvlText w:val="%4"/>
      <w:numFmt w:val="decimal"/>
      <w:start w:val="1"/>
    </w:lvl>
  </w:abstractNum>
  <w:abstractNum w:abstractNumId="831">
    <w:nsid w:val="76BF1017"/>
    <w:multiLevelType w:val="hybridMultilevel"/>
    <w:lvl w:ilvl="0">
      <w:lvlJc w:val="left"/>
      <w:lvlText w:val="(%1)"/>
      <w:numFmt w:val="lowerRoman"/>
      <w:start w:val="3"/>
    </w:lvl>
    <w:lvl w:ilvl="1">
      <w:lvlJc w:val="left"/>
      <w:lvlText w:val="%2"/>
      <w:numFmt w:val="upperLetter"/>
      <w:start w:val="1"/>
    </w:lvl>
    <w:lvl w:ilvl="2">
      <w:lvlJc w:val="left"/>
      <w:lvlText w:val="%3"/>
      <w:numFmt w:val="lowerRoman"/>
      <w:start w:val="1"/>
    </w:lvl>
    <w:lvl w:ilvl="3">
      <w:lvlJc w:val="left"/>
      <w:lvlText w:val="%4"/>
      <w:numFmt w:val="decimal"/>
      <w:start w:val="1"/>
    </w:lvl>
  </w:abstractNum>
  <w:abstractNum w:abstractNumId="832">
    <w:nsid w:val="6BA73274"/>
    <w:multiLevelType w:val="hybridMultilevel"/>
    <w:lvl w:ilvl="0">
      <w:lvlJc w:val="left"/>
      <w:lvlText w:val="%1."/>
      <w:numFmt w:val="upperLetter"/>
      <w:start w:val="3"/>
    </w:lvl>
  </w:abstractNum>
  <w:abstractNum w:abstractNumId="833">
    <w:nsid w:val="7F707E01"/>
    <w:multiLevelType w:val="hybridMultilevel"/>
    <w:lvl w:ilvl="0">
      <w:lvlJc w:val="left"/>
      <w:lvlText w:val="%1"/>
      <w:numFmt w:val="upperLetter"/>
      <w:start w:val="1"/>
    </w:lvl>
    <w:lvl w:ilvl="1">
      <w:lvlJc w:val="left"/>
      <w:lvlText w:val="%2."/>
      <w:numFmt w:val="decimal"/>
      <w:start w:val="5"/>
    </w:lvl>
  </w:abstractNum>
  <w:abstractNum w:abstractNumId="834">
    <w:nsid w:val="7470936A"/>
    <w:multiLevelType w:val="hybridMultilevel"/>
    <w:lvl w:ilvl="0">
      <w:lvlJc w:val="left"/>
      <w:lvlText w:val="%1."/>
      <w:numFmt w:val="upperLetter"/>
      <w:start w:val="1"/>
    </w:lvl>
    <w:lvl w:ilvl="1">
      <w:lvlJc w:val="left"/>
      <w:lvlText w:val="%2"/>
      <w:numFmt w:val="decimal"/>
      <w:start w:val="1"/>
    </w:lvl>
  </w:abstractNum>
  <w:abstractNum w:abstractNumId="835">
    <w:nsid w:val="71697665"/>
    <w:multiLevelType w:val="hybridMultilevel"/>
    <w:lvl w:ilvl="0">
      <w:lvlJc w:val="left"/>
      <w:lvlText w:val="%1"/>
      <w:numFmt w:val="upperLetter"/>
      <w:start w:val="1"/>
    </w:lvl>
    <w:lvl w:ilvl="1">
      <w:lvlJc w:val="left"/>
      <w:lvlText w:val="(%2)"/>
      <w:numFmt w:val="lowerRoman"/>
      <w:start w:val="1"/>
    </w:lvl>
  </w:abstractNum>
  <w:abstractNum w:abstractNumId="836">
    <w:nsid w:val="212EAD85"/>
    <w:multiLevelType w:val="hybridMultilevel"/>
    <w:lvl w:ilvl="0">
      <w:lvlJc w:val="left"/>
      <w:lvlText w:val="%1."/>
      <w:numFmt w:val="upperLetter"/>
      <w:start w:val="3"/>
    </w:lvl>
    <w:lvl w:ilvl="1">
      <w:lvlJc w:val="left"/>
      <w:lvlText w:val="%2"/>
      <w:numFmt w:val="lowerRoman"/>
      <w:start w:val="1"/>
    </w:lvl>
  </w:abstractNum>
  <w:abstractNum w:abstractNumId="837">
    <w:nsid w:val="12752537"/>
    <w:multiLevelType w:val="hybridMultilevel"/>
    <w:lvl w:ilvl="0">
      <w:lvlJc w:val="left"/>
      <w:lvlText w:val="%1."/>
      <w:numFmt w:val="upperLetter"/>
      <w:start w:val="5"/>
    </w:lvl>
  </w:abstractNum>
  <w:abstractNum w:abstractNumId="838">
    <w:nsid w:val="B784ED6"/>
    <w:multiLevelType w:val="hybridMultilevel"/>
    <w:lvl w:ilvl="0">
      <w:lvlJc w:val="left"/>
      <w:lvlText w:val="%1"/>
      <w:numFmt w:val="upperLetter"/>
      <w:start w:val="1"/>
    </w:lvl>
    <w:lvl w:ilvl="1">
      <w:lvlJc w:val="left"/>
      <w:lvlText w:val="%2."/>
      <w:numFmt w:val="decimal"/>
      <w:start w:val="6"/>
    </w:lvl>
  </w:abstractNum>
  <w:abstractNum w:abstractNumId="839">
    <w:nsid w:val="58017DB8"/>
    <w:multiLevelType w:val="hybridMultilevel"/>
    <w:lvl w:ilvl="0">
      <w:lvlJc w:val="left"/>
      <w:lvlText w:val="%1."/>
      <w:numFmt w:val="upperLetter"/>
      <w:start w:val="1"/>
    </w:lvl>
    <w:lvl w:ilvl="1">
      <w:lvlJc w:val="left"/>
      <w:lvlText w:val="%2"/>
      <w:numFmt w:val="decimal"/>
      <w:start w:val="1"/>
    </w:lvl>
  </w:abstractNum>
  <w:abstractNum w:abstractNumId="840">
    <w:nsid w:val="63D1051"/>
    <w:multiLevelType w:val="hybridMultilevel"/>
    <w:lvl w:ilvl="0">
      <w:lvlJc w:val="left"/>
      <w:lvlText w:val="%1."/>
      <w:numFmt w:val="upperLetter"/>
      <w:start w:val="3"/>
    </w:lvl>
  </w:abstractNum>
  <w:abstractNum w:abstractNumId="841">
    <w:nsid w:val="F641CA2"/>
    <w:multiLevelType w:val="hybridMultilevel"/>
    <w:lvl w:ilvl="0">
      <w:lvlJc w:val="left"/>
      <w:lvlText w:val="%1."/>
      <w:numFmt w:val="upperLetter"/>
      <w:start w:val="5"/>
    </w:lvl>
    <w:lvl w:ilvl="1">
      <w:lvlJc w:val="left"/>
      <w:lvlText w:val="(%2)"/>
      <w:numFmt w:val="lowerRoman"/>
      <w:start w:val="1"/>
    </w:lvl>
  </w:abstractNum>
  <w:abstractNum w:abstractNumId="842">
    <w:nsid w:val="1BD078BB"/>
    <w:multiLevelType w:val="hybridMultilevel"/>
    <w:lvl w:ilvl="0">
      <w:lvlJc w:val="left"/>
      <w:lvlText w:val="%1."/>
      <w:numFmt w:val="upperLetter"/>
      <w:start w:val="9"/>
    </w:lvl>
  </w:abstractNum>
  <w:abstractNum w:abstractNumId="843">
    <w:nsid w:val="22BF757E"/>
    <w:multiLevelType w:val="hybridMultilevel"/>
    <w:lvl w:ilvl="0">
      <w:lvlJc w:val="left"/>
      <w:lvlText w:val="%1"/>
      <w:numFmt w:val="upperLetter"/>
      <w:start w:val="1"/>
    </w:lvl>
    <w:lvl w:ilvl="1">
      <w:lvlJc w:val="left"/>
      <w:lvlText w:val="%2."/>
      <w:numFmt w:val="decimal"/>
      <w:start w:val="7"/>
    </w:lvl>
  </w:abstractNum>
  <w:abstractNum w:abstractNumId="844">
    <w:nsid w:val="3BD80000"/>
    <w:multiLevelType w:val="hybridMultilevel"/>
    <w:lvl w:ilvl="0">
      <w:lvlJc w:val="left"/>
      <w:lvlText w:val="%1."/>
      <w:numFmt w:val="upperLetter"/>
      <w:start w:val="1"/>
    </w:lvl>
    <w:lvl w:ilvl="1">
      <w:lvlJc w:val="left"/>
      <w:lvlText w:val="%2"/>
      <w:numFmt w:val="decimal"/>
      <w:start w:val="1"/>
    </w:lvl>
  </w:abstractNum>
  <w:abstractNum w:abstractNumId="845">
    <w:nsid w:val="56CAED2B"/>
    <w:multiLevelType w:val="hybridMultilevel"/>
    <w:lvl w:ilvl="0">
      <w:lvlJc w:val="left"/>
      <w:lvlText w:val="%1."/>
      <w:numFmt w:val="upperLetter"/>
      <w:start w:val="3"/>
    </w:lvl>
  </w:abstractNum>
  <w:abstractNum w:abstractNumId="846">
    <w:nsid w:val="5D440695"/>
    <w:multiLevelType w:val="hybridMultilevel"/>
    <w:lvl w:ilvl="0">
      <w:lvlJc w:val="left"/>
      <w:lvlText w:val="%1."/>
      <w:numFmt w:val="upperLetter"/>
      <w:start w:val="4"/>
    </w:lvl>
  </w:abstractNum>
  <w:abstractNum w:abstractNumId="847">
    <w:nsid w:val="5B1047FC"/>
    <w:multiLevelType w:val="hybridMultilevel"/>
    <w:lvl w:ilvl="0">
      <w:lvlJc w:val="left"/>
      <w:lvlText w:val="%1."/>
      <w:numFmt w:val="decimal"/>
      <w:start w:val="1"/>
    </w:lvl>
    <w:lvl w:ilvl="1">
      <w:lvlJc w:val="left"/>
      <w:lvlText w:val="(%2)"/>
      <w:numFmt w:val="lowerLetter"/>
      <w:start w:val="1"/>
    </w:lvl>
  </w:abstractNum>
  <w:abstractNum w:abstractNumId="848">
    <w:nsid w:val="E9EA4BB"/>
    <w:multiLevelType w:val="hybridMultilevel"/>
    <w:lvl w:ilvl="0">
      <w:lvlJc w:val="left"/>
      <w:lvlText w:val="%1"/>
      <w:numFmt w:val="decimal"/>
      <w:start w:val="1"/>
    </w:lvl>
    <w:lvl w:ilvl="1">
      <w:lvlJc w:val="left"/>
      <w:lvlText w:val="(%2)"/>
      <w:numFmt w:val="lowerLetter"/>
      <w:start w:val="2"/>
    </w:lvl>
  </w:abstractNum>
  <w:abstractNum w:abstractNumId="849">
    <w:nsid w:val="2B7C5568"/>
    <w:multiLevelType w:val="hybridMultilevel"/>
    <w:lvl w:ilvl="0">
      <w:lvlJc w:val="left"/>
      <w:lvlText w:val="%1."/>
      <w:numFmt w:val="decimal"/>
      <w:start w:val="4"/>
    </w:lvl>
    <w:lvl w:ilvl="1">
      <w:lvlJc w:val="left"/>
      <w:lvlText w:val="(%2)"/>
      <w:numFmt w:val="lowerLetter"/>
      <w:start w:val="1"/>
    </w:lvl>
  </w:abstractNum>
  <w:abstractNum w:abstractNumId="850">
    <w:nsid w:val="4691114B"/>
    <w:multiLevelType w:val="hybridMultilevel"/>
    <w:lvl w:ilvl="0">
      <w:lvlJc w:val="left"/>
      <w:lvlText w:val="(%1)"/>
      <w:numFmt w:val="lowerLetter"/>
      <w:start w:val="35"/>
    </w:lvl>
    <w:lvl w:ilvl="1">
      <w:lvlJc w:val="left"/>
      <w:lvlText w:val="(%2)"/>
      <w:numFmt w:val="lowerLetter"/>
      <w:start w:val="2"/>
    </w:lvl>
  </w:abstractNum>
  <w:abstractNum w:abstractNumId="851">
    <w:nsid w:val="5BADF95F"/>
    <w:multiLevelType w:val="hybridMultilevel"/>
    <w:lvl w:ilvl="0">
      <w:lvlJc w:val="left"/>
      <w:lvlText w:val="(%1)"/>
      <w:numFmt w:val="lowerRoman"/>
      <w:start w:val="3"/>
    </w:lvl>
  </w:abstractNum>
  <w:abstractNum w:abstractNumId="852">
    <w:nsid w:val="76BC5A56"/>
    <w:multiLevelType w:val="hybridMultilevel"/>
    <w:lvl w:ilvl="0">
      <w:lvlJc w:val="left"/>
      <w:lvlText w:val="(%1)"/>
      <w:numFmt w:val="lowerLetter"/>
      <w:start w:val="3"/>
    </w:lvl>
  </w:abstractNum>
  <w:abstractNum w:abstractNumId="853">
    <w:nsid w:val="6C5DC3C4"/>
    <w:multiLevelType w:val="hybridMultilevel"/>
    <w:lvl w:ilvl="0">
      <w:lvlJc w:val="left"/>
      <w:lvlText w:val="%1"/>
      <w:numFmt w:val="decimal"/>
      <w:start w:val="1"/>
    </w:lvl>
    <w:lvl w:ilvl="1">
      <w:lvlJc w:val="left"/>
      <w:lvlText w:val="(%2)"/>
      <w:numFmt w:val="lowerLetter"/>
      <w:start w:val="5"/>
    </w:lvl>
  </w:abstractNum>
  <w:abstractNum w:abstractNumId="854">
    <w:nsid w:val="2A84F0F7"/>
    <w:multiLevelType w:val="hybridMultilevel"/>
    <w:lvl w:ilvl="0">
      <w:lvlJc w:val="left"/>
      <w:lvlText w:val="%1."/>
      <w:numFmt w:val="decimal"/>
      <w:start w:val="5"/>
    </w:lvl>
    <w:lvl w:ilvl="1">
      <w:lvlJc w:val="left"/>
      <w:lvlText w:val="%2"/>
      <w:numFmt w:val="lowerLetter"/>
      <w:start w:val="1"/>
    </w:lvl>
  </w:abstractNum>
  <w:abstractNum w:abstractNumId="855">
    <w:nsid w:val="7B37AFBB"/>
    <w:multiLevelType w:val="hybridMultilevel"/>
    <w:lvl w:ilvl="0">
      <w:lvlJc w:val="left"/>
      <w:lvlText w:val="%1."/>
      <w:numFmt w:val="decimal"/>
      <w:start w:val="6"/>
    </w:lvl>
    <w:lvl w:ilvl="1">
      <w:lvlJc w:val="left"/>
      <w:lvlText w:val="(%2)"/>
      <w:numFmt w:val="lowerLetter"/>
      <w:start w:val="1"/>
    </w:lvl>
  </w:abstractNum>
  <w:abstractNum w:abstractNumId="856">
    <w:nsid w:val="7138B819"/>
    <w:multiLevelType w:val="hybridMultilevel"/>
    <w:lvl w:ilvl="0">
      <w:lvlJc w:val="left"/>
      <w:lvlText w:val="%1."/>
      <w:numFmt w:val="decimal"/>
      <w:start w:val="7"/>
    </w:lvl>
  </w:abstractNum>
  <w:abstractNum w:abstractNumId="857">
    <w:nsid w:val="65A9E333"/>
    <w:multiLevelType w:val="hybridMultilevel"/>
    <w:lvl w:ilvl="0">
      <w:lvlJc w:val="left"/>
      <w:lvlText w:val="%1."/>
      <w:numFmt w:val="decimal"/>
      <w:start w:val="8"/>
    </w:lvl>
    <w:lvl w:ilvl="1">
      <w:lvlJc w:val="left"/>
      <w:lvlText w:val="(%2)"/>
      <w:numFmt w:val="lowerLetter"/>
      <w:start w:val="1"/>
    </w:lvl>
  </w:abstractNum>
  <w:abstractNum w:abstractNumId="858">
    <w:nsid w:val="C2F5540"/>
    <w:multiLevelType w:val="hybridMultilevel"/>
    <w:lvl w:ilvl="0">
      <w:lvlJc w:val="left"/>
      <w:lvlText w:val="(%1)"/>
      <w:numFmt w:val="lowerLetter"/>
      <w:start w:val="3"/>
    </w:lvl>
  </w:abstractNum>
  <w:abstractNum w:abstractNumId="859">
    <w:nsid w:val="68585EA6"/>
    <w:multiLevelType w:val="hybridMultilevel"/>
    <w:lvl w:ilvl="0">
      <w:lvlJc w:val="left"/>
      <w:lvlText w:val="(%1)"/>
      <w:numFmt w:val="lowerLetter"/>
      <w:start w:val="6"/>
    </w:lvl>
  </w:abstractNum>
  <w:abstractNum w:abstractNumId="860">
    <w:nsid w:val="71809378"/>
    <w:multiLevelType w:val="hybridMultilevel"/>
    <w:lvl w:ilvl="0">
      <w:lvlJc w:val="left"/>
      <w:lvlText w:val="(%1)"/>
      <w:numFmt w:val="lowerLetter"/>
      <w:start w:val="13"/>
    </w:lvl>
  </w:abstractNum>
  <w:abstractNum w:abstractNumId="861">
    <w:nsid w:val="5E1E8AB7"/>
    <w:multiLevelType w:val="hybridMultilevel"/>
    <w:lvl w:ilvl="0">
      <w:lvlJc w:val="left"/>
      <w:lvlText w:val="(%1)"/>
      <w:numFmt w:val="lowerLetter"/>
      <w:start w:val="18"/>
    </w:lvl>
  </w:abstractNum>
  <w:abstractNum w:abstractNumId="862">
    <w:nsid w:val="5F176E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63">
    <w:nsid w:val="5D27C5EC"/>
    <w:multiLevelType w:val="hybridMultilevel"/>
    <w:lvl w:ilvl="0">
      <w:lvlJc w:val="left"/>
      <w:lvlText w:val="(%1)"/>
      <w:numFmt w:val="lowerRoman"/>
      <w:start w:val="4"/>
    </w:lvl>
  </w:abstractNum>
  <w:abstractNum w:abstractNumId="864">
    <w:nsid w:val="5D8F08B8"/>
    <w:multiLevelType w:val="hybridMultilevel"/>
    <w:lvl w:ilvl="0">
      <w:lvlJc w:val="left"/>
      <w:lvlText w:val="(%1)"/>
      <w:numFmt w:val="lowerLetter"/>
      <w:start w:val="2"/>
    </w:lvl>
    <w:lvl w:ilvl="1">
      <w:lvlJc w:val="left"/>
      <w:lvlText w:val="(%2)"/>
      <w:numFmt w:val="lowerLetter"/>
      <w:start w:val="3"/>
    </w:lvl>
  </w:abstractNum>
  <w:abstractNum w:abstractNumId="865">
    <w:nsid w:val="53880228"/>
    <w:multiLevelType w:val="hybridMultilevel"/>
    <w:lvl w:ilvl="0">
      <w:lvlJc w:val="left"/>
      <w:lvlText w:val="%1"/>
      <w:numFmt w:val="decimal"/>
      <w:start w:val="1"/>
    </w:lvl>
    <w:lvl w:ilvl="1">
      <w:lvlJc w:val="left"/>
      <w:lvlText w:val="(%2)"/>
      <w:numFmt w:val="lowerLetter"/>
      <w:start w:val="4"/>
    </w:lvl>
  </w:abstractNum>
  <w:abstractNum w:abstractNumId="866">
    <w:nsid w:val="4E913C51"/>
    <w:multiLevelType w:val="hybridMultilevel"/>
    <w:lvl w:ilvl="0">
      <w:lvlJc w:val="left"/>
      <w:lvlText w:val="%1."/>
      <w:numFmt w:val="decimal"/>
      <w:start w:val="2"/>
    </w:lvl>
    <w:lvl w:ilvl="1">
      <w:lvlJc w:val="left"/>
      <w:lvlText w:val="%2"/>
      <w:numFmt w:val="lowerLetter"/>
      <w:start w:val="1"/>
    </w:lvl>
  </w:abstractNum>
  <w:abstractNum w:abstractNumId="867">
    <w:nsid w:val="7EBDB63D"/>
    <w:multiLevelType w:val="hybridMultilevel"/>
    <w:lvl w:ilvl="0">
      <w:lvlJc w:val="left"/>
      <w:lvlText w:val="%1."/>
      <w:numFmt w:val="decimal"/>
      <w:start w:val="3"/>
    </w:lvl>
    <w:lvl w:ilvl="1">
      <w:lvlJc w:val="left"/>
      <w:lvlText w:val="(%2)"/>
      <w:numFmt w:val="lowerLetter"/>
      <w:start w:val="1"/>
    </w:lvl>
  </w:abstractNum>
  <w:abstractNum w:abstractNumId="868">
    <w:nsid w:val="65FD275F"/>
    <w:multiLevelType w:val="hybridMultilevel"/>
    <w:lvl w:ilvl="0">
      <w:lvlJc w:val="left"/>
      <w:lvlText w:val="%1"/>
      <w:numFmt w:val="decimal"/>
      <w:start w:val="1"/>
    </w:lvl>
    <w:lvl w:ilvl="1">
      <w:lvlJc w:val="left"/>
      <w:lvlText w:val="(%2)"/>
      <w:numFmt w:val="lowerLetter"/>
      <w:start w:val="4"/>
    </w:lvl>
  </w:abstractNum>
  <w:abstractNum w:abstractNumId="869">
    <w:nsid w:val="5A098B27"/>
    <w:multiLevelType w:val="hybridMultilevel"/>
    <w:lvl w:ilvl="0">
      <w:lvlJc w:val="left"/>
      <w:lvlText w:val="%1."/>
      <w:numFmt w:val="decimal"/>
      <w:start w:val="6"/>
    </w:lvl>
    <w:lvl w:ilvl="1">
      <w:lvlJc w:val="left"/>
      <w:lvlText w:val="(%2)"/>
      <w:numFmt w:val="lowerLetter"/>
      <w:start w:val="1"/>
    </w:lvl>
  </w:abstractNum>
  <w:abstractNum w:abstractNumId="870">
    <w:nsid w:val="56BF33F6"/>
    <w:multiLevelType w:val="hybridMultilevel"/>
    <w:lvl w:ilvl="0">
      <w:lvlJc w:val="left"/>
      <w:lvlText w:val="(%1)"/>
      <w:numFmt w:val="lowerLetter"/>
      <w:start w:val="2"/>
    </w:lvl>
    <w:lvl w:ilvl="1">
      <w:lvlJc w:val="left"/>
      <w:lvlText w:val="(%2)"/>
      <w:numFmt w:val="lowerRoman"/>
      <w:start w:val="1"/>
    </w:lvl>
  </w:abstractNum>
  <w:abstractNum w:abstractNumId="871">
    <w:nsid w:val="6C3A37B1"/>
    <w:multiLevelType w:val="hybridMultilevel"/>
    <w:lvl w:ilvl="0">
      <w:lvlJc w:val="left"/>
      <w:lvlText w:val="%1"/>
      <w:numFmt w:val="decimal"/>
      <w:start w:val="1"/>
    </w:lvl>
    <w:lvl w:ilvl="1">
      <w:lvlJc w:val="left"/>
      <w:lvlText w:val="(%2)"/>
      <w:numFmt w:val="lowerLetter"/>
      <w:start w:val="8"/>
    </w:lvl>
  </w:abstractNum>
  <w:abstractNum w:abstractNumId="872">
    <w:nsid w:val="696DA7C9"/>
    <w:multiLevelType w:val="hybridMultilevel"/>
    <w:lvl w:ilvl="0">
      <w:lvlJc w:val="left"/>
      <w:lvlText w:val="%1."/>
      <w:numFmt w:val="decimal"/>
      <w:start w:val="7"/>
    </w:lvl>
    <w:lvl w:ilvl="1">
      <w:lvlJc w:val="left"/>
      <w:lvlText w:val="%2"/>
      <w:numFmt w:val="lowerLetter"/>
      <w:start w:val="1"/>
    </w:lvl>
  </w:abstractNum>
  <w:abstractNum w:abstractNumId="873">
    <w:nsid w:val="728FACB1"/>
    <w:multiLevelType w:val="hybridMultilevel"/>
    <w:lvl w:ilvl="0">
      <w:lvlJc w:val="left"/>
      <w:lvlText w:val="%1."/>
      <w:numFmt w:val="decimal"/>
      <w:start w:val="1"/>
    </w:lvl>
    <w:lvl w:ilvl="1">
      <w:lvlJc w:val="left"/>
      <w:lvlText w:val="(%2)"/>
      <w:numFmt w:val="lowerLetter"/>
      <w:start w:val="1"/>
    </w:lvl>
  </w:abstractNum>
  <w:abstractNum w:abstractNumId="874">
    <w:nsid w:val="EF9AD2F"/>
    <w:multiLevelType w:val="hybridMultilevel"/>
    <w:lvl w:ilvl="0">
      <w:lvlJc w:val="left"/>
      <w:lvlText w:val="%1"/>
      <w:numFmt w:val="decimal"/>
      <w:start w:val="1"/>
    </w:lvl>
    <w:lvl w:ilvl="1">
      <w:lvlJc w:val="left"/>
      <w:lvlText w:val="(%2)"/>
      <w:numFmt w:val="lowerLetter"/>
      <w:start w:val="2"/>
    </w:lvl>
  </w:abstractNum>
  <w:abstractNum w:abstractNumId="875">
    <w:nsid w:val="2545A7C9"/>
    <w:multiLevelType w:val="hybridMultilevel"/>
    <w:lvl w:ilvl="0">
      <w:lvlJc w:val="left"/>
      <w:lvlText w:val="%1."/>
      <w:numFmt w:val="decimal"/>
      <w:start w:val="4"/>
    </w:lvl>
    <w:lvl w:ilvl="1">
      <w:lvlJc w:val="left"/>
      <w:lvlText w:val="(%2)"/>
      <w:numFmt w:val="lowerLetter"/>
      <w:start w:val="1"/>
    </w:lvl>
  </w:abstractNum>
  <w:abstractNum w:abstractNumId="876">
    <w:nsid w:val="495A99DC"/>
    <w:multiLevelType w:val="hybridMultilevel"/>
    <w:lvl w:ilvl="0">
      <w:lvlJc w:val="left"/>
      <w:lvlText w:val="(%1)"/>
      <w:numFmt w:val="lowerLetter"/>
      <w:start w:val="2"/>
    </w:lvl>
  </w:abstractNum>
  <w:abstractNum w:abstractNumId="877">
    <w:nsid w:val="6C3DB3C4"/>
    <w:multiLevelType w:val="hybridMultilevel"/>
    <w:lvl w:ilvl="0">
      <w:lvlJc w:val="left"/>
      <w:lvlText w:val="(%1)"/>
      <w:numFmt w:val="lowerLetter"/>
      <w:start w:val="3"/>
    </w:lvl>
  </w:abstractNum>
  <w:abstractNum w:abstractNumId="878">
    <w:nsid w:val="55EFC6"/>
    <w:multiLevelType w:val="hybridMultilevel"/>
    <w:lvl w:ilvl="0">
      <w:lvlJc w:val="left"/>
      <w:lvlText w:val="%1"/>
      <w:numFmt w:val="decimal"/>
      <w:start w:val="1"/>
    </w:lvl>
    <w:lvl w:ilvl="1">
      <w:lvlJc w:val="left"/>
      <w:lvlText w:val="(%2)"/>
      <w:numFmt w:val="lowerLetter"/>
      <w:start w:val="5"/>
    </w:lvl>
  </w:abstractNum>
  <w:abstractNum w:abstractNumId="879">
    <w:nsid w:val="57F93E98"/>
    <w:multiLevelType w:val="hybridMultilevel"/>
    <w:lvl w:ilvl="0">
      <w:lvlJc w:val="left"/>
      <w:lvlText w:val="%1."/>
      <w:numFmt w:val="decimal"/>
      <w:start w:val="5"/>
    </w:lvl>
    <w:lvl w:ilvl="1">
      <w:lvlJc w:val="left"/>
      <w:lvlText w:val="%2"/>
      <w:numFmt w:val="lowerLetter"/>
      <w:start w:val="1"/>
    </w:lvl>
  </w:abstractNum>
  <w:abstractNum w:abstractNumId="880">
    <w:nsid w:val="17BA092C"/>
    <w:multiLevelType w:val="hybridMultilevel"/>
    <w:lvl w:ilvl="0">
      <w:lvlJc w:val="left"/>
      <w:lvlText w:val="%1."/>
      <w:numFmt w:val="decimal"/>
      <w:start w:val="6"/>
    </w:lvl>
    <w:lvl w:ilvl="1">
      <w:lvlJc w:val="left"/>
      <w:lvlText w:val="(%2)"/>
      <w:numFmt w:val="lowerLetter"/>
      <w:start w:val="1"/>
    </w:lvl>
  </w:abstractNum>
  <w:abstractNum w:abstractNumId="881">
    <w:nsid w:val="46E70111"/>
    <w:multiLevelType w:val="hybridMultilevel"/>
    <w:lvl w:ilvl="0">
      <w:lvlJc w:val="left"/>
      <w:lvlText w:val="%1."/>
      <w:numFmt w:val="decimal"/>
      <w:start w:val="7"/>
    </w:lvl>
  </w:abstractNum>
  <w:abstractNum w:abstractNumId="882">
    <w:nsid w:val="33A737F7"/>
    <w:multiLevelType w:val="hybridMultilevel"/>
    <w:lvl w:ilvl="0">
      <w:lvlJc w:val="left"/>
      <w:lvlText w:val="%1."/>
      <w:numFmt w:val="decimal"/>
      <w:start w:val="8"/>
    </w:lvl>
    <w:lvl w:ilvl="1">
      <w:lvlJc w:val="left"/>
      <w:lvlText w:val="(%2)"/>
      <w:numFmt w:val="lowerLetter"/>
      <w:start w:val="1"/>
    </w:lvl>
  </w:abstractNum>
  <w:abstractNum w:abstractNumId="883">
    <w:nsid w:val="E766383"/>
    <w:multiLevelType w:val="hybridMultilevel"/>
    <w:lvl w:ilvl="0">
      <w:lvlJc w:val="left"/>
      <w:lvlText w:val="(%1)"/>
      <w:numFmt w:val="lowerLetter"/>
      <w:start w:val="3"/>
    </w:lvl>
  </w:abstractNum>
  <w:abstractNum w:abstractNumId="884">
    <w:nsid w:val="3344C4D6"/>
    <w:multiLevelType w:val="hybridMultilevel"/>
    <w:lvl w:ilvl="0">
      <w:lvlJc w:val="left"/>
      <w:lvlText w:val="(%1)"/>
      <w:numFmt w:val="lowerLetter"/>
      <w:start w:val="6"/>
    </w:lvl>
  </w:abstractNum>
  <w:abstractNum w:abstractNumId="885">
    <w:nsid w:val="5E2C28EE"/>
    <w:multiLevelType w:val="hybridMultilevel"/>
    <w:lvl w:ilvl="0">
      <w:lvlJc w:val="left"/>
      <w:lvlText w:val="(%1)"/>
      <w:numFmt w:val="lowerLetter"/>
      <w:start w:val="13"/>
    </w:lvl>
  </w:abstractNum>
  <w:abstractNum w:abstractNumId="886">
    <w:nsid w:val="9AE133E"/>
    <w:multiLevelType w:val="hybridMultilevel"/>
    <w:lvl w:ilvl="0">
      <w:lvlJc w:val="left"/>
      <w:lvlText w:val="(%1)"/>
      <w:numFmt w:val="lowerLetter"/>
      <w:start w:val="17"/>
    </w:lvl>
  </w:abstractNum>
  <w:abstractNum w:abstractNumId="887">
    <w:nsid w:val="247D7CE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88">
    <w:nsid w:val="43D60C21"/>
    <w:multiLevelType w:val="hybridMultilevel"/>
    <w:lvl w:ilvl="0">
      <w:lvlJc w:val="left"/>
      <w:lvlText w:val="(%1)"/>
      <w:numFmt w:val="lowerLetter"/>
      <w:start w:val="2"/>
    </w:lvl>
    <w:lvl w:ilvl="1">
      <w:lvlJc w:val="left"/>
      <w:lvlText w:val="(%2)"/>
      <w:numFmt w:val="lowerLetter"/>
      <w:start w:val="3"/>
    </w:lvl>
  </w:abstractNum>
  <w:abstractNum w:abstractNumId="889">
    <w:nsid w:val="15DD687E"/>
    <w:multiLevelType w:val="hybridMultilevel"/>
    <w:lvl w:ilvl="0">
      <w:lvlJc w:val="left"/>
      <w:lvlText w:val="%1"/>
      <w:numFmt w:val="decimal"/>
      <w:start w:val="1"/>
    </w:lvl>
    <w:lvl w:ilvl="1">
      <w:lvlJc w:val="left"/>
      <w:lvlText w:val="(%2)"/>
      <w:numFmt w:val="lowerLetter"/>
      <w:start w:val="4"/>
    </w:lvl>
  </w:abstractNum>
  <w:abstractNum w:abstractNumId="890">
    <w:nsid w:val="CD5DB95"/>
    <w:multiLevelType w:val="hybridMultilevel"/>
    <w:lvl w:ilvl="0">
      <w:lvlJc w:val="left"/>
      <w:lvlText w:val="%1."/>
      <w:numFmt w:val="decimal"/>
      <w:start w:val="2"/>
    </w:lvl>
    <w:lvl w:ilvl="1">
      <w:lvlJc w:val="left"/>
      <w:lvlText w:val="%2"/>
      <w:numFmt w:val="lowerLetter"/>
      <w:start w:val="1"/>
    </w:lvl>
  </w:abstractNum>
  <w:abstractNum w:abstractNumId="891">
    <w:nsid w:val="35569F99"/>
    <w:multiLevelType w:val="hybridMultilevel"/>
    <w:lvl w:ilvl="0">
      <w:lvlJc w:val="left"/>
      <w:lvlText w:val="%1."/>
      <w:numFmt w:val="decimal"/>
      <w:start w:val="3"/>
    </w:lvl>
    <w:lvl w:ilvl="1">
      <w:lvlJc w:val="left"/>
      <w:lvlText w:val="(%2)"/>
      <w:numFmt w:val="lowerLetter"/>
      <w:start w:val="1"/>
    </w:lvl>
  </w:abstractNum>
  <w:abstractNum w:abstractNumId="892">
    <w:nsid w:val="73FBF33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93">
    <w:nsid w:val="6BED4A5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94">
    <w:nsid w:val="127E6585"/>
    <w:multiLevelType w:val="hybridMultilevel"/>
    <w:lvl w:ilvl="0">
      <w:lvlJc w:val="left"/>
      <w:lvlText w:val="%1."/>
      <w:numFmt w:val="decimal"/>
      <w:start w:val="7"/>
    </w:lvl>
  </w:abstractNum>
  <w:abstractNum w:abstractNumId="895">
    <w:nsid w:val="518AFBEE"/>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jpe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jpe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jpe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2019-12-07T03:23:25Z</dcterms:created>
  <dcterms:modified xsi:type="dcterms:W3CDTF">2019-12-07T03:23:25Z</dcterms:modified>
</cp:coreProperties>
</file>