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3660" w:right="1880" w:hanging="3652"/>
        <w:spacing w:after="0" w:line="490"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__________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147" w:right="339" w:bottom="866" w:gutter="0" w:footer="0" w:header="0"/>
        </w:sectPr>
      </w:pPr>
    </w:p>
    <w:p>
      <w:pPr>
        <w:spacing w:after="0" w:line="20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1147" w:right="339" w:bottom="866"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200" w:lineRule="exact"/>
        <w:rPr>
          <w:sz w:val="24"/>
          <w:szCs w:val="24"/>
          <w:color w:val="auto"/>
        </w:rPr>
      </w:pPr>
    </w:p>
    <w:p>
      <w:pPr>
        <w:spacing w:after="0" w:line="2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Trading Name of each exchange on which registered</w:t>
            </w:r>
          </w:p>
        </w:tc>
      </w:tr>
      <w:tr>
        <w:trPr>
          <w:trHeight w:val="228"/>
        </w:trPr>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3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AAOI</w:t>
            </w:r>
          </w:p>
        </w:tc>
        <w:tc>
          <w:tcPr>
            <w:tcW w:w="6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79" w:lineRule="exact"/>
        <w:rPr>
          <w:sz w:val="24"/>
          <w:szCs w:val="24"/>
          <w:color w:val="auto"/>
        </w:rPr>
      </w:pPr>
    </w:p>
    <w:p>
      <w:pPr>
        <w:jc w:val="both"/>
        <w:ind w:left="280" w:right="280" w:firstLine="41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280" w:right="280" w:firstLine="41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left="280" w:right="260" w:firstLine="4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20" w:type="dxa"/>
        <w:tblCellMar>
          <w:top w:w="0" w:type="dxa"/>
          <w:left w:w="0" w:type="dxa"/>
          <w:bottom w:w="0" w:type="dxa"/>
          <w:right w:w="0" w:type="dxa"/>
        </w:tblCellMar>
      </w:tblPr>
      <w:tr>
        <w:trPr>
          <w:trHeight w:val="22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p>
      <w:pPr>
        <w:spacing w:after="0" w:line="22" w:lineRule="exact"/>
        <w:rPr>
          <w:sz w:val="24"/>
          <w:szCs w:val="24"/>
          <w:color w:val="auto"/>
        </w:rPr>
      </w:pPr>
    </w:p>
    <w:p>
      <w:pPr>
        <w:ind w:left="28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November 4, 2024, there were 45,078,203 shares of the registrant’s Common Stock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86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8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8440" w:type="dxa"/>
            <w:vAlign w:val="bottom"/>
            <w:gridSpan w:val="12"/>
            <w:vMerge w:val="restart"/>
          </w:tcPr>
          <w:p>
            <w:pPr>
              <w:spacing w:after="0"/>
              <w:rPr>
                <w:sz w:val="24"/>
                <w:szCs w:val="24"/>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9"/>
            <w:vMerge w:val="continue"/>
          </w:tcPr>
          <w:p>
            <w:pPr>
              <w:spacing w:after="0"/>
              <w:rPr>
                <w:sz w:val="14"/>
                <w:szCs w:val="14"/>
                <w:color w:val="auto"/>
              </w:rPr>
            </w:pPr>
          </w:p>
        </w:tc>
        <w:tc>
          <w:tcPr>
            <w:tcW w:w="8440" w:type="dxa"/>
            <w:vAlign w:val="bottom"/>
            <w:gridSpan w:val="1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480" w:type="dxa"/>
            <w:vAlign w:val="bottom"/>
            <w:gridSpan w:val="9"/>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2024 and 2023 (Unaudited)</w:t>
            </w:r>
          </w:p>
        </w:tc>
        <w:tc>
          <w:tcPr>
            <w:tcW w:w="220" w:type="dxa"/>
            <w:vAlign w:val="bottom"/>
            <w:gridSpan w:val="2"/>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Nine Months ended September 30, 2024 and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6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September 30, 2024 and 2023</w:t>
            </w:r>
          </w:p>
        </w:tc>
        <w:tc>
          <w:tcPr>
            <w:tcW w:w="400" w:type="dxa"/>
            <w:vAlign w:val="bottom"/>
            <w:gridSpan w:val="3"/>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 (Unaudited)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8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40" w:type="dxa"/>
            <w:vAlign w:val="bottom"/>
            <w:gridSpan w:val="4"/>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33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4"/>
          </w:tcPr>
          <w:p>
            <w:pPr>
              <w:spacing w:after="0"/>
              <w:rPr>
                <w:sz w:val="24"/>
                <w:szCs w:val="24"/>
                <w:color w:val="auto"/>
              </w:rPr>
            </w:pPr>
          </w:p>
        </w:tc>
        <w:tc>
          <w:tcPr>
            <w:tcW w:w="842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6"/>
          </w:tcPr>
          <w:p>
            <w:pPr>
              <w:spacing w:after="0"/>
              <w:rPr>
                <w:sz w:val="24"/>
                <w:szCs w:val="24"/>
                <w:color w:val="auto"/>
              </w:rPr>
            </w:pPr>
          </w:p>
        </w:tc>
        <w:tc>
          <w:tcPr>
            <w:tcW w:w="84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4940" w:type="dxa"/>
            <w:vAlign w:val="bottom"/>
            <w:gridSpan w:val="13"/>
          </w:tcPr>
          <w:p>
            <w:pPr>
              <w:jc w:val="center"/>
              <w:ind w:left="4290"/>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 of allowance of $1,805 and $3, respectively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48,071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172,605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200,317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409,972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389,186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liability - operating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23,197</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operating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174,317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at $0.001 par value; no shares issued and outstanding at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80,000 shares authorized at $0.001 par value; 44,852 and 38,148 shares issued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478,972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(332,160)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(265,116)</w:t>
            </w:r>
          </w:p>
        </w:tc>
      </w:tr>
      <w:tr>
        <w:trPr>
          <w:trHeight w:val="209"/>
        </w:trPr>
        <w:tc>
          <w:tcPr>
            <w:tcW w:w="800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212,086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214,869</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2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65,151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157,193</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49,234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119,876</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37,317</w:t>
            </w:r>
          </w:p>
        </w:tc>
      </w:tr>
      <w:tr>
        <w:trPr>
          <w:trHeight w:val="209"/>
        </w:trPr>
        <w:tc>
          <w:tcPr>
            <w:tcW w:w="2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26,633</w:t>
            </w:r>
          </w:p>
        </w:tc>
      </w:tr>
      <w:tr>
        <w:trPr>
          <w:trHeight w:val="21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7,631</w:t>
            </w: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39,870</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32,464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74,134</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(36,817)</w:t>
            </w:r>
          </w:p>
        </w:tc>
      </w:tr>
      <w:tr>
        <w:trPr>
          <w:trHeight w:val="210"/>
        </w:trPr>
        <w:tc>
          <w:tcPr>
            <w:tcW w:w="2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(6,301)</w:t>
            </w: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(5,365)</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(42,182)</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(17,757)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(42,190)</w:t>
            </w:r>
          </w:p>
        </w:tc>
      </w:tr>
      <w:tr>
        <w:trPr>
          <w:trHeight w:val="197"/>
        </w:trPr>
        <w:tc>
          <w:tcPr>
            <w:tcW w:w="26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42,311,811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32,774,148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40,021,297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30,392,483</w:t>
            </w:r>
          </w:p>
        </w:tc>
      </w:tr>
      <w:tr>
        <w:trPr>
          <w:trHeight w:val="23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42,311,811</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32,774,148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40,021,297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30,392,483</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320" w:type="dxa"/>
            <w:vAlign w:val="bottom"/>
            <w:gridSpan w:val="6"/>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(42,190)</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foreign currency translation adjustment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(4,371)</w:t>
            </w:r>
          </w:p>
        </w:tc>
      </w:tr>
      <w:tr>
        <w:trPr>
          <w:trHeight w:val="20"/>
        </w:trPr>
        <w:tc>
          <w:tcPr>
            <w:tcW w:w="1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(46,561)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STOCKHOLDERS’ EQUITY Three and Nine Months ended September 30, 2024 and 2023 (Unaudited, in thousands, except for share amount)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22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38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2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5"/>
                <w:szCs w:val="15"/>
                <w:color w:val="auto"/>
              </w:rPr>
            </w:pPr>
          </w:p>
        </w:tc>
        <w:tc>
          <w:tcPr>
            <w:tcW w:w="12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502,387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(314,403)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186,494</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2,944</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38,544</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38,548</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2,240</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(17,757)</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543,492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(332,160)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212,086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3280" w:type="dxa"/>
            <w:vAlign w:val="bottom"/>
          </w:tcPr>
          <w:p>
            <w:pPr>
              <w:spacing w:after="0"/>
              <w:rPr>
                <w:sz w:val="24"/>
                <w:szCs w:val="24"/>
                <w:color w:val="auto"/>
              </w:rPr>
            </w:pPr>
          </w:p>
        </w:tc>
        <w:tc>
          <w:tcPr>
            <w:tcW w:w="22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38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2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5"/>
                <w:szCs w:val="15"/>
                <w:color w:val="auto"/>
              </w:rPr>
            </w:pPr>
          </w:p>
        </w:tc>
        <w:tc>
          <w:tcPr>
            <w:tcW w:w="12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407,003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(242,306)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163,259</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net of shares withheld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for employee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3,235</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22,023</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22,025</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(8,953)</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(8,953)</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34,266</w:t>
            </w:r>
          </w:p>
        </w:tc>
        <w:tc>
          <w:tcPr>
            <w:tcW w:w="26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431,766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(251,259)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178,353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22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38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2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5"/>
                <w:szCs w:val="15"/>
                <w:color w:val="auto"/>
              </w:rPr>
            </w:pPr>
          </w:p>
        </w:tc>
        <w:tc>
          <w:tcPr>
            <w:tcW w:w="12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478,972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(265,116)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214,869</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(3,054)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(3,053)</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9,050</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9,050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58,489</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58,495</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Shares converted by Notes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(67,042)</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(67,042)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543,492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(332,160)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212,086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280" w:type="dxa"/>
            <w:vAlign w:val="bottom"/>
          </w:tcPr>
          <w:p>
            <w:pPr>
              <w:spacing w:after="0"/>
              <w:rPr>
                <w:sz w:val="24"/>
                <w:szCs w:val="24"/>
                <w:color w:val="auto"/>
              </w:rPr>
            </w:pPr>
          </w:p>
        </w:tc>
        <w:tc>
          <w:tcPr>
            <w:tcW w:w="22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38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32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5"/>
                <w:szCs w:val="15"/>
                <w:color w:val="auto"/>
              </w:rPr>
            </w:pPr>
          </w:p>
        </w:tc>
        <w:tc>
          <w:tcPr>
            <w:tcW w:w="124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391,526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(209,068)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184,670</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net of shares withheld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for employee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8,587</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8,587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32,307</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32,311</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(4,371)</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(4,372)</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(42,190)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(42,190)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34,266</w:t>
            </w:r>
          </w:p>
        </w:tc>
        <w:tc>
          <w:tcPr>
            <w:tcW w:w="26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431,766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(251,259)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178,353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(67,042)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of bad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reserve adjustment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(28,884)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Notes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(44,910)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(9,479)</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(15,027)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prepaid for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(21,427)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(5,158)</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(29,701)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(71,834)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(30,484)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senior notes, net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financing lease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on behalf of employees related to 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settlement of 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52,468</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tcBorders>
              <w:top w:val="single" w:sz="8" w:color="CCEEFF"/>
            </w:tcBorders>
          </w:tcPr>
          <w:p>
            <w:pPr>
              <w:spacing w:after="0"/>
              <w:rPr>
                <w:sz w:val="19"/>
                <w:szCs w:val="19"/>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(13,730)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41,367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31,241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accounts payable related to property and equipment additions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deposits and prepaid for equipment related to property and equipment additions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as of September 30, 2024 and December 31, 2023 and for the three and nine months ended September 30, 2024 and September 30, 2023,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2023. The results of operations for the three and nine months ended September 30, 2024 are not necessarily indicative of the results expected for the entire fiscal year. All significant inter-company accounts and transactions have been eliminated.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materially from those estimates in the consolidated financial statements and accompanying notes. Significant estimates and assumptions that impact these financial statements and the accompanying notes relate to, among other things, revenue recognition, allowance for doubtful accounts, inventory reserve, impairment of long-lived assets, service and product warranty costs, share-based compensation expense, estimated useful lives of tangible and intangible assets,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and nine months ended September 30, 2024, as compared to the significant accounting policies described in its 2023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was no accounting pronouncement adopted in the third quarter of 2024.</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Yet to be Adopted</w:t>
      </w:r>
    </w:p>
    <w:p>
      <w:pPr>
        <w:spacing w:after="0" w:line="20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 Board ("FASB") issued Accounting Standard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which requires the Company to disclose disaggregated jurisdictional and categorical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tax rate reconciliation, income taxes paid and other income tax related amounts. This guidance is effective for annual periods beginning after December 15, 2024, with early adoption permitted. The adoption is expected to enhance the Company's Notes to the Consolidated Financial Statements. The Company is currently evaluating the impact the new standard will have on its financial statements and related disclosures.</w:t>
      </w:r>
    </w:p>
    <w:p>
      <w:pPr>
        <w:spacing w:after="0" w:line="18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the Company to expand the breadth and frequency of segment disclosures to include additional information about significant segment expenses, the chief operating decision maker (CODM) and other items, and also require the annual disclosures on an interim basis. This guidance is effective for annual periods beginning after December 15, 2023, with early adoption permitted. The standard will be effective for the Company beginning with 2024 10-K and interim periods afterwards. The Company has evaluated this new standard and intends to comply with the new disclosure requirements when required.</w:t>
      </w:r>
    </w:p>
    <w:p>
      <w:pPr>
        <w:spacing w:after="0" w:line="18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Codification Amendments in Response to the SEC’s Disclosure Update and Simplification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Initiative</w:t>
      </w:r>
      <w:r>
        <w:rPr>
          <w:rFonts w:ascii="Times New Roman" w:cs="Times New Roman" w:eastAsia="Times New Roman" w:hAnsi="Times New Roman"/>
          <w:sz w:val="18"/>
          <w:szCs w:val="18"/>
          <w:color w:val="auto"/>
        </w:rPr>
        <w:t>", which amends U.S. GAAP to include 14 disclosure requirements that are currently required under SEC Regulation S-X or Regulation S-K.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will be effective on the date on which the SEC removes the related disclosure requirement from SEC Regulation S-X or Regulation S-K. The Company has evaluated the new standard and determined that it will have no material impact on its financial statements or disclosures since the Company is already subject to the relevant SEC disclosure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categories and is presented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40,945</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104,283</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35,501</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149,094</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157,193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 unearned revenues when cash payments are received or due in advance of our performance, including amounts which are refundable. Unearned revenues solely relate to statement of work with Microsoft regarding contract prices allocated to the performance obligations that are unsatisfied, or partially unsatisfied, as of the balance sheet dates. Unearned revenue balance as of September 30, 2024 and December 31, 2023 was $1.4 million and $1.8 million, respectively. For the three months ended September 30, 2024 and 2023, revenue recognized from the unearned revenue balance was $0.1 million and $1.9 million, respectively. For the nine months ended September 30, 2024 and 2023, revenue recognized from the unearned revenue balance was $0.4 million and $3.1 million, respectively. The contract with Microsoft does not fall under ASC 842, Lease Accounting.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beginning of period</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bl>
    <w:p>
      <w:pPr>
        <w:sectPr>
          <w:pgSz w:w="11900" w:h="16838" w:orient="portrait"/>
          <w:cols w:equalWidth="0" w:num="1">
            <w:col w:w="11240"/>
          </w:cols>
          <w:pgMar w:left="320" w:top="12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unearned revenue</w:t>
            </w:r>
          </w:p>
        </w:tc>
        <w:tc>
          <w:tcPr>
            <w:tcW w:w="2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end of period</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non-cancellable operating leases for certain manufacturing facilities, certain research and development offices, and certain storage facilities and apartments. These leases do not contain contingent rent provisions. The Company also leases certain machinery, office equipment and a vehicle under an operating lease.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Lease expense is included under general and administrative expenses and was $0.4 million, and $0.3 million for the three months ended September 30, 2024 and 2023, respectively. The lease expense was $1.1 million and $0.9 million for the nine months ended September 30, 2024 and 2023, respectively. The components of lease expense were as follows for the periods indicated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expense</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expense</w:t>
            </w: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92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are as follows for the future one-year periods ending September 30, 2024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Fiscal years: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4"/>
                <w:szCs w:val="24"/>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3 months)</w:t>
            </w: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w:t>
            </w: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leases were as follows for the periods indicated:</w:t>
      </w:r>
    </w:p>
    <w:p>
      <w:pPr>
        <w:spacing w:after="0" w:line="2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 - financing leases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3.28%</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financing leases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5.00%</w:t>
            </w:r>
          </w:p>
        </w:tc>
      </w:tr>
      <w:tr>
        <w:trPr>
          <w:trHeight w:val="414"/>
        </w:trPr>
        <w:tc>
          <w:tcPr>
            <w:tcW w:w="8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the leases was as follows for the periods indicated (in thousands):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cash includes guarantee deposits for customs duties, China government subsidy fund, and compensating balances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associated with certain credit facilities. As of September 30, 2024 and December 31, 2023, there were $4.0 million and $6.5 million of restricted cash required for bank acceptance notes issued to vendors, respectively. In addition, there were deposits of $2.6 million and $2.5 million in certificates of deposit associated with credit facilities with a bank in China as of September 30, 2024 and December 31, 2023 , respectively. There were $0.7 million guarantee deposits for customs duties as of September 30, 2024 and December 31,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Loss Per Share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(17,757)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(42,190)</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32,774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diluted net loss per share as their effect would have been antidilutive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convertible senior notes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5,560</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net of inventory write-downs, consist of the following for the periods indicated (in thousands):​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Work in process and sub-assemblies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inventory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33,154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22,128</w:t>
            </w: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33,792</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22,452</w:t>
            </w:r>
          </w:p>
        </w:tc>
      </w:tr>
      <w:tr>
        <w:trPr>
          <w:trHeight w:val="234"/>
        </w:trPr>
        <w:tc>
          <w:tcPr>
            <w:tcW w:w="14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(14,506)</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63,866</w:t>
            </w:r>
          </w:p>
        </w:tc>
        <w:tc>
          <w:tcPr>
            <w:tcW w:w="6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0" w:gutter="0" w:footer="0" w:header="0"/>
          <w:type w:val="continuous"/>
        </w:sect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inventory reserve adjustment expensed for inventory was $0.7 million and $2.4 million, respectively. For nine months ended September 30, 2024 and 2023, the inventory reserve adjustment expensed for inventory was $2.4 million and $7.5 million, respectively.</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direct inventory write-offs related to scrap, discontinued products and damaged inventories were $0.7 million and $1.5 million, respectively. For the nine months ended September 30, 2024 and 2023, the direct inventory write-offs related to scrap, discontinued products and damaged inventories were $2.4 million and $8.4 million, respectively.</w:t>
      </w:r>
    </w:p>
    <w:p>
      <w:pPr>
        <w:sectPr>
          <w:pgSz w:w="11900" w:h="16838" w:orient="portrait"/>
          <w:cols w:equalWidth="0" w:num="1">
            <w:col w:w="11240"/>
          </w:cols>
          <w:pgMar w:left="320" w:top="121" w:right="339"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19"/>
          </w:cols>
          <w:pgMar w:left="1140" w:top="12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Property, Plant &amp; Equipment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86,534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257,842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363,363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(194,086)</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200,317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depreciation expense of property, plant and equipment was $5.1 million and $4.8 million, respectively. For the nine months ended September 30, 2024 and 2023, the depreciation expenses of property, plant and equipment were $15.0 million.</w:t>
      </w:r>
    </w:p>
    <w:p>
      <w:pPr>
        <w:spacing w:after="0" w:line="174"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color w:val="auto"/>
        </w:rPr>
        <w:t>As of September 30,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concluded that its continued loss history constitutes a triggering event as described in ASC </w:t>
      </w:r>
      <w:r>
        <w:rPr>
          <w:rFonts w:ascii="Times New Roman" w:cs="Times New Roman" w:eastAsia="Times New Roman" w:hAnsi="Times New Roman"/>
          <w:sz w:val="18"/>
          <w:szCs w:val="18"/>
          <w:i w:val="1"/>
          <w:iCs w:val="1"/>
          <w:color w:val="auto"/>
        </w:rPr>
        <w:t>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21,Property, Plant, and Equipment</w:t>
      </w:r>
      <w:r>
        <w:rPr>
          <w:rFonts w:ascii="Times New Roman" w:cs="Times New Roman" w:eastAsia="Times New Roman" w:hAnsi="Times New Roman"/>
          <w:sz w:val="18"/>
          <w:szCs w:val="18"/>
          <w:color w:val="auto"/>
        </w:rPr>
        <w:t>. The Company performed a recoverability test and concluded that future undiscounted cash flows exceed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Company’s long-lived assets and therefore no impairment charge was recorded.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9,788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9,990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3,663</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9,502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9,640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amortization expense for intangible assets, included in general and administrative expenses on the statement of operations, was $0.1 million and $0.2 million, respectively. For the nine months ended September 30, 2024 and 2023, amortization expense for intangible assets, included in general and administrative expenses on the statement of operations, was $0.3 million and $0.5 million, respectively. The remaining weighted average amortization period for intangible assets is approximately 9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30, 2024, future amortization expenses for intangible assets for future periods are estimated to be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3 months)</w:t>
            </w:r>
          </w:p>
        </w:tc>
        <w:tc>
          <w:tcPr>
            <w:tcW w:w="44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38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8"/>
                <w:szCs w:val="18"/>
                <w:color w:val="auto"/>
              </w:rPr>
            </w:pPr>
          </w:p>
        </w:tc>
      </w:tr>
      <w:tr>
        <w:trPr>
          <w:trHeight w:val="249"/>
        </w:trPr>
        <w:tc>
          <w:tcPr>
            <w:tcW w:w="58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Financial Instruments​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w:t>
      </w:r>
    </w:p>
    <w:p>
      <w:pPr>
        <w:spacing w:after="0" w:line="180"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The fair value of convertible senior notes is measured for disclosure purposes only. The fair value and carrying amount of our convertible senior notes as of September 30, 2024 was $94.1 million and $77.1 million, respectively. As of December 31, 2023, the fair value and carrying amount of our</w:t>
      </w:r>
    </w:p>
    <w:p>
      <w:pPr>
        <w:sectPr>
          <w:pgSz w:w="11900" w:h="16838" w:orient="portrait"/>
          <w:cols w:equalWidth="0" w:num="1">
            <w:col w:w="11240"/>
          </w:cols>
          <w:pgMar w:left="320" w:top="108" w:right="339" w:bottom="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convertible senior notes were both $76.5 million. The fair value is based on observable market prices for this debt, which is traded in less active markets and are therefore classified as a Level 2 fair value measurement.</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Revolving line of credit with a China bank up to $24.3 million with interest between 4.25% to 4.35%,</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May 24, 2029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12,608</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Credit facility with a China bank up to $28.5 million with interest between 4.00% and 4.35%, maturing June</w:t>
            </w:r>
          </w:p>
        </w:tc>
        <w:tc>
          <w:tcPr>
            <w:tcW w:w="14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6, 2027</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acceptance notes issued to vendors with a 0.05% handling fees</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$ 9,934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September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w:t>
            </w:r>
          </w:p>
        </w:tc>
        <w:tc>
          <w:tcPr>
            <w:tcW w:w="36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September 30, 2024 (in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36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29,483</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Beyond one year</w:t>
            </w:r>
          </w:p>
        </w:tc>
        <w:tc>
          <w:tcPr>
            <w:tcW w:w="3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3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May 24, 2019, 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w:t>
      </w:r>
    </w:p>
    <w:p>
      <w:pPr>
        <w:spacing w:after="0" w:line="19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On May 24, 2024, Global renewed the SPD Credit Line for a five-year revolving credit line, totaling 170,000,000 RMB (the “Renewed SPD Credit Line”) or approximately $23.9 million at that time, and Global also entered into a mortgage contract security agreement, with SPD. Global may draw upon the Credit Line on an as-needed basis between May 24, 2024 and May 24, 2029.</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$ 11.8 million was outstanding under the Renewed SPD Credit Line and the outstanding balance of bank acceptance notes issued to vendors was $9.9 million.</w:t>
      </w:r>
    </w:p>
    <w:p>
      <w:pPr>
        <w:spacing w:after="0" w:line="16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June 7, 2022, the Company's China Subsidiary, Global, entered a security agreement with China Zheshang Bank in Ningbo City, China ("CZB") for a five-year credit line agreement, totaling 200,000,000 RMB (the "¥200M Credit Facility"), or approximately $29.9 million at that time. Global may draw upon the ¥200M Credit Facility between June 7, 2022 and June 6, 2027 (the "¥200M Credit Period"). During the ¥200M Credit Period, Global may request to draw upon the ¥200M Credit Facility on an as-needed basis; however, draws under the ¥200M Credit Facility may 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¥200M Credit Facility will be secured by real property owned by Global and mortgaged to CZB under the terms of the Real Estate Security Agreement. On December 21, 2023, Global entered into an asset pool business cooperation agreement ("Asset Pool Agreement") and an asset pool pledge contract (the "Pledge Contract") (referred to collectively as the Pledge Asset Line"), with CZB, which supplements the existing ¥200M Credit Facility. The Pledge Asset Line does not constitute a new credit line or an increase to the existing credit limits. Global may draw upon the Pledge Asset Line between December 21, 2023 and December 21, 2025 (the "Asset Pool Period"). During the Asset Pool Period, Global may request to draw upon the Pledge Asset Line on an as-needed bases; however, amount of available credit under the Pledge Asset Line and approval of each draw may be reduced or declined by CZB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Pledge Asset Line will be secured by certain financial assets, including but not limited to, deposit receipts, domestic accounts receivable and electronic commercial paper. As of September 30, 2024, $17.7 million was outstanding under the ¥200M Credit Facility, and there was no outstanding balance of bank acceptance notes issued to vendors.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$23.3 million and $22.5 million of unused borrowing capacity, respectively.</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there was $6.5 million and $9.7 million of restricted cash, investments or security deposits associated with the loan facilities, respectively.</w:t>
      </w:r>
    </w:p>
    <w:p>
      <w:pPr>
        <w:sectPr>
          <w:pgSz w:w="11900" w:h="16838" w:orient="portrait"/>
          <w:cols w:equalWidth="0" w:num="1">
            <w:col w:w="11240"/>
          </w:cols>
          <w:pgMar w:left="320" w:top="121" w:right="339" w:bottom="663"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6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Convertible Senior Notes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“2024 Notes”). On December 5, 2023, the Company issued approximately $80.2 million aggregate principal amount of 5.250% convertible senior notes due 2026 (the "2026 Notes"), and on the same day consummated various separate, privately negotiated exchange agreements with certain holders of its 2024 Notes to exchange or repurchase approximately $80.2 million principal amount of the 2024 Notes for aggregate consideration consisting of approximately $81.1 million in cash, which included accrued interest on the 2024 Notes, and approximately 466,368 shares of the Company's common stock, par value $0.001 per share. The Company paid off the remaining $0.29 million of the 2024 Notes on March 15, 2024.</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2026 Notes were issued pursuant to an Indenture, dated as of December 5, 2023, (the "Indenture"), between the Company and Computershare Trust Company, N.A., as trustee. The 2026 Notes bear interest at a rate of 5.250% per year and pay interest semi-annually in arrears on June 15 and December 15 of each year, beginning on June 15, 2024. The 2026 Notes mature on December 15, 2026, unless earlier converted, redeemed or repurchased in accordance with their terms.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2026 Notes for the periods indicated (in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80,214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rate for the 2026 Notes is 65.6276 shares of the Company’s common stock per $1,000 principal amount of the 2026 Notes (which is equivalent to a conversion price of approximately $15.24 per share of the Company’s common stock, representing a premium of approximately 15% over the last reported sale price of the Company’s common stock on November 30, 2023 of $13.25 per share), subject to adjustment. Before September 15, 2026, holders of the 2026 Notes have the right to convert their 2026 Notes only upon the occurrence of certain events. From and after September 15, 2026, holders of the 2026 Notes may convert their 2026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spacing w:after="0" w:line="189"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Currently there are no guarantors of the 2026 Notes, but the 2026 Notes would be fully and unconditionally guaranteed, on a senior, unsecured basis by certain of the Company’s future domestic subsidiaries, should any such subsidiaries be formed. The 2026 Notes are the Company’s senior, unsecured obligations and are equal in right of payment with existing and future senior, unsecured indebtedness, senior in right of payment to the Company’s existing and future indebtedness that is expressly subordinated to the 2026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is equal in right of payment with existing and future senior, unsecured indebtedness, senior in right of payment to such future guarantor’s existing and future indebtedness that is expressly subordinated to</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2026 Notes and effectively subordinated to such future guarantor’s existing and future secured indebtedness, to the extent of the value of the collateral securing that indebtedness.</w:t>
      </w:r>
    </w:p>
    <w:p>
      <w:pPr>
        <w:spacing w:after="0" w:line="18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2026 Notes will be redeemable, in whole or in part (subject to certain limitations described in the Indenture), at the Company’s option at any time, and from time to time, on or after December 15, 2024 and on or before the 40th scheduled trading day immediately before the maturity date, at a cash redemption price equal to the principal amount of the 2026 Notes to be redeemed, plus accrued and unpaid interest, if any, to, but excluding, the redemption date, but only if the last reported sale price per share of the Company’s common stock exceeds 130% of the conversion price on (1) each of at</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least 20 trading days, whether or not consecutive, during the 30 consecutive trading days ending on, and including, the trading day immediately before the date the Company sends the related redemption notice; and (2) the trading day immediately before the date it sends such notice.</w:t>
      </w:r>
    </w:p>
    <w:p>
      <w:pPr>
        <w:spacing w:after="0" w:line="18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 2026 Notes will be redeemable, in whole or in part, at the Company’s option at any time, and from time to time, on or before the 40th scheduled trading day immediately before the maturity date, at a cash redemption price equal to the principal amount of the 2026 Notes to be redeemed, plus accrued and unpaid interest, if any, to, but excluding, the redemption date (subject to the right of a holder of 2026 Notes as of the close of business on a record date to receive the related interest payment on the corresponding interest payment date), if the Company completes the "Specified Divestiture" of (x) one or more of its manufacturing facilities located in the People’s Republic of China and/or (y) significant assets located in the People’s Republic of China which relate to the Company’s transceiver business and multi-channel optical sub-assembly products (or any substantially related assets), for aggregate consideration in cash to the Company of not less than the U.S. Dollar equivalent of $150,000,000 (measured at the time of completion).</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Calling any Convertible Note for redemption will constitute a “Make-whole fundamental change” (as defined in the Indenture) with respect to that Convertible Note, in which case the conversion rate applicable to the conversion of that Convertible Note will be increased in certain circumstances if it is converted after it is called for redemption.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if the Specified Divestiture is completed, then each holder of 2026 Notes will have the right to require the Company to repurchase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its 2026 Notes for cash on a date of the Company’s choosing, which must be a business day that is no more than 35, nor less than 20, business days after we send the related notice of Specified Divestiture. The repurchase price for a note tendered for such repurchase will be equal to the principal amount of</w:t>
      </w:r>
    </w:p>
    <w:p>
      <w:pPr>
        <w:spacing w:after="0" w:line="1" w:lineRule="exact"/>
        <w:rPr>
          <w:sz w:val="20"/>
          <w:szCs w:val="20"/>
          <w:color w:val="auto"/>
        </w:rPr>
      </w:pPr>
    </w:p>
    <w:p>
      <w:pPr>
        <w:ind w:right="880"/>
        <w:spacing w:after="0" w:line="290" w:lineRule="auto"/>
        <w:rPr>
          <w:sz w:val="20"/>
          <w:szCs w:val="20"/>
          <w:color w:val="auto"/>
        </w:rPr>
      </w:pPr>
      <w:r>
        <w:rPr>
          <w:rFonts w:ascii="Times New Roman" w:cs="Times New Roman" w:eastAsia="Times New Roman" w:hAnsi="Times New Roman"/>
          <w:sz w:val="17"/>
          <w:szCs w:val="17"/>
          <w:color w:val="auto"/>
        </w:rPr>
        <w:t>the 2026 Notes to be repurchased, plus accrued and unpaid interest, if any, to, but excluding, the repurchase date (subject to the right of a holder of 2026 Notes as of the close of business on a record date to receive the related interest payment on the corresponding interest payment date).</w:t>
      </w:r>
    </w:p>
    <w:p>
      <w:pPr>
        <w:spacing w:after="0" w:line="15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Moreover, if the Company undergoes a fundamental change, as described in the Indenture, holders of the 2026 Notes may require the Company to repurchase for cash all or part of their 2026 Notes at a repurchase price equal to 100% of the principal amount of the 2026 Notes to be repurchased, plus accrued and unpaid interest to, but excluding, the required repurchase date.</w:t>
      </w:r>
    </w:p>
    <w:p>
      <w:pPr>
        <w:sectPr>
          <w:pgSz w:w="11900" w:h="16838" w:orient="portrait"/>
          <w:cols w:equalWidth="0" w:num="1">
            <w:col w:w="11240"/>
          </w:cols>
          <w:pgMar w:left="320" w:top="121" w:right="339" w:bottom="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Additionally, the 2026 Notes are subject to customary events of default. No sinking fund is provided for the 2026 Notes.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Debt with Conversion and Other Options. The Company determined that notes should be accounted for in their entirety as a liability.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Company incurred approximately $4.3 million in transaction costs in connection with the issuance of the 2026 Notes. These costs were recognized as a reduction of the carrying amount of the Notes utilizing the effective interest method and are being amortized over the term of the Notes.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2024 Notes and 2026 Notes (in thousands):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cost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3,637</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33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3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5.3%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657"/>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Accrued Liabilities​</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shipping and tariff expenses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Advanced payments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 expenses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r>
      <w:tr>
        <w:trPr>
          <w:trHeight w:val="25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disposal of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subsidy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Gain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gain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(expenses) ,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00" w:type="dxa"/>
            <w:vAlign w:val="bottom"/>
            <w:gridSpan w:val="6"/>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5"/>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24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vMerge w:val="continue"/>
          </w:tcPr>
          <w:p>
            <w:pPr>
              <w:spacing w:after="0"/>
              <w:rPr>
                <w:sz w:val="17"/>
                <w:szCs w:val="17"/>
                <w:color w:val="auto"/>
              </w:rPr>
            </w:pPr>
          </w:p>
        </w:tc>
        <w:tc>
          <w:tcPr>
            <w:tcW w:w="24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-728345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Incentive Plan ("2021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Equity Inducement Plan ("Inducement Plan")</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w:t>
      </w:r>
    </w:p>
    <w:p>
      <w:pPr>
        <w:sectPr>
          <w:pgSz w:w="11900" w:h="16838" w:orient="portrait"/>
          <w:cols w:equalWidth="0" w:num="1">
            <w:col w:w="11240"/>
          </w:cols>
          <w:pgMar w:left="320" w:top="121" w:right="339" w:bottom="1440"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2013 Plan and generally become exercisable as to 25% of the shares on the first anniversary date following the date of grant and 12.5% on a semi-annual basis thereafter. All options expire ten years after the date of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on Date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20" w:type="dxa"/>
            <w:vAlign w:val="bottom"/>
            <w:gridSpan w:val="9"/>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 thousands, except price data and Contractual Life)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13.84</w:t>
            </w:r>
          </w:p>
        </w:tc>
        <w:tc>
          <w:tcPr>
            <w:tcW w:w="14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13.84</w:t>
            </w:r>
          </w:p>
        </w:tc>
        <w:tc>
          <w:tcPr>
            <w:tcW w:w="14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13.84</w:t>
            </w:r>
          </w:p>
        </w:tc>
        <w:tc>
          <w:tcPr>
            <w:tcW w:w="14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there was no unrecognized stock option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Incentive</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Starting in 2021, certain senior executives were granted performance stock units ("PSUs") under our 2021 Equity Incentive Plan ("2021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three-year performance period. The Company recognized stock-based compensation expense for the PSUs for the three months ended September 30, 2024 and 2023 of $3.8 million and $1.1 million, respectively. The Company recognized stock-based compensation expense for the nine months ended September 30, 2024 and 2023 of $5.8 million and $2.0 million, respectively.</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12, 2024, the Compensation Committee certified the Company exceeded the maximum performance target level for each of the performance targets set for the PSUs granted in June 2021 (the "2021 PSUs"). Therefore, applicable employees were entitled to payment of the 2021 PSUs at 200% of the target shares granted under the 2021 Plan. On June 6, 2024, at the annual meeting of stockholders, a proposal to increase the number of shares of common stock authorized for issuance under the 2021 Equity Incentive Plan by 2,000,000 shares was not approved, and as a result, the Company did not have enough shares of common stock available for issuance to satisfy the additional shares earned above 100% of target shares of the 2021 PSUs (the "2021 Additional Shares"). In lieu of shares of common stock, the Company settled the 2021 Additional Shares in cash, resulting in an additional $2.8 million of stock-based compensation expense in thenine months ended September 30, 2024.</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PSU activity for the nine months ended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20,711</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$6.7 million of unrecognized stock-based compensation expense related to outstanding PSUs, which expense is expected to be recognized over 1.9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is a summary of RSU activity:</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55,507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c>
          <w:tcPr>
            <w:tcW w:w="1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36,001</w:t>
            </w:r>
          </w:p>
        </w:tc>
      </w:tr>
    </w:tbl>
    <w:p>
      <w:pPr>
        <w:sectPr>
          <w:pgSz w:w="11900" w:h="16838" w:orient="portrait"/>
          <w:cols w:equalWidth="0" w:num="1">
            <w:col w:w="11240"/>
          </w:cols>
          <w:pgMar w:left="320" w:top="121" w:right="339" w:bottom="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$13.3 million of unrecognized compensation expense related to these RSUs. This expense is expected to be recognized over 2.5 years.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160" w:right="2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effective tax rate varied from the federal statutory rate of 21% primarily due to the change of the valuation allowance on federal, state, Taiwan, and China deferred tax assets ("DTA").</w:t>
      </w:r>
    </w:p>
    <w:p>
      <w:pPr>
        <w:spacing w:after="0" w:line="162" w:lineRule="exact"/>
        <w:rPr>
          <w:sz w:val="20"/>
          <w:szCs w:val="20"/>
          <w:color w:val="auto"/>
        </w:rPr>
      </w:pPr>
    </w:p>
    <w:p>
      <w:pPr>
        <w:ind w:right="180" w:firstLine="810"/>
        <w:spacing w:after="0" w:line="256" w:lineRule="auto"/>
        <w:rPr>
          <w:sz w:val="20"/>
          <w:szCs w:val="20"/>
          <w:color w:val="auto"/>
        </w:rPr>
      </w:pPr>
      <w:r>
        <w:rPr>
          <w:rFonts w:ascii="Times New Roman" w:cs="Times New Roman" w:eastAsia="Times New Roman" w:hAnsi="Times New Roman"/>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September 30, 2024 was appropriate.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Geographic Information</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where the product is manufactured. Long-lived assets in the tables below comprise property, plant, equipment,land use rights, right of use assets and intangible assets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113,851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65,151</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157,193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4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78,415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75,283</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47,668</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4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214,001</w:t>
            </w:r>
          </w:p>
        </w:tc>
      </w:tr>
      <w:tr>
        <w:trPr>
          <w:trHeight w:val="432"/>
        </w:trPr>
        <w:tc>
          <w:tcPr>
            <w:tcW w:w="3420" w:type="dxa"/>
            <w:vAlign w:val="bottom"/>
          </w:tcPr>
          <w:p>
            <w:pPr>
              <w:spacing w:after="0"/>
              <w:rPr>
                <w:sz w:val="24"/>
                <w:szCs w:val="24"/>
                <w:color w:val="auto"/>
              </w:rPr>
            </w:pPr>
          </w:p>
        </w:tc>
        <w:tc>
          <w:tcPr>
            <w:tcW w:w="45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disclosed, the Company is unable to estimate the possible loss or range of loss for the legal proceeding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filed by Yuhan Optoelectronic Technology (Shanghai) Co., Ltd.</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September 12, 2023, the Company delivered notice of termination with respect to that certain Agreement for the Sale and Purchase of a New Company to be Established in Hong Kong Special Administrative Region of the People’s Republic of China (the “Purchase Agreement”), dated September 15, 2022, 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December 22, 2023, 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if specific performance is granted by HKIAC, the transaction contemplated by the Purchase Agreement would still have to be approved by the Committee on Foreign Investment in the United States prior to its consummation. On January 22, 2024, the Company filed its response, generally denying the Purchaser’s allegations and asserting counterclaims for recovery of a break-up fee. The Company intends to vigorously defend this matter. The Company is not able to determine the outcome of this dispute or the likelihood or amount of the Company’s loss or recovery, if any, arising from this matter. The HKIAC Tribunal issued a procedural order on April 17, 2024 setting the evidentiary hearing to be held on September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August 9, 2021, the Company received a Taxes Notification of Audit Result ("Notice") from the Texas Comptroller’s Office (the "Comptroller"), for fiscal years between 2016 and 2019, informing the Company that the Comptroller believes the Company did not qualify for certain sales and use tax exemptions on various Research and Development purchases and accordingly the Company is liable for Sale and Use Tax in the amount of approximately $1.0 million including interest charges. The Company paid $0.4 million for the tax notice in May 2021, but challenged the remaining tax assessments and vigorously defended its position. The Comptroller’s office exhausted its redetermination period and therefore moved AOI’s case to the hearing process. No hearing date has yet been scheduled, and as a result the Company is not able to determine the outcome of this sales tax dispute or the likelihood or amount of the Company’s loss, if any, arising from this matter.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5, 2024, the Company provided notice of its termination, effective on November 6, 2024, of the Equity Distribution Agreement dated March 13, 2024 between the Company and Raymond James &amp; Associates in connection with the Company’s At-The-Market equity offering program (the “ATM program”). As of the termination date, the ATM program had generated total gross proceeds of $59.9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2024 and the audited consolidated financial statements and notes thereto and management’s discussion and analysis of financial condition and results of operations for the fiscal year ended December 31, 2023 included in our Annual Report. References to "Applied Optoelectronics," “we," "our" and "us" are to Applied Optoelectronics, Inc. and its subsidiaries unless otherwise specified or the context otherwise requires.</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2023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end-markets: internet data centers, cable television, ("CATV"), telecommunications ("telecom"), and fiber-to-the-home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updates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ectPr>
          <w:pgSz w:w="11900" w:h="16838" w:orient="portrait"/>
          <w:cols w:equalWidth="0" w:num="1">
            <w:col w:w="11240"/>
          </w:cols>
          <w:pgMar w:left="320" w:top="121"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Our principal executive offices are located at 13139 Jess Pirtle Blvd., Sugar Land, TX 77478, and our telephone number is (281) 295-1800.</w:t>
      </w:r>
    </w:p>
    <w:p>
      <w:pPr>
        <w:sectPr>
          <w:pgSz w:w="11900" w:h="16838" w:orient="portrait"/>
          <w:cols w:equalWidth="0" w:num="1">
            <w:col w:w="10040"/>
          </w:cols>
          <w:pgMar w:left="980" w:top="337" w:right="879" w:bottom="1440" w:gutter="0" w:footer="0" w:header="0"/>
        </w:sect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337" w:right="879"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Divestiture Agreement with Yuhan Optoelectronic Technology (Shanghai) Co., Ltd</w:t>
      </w:r>
    </w:p>
    <w:p>
      <w:pPr>
        <w:spacing w:after="0" w:line="229" w:lineRule="exact"/>
        <w:rPr>
          <w:sz w:val="20"/>
          <w:szCs w:val="20"/>
          <w:color w:val="auto"/>
        </w:rPr>
      </w:pPr>
    </w:p>
    <w:p>
      <w:pPr>
        <w:ind w:left="20"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2022, the Company and Prime World International Holdings Ltd. (the "Seller") entered into the Purchase Agreement with Yuhan Optoelectronic Technology (Shanghai) Co., Ltd. (the "Purchaser") for the sale of the manufacturing facilities in the People's Republic of China and certain assets related to its transceiver business and multi-channel optical sub-assembly products. On September 12, 2023, we delivered a notice of termination to the Purchaser to terminate the Purchase Agreement as a result of the Purchaser's failure to satisfy certain of its material obligations under the Purchase Agreement. In doing so, we also asserted the right to recover a break-up fee from the Purchaser. On December 22, 2023, the Purchaser filed for arbitration in Hong Kong with the Hong Kong International Arbitration Centre disputing the validity of our termination notice and seeking specific performance with respect to the transactions contemplated by the Purchase Agreement, which would in any case remain subject to regulatory approvals. We filed our response on January 22, 2024, generally denying the Purchaser’s allegations and asserting certain counterclaims. The HKIAC Tribunal issued a procedural order on April 17, 2024 setting the evidentiary hearing to be held on September 2025. We are not able to determine the outcome of this dispute or the likelihood or amount of our loss or recovery, if any, arising from this matter.</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 except percentages):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65,151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62,547</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149,094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157,193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49,234</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42,373</w:t>
            </w: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116,023</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119,876</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15,917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20,174</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33,071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37,317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r>
      <w:tr>
        <w:trPr>
          <w:trHeight w:val="209"/>
        </w:trPr>
        <w:tc>
          <w:tcPr>
            <w:tcW w:w="2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9,457</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26,633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4,796</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3,035</w:t>
            </w: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14,503</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7,631</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14,368</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44,786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39,870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32,464</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26,860</w:t>
            </w: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97,507</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74,134</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(16,547)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(6,686)</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(64,436)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(36,817)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0"/>
        </w:trPr>
        <w:tc>
          <w:tcPr>
            <w:tcW w:w="2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(1,989)</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(5,072)</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r>
        <w:trPr>
          <w:trHeight w:val="191"/>
        </w:trPr>
        <w:tc>
          <w:tcPr>
            <w:tcW w:w="208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w:t>
            </w:r>
          </w:p>
        </w:tc>
        <w:tc>
          <w:tcPr>
            <w:tcW w:w="2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(2,267)</w:t>
            </w:r>
          </w:p>
        </w:tc>
        <w:tc>
          <w:tcPr>
            <w:tcW w:w="3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(5,365)</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(17,757)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(8,953)</w:t>
            </w:r>
          </w:p>
        </w:tc>
        <w:tc>
          <w:tcPr>
            <w:tcW w:w="3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(42,182)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(17,757)</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(8,953)</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(67,042)</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(42,190)</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telecom, FTTH and other markets. We derive a significant portion of our revenue from our top ten customers, and we anticipate that we will continue to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for the foreseeable future. The following charts provide the revenue contribution from each of the markets we served for the three and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and 2023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40,945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48,807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20,947</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10,268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10,679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1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65,151</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62,547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96,731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35,501</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47,391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(11,890)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1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157,193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changes in revenue during the three months ended September 30, 2024 and 2023 were primarily due toincreased demand from CATV customers, offset by the lack of non-recurring engineering ("NRE") revenue in the third quarter of 2024 and the effect of pricing reductions offered to certain of our data center customers in 2024, which affected our data center market. The changes in revenue during the nine months ended September 30, 2024 and 2023 were primarily due to increased demand from major data center customers, offset by weak demand from CATV and telecom customers. CATV demand in the nine months ended September 30, 2024 was lower than in the corresponding period in the prior year largely due to a pending technology transition from older-generation products compliant with the Data Over Cable Service Interface Specification ("DOCSIS") version 3.1, to the newer DOCSIS 4.0 standard. Due to the pending transition from the older to newer standard, customers are placing fewer orders for the older products and instead reducing their inventory of such products.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begun to see increased orders for our 400G data center products from several large customers. Based on forecasts from our customers, we expect increased demand for these products through the end of 2024. We entered into a supply agreement with Microsoft to design certain data center goods and to build a supply chain to manufacture, assemble, sell and ship the goods to them or an authorized purchasing entity. The initial term of the agreement is five years with automatic renewal unless terminated earlier.</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existing data center customers, we have also begun to receive orders from a hyperscale data center customer from which we have not received significant orders in several years. While the new customer interaction is not material within the quarter, we believe that both this new customer interaction and much of the growth in our existing data center business is related to efforts by these customers to increase processing capacity within their data centers, largely to accommodate applications enabled by generative artificial intelligence ("AI").</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our top ten customers represented 95.8% and 96.1% of our revenue, respectively. For the nine months ended September 30, 2024 and 2023, our top ten customers represented 93.7% and 93.3%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42,373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15,917</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20,174</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(4,257)</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414"/>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116,023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119,876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28" w:name="page29"/>
    <w:bookmarkEnd w:id="28"/>
    <w:p>
      <w:pPr>
        <w:spacing w:after="0"/>
        <w:tabs>
          <w:tab w:leader="none" w:pos="3780" w:val="left"/>
          <w:tab w:leader="none" w:pos="5280" w:val="left"/>
          <w:tab w:leader="none" w:pos="6480" w:val="left"/>
          <w:tab w:leader="none" w:pos="7980" w:val="left"/>
          <w:tab w:leader="none" w:pos="9220" w:val="left"/>
          <w:tab w:leader="none" w:pos="10640" w:val="left"/>
        </w:tabs>
        <w:rPr>
          <w:sz w:val="20"/>
          <w:szCs w:val="20"/>
          <w:color w:val="auto"/>
        </w:rPr>
      </w:pPr>
      <w:r>
        <w:rPr>
          <w:rFonts w:ascii="Times New Roman" w:cs="Times New Roman" w:eastAsia="Times New Roman" w:hAnsi="Times New Roman"/>
          <w:sz w:val="18"/>
          <w:szCs w:val="18"/>
          <w:color w:val="auto"/>
        </w:rPr>
        <w:t>Gross margin</w:t>
      </w:r>
      <w:r>
        <w:rPr>
          <w:sz w:val="20"/>
          <w:szCs w:val="20"/>
          <w:color w:val="auto"/>
        </w:rPr>
        <w:tab/>
      </w:r>
      <w:r>
        <w:rPr>
          <w:rFonts w:ascii="Times New Roman" w:cs="Times New Roman" w:eastAsia="Times New Roman" w:hAnsi="Times New Roman"/>
          <w:sz w:val="18"/>
          <w:szCs w:val="18"/>
          <w:color w:val="auto"/>
        </w:rPr>
        <w:t>33,071</w:t>
      </w:r>
      <w:r>
        <w:rPr>
          <w:sz w:val="20"/>
          <w:szCs w:val="20"/>
          <w:color w:val="auto"/>
        </w:rPr>
        <w:tab/>
      </w: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37,317</w:t>
      </w:r>
      <w:r>
        <w:rPr>
          <w:sz w:val="20"/>
          <w:szCs w:val="20"/>
          <w:color w:val="auto"/>
        </w:rPr>
        <w:tab/>
      </w: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(4,246)</w:t>
      </w:r>
      <w:r>
        <w:rPr>
          <w:sz w:val="20"/>
          <w:szCs w:val="20"/>
          <w:color w:val="auto"/>
        </w:rPr>
        <w:tab/>
      </w:r>
      <w:r>
        <w:rPr>
          <w:rFonts w:ascii="Times New Roman" w:cs="Times New Roman" w:eastAsia="Times New Roman" w:hAnsi="Times New Roman"/>
          <w:sz w:val="17"/>
          <w:szCs w:val="17"/>
          <w:color w:val="auto"/>
        </w:rPr>
        <w:t>(11.4)%</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Cost of goods sold increased by $6.9 million for the three months ended September 30, 2024 compared to the three months ended September 30, 2023. The increase in cost of goods sold was due to increased revenue and higher cost of certain materials, partially offset by lower inventory reserve in the current period. Cost of goods sold decreased by $3.9 million for the nine months ended September 30, 2024, compared to the nine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2023 primarily due to lower sales, lower inventory write-off expenses and lower inventory reserve expenses in 2024.</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Gross profit decreased by $4.3 million for the three months ended September 30, 2024 compared to the three months ended September 30, 2023. The decrease is primarily due to price reductions for certain data center products which took effect earlier in 2024. Gross profit decreased by $4.3 million for the nine months ended September 30, 2024 compared to the nine months ended September 30, 2023, mainly due to price reductions for certain data center products which took effect earlier in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except percentages)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4"/>
                <w:szCs w:val="4"/>
                <w:color w:val="auto"/>
                <w:w w:val="97"/>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lef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4"/>
                <w:szCs w:val="4"/>
                <w:color w:val="auto"/>
                <w:w w:val="97"/>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3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ind w:right="44"/>
              <w:spacing w:after="0"/>
              <w:rPr>
                <w:sz w:val="20"/>
                <w:szCs w:val="20"/>
                <w:color w:val="auto"/>
              </w:rPr>
            </w:pPr>
            <w:r>
              <w:rPr>
                <w:rFonts w:ascii="Times New Roman" w:cs="Times New Roman" w:eastAsia="Times New Roman" w:hAnsi="Times New Roman"/>
                <w:sz w:val="4"/>
                <w:szCs w:val="4"/>
                <w:color w:val="auto"/>
                <w:w w:val="97"/>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jc w:val="right"/>
              <w:ind w:right="44"/>
              <w:spacing w:after="0"/>
              <w:rPr>
                <w:sz w:val="20"/>
                <w:szCs w:val="20"/>
                <w:color w:val="auto"/>
              </w:rPr>
            </w:pPr>
            <w:r>
              <w:rPr>
                <w:rFonts w:ascii="Times New Roman" w:cs="Times New Roman" w:eastAsia="Times New Roman" w:hAnsi="Times New Roman"/>
                <w:sz w:val="4"/>
                <w:szCs w:val="4"/>
                <w:color w:val="auto"/>
                <w:w w:val="97"/>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except percentages)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26,633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7,631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6,872</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lef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39,870</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74,134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23,373</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$4.0 million, or 42.0% for the three months ended September 30, 2024, compared to the three months ended September 30, 2023. Research and development expense increased by $11.6 million, or 43.5% for the nine months ended September 30, 2024 compared to the same period ended September 30, 2023. The increases were primarily due to increased personnel-related expense, increased R&amp;D related project costs and increased R&amp;D consulting fees for ongoing R&amp;D projects. The increases in R&amp;D expenses were driven by customer demands for new products as well as acceleration of previously-planned project expenditures which were necessary to accommodate accelerated demand projections for these products from certain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$1.8 million, or 58.0% for the three months ended September 30, 2024 compared to the three months ended September 30, 2023. Sales and marketing expense increased by $6.9 million, or 90.1% for the nine months ended September 30, 2024 compared to the same period ended September 30, 2023. The increases were primarily due to the increased business development effort in our CATV and data center businesses, higher shipping costs and increases in trade show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approximately the same for the three months ended September 30, 2024 compared to the three months ended September 30, 2023. General and administrative expense increased by $4.9 million, or 12.3% for the nine months ended September 30, 2024 compared to the same period ended September 30, 2023. The increase was primarily due to increased personnel-related expense, including higher share-based compensation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2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09"/>
        </w:trPr>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except percentages)</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(1,702)</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(1,989)</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0"/>
        </w:trPr>
        <w:tc>
          <w:tcPr>
            <w:tcW w:w="27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(2,267)</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8"/>
        </w:trPr>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2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ectPr>
          <w:pgSz w:w="11900" w:h="16877" w:orient="portrait"/>
          <w:cols w:equalWidth="0" w:num="1">
            <w:col w:w="11240"/>
          </w:cols>
          <w:pgMar w:left="320" w:top="121"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(in thousands, except percentages)</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282.7%</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1,957</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w:t>
            </w:r>
          </w:p>
        </w:tc>
      </w:tr>
      <w:tr>
        <w:trPr>
          <w:trHeight w:val="20"/>
        </w:trPr>
        <w:tc>
          <w:tcPr>
            <w:tcW w:w="27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(5,365)</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by $0.09 million, or 140% for the three months ended September 30, 2024 compared to the three months ended September 30, 2023. Interest income increased by $0.38 million or 282.7% for the nine months ended September 30, 2024 compared to the same period ended September 30, 2023. The increases were due to higher saving balances and higher interest rate on our saving account in the first three quarters of 2024</w:t>
      </w:r>
      <w:r>
        <w:rPr>
          <w:rFonts w:ascii="Times New Roman" w:cs="Times New Roman" w:eastAsia="Times New Roman" w:hAnsi="Times New Roman"/>
          <w:sz w:val="18"/>
          <w:szCs w:val="18"/>
          <w:color w:val="CC0000"/>
        </w:rPr>
        <w:t>.</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by $0.3 million, or 14.4% for the three months ended September 30, 2024 compared to the three months ended September 30, 2023. Interest expense decreased by $1.2 million, or 19.5% for the nine months ended September 30, 2024 compared to the same period ended September 30, 2023. The decreases were due to the termination of the loan with CIT Northbridge in November 2023.</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(expenses) increased by $0.7 million, or 198% for the three months ended September 30, 2024 compared to the three months ended September 30, 2023. Other income (expenses) increased by $1.2 million, or 143.7%, for the nine months ended September 30, 2024 compared to the same period ended September 30, 2023.These increases were mainly due to the resolution of legal matters, increased government subsidy income and positive foreign exchange impact.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2024 and 2023 was 0%. The effective tax rate varied from the federal statutory rate of 21% primarily due to the change of the valuation allowance on federal, state, Taiwan, and China deferred tax assets ("DTA").</w:t>
      </w:r>
    </w:p>
    <w:p>
      <w:pPr>
        <w:spacing w:after="0" w:line="162"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To the extent that we make investments in expanding manufacturing in our semiconductor fabrication facility in Texas, we believe that the CHIPS Act would provide a refundable tax credit for certain equipment and facilities upgrades. We made significant such investments in the nine months ended September 30, 2024, but we intend to continue to evaluate future investments for applicability to the tax credit provisions of the CHIPS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(17,757)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(8,953)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foreign currency translation</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Pr>
          <w:p>
            <w:pPr>
              <w:spacing w:after="0"/>
              <w:rPr>
                <w:sz w:val="17"/>
                <w:szCs w:val="17"/>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2,958</w:t>
            </w:r>
          </w:p>
        </w:tc>
        <w:tc>
          <w:tcPr>
            <w:tcW w:w="32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(15,517)</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(9,671)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(5,846)</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(67,042)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(42,190)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(24,852)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foreign currency translation</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(4,371)</w:t>
            </w:r>
          </w:p>
        </w:tc>
        <w:tc>
          <w:tcPr>
            <w:tcW w:w="16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4,103</w:t>
            </w:r>
          </w:p>
        </w:tc>
        <w:tc>
          <w:tcPr>
            <w:tcW w:w="32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(67,310)</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(46,561)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(20,749)</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Comprehensive loss increased by $5.8 million, or 60.4%, for the three months ended September 30, 2024 as compared to the three months ended September 30, 2023. Comprehensive loss increased by $20.7 million, or 44.6%, for the nine months ended September 30, 2024 as compared to the same period ended September 30, 2023.The changes were primarily due to increase of net loss of $8.8 million and $24.9 million for the three months ended September 30, 2024 and 2023 and the nine months ended September 30, 2024 and 2023, respectively, and offset by foreign currency translation adjustments for non-U.S. dollar functional currency operations of $3.0 million and $4.1 million, respectively.</w:t>
      </w:r>
    </w:p>
    <w:p>
      <w:pPr>
        <w:spacing w:after="0" w:line="183" w:lineRule="exact"/>
        <w:rPr>
          <w:sz w:val="20"/>
          <w:szCs w:val="20"/>
          <w:color w:val="auto"/>
        </w:rPr>
      </w:pPr>
    </w:p>
    <w:p>
      <w:pPr>
        <w:ind w:right="58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$23.3 million of unused borrowing capacity from all of our loan agreements. As of September 30, 2024, our cash, cash equivalents and restricted cash totaled $41.4 million. Cash and cash equivalents are held for working capital purposes and are invested primarily in money market or time deposit funds. We do not enter into investments for trading or speculative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of$185 million</w:t>
      </w:r>
      <w:r>
        <w:rPr>
          <w:rFonts w:ascii="Times New Roman" w:cs="Times New Roman" w:eastAsia="Times New Roman" w:hAnsi="Times New Roman"/>
          <w:sz w:val="18"/>
          <w:szCs w:val="18"/>
          <w:color w:val="FF0000"/>
        </w:rPr>
        <w:t>.</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March 13, 2024, we entered into an Equity Distribution Agreement (the "Agreement") with Raymond James &amp; Associates (the "Sales Agent") pursuant to which the Company could issue and sell shares of the Company’s common stock, par value $0.001 per share (the "Shares") having an aggregate offering price of up to $25 million (the "ATM Offering"), from time to time through the Sales Agent. Upon delivery of a placement notice and subject to the terms and conditions of the Agreement, sales of the Shares were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would designate the maximum number of Shares to be sold through the Sales Agent, the time period during which sales were requested to be made, the minimum price for the Shares to be sold, and any limitation on the number of Shares that could be sold in any one day. Subject to the terms and conditions of the Agreement, the Sales Agent would use its commercially reasonable efforts to sell Shares on the Company’s behalf up to the designated amount specified in the placement notice.</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Agreement provided that the Sales Agent would be entitled to compensation of up to 2% of the gross sales price of the Shares sold through the Sales Agent from time to time. The Company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 against certain liabilities, including liabilities under the Securities Act, or to contribute to payments that the Sales Agent could be required to make because of any of those liabilities.</w:t>
      </w:r>
    </w:p>
    <w:p>
      <w:pPr>
        <w:spacing w:after="0" w:line="18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On August 6, 2024, we entered into Amendment No. 1 to the Agreement with the Sales Agent to increase the aggregate offering price from $25 million to $60 million. As of September 30, 2024, we sold approximately 5.7 million shares of the Company's common stock with an aggregate offering price of approximately $59.9 million under this ATM Offering.</w:t>
      </w:r>
    </w:p>
    <w:p>
      <w:pPr>
        <w:spacing w:after="0" w:line="176" w:lineRule="exact"/>
        <w:rPr>
          <w:sz w:val="20"/>
          <w:szCs w:val="20"/>
          <w:color w:val="auto"/>
        </w:rPr>
      </w:pPr>
    </w:p>
    <w:p>
      <w:pPr>
        <w:jc w:val="both"/>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details of the shares of common stock sold through the ATM Offering are as follows (in thousands, except shares and weighted average per share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Average Per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Distribution Agent</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Agent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100" w:type="dxa"/>
            <w:vAlign w:val="bottom"/>
          </w:tcPr>
          <w:p>
            <w:pPr>
              <w:spacing w:after="0"/>
              <w:rPr>
                <w:sz w:val="20"/>
                <w:szCs w:val="20"/>
                <w:color w:val="auto"/>
              </w:rPr>
            </w:pPr>
          </w:p>
        </w:tc>
      </w:tr>
      <w:tr>
        <w:trPr>
          <w:trHeight w:val="22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14.7664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12.0967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8,519</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10.2962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7,669</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2,922,581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9.0695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26,506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25,976</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1,005,726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12.8019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12,618</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5,677,033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58,702</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firstLine="585"/>
        <w:spacing w:after="0" w:line="282" w:lineRule="auto"/>
        <w:rPr>
          <w:sz w:val="20"/>
          <w:szCs w:val="20"/>
          <w:color w:val="auto"/>
        </w:rPr>
      </w:pPr>
      <w:r>
        <w:rPr>
          <w:rFonts w:ascii="Times New Roman" w:cs="Times New Roman" w:eastAsia="Times New Roman" w:hAnsi="Times New Roman"/>
          <w:sz w:val="18"/>
          <w:szCs w:val="18"/>
          <w:color w:val="auto"/>
        </w:rPr>
        <w:t>On November 6, 2024, the Company provided notice of termination, effective on such date, of the Agreement in connection with this ATM Offering. As of the termination date, the ATM Offering had generated total gross proceeds of $59.9 million.</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Offerings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December 5, 2023, the Company issued $80.2 million of 5.25% convertible senior notes due 2026 (the "2026 Notes"), bearing interest at a rate of 5.25% per year maturing on December 5, 2026, unless earlier repurchased, redeemed or converted in accordance with their terms. The sale of the 2026 Notes generated net proceeds of $76.2 million, after expenses. Also, refer to Note 12 "Convertible Senior Notes" to the consolidated financial statements for further discussion of the 2026 Notes.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table below sets forth selected cash flow data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(44,910)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(9,479)</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(21,427)</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(5,158)</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9,276</w:t>
            </w:r>
          </w:p>
        </w:tc>
      </w:tr>
      <w:tr>
        <w:trPr>
          <w:trHeight w:val="234"/>
        </w:trPr>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w:t>
            </w:r>
          </w:p>
        </w:tc>
      </w:tr>
      <w:tr>
        <w:trPr>
          <w:trHeight w:val="209"/>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(13,730)</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60" w:type="dxa"/>
            <w:vAlign w:val="bottom"/>
          </w:tcPr>
          <w:p>
            <w:pPr>
              <w:spacing w:after="0"/>
              <w:rPr>
                <w:sz w:val="18"/>
                <w:szCs w:val="18"/>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$44.9 million. Net cash used in operating activities consisted of our net loss of $67.0 million after exclusion of non-cash items of $32.4 million. Cash decreased due to accounts receivable increase of $30.2 million, other receivables increase of $2.4 million, inventory increase of $2.8 million, offset by accounts payable increase of $23.1 million.</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was $9.5 million. Net cash used in operating activities consisted of our net loss of $42.2 million after exclusion of non-cash items of $31.2 million. Cash increased due to an unearned revenue increase of $9.5 million, together with a decrease in inventory of $2.9 million, offset with a decrease in accounts payable of $13 million and accrued liabilities of $0.6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$21.4 million, mainly for the purchase of additional plant, machinery and equipment.</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investing activities was $5.2 million, mainly for the purchase of additional plant, machinery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$52.5 million. This increase was due to the</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net proceeds of $58.7 million from the ATM Offerings, and an increase of $5.9 million bank loans, offset by the net repayment of bank acceptance of $5.7 million, cash settlement and other related tax payment of share-based compensation of $5.8 million.</w:t>
      </w:r>
    </w:p>
    <w:p>
      <w:pPr>
        <w:spacing w:after="0" w:line="181"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financing activities was $9.3 million. This increase in cash was due to the net proceeds of $32.2 million from our ATM Offering and $2.4 million from bank acceptance payable, offset by the repayment of $24.8 million to lines of credit.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two financial institutions in China. Currently, in the US, we do not have any lending arrangement. As of September 30, 2024, we were in compliance with the covenants in the lending arrangements. As of September 30, 2024, we had $23.3 million of unused borrowing capacity.</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December 5, 2023, we issued $80.2 million of 5.25% convertible senior notes due in 2026. The 2026 Notes mature on December 5, 2026, unless earlier repurchased, redeemed or converted in accordance with their terms. See Note 11 "Notes Payable and Long-term Debt" and Note 12 "Convertible Senior Notes" of our Condensed Consolidated Financial Statements for a description of our notes payable and long-term debt and convertible senior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left="20" w:right="200" w:firstLine="648"/>
        <w:spacing w:after="0" w:line="255" w:lineRule="auto"/>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September 30, 2024,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year 2024 after the construction is completed for the building interior work. Property will be transferred from construction in progress to building and improvement at that time.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left="20" w:right="40" w:firstLine="648"/>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restricted cash of $41.4 million as of September 30, 2024, a decrease of approximately $13.7 million compared to December 31, 2023.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w:t>
      </w:r>
    </w:p>
    <w:p>
      <w:pPr>
        <w:spacing w:after="0" w:line="183" w:lineRule="exact"/>
        <w:rPr>
          <w:sz w:val="20"/>
          <w:szCs w:val="20"/>
          <w:color w:val="auto"/>
        </w:rPr>
      </w:pPr>
    </w:p>
    <w:p>
      <w:pPr>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a total loan balance (excluding convertible notes) of $29.5 million from various lenders in China and had $23.3 million available borrowing capacity on existing credit lines. Should additional liquidity be needed, our Board may authorize issuance of additional common stock under an at-the-market offering in the future (see the discussion of "Liquidity and Capital Resources" in Item 2).</w:t>
      </w:r>
    </w:p>
    <w:p>
      <w:pPr>
        <w:spacing w:after="0" w:line="176"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Please refer to Item 7 "Management's Discussion and Analysis of Financial Condition and Results of Operations" in the Company's Annual Report on Form 10-K for the fiscal year ended December 31, 2023 for a complete discussion of its contractual obligations and commitments.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20" w:right="160" w:firstLine="648"/>
        <w:spacing w:after="0" w:line="254" w:lineRule="auto"/>
        <w:rPr>
          <w:sz w:val="20"/>
          <w:szCs w:val="20"/>
          <w:color w:val="auto"/>
        </w:rPr>
      </w:pPr>
      <w:r>
        <w:rPr>
          <w:rFonts w:ascii="Times New Roman" w:cs="Times New Roman" w:eastAsia="Times New Roman" w:hAnsi="Times New Roman"/>
          <w:sz w:val="18"/>
          <w:szCs w:val="18"/>
          <w:color w:val="auto"/>
        </w:rPr>
        <w:t>The annual inflation rate in the US reduced to 3.4% in 2023. Even though inflation has slowed from the peak, it remained well above the Federal Reserve's objective of 2%. The annual inflation rate in Taiwan came down to 2.7% in 2023 from 2.95% in 2022.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We do not believe that inflation had a material impact on our business, financial condition, or results of operations during the three months ended September 30, 2024. However, there is no guarantee that we may increase selling prices or reduce costs to fully mitigate the effect of inflation on our costs, which may adversely impact our sales margins and profitability.</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In our Annual Report for the year ended December 31, 2023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for the fiscal year ended December 31, 2023. We do not believe the Company’s exposure to market risk has changed materially since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2024. Based upon that evaluation, our Chief Executive Officer and Chief Financial Officer concluded that, as of the end of the period covered by this report,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can be found in Note 18 to the Condensed Consolidated Financial Statements contained in Part 1,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Part I, Item 1A, Risk Factors, of our Annual Report on Form 10-K for the year ended December 31, 2023 for a detailed discussion of the risk factors affecting our Company. As of September 30, 2024, there have been no material changes to those risk factors.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November 6, 2024, the Company provided notice of its termination, effective on such date, of the Equity Distribution Agreement dated March 13, 2024 between the Company and Raymond James &amp; Associates in connection with the Company’s At-The-Market equity offering program (the “ATM program”). As previously reported, the Company could offer and sell shares of its common stock having an aggregate proceeds of up to $60 million through Raymond James &amp; Associates as sales agent. As of the termination date, the ATM program had generated total gross proceeds of $59.9 million.</w:t>
      </w:r>
    </w:p>
    <w:p>
      <w:pPr>
        <w:spacing w:after="0" w:line="20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211"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adoption or termination of contracts, instructions or written plans for the purchase or sale of our securities by our Section 16 officers and directors for the three months ended September 30, 2024, each of which is intended to satisfy the affirmative defense conditions of Rule 10b5-1(c) under the Exchange Act ("Rule 10b5-1 Plan"),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Name</w:t>
            </w:r>
          </w:p>
        </w:tc>
        <w:tc>
          <w:tcPr>
            <w:tcW w:w="23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Action</w:t>
            </w:r>
          </w:p>
        </w:tc>
        <w:tc>
          <w:tcPr>
            <w:tcW w:w="1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Date Adopted</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Expiration Date</w:t>
            </w:r>
          </w:p>
        </w:tc>
        <w:tc>
          <w:tcPr>
            <w:tcW w:w="2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Aggregate # of Securities</w:t>
            </w:r>
          </w:p>
        </w:tc>
        <w:tc>
          <w:tcPr>
            <w:tcW w:w="0" w:type="dxa"/>
            <w:vAlign w:val="bottom"/>
          </w:tcPr>
          <w:p>
            <w:pPr>
              <w:spacing w:after="0"/>
              <w:rPr>
                <w:sz w:val="1"/>
                <w:szCs w:val="1"/>
                <w:color w:val="auto"/>
              </w:rPr>
            </w:pPr>
          </w:p>
        </w:tc>
      </w:tr>
      <w:tr>
        <w:trPr>
          <w:trHeight w:val="126"/>
        </w:trPr>
        <w:tc>
          <w:tcPr>
            <w:tcW w:w="164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20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to be Purchased/Sold</w:t>
            </w:r>
          </w:p>
        </w:tc>
        <w:tc>
          <w:tcPr>
            <w:tcW w:w="0" w:type="dxa"/>
            <w:vAlign w:val="bottom"/>
          </w:tcPr>
          <w:p>
            <w:pPr>
              <w:spacing w:after="0"/>
              <w:rPr>
                <w:sz w:val="1"/>
                <w:szCs w:val="1"/>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Richard B. Black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2"/>
                <w:szCs w:val="12"/>
                <w:color w:val="auto"/>
              </w:rPr>
              <w:t>1</w:t>
            </w:r>
            <w:r>
              <w:rPr>
                <w:rFonts w:ascii="Times New Roman" w:cs="Times New Roman" w:eastAsia="Times New Roman" w:hAnsi="Times New Roman"/>
                <w:sz w:val="24"/>
                <w:szCs w:val="24"/>
                <w:color w:val="auto"/>
                <w:vertAlign w:val="superscript"/>
              </w:rPr>
              <w:t>)</w:t>
            </w:r>
          </w:p>
        </w:tc>
        <w:tc>
          <w:tcPr>
            <w:tcW w:w="2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Adopt</w:t>
            </w:r>
          </w:p>
        </w:tc>
        <w:tc>
          <w:tcPr>
            <w:tcW w:w="19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8/13/2024</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1/31/2025</w:t>
            </w:r>
          </w:p>
        </w:tc>
        <w:tc>
          <w:tcPr>
            <w:tcW w:w="20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30,000</w:t>
            </w:r>
          </w:p>
        </w:tc>
        <w:tc>
          <w:tcPr>
            <w:tcW w:w="0" w:type="dxa"/>
            <w:vAlign w:val="bottom"/>
          </w:tcPr>
          <w:p>
            <w:pPr>
              <w:spacing w:after="0"/>
              <w:rPr>
                <w:sz w:val="1"/>
                <w:szCs w:val="1"/>
                <w:color w:val="auto"/>
              </w:rPr>
            </w:pPr>
          </w:p>
        </w:tc>
      </w:tr>
      <w:tr>
        <w:trPr>
          <w:trHeight w:val="218"/>
        </w:trPr>
        <w:tc>
          <w:tcPr>
            <w:tcW w:w="164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Stefan Murry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25"/>
                <w:szCs w:val="25"/>
                <w:color w:val="auto"/>
                <w:vertAlign w:val="superscript"/>
              </w:rPr>
              <w:t>)</w:t>
            </w:r>
          </w:p>
        </w:tc>
        <w:tc>
          <w:tcPr>
            <w:tcW w:w="2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Adopt</w:t>
            </w:r>
          </w:p>
        </w:tc>
        <w:tc>
          <w:tcPr>
            <w:tcW w:w="1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9/18/2024</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8/1/2025</w:t>
            </w:r>
          </w:p>
        </w:tc>
        <w:tc>
          <w:tcPr>
            <w:tcW w:w="2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48,000</w:t>
            </w:r>
          </w:p>
        </w:tc>
        <w:tc>
          <w:tcPr>
            <w:tcW w:w="0" w:type="dxa"/>
            <w:vAlign w:val="bottom"/>
          </w:tcPr>
          <w:p>
            <w:pPr>
              <w:spacing w:after="0"/>
              <w:rPr>
                <w:sz w:val="1"/>
                <w:szCs w:val="1"/>
                <w:color w:val="auto"/>
              </w:rPr>
            </w:pPr>
          </w:p>
        </w:tc>
      </w:tr>
    </w:tbl>
    <w:p>
      <w:pPr>
        <w:ind w:left="880" w:right="260" w:hanging="319"/>
        <w:spacing w:after="0" w:line="254"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B. Black, our Director, entered into a Rule 10b5-1 Plan on August 13, 2024. Mr. Black's plan provides for the potential sale of up to 30,000 shares of the Company's common stock. The plan expires on January 31, 2025, or upon the earlier completion of all authorized transactions under the plan.</w:t>
      </w:r>
    </w:p>
    <w:p>
      <w:pPr>
        <w:spacing w:after="0" w:line="213" w:lineRule="exact"/>
        <w:rPr>
          <w:rFonts w:ascii="Times New Roman" w:cs="Times New Roman" w:eastAsia="Times New Roman" w:hAnsi="Times New Roman"/>
          <w:sz w:val="18"/>
          <w:szCs w:val="18"/>
          <w:color w:val="auto"/>
        </w:rPr>
      </w:pPr>
    </w:p>
    <w:p>
      <w:pPr>
        <w:ind w:left="880" w:right="140" w:hanging="319"/>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Stefan Murry, our Chief Financial Officer, entered into a Rule 10b5-1 Plan on September 18, 2024. D r. Murry's plan provides for the potential sale of up to 48,000 shares of the Company's common stock. The plan expires on August 1, 2025, or upon the earlier completion of all authorized transactions under the plan.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gridSpan w:val="2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12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See Exhibit Index.</w:t>
            </w:r>
          </w:p>
        </w:tc>
      </w:tr>
      <w:tr>
        <w:trPr>
          <w:trHeight w:val="43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5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460" w:type="dxa"/>
            <w:vAlign w:val="bottom"/>
            <w:tcBorders>
              <w:top w:val="single" w:sz="8" w:color="auto"/>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Certificate of Incorporation (filed as Exhibit 3.1 to the Registrant's Current Report on Form 10-Q filed with</w:t>
              </w:r>
            </w:hyperlink>
          </w:p>
        </w:tc>
        <w:tc>
          <w:tcPr>
            <w:tcW w:w="100" w:type="dxa"/>
            <w:vAlign w:val="bottom"/>
            <w:tcBorders>
              <w:top w:val="single" w:sz="8" w:color="auto"/>
            </w:tcBorders>
            <w:gridSpan w:val="3"/>
          </w:tcPr>
          <w:p>
            <w:pPr>
              <w:spacing w:after="0"/>
              <w:rPr>
                <w:sz w:val="14"/>
                <w:szCs w:val="1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the Securities and Exchange Commission on November 14, 2013).</w:t>
              </w:r>
            </w:hyperlink>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Certificate of Incorporation, as currently in effect (filed as Exhibit 3.1 to the Registrant’s Current Report on</w:t>
              </w:r>
            </w:hyperlink>
          </w:p>
        </w:tc>
        <w:tc>
          <w:tcPr>
            <w:tcW w:w="120" w:type="dxa"/>
            <w:vAlign w:val="bottom"/>
            <w:gridSpan w:val="4"/>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8-K filed with the Securities and Exchange Commission on September 7, 2023).</w:t>
              </w:r>
            </w:hyperlink>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Amended and Restated Bylaws, as currently in effect (filed as Exhibit 3.2 to the Registrant’s Quarterly Report on Form 10-Q filed</w:t>
              </w:r>
            </w:hyperlink>
          </w:p>
        </w:tc>
        <w:tc>
          <w:tcPr>
            <w:tcW w:w="200" w:type="dxa"/>
            <w:vAlign w:val="bottom"/>
            <w:gridSpan w:val="6"/>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with the Securities and Exchange Commission on November 14, 2013).</w:t>
              </w:r>
            </w:hyperlink>
          </w:p>
        </w:tc>
        <w:tc>
          <w:tcPr>
            <w:tcW w:w="4400" w:type="dxa"/>
            <w:vAlign w:val="bottom"/>
            <w:gridSpan w:val="14"/>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Common Stock Specimen (filed as Exhibit 4.1 to the Registrant’s Current Report on Form 8-K filed with the Securities and</w:t>
              </w:r>
            </w:hyperlink>
          </w:p>
        </w:tc>
        <w:tc>
          <w:tcPr>
            <w:tcW w:w="680" w:type="dxa"/>
            <w:vAlign w:val="bottom"/>
            <w:gridSpan w:val="11"/>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Exchange Commission on July 15, 2015).</w:t>
              </w:r>
            </w:hyperlink>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paying agent, and conversion agent (filed as Exhibit 4.1 to the Registrant’s Current Report on Form 8-K filed with the Securities and</w:t>
              </w:r>
            </w:hyperlink>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Exchange Commission on March 5, 2019).</w:t>
              </w:r>
            </w:hyperlink>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Note representing the Company’s 5.00% Convertible Senior Notes due 2024 (included as Exhibit A to the Indenture filed as</w:t>
              </w:r>
            </w:hyperlink>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Exhibit 4.1 to the Registrant’s Current Report on Form 8-K filed with the Securities and Exchange Commission on March 5, 2019).</w:t>
              </w:r>
            </w:hyperlink>
          </w:p>
        </w:tc>
        <w:tc>
          <w:tcPr>
            <w:tcW w:w="100" w:type="dxa"/>
            <w:vAlign w:val="bottom"/>
            <w:gridSpan w:val="3"/>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Indenture, dated as of December 5, 2023 between Applied Optoelectronics, Inc. and Computershare Trust Company, as trustee (filed</w:t>
              </w:r>
            </w:hyperlink>
          </w:p>
        </w:tc>
        <w:tc>
          <w:tcPr>
            <w:tcW w:w="2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as Exhibit 4.1 to the Registrant’s Current Report on Form 8-K filed with the Securities and Exchange Commission on December 5,</w:t>
              </w:r>
            </w:hyperlink>
          </w:p>
        </w:tc>
        <w:tc>
          <w:tcPr>
            <w:tcW w:w="140" w:type="dxa"/>
            <w:vAlign w:val="bottom"/>
            <w:gridSpan w:val="5"/>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7">
              <w:r>
                <w:rPr>
                  <w:rFonts w:ascii="Times New Roman" w:cs="Times New Roman" w:eastAsia="Times New Roman" w:hAnsi="Times New Roman"/>
                  <w:sz w:val="18"/>
                  <w:szCs w:val="18"/>
                  <w:color w:val="0000EE"/>
                  <w:w w:val="94"/>
                </w:rPr>
                <w:t>2023).</w:t>
              </w:r>
            </w:hyperlink>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22"/>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Note representing the Company’s 5.25% Convertible Senior Notes due 2026 (included as Exhibit 4.2 to the Registrant’s</w:t>
              </w:r>
            </w:hyperlink>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Current Report on Form 8-K filed with the Securities and Exchange Commission on December 5, 2023).</w:t>
              </w:r>
            </w:hyperlink>
          </w:p>
        </w:tc>
        <w:tc>
          <w:tcPr>
            <w:tcW w:w="320" w:type="dxa"/>
            <w:vAlign w:val="bottom"/>
            <w:gridSpan w:val="8"/>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160" w:type="dxa"/>
            <w:vAlign w:val="bottom"/>
            <w:gridSpan w:val="4"/>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First Supplemental Indenture, dated as of December 5, 2023, between Applied Optoelectronics, Inc. and Computershare Trust</w:t>
              </w:r>
            </w:hyperlink>
          </w:p>
        </w:tc>
        <w:tc>
          <w:tcPr>
            <w:tcW w:w="500" w:type="dxa"/>
            <w:vAlign w:val="bottom"/>
            <w:gridSpan w:val="10"/>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Company, N.A., as trustee (included as Exhibit 4.3 to the Registrant’s Current Report on Form 8-K filed with the Securities and</w:t>
              </w:r>
            </w:hyperlink>
          </w:p>
        </w:tc>
        <w:tc>
          <w:tcPr>
            <w:tcW w:w="380" w:type="dxa"/>
            <w:vAlign w:val="bottom"/>
            <w:gridSpan w:val="9"/>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Exchange Commission on December 5, 2023).</w:t>
              </w:r>
            </w:hyperlink>
          </w:p>
        </w:tc>
        <w:tc>
          <w:tcPr>
            <w:tcW w:w="6200" w:type="dxa"/>
            <w:vAlign w:val="bottom"/>
            <w:gridSpan w:val="16"/>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Exchange Act Rule, 13a-14(a) and 15d-14(a), as adopted pursuant to Section</w:t>
            </w:r>
          </w:p>
        </w:tc>
        <w:tc>
          <w:tcPr>
            <w:tcW w:w="260" w:type="dxa"/>
            <w:vAlign w:val="bottom"/>
            <w:gridSpan w:val="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700" w:type="dxa"/>
            <w:vAlign w:val="bottom"/>
            <w:gridSpan w:val="19"/>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Exchange Act Rule, 13a-14(a) and 15d-14(a), as adopted pursuant to Section 302</w:t>
            </w: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adopted pursuant to Section 906 of the Sarbanes-Oxley Act of 2002, by Chief Executive</w:t>
            </w:r>
          </w:p>
        </w:tc>
      </w:tr>
      <w:tr>
        <w:trPr>
          <w:trHeight w:val="196"/>
        </w:trPr>
        <w:tc>
          <w:tcPr>
            <w:tcW w:w="1660" w:type="dxa"/>
            <w:vAlign w:val="bottom"/>
          </w:tcPr>
          <w:p>
            <w:pPr>
              <w:spacing w:after="0"/>
              <w:rPr>
                <w:sz w:val="17"/>
                <w:szCs w:val="17"/>
                <w:color w:val="auto"/>
              </w:rPr>
            </w:pPr>
          </w:p>
        </w:tc>
        <w:tc>
          <w:tcPr>
            <w:tcW w:w="9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Officer and Chief Financial Officer.</w:t>
            </w:r>
          </w:p>
        </w:tc>
      </w:tr>
      <w:tr>
        <w:trPr>
          <w:trHeight w:val="20"/>
        </w:trPr>
        <w:tc>
          <w:tcPr>
            <w:tcW w:w="166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w:t>
            </w:r>
          </w:p>
        </w:tc>
      </w:tr>
      <w:tr>
        <w:trPr>
          <w:trHeight w:val="234"/>
        </w:trPr>
        <w:tc>
          <w:tcPr>
            <w:tcW w:w="1660" w:type="dxa"/>
            <w:vAlign w:val="bottom"/>
          </w:tcPr>
          <w:p>
            <w:pPr>
              <w:spacing w:after="0"/>
              <w:rPr>
                <w:sz w:val="20"/>
                <w:szCs w:val="20"/>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83" w:lineRule="exact"/>
        <w:rPr>
          <w:sz w:val="20"/>
          <w:szCs w:val="20"/>
          <w:color w:val="auto"/>
        </w:rPr>
      </w:pPr>
    </w:p>
    <w:p>
      <w:pPr>
        <w:ind w:right="6500" w:firstLine="8"/>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 ** Filed herewith.</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24"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191"/>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14"/>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878"/>
        </w:trPr>
        <w:tc>
          <w:tcPr>
            <w:tcW w:w="3660" w:type="dxa"/>
            <w:vAlign w:val="bottom"/>
          </w:tcPr>
          <w:p>
            <w:pPr>
              <w:spacing w:after="0"/>
              <w:rPr>
                <w:sz w:val="24"/>
                <w:szCs w:val="24"/>
                <w:color w:val="auto"/>
              </w:rPr>
            </w:pPr>
          </w:p>
        </w:tc>
        <w:tc>
          <w:tcPr>
            <w:tcW w:w="2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52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1" w:name="page42"/>
    <w:bookmarkEnd w:id="4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0"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2024.</w:t>
      </w:r>
    </w:p>
    <w:p>
      <w:pPr>
        <w:sectPr>
          <w:pgSz w:w="11900" w:h="16838" w:orient="portrait"/>
          <w:cols w:equalWidth="0" w:num="1">
            <w:col w:w="11240"/>
          </w:cols>
          <w:pgMar w:left="320" w:top="117" w:right="33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3454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17" w:right="339" w:bottom="1440" w:gutter="0" w:footer="0" w:header="0"/>
          <w:type w:val="continuous"/>
        </w:sectPr>
      </w:pP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8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41" Type="http://schemas.openxmlformats.org/officeDocument/2006/relationships/hyperlink" Target="http://www.sec.gov/Archives/edgar/data/1158114/000101968713004306/aaoi_10q-ex0301.htm" TargetMode="External"/><Relationship Id="rId42" Type="http://schemas.openxmlformats.org/officeDocument/2006/relationships/hyperlink" Target="http://www.sec.gov/Archives/edgar/data/1158114/000168316823006330/appopto_ex0301.htm" TargetMode="External"/><Relationship Id="rId43" Type="http://schemas.openxmlformats.org/officeDocument/2006/relationships/hyperlink" Target="http://www.sec.gov/Archives/edgar/data/1158114/000101968713004306/aaoi_10q-ex0302.htm" TargetMode="External"/><Relationship Id="rId44" Type="http://schemas.openxmlformats.org/officeDocument/2006/relationships/hyperlink" Target="http://www.sec.gov/Archives/edgar/data/1158114/000110465915051289/a15-15715_1ex4d1.htm" TargetMode="External"/><Relationship Id="rId45" Type="http://schemas.openxmlformats.org/officeDocument/2006/relationships/hyperlink" Target="http://www.sec.gov/Archives/edgar/data/1158114/000110465919012900/a19-4821_4ex4d1.htm" TargetMode="External"/><Relationship Id="rId46" Type="http://schemas.openxmlformats.org/officeDocument/2006/relationships/hyperlink" Target="http://www.sec.gov/Archives/edgar/data/1158114/000110465919012900/a19-4821_4ex4d1.htm#Exhibit4_1_094927" TargetMode="External"/><Relationship Id="rId47" Type="http://schemas.openxmlformats.org/officeDocument/2006/relationships/hyperlink" Target="http://www.sec.gov/Archives/edgar/data/1158114/000110465923123656/tm2331117d2_ex4-1.htm" TargetMode="External"/><Relationship Id="rId48" Type="http://schemas.openxmlformats.org/officeDocument/2006/relationships/hyperlink" Target="http://www.sec.gov/Archives/edgar/data/1158114/000110465923123656/tm2331117d2_ex4-1.htm#ex-a" TargetMode="External"/><Relationship Id="rId49" Type="http://schemas.openxmlformats.org/officeDocument/2006/relationships/hyperlink" Target="http://www.sec.gov/Archives/edgar/data/1158114/000110465923123656/tm2331117d2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2024-11-07T15:35:55Z</dcterms:created>
  <dcterms:modified xsi:type="dcterms:W3CDTF">2024-11-07T15:35:55Z</dcterms:modified>
</cp:coreProperties>
</file>