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Chih-Hsiang (Thompson)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APPLIED OPTOELECTRONICS,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13139 JESS PIRTLE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APPLIED OPTOELECTRONICS, INC.</w:t>
              </w:r>
            </w:hyperlink>
            <w:r>
              <w:rPr/>
              <w:t xml:space="preserve"> [ </w:t>
            </w:r>
            <w:r>
              <w:rPr>
                <w:rFonts w:ascii="Times;serif" w:hAnsi="Times;serif"/>
                <w:color w:val="0000FF"/>
                <w:sz w:val="24"/>
                <w:shd w:fill="FFFFFF" w:val="clear"/>
              </w:rPr>
              <w:t>AAOI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1"/>
        <w:gridCol w:w="917"/>
        <w:gridCol w:w="787"/>
        <w:gridCol w:w="609"/>
        <w:gridCol w:w="340"/>
        <w:gridCol w:w="861"/>
        <w:gridCol w:w="423"/>
        <w:gridCol w:w="844"/>
        <w:gridCol w:w="1251"/>
        <w:gridCol w:w="966"/>
        <w:gridCol w:w="118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8,753</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119.26</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1,293,683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2,332</w:t>
            </w:r>
            <w:r>
              <w:rPr>
                <w:rFonts w:ascii="Times;serif" w:hAnsi="Times;serif"/>
                <w:color w:val="008000"/>
                <w:position w:val="7"/>
                <w:sz w:val="16"/>
                <w:sz w:val="20"/>
                <w:shd w:fill="FFFFFF" w:val="clear"/>
              </w:rPr>
              <w:t>(2)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119.26</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1,291,351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2,524</w:t>
            </w:r>
            <w:r>
              <w:rPr>
                <w:rFonts w:ascii="Times;serif" w:hAnsi="Times;serif"/>
                <w:color w:val="008000"/>
                <w:position w:val="7"/>
                <w:sz w:val="16"/>
                <w:sz w:val="20"/>
                <w:shd w:fill="FFFFFF" w:val="clear"/>
              </w:rPr>
              <w:t>(3)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119.26</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1,288,827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2,031</w:t>
            </w:r>
            <w:r>
              <w:rPr>
                <w:rFonts w:ascii="Times;serif" w:hAnsi="Times;serif"/>
                <w:color w:val="008000"/>
                <w:position w:val="7"/>
                <w:sz w:val="16"/>
                <w:sz w:val="20"/>
                <w:shd w:fill="FFFFFF" w:val="clear"/>
              </w:rPr>
              <w:t>(4)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119.26</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1,286,796</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807,602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Thompson Lin Family Trust</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surrendered to the Issuer to satisfy tax-withholding obligations upon the vesting of restricted stock unit award granted on June 26,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surrendered to the Issuer to satisfy tax-withholding obligations upon the vesting of restricted stock unit award granted on April 29,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shares surrendered to the Issuer to satisfy tax-withholding obligations upon the vesting of restricted stock unit award granted on April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shares surrendered to the Issuer to satisfy tax-withholding obligations upon the vesting of restricted stock unit award granted on February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indirectly held in the Family Trust through the ownership of interests in the LLC are for the benefit of the reporting person's heirs. The reporting person is the settlor of the irrevocable Family Trust, where The Bryn Mawr Trust Company of Delaware serves as trustee which may be replaced at the discretion of the reporting person. The reporting person disclaims beneficial ownership of these securities except to the extent of his voting power therein, and the inclusion of these shares in this report shall not be deemed an admission of beneficial ownership of all of the reported shares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C. Kuo, attorney in fact for Chih-Hsiang (Thompson) 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7420" TargetMode="External"/><Relationship Id="rId5" Type="http://schemas.openxmlformats.org/officeDocument/2006/relationships/hyperlink" Target="http://www.sec.gov/cgi-bin/browse-edgar?action=getcompany&amp;CIK=0001158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4495</Characters>
  <CharactersWithSpaces>5228</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