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389" w:right="1060" w:hanging="3389"/>
        <w:spacing w:after="0" w:line="493" w:lineRule="auto"/>
        <w:tabs>
          <w:tab w:leader="none" w:pos="20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1"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09" w:hanging="209"/>
        <w:spacing w:after="0"/>
        <w:tabs>
          <w:tab w:leader="none" w:pos="209"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2989"/>
        <w:spacing w:after="0"/>
        <w:rPr>
          <w:sz w:val="20"/>
          <w:szCs w:val="20"/>
          <w:color w:val="auto"/>
        </w:rPr>
      </w:pPr>
      <w:r>
        <w:rPr>
          <w:rFonts w:ascii="Arial" w:cs="Arial" w:eastAsia="Arial" w:hAnsi="Arial"/>
          <w:sz w:val="18"/>
          <w:szCs w:val="18"/>
          <w:b w:val="1"/>
          <w:bCs w:val="1"/>
          <w:color w:val="auto"/>
        </w:rPr>
        <w:t xml:space="preserve">For the transition period from __________ to </w:t>
      </w:r>
      <w:r>
        <w:rPr>
          <w:rFonts w:ascii="Arial" w:cs="Arial" w:eastAsia="Arial" w:hAnsi="Arial"/>
          <w:sz w:val="18"/>
          <w:szCs w:val="18"/>
          <w:color w:val="auto"/>
        </w:rPr>
        <w:t>__________</w:t>
      </w:r>
    </w:p>
    <w:p>
      <w:pPr>
        <w:spacing w:after="0" w:line="225"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409"/>
          </w:cols>
          <w:pgMar w:left="751" w:top="233" w:right="739" w:bottom="1440" w:gutter="0" w:footer="0" w:header="0"/>
        </w:sectPr>
      </w:pPr>
    </w:p>
    <w:p>
      <w:pPr>
        <w:spacing w:after="0" w:line="220" w:lineRule="exact"/>
        <w:rPr>
          <w:sz w:val="24"/>
          <w:szCs w:val="24"/>
          <w:color w:val="auto"/>
        </w:rPr>
      </w:pPr>
    </w:p>
    <w:p>
      <w:pPr>
        <w:jc w:val="center"/>
        <w:ind w:right="511"/>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11"/>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5709" w:space="720"/>
            <w:col w:w="3980"/>
          </w:cols>
          <w:pgMar w:left="751" w:top="233" w:right="739" w:bottom="1440" w:gutter="0" w:footer="0" w:header="0"/>
          <w:type w:val="continuous"/>
        </w:sectPr>
      </w:pPr>
    </w:p>
    <w:p>
      <w:pPr>
        <w:spacing w:after="0" w:line="1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3" w:lineRule="exact"/>
        <w:rPr>
          <w:sz w:val="24"/>
          <w:szCs w:val="24"/>
          <w:color w:val="auto"/>
        </w:rPr>
      </w:pPr>
    </w:p>
    <w:p>
      <w:pPr>
        <w:ind w:left="5069" w:hanging="428"/>
        <w:spacing w:after="0"/>
        <w:tabs>
          <w:tab w:leader="none" w:pos="506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394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197" w:lineRule="exact"/>
        <w:rPr>
          <w:sz w:val="24"/>
          <w:szCs w:val="24"/>
          <w:color w:val="auto"/>
        </w:rPr>
      </w:pPr>
    </w:p>
    <w:p>
      <w:pPr>
        <w:jc w:val="both"/>
        <w:ind w:left="9"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0" w:lineRule="exact"/>
        <w:rPr>
          <w:sz w:val="24"/>
          <w:szCs w:val="24"/>
          <w:color w:val="auto"/>
        </w:rPr>
      </w:pPr>
    </w:p>
    <w:p>
      <w:pPr>
        <w:jc w:val="both"/>
        <w:ind w:left="9"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0" w:lineRule="exact"/>
        <w:rPr>
          <w:sz w:val="24"/>
          <w:szCs w:val="24"/>
          <w:color w:val="auto"/>
        </w:rPr>
      </w:pPr>
    </w:p>
    <w:p>
      <w:pPr>
        <w:jc w:val="both"/>
        <w:ind w:left="9" w:firstLine="41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9"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800" w:type="dxa"/>
            <w:vAlign w:val="bottom"/>
          </w:tcPr>
          <w:p>
            <w:pPr>
              <w:spacing w:after="0"/>
              <w:rPr>
                <w:sz w:val="24"/>
                <w:szCs w:val="24"/>
                <w:color w:val="auto"/>
              </w:rPr>
            </w:pPr>
          </w:p>
        </w:tc>
        <w:tc>
          <w:tcPr>
            <w:tcW w:w="270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05"/>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9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80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270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78"/>
        </w:trPr>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00" w:type="dxa"/>
            <w:vAlign w:val="bottom"/>
          </w:tcPr>
          <w:p>
            <w:pPr>
              <w:ind w:left="3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155" w:lineRule="exact"/>
        <w:rPr>
          <w:sz w:val="24"/>
          <w:szCs w:val="24"/>
          <w:color w:val="auto"/>
        </w:rPr>
      </w:pPr>
    </w:p>
    <w:p>
      <w:pPr>
        <w:ind w:left="9" w:firstLine="41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6" w:lineRule="exact"/>
        <w:rPr>
          <w:sz w:val="24"/>
          <w:szCs w:val="24"/>
          <w:color w:val="auto"/>
        </w:rPr>
      </w:pPr>
    </w:p>
    <w:p>
      <w:pPr>
        <w:ind w:left="409"/>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ind w:left="9" w:right="20" w:firstLine="41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May 3, 2017 there were 18,998,632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648970</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40" w:type="dxa"/>
            <w:vAlign w:val="bottom"/>
            <w:gridSpan w:val="2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40" w:type="dxa"/>
            <w:vAlign w:val="bottom"/>
            <w:gridSpan w:val="9"/>
          </w:tcPr>
          <w:p>
            <w:pPr>
              <w:jc w:val="center"/>
              <w:ind w:right="2660"/>
              <w:spacing w:after="0"/>
              <w:rPr>
                <w:sz w:val="20"/>
                <w:szCs w:val="20"/>
                <w:color w:val="auto"/>
              </w:rPr>
            </w:pPr>
            <w:r>
              <w:rPr>
                <w:rFonts w:ascii="Arial" w:cs="Arial" w:eastAsia="Arial" w:hAnsi="Arial"/>
                <w:sz w:val="18"/>
                <w:szCs w:val="18"/>
                <w:b w:val="1"/>
                <w:bCs w:val="1"/>
                <w:color w:val="auto"/>
                <w:w w:val="89"/>
              </w:rPr>
              <w:t>Applied Optoelectronics,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40" w:type="dxa"/>
            <w:vAlign w:val="bottom"/>
            <w:gridSpan w:val="9"/>
          </w:tcPr>
          <w:p>
            <w:pPr>
              <w:jc w:val="center"/>
              <w:ind w:right="2660"/>
              <w:spacing w:after="0"/>
              <w:rPr>
                <w:sz w:val="20"/>
                <w:szCs w:val="20"/>
                <w:color w:val="auto"/>
              </w:rPr>
            </w:pPr>
            <w:r>
              <w:rPr>
                <w:rFonts w:ascii="Arial" w:cs="Arial" w:eastAsia="Arial" w:hAnsi="Arial"/>
                <w:sz w:val="18"/>
                <w:szCs w:val="18"/>
                <w:b w:val="1"/>
                <w:bCs w:val="1"/>
                <w:color w:val="auto"/>
                <w:w w:val="89"/>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11"/>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6380" w:type="dxa"/>
            <w:vAlign w:val="bottom"/>
            <w:gridSpan w:val="12"/>
            <w:vMerge w:val="restart"/>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11"/>
            <w:vMerge w:val="continue"/>
          </w:tcPr>
          <w:p>
            <w:pPr>
              <w:spacing w:after="0"/>
              <w:rPr>
                <w:sz w:val="13"/>
                <w:szCs w:val="13"/>
                <w:color w:val="auto"/>
              </w:rPr>
            </w:pPr>
          </w:p>
        </w:tc>
        <w:tc>
          <w:tcPr>
            <w:tcW w:w="6380" w:type="dxa"/>
            <w:vAlign w:val="bottom"/>
            <w:gridSpan w:val="12"/>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60" w:type="dxa"/>
            <w:vAlign w:val="bottom"/>
            <w:gridSpan w:val="2"/>
          </w:tcPr>
          <w:p>
            <w:pPr>
              <w:spacing w:after="0"/>
              <w:rPr>
                <w:sz w:val="24"/>
                <w:szCs w:val="24"/>
                <w:color w:val="auto"/>
              </w:rPr>
            </w:pP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360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Balance Sheets as of March 31, 2017 (Unaudited) and December 31, 2016</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Months ended March 31, 2017 and 2016</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2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2017</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and 2016 (Unaudited)</w:t>
              </w:r>
            </w:hyperlink>
          </w:p>
        </w:tc>
        <w:tc>
          <w:tcPr>
            <w:tcW w:w="628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Stockholders’ Equity for the Three Months Ended March 31, 2017</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Cash Flows for the Three Months ended March 31, 2017 and 2016</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260" w:type="dxa"/>
            <w:vAlign w:val="bottom"/>
            <w:gridSpan w:val="2"/>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350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260" w:type="dxa"/>
            <w:vAlign w:val="bottom"/>
            <w:gridSpan w:val="2"/>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2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1.</w:t>
              </w:r>
            </w:hyperlink>
          </w:p>
        </w:tc>
        <w:tc>
          <w:tcPr>
            <w:tcW w:w="260" w:type="dxa"/>
            <w:vAlign w:val="bottom"/>
            <w:gridSpan w:val="2"/>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786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352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w:t>
              </w:r>
            </w:hyperlink>
          </w:p>
        </w:tc>
        <w:tc>
          <w:tcPr>
            <w:tcW w:w="260" w:type="dxa"/>
            <w:vAlign w:val="bottom"/>
            <w:gridSpan w:val="2"/>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260" w:type="dxa"/>
            <w:vAlign w:val="bottom"/>
            <w:gridSpan w:val="2"/>
          </w:tcPr>
          <w:p>
            <w:pPr>
              <w:spacing w:after="0"/>
              <w:rPr>
                <w:sz w:val="24"/>
                <w:szCs w:val="24"/>
                <w:color w:val="auto"/>
              </w:rPr>
            </w:pPr>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610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26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Exhibits</w:t>
              </w:r>
            </w:hyperlink>
          </w:p>
        </w:tc>
        <w:tc>
          <w:tcPr>
            <w:tcW w:w="720" w:type="dxa"/>
            <w:vAlign w:val="bottom"/>
            <w:tcBorders>
              <w:top w:val="single" w:sz="8" w:color="0000EE"/>
            </w:tcBorders>
            <w:gridSpan w:val="5"/>
          </w:tcPr>
          <w:p>
            <w:pPr>
              <w:spacing w:after="0"/>
              <w:rPr>
                <w:sz w:val="24"/>
                <w:szCs w:val="24"/>
                <w:color w:val="auto"/>
              </w:rPr>
            </w:pPr>
          </w:p>
        </w:tc>
        <w:tc>
          <w:tcPr>
            <w:tcW w:w="6540" w:type="dxa"/>
            <w:vAlign w:val="bottom"/>
            <w:gridSpan w:val="1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Signatures</w:t>
              </w:r>
            </w:hyperlink>
          </w:p>
        </w:tc>
        <w:tc>
          <w:tcPr>
            <w:tcW w:w="7100" w:type="dxa"/>
            <w:vAlign w:val="bottom"/>
            <w:gridSpan w:val="1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8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12"/>
          </w:tcPr>
          <w:p>
            <w:pPr>
              <w:jc w:val="center"/>
              <w:ind w:left="315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50,224</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1,732</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Accounts receivable - trade, net of allowance of $31, respectively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49,766</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51,817</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4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157,552</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Cash restricted for construction in progress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02"/>
        </w:trPr>
        <w:tc>
          <w:tcPr>
            <w:tcW w:w="67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Property, plant and equipment, net of accumulated depreciation of $54,000 and $49,175,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150,566</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144,098</w:t>
            </w:r>
          </w:p>
        </w:tc>
        <w:tc>
          <w:tcPr>
            <w:tcW w:w="40" w:type="dxa"/>
            <w:vAlign w:val="bottom"/>
            <w:shd w:val="clear" w:color="auto" w:fill="CCEEFF"/>
          </w:tcPr>
          <w:p>
            <w:pPr>
              <w:spacing w:after="0"/>
              <w:rPr>
                <w:sz w:val="20"/>
                <w:szCs w:val="20"/>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Land use rights,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Deferred income tax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11,421</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40" w:type="dxa"/>
            <w:vAlign w:val="bottom"/>
            <w:shd w:val="clear" w:color="auto" w:fill="CCEEFF"/>
          </w:tcPr>
          <w:p>
            <w:pPr>
              <w:spacing w:after="0"/>
              <w:rPr>
                <w:sz w:val="18"/>
                <w:szCs w:val="18"/>
                <w:color w:val="auto"/>
              </w:rPr>
            </w:pPr>
          </w:p>
        </w:tc>
      </w:tr>
      <w:tr>
        <w:trPr>
          <w:trHeight w:val="217"/>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367,626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322,318</w:t>
            </w:r>
          </w:p>
        </w:tc>
        <w:tc>
          <w:tcPr>
            <w:tcW w:w="40" w:type="dxa"/>
            <w:vAlign w:val="bottom"/>
            <w:tcBorders>
              <w:bottom w:val="single" w:sz="8" w:color="CCEEFF"/>
            </w:tcBorders>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notes payable and long-term debt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48,252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36,375</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 acceptance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Accrued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974</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40" w:type="dxa"/>
            <w:vAlign w:val="bottom"/>
            <w:shd w:val="clear" w:color="auto" w:fill="CCEEFF"/>
          </w:tcPr>
          <w:p>
            <w:pPr>
              <w:spacing w:after="0"/>
              <w:rPr>
                <w:sz w:val="18"/>
                <w:szCs w:val="18"/>
                <w:color w:val="auto"/>
              </w:rPr>
            </w:pPr>
          </w:p>
        </w:tc>
      </w:tr>
      <w:tr>
        <w:trPr>
          <w:trHeight w:val="210"/>
        </w:trPr>
        <w:tc>
          <w:tcPr>
            <w:tcW w:w="67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59,973</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 and long-term debt, less current portion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34,961</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91,453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94,934</w:t>
            </w:r>
          </w:p>
        </w:tc>
        <w:tc>
          <w:tcPr>
            <w:tcW w:w="4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6720" w:type="dxa"/>
            <w:vAlign w:val="bottom"/>
          </w:tcPr>
          <w:p>
            <w:pPr>
              <w:ind w:left="120"/>
              <w:spacing w:after="0" w:line="201" w:lineRule="exact"/>
              <w:rPr>
                <w:sz w:val="20"/>
                <w:szCs w:val="20"/>
                <w:color w:val="auto"/>
              </w:rPr>
            </w:pPr>
            <w:r>
              <w:rPr>
                <w:rFonts w:ascii="Arial" w:cs="Arial" w:eastAsia="Arial" w:hAnsi="Arial"/>
                <w:sz w:val="18"/>
                <w:szCs w:val="18"/>
                <w:color w:val="auto"/>
                <w:w w:val="98"/>
              </w:rPr>
              <w:t>Preferred Stock; 5,000 shares authorized at $0.001 par value; no shares issued and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720" w:type="dxa"/>
            <w:vAlign w:val="bottom"/>
          </w:tcPr>
          <w:p>
            <w:pPr>
              <w:ind w:left="120"/>
              <w:spacing w:after="0"/>
              <w:rPr>
                <w:sz w:val="20"/>
                <w:szCs w:val="20"/>
                <w:color w:val="auto"/>
              </w:rPr>
            </w:pPr>
            <w:r>
              <w:rPr>
                <w:rFonts w:ascii="Arial" w:cs="Arial" w:eastAsia="Arial" w:hAnsi="Arial"/>
                <w:sz w:val="18"/>
                <w:szCs w:val="18"/>
                <w:color w:val="auto"/>
              </w:rPr>
              <w:t>outstanding at March 31, 2017 or December 31, 2016, respectively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7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Common Stock; 45,000 shares authorized at $0.001 par value; 18,984 and 18,400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and outstanding at March 31, 2017 and December 31, 2016, respectively</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20"/>
                <w:szCs w:val="20"/>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288,606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265,264</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gain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w:t>
            </w: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(37,013)</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276,173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227,384</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67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367,626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322,318</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OPERATIONS (Unaudited,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line="203" w:lineRule="exact"/>
              <w:rPr>
                <w:sz w:val="20"/>
                <w:szCs w:val="20"/>
                <w:color w:val="auto"/>
              </w:rPr>
            </w:pPr>
            <w:r>
              <w:rPr>
                <w:rFonts w:ascii="Arial" w:cs="Arial" w:eastAsia="Arial" w:hAnsi="Arial"/>
                <w:sz w:val="18"/>
                <w:szCs w:val="18"/>
                <w:color w:val="auto"/>
              </w:rPr>
              <w:t>Net income (loss) per share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Diluted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Weighted average shares used to compute net income (loss) per share: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18,597,607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16,930,261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19,702,047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16,930,261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jc w:val="right"/>
        <w:ind w:right="380"/>
        <w:spacing w:after="0"/>
        <w:rPr>
          <w:sz w:val="20"/>
          <w:szCs w:val="20"/>
          <w:color w:val="auto"/>
        </w:rPr>
      </w:pPr>
      <w:r>
        <w:rPr>
          <w:rFonts w:ascii="Arial" w:cs="Arial" w:eastAsia="Arial" w:hAnsi="Arial"/>
          <w:sz w:val="14"/>
          <w:szCs w:val="14"/>
          <w:b w:val="1"/>
          <w:bCs w:val="1"/>
          <w:color w:val="auto"/>
        </w:rPr>
        <w:t>Three months ended</w:t>
      </w:r>
    </w:p>
    <w:p>
      <w:pPr>
        <w:ind w:left="7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19,789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(1,330)</w:t>
            </w:r>
          </w:p>
        </w:tc>
        <w:tc>
          <w:tcPr>
            <w:tcW w:w="200" w:type="dxa"/>
            <w:vAlign w:val="bottom"/>
            <w:shd w:val="clear" w:color="auto" w:fill="CCEEFF"/>
          </w:tcPr>
          <w:p>
            <w:pPr>
              <w:spacing w:after="0"/>
              <w:rPr>
                <w:sz w:val="18"/>
                <w:szCs w:val="18"/>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foreign currency translation adjustment, net of tax</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Borders>
              <w:bottom w:val="single" w:sz="8" w:color="CCEEFF"/>
            </w:tcBorders>
          </w:tcPr>
          <w:p>
            <w:pPr>
              <w:spacing w:after="0"/>
              <w:rPr>
                <w:sz w:val="18"/>
                <w:szCs w:val="18"/>
                <w:color w:val="auto"/>
              </w:rPr>
            </w:pPr>
          </w:p>
        </w:tc>
      </w:tr>
      <w:tr>
        <w:trPr>
          <w:trHeight w:val="217"/>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24,246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Three months ended March 31, 2017</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vMerge w:val="restart"/>
          </w:tcPr>
          <w:p>
            <w:pPr>
              <w:spacing w:after="0"/>
              <w:rPr>
                <w:sz w:val="14"/>
                <w:szCs w:val="14"/>
                <w:color w:val="auto"/>
              </w:rPr>
            </w:pPr>
          </w:p>
        </w:tc>
        <w:tc>
          <w:tcPr>
            <w:tcW w:w="122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0"/>
                <w:szCs w:val="10"/>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9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6"/>
              </w:rPr>
              <w:t>of shares</w:t>
            </w:r>
          </w:p>
        </w:tc>
        <w:tc>
          <w:tcPr>
            <w:tcW w:w="1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6"/>
              </w:rPr>
              <w:t>of shares</w:t>
            </w: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gain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January 1, 2017</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18,400</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265,264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(37,013)</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227,384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Public offering of common stock, net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21,571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Issuance of shares under equity plans</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line="130" w:lineRule="exact"/>
              <w:rPr>
                <w:sz w:val="20"/>
                <w:szCs w:val="20"/>
                <w:color w:val="auto"/>
              </w:rPr>
            </w:pPr>
            <w:r>
              <w:rPr>
                <w:rFonts w:ascii="Arial" w:cs="Arial" w:eastAsia="Arial" w:hAnsi="Arial"/>
                <w:sz w:val="14"/>
                <w:szCs w:val="14"/>
                <w:color w:val="auto"/>
              </w:rPr>
              <w:t>Cumulative effect of previously</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gridSpan w:val="2"/>
          </w:tcPr>
          <w:p>
            <w:pPr>
              <w:spacing w:after="0"/>
              <w:rPr>
                <w:sz w:val="20"/>
                <w:szCs w:val="20"/>
                <w:color w:val="auto"/>
              </w:rPr>
            </w:pPr>
            <w:r>
              <w:rPr>
                <w:rFonts w:ascii="Arial" w:cs="Arial" w:eastAsia="Arial" w:hAnsi="Arial"/>
                <w:sz w:val="14"/>
                <w:szCs w:val="14"/>
                <w:color w:val="auto"/>
              </w:rPr>
              <w:t>unrecognized tax benefits</w:t>
            </w: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tcBorders>
              <w:bottom w:val="single" w:sz="8" w:color="auto"/>
            </w:tcBorders>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19,789</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19,789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spacing w:after="0"/>
              <w:rPr>
                <w:sz w:val="20"/>
                <w:szCs w:val="20"/>
                <w:color w:val="auto"/>
              </w:rPr>
            </w:pPr>
            <w:r>
              <w:rPr>
                <w:rFonts w:ascii="Arial" w:cs="Arial" w:eastAsia="Arial" w:hAnsi="Arial"/>
                <w:sz w:val="14"/>
                <w:szCs w:val="14"/>
                <w:color w:val="auto"/>
              </w:rPr>
              <w:t>March 31, 2017</w:t>
            </w: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18,984</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288,606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3,572</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(16,024)</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276,173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CASH FLOWS (Unaudited, in thousands)</w:t>
      </w:r>
    </w:p>
    <w:p>
      <w:pPr>
        <w:spacing w:after="0" w:line="118"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Three months ended</w:t>
      </w:r>
    </w:p>
    <w:p>
      <w:pPr>
        <w:ind w:left="76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(1,330)</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Lower of cost or market adjustment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2,957</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Loss on disposal of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Unrealized foreign exchange loss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Accounts receivable, trade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(16,599)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3,945</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1,415</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Accrued income taxes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200" w:type="dxa"/>
            <w:vAlign w:val="bottom"/>
            <w:shd w:val="clear" w:color="auto" w:fill="CCEEFF"/>
          </w:tcPr>
          <w:p>
            <w:pPr>
              <w:spacing w:after="0"/>
              <w:rPr>
                <w:sz w:val="18"/>
                <w:szCs w:val="18"/>
                <w:color w:val="auto"/>
              </w:rPr>
            </w:pPr>
          </w:p>
        </w:tc>
      </w:tr>
      <w:tr>
        <w:trPr>
          <w:trHeight w:val="210"/>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8,908</w:t>
            </w:r>
          </w:p>
        </w:tc>
        <w:tc>
          <w:tcPr>
            <w:tcW w:w="200" w:type="dxa"/>
            <w:vAlign w:val="bottom"/>
            <w:tcBorders>
              <w:bottom w:val="single" w:sz="8" w:color="CCEEFF"/>
            </w:tcBorders>
          </w:tcPr>
          <w:p>
            <w:pPr>
              <w:spacing w:after="0"/>
              <w:rPr>
                <w:sz w:val="18"/>
                <w:szCs w:val="18"/>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Purchase of short-term investments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Maturities of short-term investments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Change in restricted cash for construction in progress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property, plant and equipment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(16,215)</w:t>
            </w: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Proceeds from disposal of equipment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Deposits and prepaid for equipment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Purchase of intangible assets</w:t>
            </w: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bottom w:val="single" w:sz="8" w:color="CCEEFF"/>
            </w:tcBorders>
          </w:tcPr>
          <w:p>
            <w:pPr>
              <w:spacing w:after="0"/>
              <w:rPr>
                <w:sz w:val="18"/>
                <w:szCs w:val="18"/>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(17,668)</w:t>
            </w:r>
          </w:p>
        </w:tc>
        <w:tc>
          <w:tcPr>
            <w:tcW w:w="200" w:type="dxa"/>
            <w:vAlign w:val="bottom"/>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Financing activities: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notes payable and long-term debt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Principal payments of long-term debt and notes payable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line of credit borrowings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31,149</w:t>
            </w: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Repayments of line of credit borrowings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(23,114)</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bank acceptance payable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Repayments of bank acceptance payable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of note payable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Decrease (increase) in restricted cash</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Tax withholding related to release of restricted stock</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common stock offering, net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26,478</w:t>
            </w:r>
          </w:p>
        </w:tc>
        <w:tc>
          <w:tcPr>
            <w:tcW w:w="200" w:type="dxa"/>
            <w:vAlign w:val="bottom"/>
            <w:tcBorders>
              <w:bottom w:val="single" w:sz="8" w:color="CCEEFF"/>
            </w:tcBorders>
          </w:tcPr>
          <w:p>
            <w:pPr>
              <w:spacing w:after="0"/>
              <w:rPr>
                <w:sz w:val="18"/>
                <w:szCs w:val="18"/>
                <w:color w:val="auto"/>
              </w:rPr>
            </w:pPr>
          </w:p>
        </w:tc>
      </w:tr>
      <w:tr>
        <w:trPr>
          <w:trHeight w:val="21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exchange rate changes on cash</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Net increase in cash</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17,454</w:t>
            </w: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200" w:type="dxa"/>
            <w:vAlign w:val="bottom"/>
            <w:shd w:val="clear" w:color="auto" w:fill="CCEEFF"/>
          </w:tcPr>
          <w:p>
            <w:pPr>
              <w:spacing w:after="0"/>
              <w:rPr>
                <w:sz w:val="18"/>
                <w:szCs w:val="18"/>
                <w:color w:val="auto"/>
              </w:rPr>
            </w:pPr>
          </w:p>
        </w:tc>
      </w:tr>
      <w:tr>
        <w:trPr>
          <w:trHeight w:val="217"/>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year</w:t>
            </w: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45,528</w:t>
            </w:r>
          </w:p>
        </w:tc>
        <w:tc>
          <w:tcPr>
            <w:tcW w:w="200" w:type="dxa"/>
            <w:vAlign w:val="bottom"/>
            <w:tcBorders>
              <w:bottom w:val="single" w:sz="8" w:color="CCEEFF"/>
            </w:tcBorders>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Cash paid for: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18"/>
                <w:szCs w:val="18"/>
                <w:color w:val="auto"/>
              </w:rPr>
            </w:pP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560"/>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Applied Optoelectronics, Inc., (“AOI” or the “Company”) was incorporated in Texas on February 28, 1997. In March 2013, the Company converted into a Delaware corporation. The Company is a leading, vertically integrated provider of fiber-optic networking products, primarily for four networking end-markets: internet data center, cable television, fiber-to-the-home and telecommunications. The Company designs and manufactures a wide range of optical communications products at varying levels of integration, from components, subassemblies and modules to complete turn-key equipment.</w:t>
      </w:r>
    </w:p>
    <w:p>
      <w:pPr>
        <w:spacing w:after="0" w:line="15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our data center transceiver products, including subassemblies, as well as Cable TV Broadband (“CATV”) systems and equipment, and performs research and development activities for the CATV products. Prime World also operates a division in Taiwan, which is qualified to do business in Taiwan, and primarily manufactures transceivers. The Company also has a research and development center in Lawrenceville, Georgia.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unaudited condensed consolidated financial statements of the Company as of March 31, 2017 and December 31, 2016 and for the three months ended March 31, 2017 and March 31, 2016,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2016. The results of operations for the three months ended March 31, 2017 are not necessarily indicative of the results expected for the entire fiscal year. All significant intercompany accounts and transactions have been eliminated.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inventory reserve, product warranty costs, share-based compensation expense, estimated useful lives of property and equipment, and taxes.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There have been no changes in the Company’s significant accounting policies for the three months ended March 31, 2017, as compared to the significant accounting policies described in its 2016 Annual Report, except as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November 2016, the FASB issued Accounting Standards Update (ASU) No. 2016-18, Statement of Cash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Flows: Restricted Cash, providing guidance on the presentation of restricted cash or restricted cash equivalents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of cash flows. ASU 2016-18 is effective for interim and annual periods beginning after December 15, 2017,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early adoption permitted. The amendments in this ASU would be applied using a retrospective approach. The Company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evaluating the impact of the accounting standard on the financial statements.</w:t>
      </w:r>
    </w:p>
    <w:p>
      <w:pPr>
        <w:spacing w:after="0" w:line="21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Payments. The ASU update addresses eight specific cash flow issues that currently result in diverse practices, including debt prepayment or debt extinguishment costs, contingent consideration payments made after a business combination and separately identifiable cash flows and applicable of the predominance principle. ASU 2016-15 is effective for interim and annual periods beginning after December 15, 2017, with early adoption permitted. The Company is evaluating the impact of the accounting standard on the financial statements.</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to simplify several aspects of accounting for share-based payment transactions, including the following areas: accounting for excess tax benefits and tax deficiencies; classifying excess tax benefits on the statement of cash flows; accounting for forfeitures; classifying awards that permit share repurchases to satisfy statutory tax withholding requirements; classifying tax payments on behalf of employees on the statement of cash flows; and, for nonpublic entities only, determining the expected term and electing the intrinsic value measurement alternative for stock option awards. The new guidance is effective for public business entities in fiscal years beginning after December 15, 2016, and in the interim periods within those fiscal years. The guidance requires a mix of prospective, modified retrospective and retrospective transition. The Company adopted the provisions of ASU 2016-09 as of January 1, 2017. The impact from adoption of the provisions related to forfeiture rates was reflected in the Company's condensed consolidated financial statements on a modified retrospective basis, resulting in an adjustment of $0.01 million to retained earnings. Provisions related to windfall tax benefits have been adopted prospectively resulting in an adjustment of $1.2 million to retained earnings. Provisions related to the statement of cash flows remain unchanged from prior periods.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February 25, 2016, the FASB released ASU No. 2016-02, Leases to complete its project to overhaul lease accounting. The ASU codifies ASC 842, Leases, which will replace the guidance in ASC 840. The new guidance will require lessees to recognize most leases on the balance sheet for capital and operating leases. The new guidance is effective for public business entities in fiscal years beginning after December 15, 2018. The Company is evaluating the impact of the accounting standard on its financial statements, by reviewing the standard itself as well as reviewing literature about the new standard produced by nationally-recognized accounting firms and other third parties.</w:t>
      </w:r>
    </w:p>
    <w:p>
      <w:pPr>
        <w:spacing w:after="0" w:line="178" w:lineRule="exact"/>
        <w:rPr>
          <w:sz w:val="20"/>
          <w:szCs w:val="20"/>
          <w:color w:val="auto"/>
        </w:rPr>
      </w:pPr>
    </w:p>
    <w:p>
      <w:pPr>
        <w:ind w:right="340" w:firstLine="648"/>
        <w:spacing w:after="0" w:line="273" w:lineRule="auto"/>
        <w:rPr>
          <w:sz w:val="20"/>
          <w:szCs w:val="20"/>
          <w:color w:val="auto"/>
        </w:rPr>
      </w:pPr>
      <w:r>
        <w:rPr>
          <w:rFonts w:ascii="Arial" w:cs="Arial" w:eastAsia="Arial" w:hAnsi="Arial"/>
          <w:sz w:val="17"/>
          <w:szCs w:val="17"/>
          <w:color w:val="auto"/>
        </w:rPr>
        <w:t>The FASB issued ASU No. 2016-01, Financial Instruments – Overall (Subtopic 825-10): Recognition and Measurement of Financial Assets and Financial Liabilities. The new guidance is intended to improve the recognition and measurement of financial instruments. The ASU affects public and private companies, not-for-profit organizations, and employee benefit plans that hold financial assets or owe financial liabilities. The new guidance is effective for public companies for fiscal years beginning after December 15, 2017, including interim periods within those fiscal years. The Company is evaluating the impact of the accounting standard on its financial statements.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May 2014, the FASB issued ASU No. 2014-09, Revenue from Contracts with Customers (Topic 606).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 The Company continues to evaluate the impact of the accounting standard on its financial statements. In order to determine the effect of the new standard, during 2016 the Company attended live and web-based training sessions hosted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by experts on the new standard, identified key areas in our business that could be affected by the standard and hosted internal training sessions on the new standard for accounting staff. The Company has also begun to evaluate its internal controls framework to identify any new controls that may be necessary to comply with the new standard. Although this determination is subject to change as the Company continues to evaluate the new standard, based on our review to date, the Company does not believe that the new standard will have a material effect on its financial statements. The Company plans to adopt the new standards after December 15, 2017.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for the periods indicated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8"/>
              </w:rPr>
              <w:t>As of March 31, 2017</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2"/>
              </w:rPr>
              <w:t>As of December 31, 2016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5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2"/>
                <w:szCs w:val="12"/>
                <w:color w:val="auto"/>
              </w:rPr>
            </w:pPr>
          </w:p>
        </w:tc>
        <w:tc>
          <w:tcPr>
            <w:tcW w:w="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59,672</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59,672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50,224</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50,224</w:t>
            </w:r>
          </w:p>
        </w:tc>
        <w:tc>
          <w:tcPr>
            <w:tcW w:w="60" w:type="dxa"/>
            <w:vAlign w:val="bottom"/>
          </w:tcPr>
          <w:p>
            <w:pPr>
              <w:spacing w:after="0"/>
              <w:rPr>
                <w:sz w:val="18"/>
                <w:szCs w:val="18"/>
                <w:color w:val="auto"/>
              </w:rPr>
            </w:pPr>
          </w:p>
        </w:tc>
      </w:tr>
      <w:tr>
        <w:trPr>
          <w:trHeight w:val="216"/>
        </w:trPr>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60" w:type="dxa"/>
            <w:vAlign w:val="bottom"/>
            <w:shd w:val="clear" w:color="auto" w:fill="CCEEFF"/>
          </w:tcPr>
          <w:p>
            <w:pPr>
              <w:spacing w:after="0"/>
              <w:rPr>
                <w:sz w:val="18"/>
                <w:szCs w:val="18"/>
                <w:color w:val="auto"/>
              </w:rPr>
            </w:pPr>
          </w:p>
        </w:tc>
      </w:tr>
      <w:tr>
        <w:trPr>
          <w:trHeight w:val="216"/>
        </w:trPr>
        <w:tc>
          <w:tcPr>
            <w:tcW w:w="2480" w:type="dxa"/>
            <w:vAlign w:val="bottom"/>
          </w:tcPr>
          <w:p>
            <w:pPr>
              <w:ind w:left="120"/>
              <w:spacing w:after="0"/>
              <w:rPr>
                <w:sz w:val="20"/>
                <w:szCs w:val="20"/>
                <w:color w:val="auto"/>
              </w:rPr>
            </w:pPr>
            <w:r>
              <w:rPr>
                <w:rFonts w:ascii="Arial" w:cs="Arial" w:eastAsia="Arial" w:hAnsi="Arial"/>
                <w:sz w:val="18"/>
                <w:szCs w:val="18"/>
                <w:color w:val="auto"/>
              </w:rPr>
              <w:t>Short term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r>
      <w:tr>
        <w:trPr>
          <w:trHeight w:val="230"/>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60,575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60,575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248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 acceptance payable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r>
      <w:tr>
        <w:trPr>
          <w:trHeight w:val="217"/>
        </w:trPr>
        <w:tc>
          <w:tcPr>
            <w:tcW w:w="2480" w:type="dxa"/>
            <w:vAlign w:val="bottom"/>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carrying value amounts of accounts receivable, prepaid expenses and other current assets, accounts payable, accrued expenses and other current liabilities approximate fair value because of the short-term maturity of these instruments. The carrying value of the term loans approximate fair value due to the variable interest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stock options and restricted stock units outstanding during the period.</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income (loss) per share for the periods indicated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19,789</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Weighted average shares used to compute net income (loss) per share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Effective of dilutive options and restricted stock units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Diluted</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5940" w:type="dxa"/>
            <w:vAlign w:val="bottom"/>
            <w:gridSpan w:val="2"/>
          </w:tcPr>
          <w:p>
            <w:pPr>
              <w:jc w:val="right"/>
              <w:ind w:right="1230"/>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20" w:top="125" w:right="135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19"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as their effect would have been anti-dilutive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1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0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r>
      <w:tr>
        <w:trPr>
          <w:trHeight w:val="217"/>
        </w:trPr>
        <w:tc>
          <w:tcPr>
            <w:tcW w:w="50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Inventories, net of inventory writedowns, consist of the following for the periods indicated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80" w:type="dxa"/>
            <w:vAlign w:val="bottom"/>
            <w:gridSpan w:val="7"/>
          </w:tcPr>
          <w:p>
            <w:pPr>
              <w:ind w:left="20"/>
              <w:spacing w:after="0"/>
              <w:rPr>
                <w:sz w:val="20"/>
                <w:szCs w:val="20"/>
                <w:color w:val="auto"/>
              </w:rPr>
            </w:pPr>
            <w:r>
              <w:rPr>
                <w:rFonts w:ascii="Arial" w:cs="Arial" w:eastAsia="Arial" w:hAnsi="Arial"/>
                <w:sz w:val="14"/>
                <w:szCs w:val="14"/>
                <w:b w:val="1"/>
                <w:bCs w:val="1"/>
                <w:color w:val="auto"/>
              </w:rPr>
              <w:t>March 31, 2017  December 31, 2016</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24,334</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60" w:type="dxa"/>
            <w:vAlign w:val="bottom"/>
            <w:shd w:val="clear" w:color="auto" w:fill="CCEEFF"/>
          </w:tcPr>
          <w:p>
            <w:pPr>
              <w:spacing w:after="0"/>
              <w:rPr>
                <w:sz w:val="18"/>
                <w:szCs w:val="18"/>
                <w:color w:val="auto"/>
              </w:rPr>
            </w:pPr>
          </w:p>
        </w:tc>
      </w:tr>
      <w:tr>
        <w:trPr>
          <w:trHeight w:val="217"/>
        </w:trPr>
        <w:tc>
          <w:tcPr>
            <w:tcW w:w="3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51,817</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379" w:firstLine="648"/>
        <w:spacing w:after="0" w:line="277" w:lineRule="auto"/>
        <w:rPr>
          <w:sz w:val="20"/>
          <w:szCs w:val="20"/>
          <w:color w:val="auto"/>
        </w:rPr>
      </w:pPr>
      <w:r>
        <w:rPr>
          <w:rFonts w:ascii="Arial" w:cs="Arial" w:eastAsia="Arial" w:hAnsi="Arial"/>
          <w:sz w:val="18"/>
          <w:szCs w:val="18"/>
          <w:color w:val="auto"/>
        </w:rPr>
        <w:t>The lower of cost or market adjustment expensed for inventory for the three months ended March 31, 2017 and 2016 was $0.5 million and $0.4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380" w:type="dxa"/>
            <w:vAlign w:val="bottom"/>
            <w:gridSpan w:val="7"/>
          </w:tcPr>
          <w:p>
            <w:pPr>
              <w:spacing w:after="0"/>
              <w:rPr>
                <w:sz w:val="20"/>
                <w:szCs w:val="20"/>
                <w:color w:val="auto"/>
              </w:rPr>
            </w:pPr>
            <w:r>
              <w:rPr>
                <w:rFonts w:ascii="Arial" w:cs="Arial" w:eastAsia="Arial" w:hAnsi="Arial"/>
                <w:sz w:val="14"/>
                <w:szCs w:val="14"/>
                <w:b w:val="1"/>
                <w:bCs w:val="1"/>
                <w:color w:val="auto"/>
                <w:w w:val="99"/>
              </w:rPr>
              <w:t>March 31, 2017   December 31, 2016</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69,368</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108,724</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4,227</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equipment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bottom w:val="single" w:sz="8" w:color="CCEEFF"/>
            </w:tcBorders>
          </w:tcPr>
          <w:p>
            <w:pPr>
              <w:spacing w:after="0"/>
              <w:rPr>
                <w:sz w:val="18"/>
                <w:szCs w:val="18"/>
                <w:color w:val="auto"/>
              </w:rPr>
            </w:pPr>
          </w:p>
        </w:tc>
      </w:tr>
      <w:tr>
        <w:trPr>
          <w:trHeight w:val="210"/>
        </w:trPr>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200,191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190,183</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(54,000)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(49,175)</w:t>
            </w:r>
          </w:p>
        </w:tc>
        <w:tc>
          <w:tcPr>
            <w:tcW w:w="60" w:type="dxa"/>
            <w:vAlign w:val="bottom"/>
          </w:tcPr>
          <w:p>
            <w:pPr>
              <w:spacing w:after="0"/>
              <w:rPr>
                <w:sz w:val="18"/>
                <w:szCs w:val="18"/>
                <w:color w:val="auto"/>
              </w:rPr>
            </w:pPr>
          </w:p>
        </w:tc>
      </w:tr>
      <w:tr>
        <w:trPr>
          <w:trHeight w:val="210"/>
        </w:trPr>
        <w:tc>
          <w:tcPr>
            <w:tcW w:w="4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146,191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1,989</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60" w:type="dxa"/>
            <w:vAlign w:val="bottom"/>
            <w:shd w:val="clear" w:color="auto" w:fill="CCEEFF"/>
          </w:tcPr>
          <w:p>
            <w:pPr>
              <w:spacing w:after="0"/>
              <w:rPr>
                <w:sz w:val="18"/>
                <w:szCs w:val="18"/>
                <w:color w:val="auto"/>
              </w:rPr>
            </w:pP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150,566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144,098</w:t>
            </w:r>
          </w:p>
        </w:tc>
        <w:tc>
          <w:tcPr>
            <w:tcW w:w="60" w:type="dxa"/>
            <w:vAlign w:val="bottom"/>
          </w:tcPr>
          <w:p>
            <w:pPr>
              <w:spacing w:after="0"/>
              <w:rPr>
                <w:sz w:val="18"/>
                <w:szCs w:val="18"/>
                <w:color w:val="auto"/>
              </w:rPr>
            </w:pPr>
          </w:p>
        </w:tc>
      </w:tr>
    </w:tbl>
    <w:p>
      <w:pPr>
        <w:spacing w:after="0" w:line="199" w:lineRule="exact"/>
        <w:rPr>
          <w:sz w:val="20"/>
          <w:szCs w:val="20"/>
          <w:color w:val="auto"/>
        </w:rPr>
      </w:pPr>
    </w:p>
    <w:p>
      <w:pPr>
        <w:ind w:right="619" w:firstLine="648"/>
        <w:spacing w:after="0" w:line="260" w:lineRule="auto"/>
        <w:rPr>
          <w:sz w:val="20"/>
          <w:szCs w:val="20"/>
          <w:color w:val="auto"/>
        </w:rPr>
      </w:pPr>
      <w:r>
        <w:rPr>
          <w:rFonts w:ascii="Arial" w:cs="Arial" w:eastAsia="Arial" w:hAnsi="Arial"/>
          <w:sz w:val="20"/>
          <w:szCs w:val="20"/>
          <w:color w:val="auto"/>
        </w:rPr>
        <w:t>For the three months ended March 31, 2017 and 2016, depreciation expense of property, plant and equipment was $4.2 million and $2.8 million, respectively.</w:t>
      </w:r>
    </w:p>
    <w:p>
      <w:pPr>
        <w:spacing w:after="0" w:line="179" w:lineRule="exact"/>
        <w:rPr>
          <w:sz w:val="20"/>
          <w:szCs w:val="20"/>
          <w:color w:val="auto"/>
        </w:rPr>
      </w:pPr>
    </w:p>
    <w:p>
      <w:pPr>
        <w:ind w:right="239" w:firstLine="648"/>
        <w:spacing w:after="0" w:line="277" w:lineRule="auto"/>
        <w:rPr>
          <w:sz w:val="20"/>
          <w:szCs w:val="20"/>
          <w:color w:val="auto"/>
        </w:rPr>
      </w:pPr>
      <w:r>
        <w:rPr>
          <w:rFonts w:ascii="Arial" w:cs="Arial" w:eastAsia="Arial" w:hAnsi="Arial"/>
          <w:sz w:val="18"/>
          <w:szCs w:val="18"/>
          <w:color w:val="auto"/>
        </w:rPr>
        <w:t>Included in depreciation expense was $2.6 million and $1.9 million recorded as cost of sales for the three months ended March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4"/>
              </w:rPr>
              <w:t>March 31, 2017</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0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assets, net</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$ 6,124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Trademarks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7"/>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$ 6,138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594"/>
        </w:trPr>
        <w:tc>
          <w:tcPr>
            <w:tcW w:w="4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9"/>
        </w:trPr>
        <w:tc>
          <w:tcPr>
            <w:tcW w:w="40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assets, net</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$ 5,987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Trademarks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7"/>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$ 6,001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For the three months ended March 31, 2017 and 2016, amortization expense for intangible assets, included in general and administrative expenses on the income statement, was each $0.1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weighted average amortization period for intangible assets is approximately 8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6"/>
              </w:rPr>
              <w:t>March 31, 2017   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Revolving line of credit with a U.S. bank up to $40,000 with interest at LIBOR plus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 maturing June 30, 2018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LIBOR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plus 2%, maturing July 31, 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LIBOR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plus 2%, maturing June 30, 2020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LIBOR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plus 2%, maturing January 26, 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21,517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21,670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4.5% interest,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maturing May 27, 2018 and June 30, 2018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7"/>
              </w:rPr>
              <w:t>Notes payable to a finance company due in monthly installments with 4% interest,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maturing March 31, 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5,497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5,812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(4,690)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23,863</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34,961</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380" w:type="dxa"/>
            <w:vAlign w:val="bottom"/>
            <w:tcBorders>
              <w:bottom w:val="single" w:sz="8" w:color="auto"/>
            </w:tcBorders>
          </w:tcPr>
          <w:p>
            <w:pPr>
              <w:ind w:left="2700"/>
              <w:spacing w:after="0"/>
              <w:rPr>
                <w:sz w:val="20"/>
                <w:szCs w:val="20"/>
                <w:color w:val="auto"/>
              </w:rPr>
            </w:pPr>
            <w:r>
              <w:rPr>
                <w:rFonts w:ascii="Arial" w:cs="Arial" w:eastAsia="Arial" w:hAnsi="Arial"/>
                <w:sz w:val="14"/>
                <w:szCs w:val="14"/>
                <w:b w:val="1"/>
                <w:bCs w:val="1"/>
                <w:color w:val="auto"/>
              </w:rPr>
              <w:t>Bank Acceptance Notes Payable</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Bank acceptance notes issued to vendors with a zero percent interest rate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March 31, 2017. The one-month London Interbank Offered Rate (LIBOR) was 0.98278% on March 31,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Maturities of long-term debt are as follows for the future one-year periods ending March 31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2019</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9"/>
                <w:szCs w:val="19"/>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2021</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18,938</w:t>
            </w:r>
          </w:p>
        </w:tc>
        <w:tc>
          <w:tcPr>
            <w:tcW w:w="100" w:type="dxa"/>
            <w:vAlign w:val="bottom"/>
            <w:shd w:val="clear" w:color="auto" w:fill="CCEEFF"/>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2023 and thereafter</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June 24, 2016, the Company entered into a First Amendment to the Credit Agreement with East West Bank and Comerica Bank (“First Amendment”), a second lien deed of trust, multiple security agreements and promissory notes evidencing two credit facilities and a term loan originally entered into on June 30, 2015. The First Amendment increased the Company’s revolving lines of credit from $25 million to $40 million, which mature on June 30, 2018, and retained a $10.0 million term loan maturing on June 30, 2020. The First Amendment also provides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As of March 31, 2017, no balance was outstanding under the revolving line of credit. On February 27, 2017, the Company repaid the outstanding balance of $9.4 million under the term loan and terminated the loan.</w:t>
      </w:r>
    </w:p>
    <w:p>
      <w:pPr>
        <w:spacing w:after="0" w:line="17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Company also had a term loan with East West Bank of $5.0 million with monthly payments of principal and interest that matured on July 31, 2019. On February 27, 2017, the Company repaid the outstanding balance of $2.8 million and terminated the loan.</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June 24, 2016, the Company executed a Change in Terms Agreement, Notice of Final Agreement and Modification of the Construction Loan Agreement (the “Modification Agreement”) in connection with the Construction Loan Agreement with East West Bank for up to $22.0 million dollars to finance the construction of the Company’s campus expansion plan in Sugar Land, Texas, originally dated January 26, 2015 (the “Construction Loan Agreement”). Upon signing the original Construction Loan Agreement, the Company deposited $11.0 million into a restricted bank account for owner’s contribution of construction costs. The Modification Agreement has a fifteen-month draw down period with monthly interest payments commencing on February 26, 2015 and ending on July 31, 2016. Thereafter, the entire outstanding principal balance shall be converted to a sixty-six month term loan with principal and interest payments due monthly amortized over three hundred months. The first principal and interest payment commenced on August 26, 2016, and continue the same day of each month thereafter. The final principal and interest payment is due on January 26, 2022 and will include all unpaid principal and all accrued and unpaid interest. The Company may pay without penalty all or a portion of the amount owed earlier than due. Under the Construction Loan Agreement, the loan bears interest at an annual rate based on the one-month LIBOR Borrowing Rate plus 2.75%, and the interest rate is adjusted to LIBOR Borrowing Rate plus 2.0% under the Modification Agreement.</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September 27, 2016, the Company executed a Change in Terms Agreement, Notice of Final Agreement and Second Modification to the Construction Loan Agreement (the “Second Modifications”) to the Construction Loan Agreement with East West Bank. The Second Modifications amends and restates in part the Company’s Promissory Note and Construction Loan Agreement, which was originally executed on January 26, 2015, and the Modification Agreement. The draw down period end date, under the Second Modifications, was amended from July 31, 2016 to September 30, 2016. And thereafter, the entire outstanding principal balance shall be converted to a sixty-four (64) month term loan, amended from a sixty (66) month term loan, with principal and interest payments due monthly amortized over three hundred (300) months. The first principal and interest payment was due on October 26, 2016 and will continue on the same day of each month thereafter. The final principal and interest payment is due on January 26, 2022 and will include all unpaid principal and all accrued and unpaid interest. Except as expressly changed by the Second Modifications, the terms of the original obligation and the Modification Agreement remain unchanged. As of March 31, 2017, $21.5 million was outstanding under the construction loan.</w:t>
      </w:r>
    </w:p>
    <w:p>
      <w:pPr>
        <w:spacing w:after="0" w:line="18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loan and security agreements with East West Bank and Comerica Bank require the Company to maintain certain financial covenants, including a minimum cash balance, a current ratio, a maximum leverage ratio and a minimum fixed charge coverage ratio. Collateral for the U.S. bank loans and line of credit includes substantially all 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assets of the Company. As of March 31, 2017, the Company was in compliance with all covenants contained in these agreements.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June 30, 2015, the Company’s Taiwan branch entered into a Purchase and Sale Contract and a Finance Lease Agreement with Chailease Finance Co, Ltd. (“Chailease”) in connection with certain equipment, structured as a sale lease-back transaction. Pursuant to the sale contract, the Company’s Taiwan branch sold certain equipment to Chailease for a purchase price of 115,240,903 New Taiwan dollars, approximately $3.7 million, and simultaneously leased the equipment back from Chailease pursuant to the Finance Lease Agreement. The monthly lease payments range from 2,088,804 New Taiwan dollars, approximately $0.1 million, to 2,364,650 New Taiwan dollars, approximately $0.1 million, during the term of the Finance Lease Agreement, including an initial payment in an amount of 40,240,903 New Taiwan dollars, approximately $1.3 million. The Finance Lease Agreement has a three-year term, with monthly payments, maturing on May 27 and June 30, 2018 respectively. The title to the equipment will be transferred to the Company’s Taiwan branch upon the expiration of the Finance Lease Agreement. On January 29, 2017, the Company’s Taiwan branch entered into an early Termination Agreement with Chailease to terminate the Purchase and Sale Contract and the Finance Lease Agreement. Under the terms of the Termination Agreement, the Company agreed to pay $1.2 million to Chailease which includes all costs and expenses associated with the early termination. Chailease agreed to transfer title to the Company of all property contemplated under the Lease Agreement. As of March 31, 2017, $1.5 million was outstanding under this Finance Lease Agreement.</w:t>
      </w:r>
    </w:p>
    <w:p>
      <w:pPr>
        <w:spacing w:after="0" w:line="17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March 31, 2016, the Company’s Taiwan branch entered into a Purchase and Sale Contract and a Finance Lease Agreement with Chailease in connection with certain equipment, structured as a sale lease-back transaction. Pursuant to the Purchase and Sale Contract, the Company’s Taiwan branch sold certain equipment to Chailease for a purchase price of 312,927,180 New Taiwan dollars, approximately $10.1 million, and simultaneously leased the equipment back from Chailease pursuant to the Finance Lease Agreement. The Finance Lease Agreement has a three-year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the Company’s Taiwan branch upon the expiration of the Finance Lease Agreement. As of March 31, 2017, $5.5 million was outstanding under this Finance Lease Agreement.</w:t>
      </w:r>
    </w:p>
    <w:p>
      <w:pPr>
        <w:spacing w:after="0" w:line="18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Company’s Chinese subsidiary had credit facilities with China Construction Bank totaling $13.2 million, which could be drawn in U.S. currency, RMB currency, issuing bank acceptance notes to vendors with different interest rates or issuing standby letters of credit. The Company pledged the land use rights and buildings of its Chinese subsidiary as collateral for the credit facility. The Company’s Chinese subsidiary used $10.0 million of its credit facility to issue standby letters of credit as collateral for the Company’s Taiwan branch line of credit with China Construction Bank. As of March 31, 2017, the Company had repaid all outstanding balances and terminated the loan agreement with China Construction Bank.</w:t>
      </w:r>
    </w:p>
    <w:p>
      <w:pPr>
        <w:spacing w:after="0" w:line="16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 of March 31, 2017 and December 31, 2016, the Company had $50.0 million and $75.8 million of unused borrowing capacity, respectively.</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As of March 31, 2017 and December 31, 2016, there was $0.0 million and $1.7 million of restricted cash, investments or security deposit associated mainly with the loan facilities,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8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March 31, 2017   December 31, 2016</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Accrued rent</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959</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 expenses</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60" w:type="dxa"/>
            <w:vAlign w:val="bottom"/>
            <w:shd w:val="clear" w:color="auto" w:fill="CCEEFF"/>
          </w:tcPr>
          <w:p>
            <w:pPr>
              <w:spacing w:after="0"/>
              <w:rPr>
                <w:sz w:val="18"/>
                <w:szCs w:val="18"/>
                <w:color w:val="auto"/>
              </w:rPr>
            </w:pPr>
          </w:p>
        </w:tc>
      </w:tr>
      <w:tr>
        <w:trPr>
          <w:trHeight w:val="217"/>
        </w:trPr>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14,452</w:t>
            </w:r>
          </w:p>
        </w:tc>
        <w:tc>
          <w:tcPr>
            <w:tcW w:w="6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311"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transaction gain (loss)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Other non-operating gain</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880" w:hanging="22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3" w:lineRule="exact"/>
        <w:rPr>
          <w:rFonts w:ascii="Arial" w:cs="Arial" w:eastAsia="Arial" w:hAnsi="Arial"/>
          <w:sz w:val="18"/>
          <w:szCs w:val="18"/>
          <w:color w:val="auto"/>
        </w:rPr>
      </w:pPr>
    </w:p>
    <w:p>
      <w:pPr>
        <w:ind w:left="880" w:hanging="22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9" w:lineRule="exact"/>
        <w:rPr>
          <w:rFonts w:ascii="Arial" w:cs="Arial" w:eastAsia="Arial" w:hAnsi="Arial"/>
          <w:sz w:val="18"/>
          <w:szCs w:val="18"/>
          <w:color w:val="auto"/>
        </w:rPr>
      </w:pPr>
    </w:p>
    <w:p>
      <w:pPr>
        <w:ind w:left="880" w:hanging="22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9" w:lineRule="exact"/>
        <w:rPr>
          <w:rFonts w:ascii="Arial" w:cs="Arial" w:eastAsia="Arial" w:hAnsi="Arial"/>
          <w:sz w:val="18"/>
          <w:szCs w:val="18"/>
          <w:color w:val="auto"/>
        </w:rPr>
      </w:pPr>
    </w:p>
    <w:p>
      <w:pPr>
        <w:ind w:left="880" w:hanging="22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1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issued stock options, restricted stock awards (“RSAs”) and restricted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Average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2"/>
                <w:szCs w:val="12"/>
                <w:color w:val="auto"/>
              </w:rPr>
            </w:pP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Exercise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on Date of</w:t>
            </w:r>
          </w:p>
        </w:tc>
        <w:tc>
          <w:tcPr>
            <w:tcW w:w="14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700" w:type="dxa"/>
            <w:vAlign w:val="bottom"/>
          </w:tcPr>
          <w:p>
            <w:pPr>
              <w:jc w:val="right"/>
              <w:ind w:right="74"/>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2017</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Exercised</w:t>
            </w: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32.88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7"/>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March 31, 2017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9.57</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47,883</w:t>
            </w:r>
          </w:p>
        </w:tc>
        <w:tc>
          <w:tcPr>
            <w:tcW w:w="0" w:type="dxa"/>
            <w:vAlign w:val="bottom"/>
          </w:tcPr>
          <w:p>
            <w:pPr>
              <w:spacing w:after="0"/>
              <w:rPr>
                <w:sz w:val="1"/>
                <w:szCs w:val="1"/>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March 31, 2017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42,673</w:t>
            </w:r>
          </w:p>
        </w:tc>
        <w:tc>
          <w:tcPr>
            <w:tcW w:w="0" w:type="dxa"/>
            <w:vAlign w:val="bottom"/>
          </w:tcPr>
          <w:p>
            <w:pPr>
              <w:spacing w:after="0"/>
              <w:rPr>
                <w:sz w:val="1"/>
                <w:szCs w:val="1"/>
                <w:color w:val="auto"/>
              </w:rPr>
            </w:pPr>
          </w:p>
        </w:tc>
      </w:tr>
      <w:tr>
        <w:trPr>
          <w:trHeight w:val="210"/>
        </w:trPr>
        <w:tc>
          <w:tcPr>
            <w:tcW w:w="4160" w:type="dxa"/>
            <w:vAlign w:val="bottom"/>
          </w:tcPr>
          <w:p>
            <w:pPr>
              <w:spacing w:after="0" w:line="203" w:lineRule="exact"/>
              <w:rPr>
                <w:sz w:val="20"/>
                <w:szCs w:val="20"/>
                <w:color w:val="auto"/>
              </w:rPr>
            </w:pPr>
            <w:r>
              <w:rPr>
                <w:rFonts w:ascii="Arial" w:cs="Arial" w:eastAsia="Arial" w:hAnsi="Arial"/>
                <w:sz w:val="18"/>
                <w:szCs w:val="18"/>
                <w:color w:val="auto"/>
              </w:rPr>
              <w:t>Vested and expected to vest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1,028</w:t>
            </w:r>
          </w:p>
        </w:tc>
        <w:tc>
          <w:tcPr>
            <w:tcW w:w="26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9.57</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6.25</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47,883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As of March 31, 2017, there was approximately $0.6 million of unrecognized stock option expense, which is expected to be recognized over 0.6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Average Share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Price on Date</w:t>
            </w:r>
          </w:p>
        </w:tc>
        <w:tc>
          <w:tcPr>
            <w:tcW w:w="1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4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8"/>
              </w:rPr>
              <w:t>of Release</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15.56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31, 2017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52,239</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March 31, 2017</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March 31, 2017, there was $23.5 million of unrecognized compensation expense related to these RSUs and RSAs. This expense is expected to be recognized over 3.5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30"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Three months ended</w:t>
      </w:r>
    </w:p>
    <w:p>
      <w:pPr>
        <w:ind w:left="7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6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expense type</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Cost of goods sold</w:t>
            </w:r>
          </w:p>
        </w:tc>
        <w:tc>
          <w:tcPr>
            <w:tcW w:w="3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118</w:t>
            </w:r>
          </w:p>
        </w:tc>
        <w:tc>
          <w:tcPr>
            <w:tcW w:w="2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Sales and marketing</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1,084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580</w:t>
            </w:r>
          </w:p>
        </w:tc>
        <w:tc>
          <w:tcPr>
            <w:tcW w:w="220" w:type="dxa"/>
            <w:vAlign w:val="bottom"/>
            <w:shd w:val="clear" w:color="auto" w:fill="CCEEFF"/>
          </w:tcPr>
          <w:p>
            <w:pPr>
              <w:spacing w:after="0"/>
              <w:rPr>
                <w:sz w:val="18"/>
                <w:szCs w:val="18"/>
                <w:color w:val="auto"/>
              </w:rPr>
            </w:pPr>
          </w:p>
        </w:tc>
      </w:tr>
      <w:tr>
        <w:trPr>
          <w:trHeight w:val="217"/>
        </w:trPr>
        <w:tc>
          <w:tcPr>
            <w:tcW w:w="386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34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1,507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808</w:t>
            </w:r>
          </w:p>
        </w:tc>
        <w:tc>
          <w:tcPr>
            <w:tcW w:w="220" w:type="dxa"/>
            <w:vAlign w:val="bottom"/>
          </w:tcPr>
          <w:p>
            <w:pPr>
              <w:spacing w:after="0"/>
              <w:rPr>
                <w:sz w:val="18"/>
                <w:szCs w:val="18"/>
                <w:color w:val="auto"/>
              </w:rPr>
            </w:pPr>
          </w:p>
        </w:tc>
      </w:tr>
      <w:tr>
        <w:trPr>
          <w:trHeight w:val="355"/>
        </w:trPr>
        <w:tc>
          <w:tcPr>
            <w:tcW w:w="38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3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9"/>
          </w:tcPr>
          <w:p>
            <w:pPr>
              <w:ind w:left="2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86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award type</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Employee stock options</w:t>
            </w:r>
          </w:p>
        </w:tc>
        <w:tc>
          <w:tcPr>
            <w:tcW w:w="3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w w:val="99"/>
              </w:rPr>
              <w:t>378</w:t>
            </w:r>
          </w:p>
        </w:tc>
        <w:tc>
          <w:tcPr>
            <w:tcW w:w="2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430</w:t>
            </w:r>
          </w:p>
        </w:tc>
        <w:tc>
          <w:tcPr>
            <w:tcW w:w="220" w:type="dxa"/>
            <w:vAlign w:val="bottom"/>
            <w:shd w:val="clear" w:color="auto" w:fill="CCEEFF"/>
          </w:tcPr>
          <w:p>
            <w:pPr>
              <w:spacing w:after="0"/>
              <w:rPr>
                <w:sz w:val="18"/>
                <w:szCs w:val="18"/>
                <w:color w:val="auto"/>
              </w:rPr>
            </w:pPr>
          </w:p>
        </w:tc>
      </w:tr>
      <w:tr>
        <w:trPr>
          <w:trHeight w:val="217"/>
        </w:trPr>
        <w:tc>
          <w:tcPr>
            <w:tcW w:w="386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3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7"/>
              </w:rPr>
              <w:t>1,507</w:t>
            </w:r>
          </w:p>
        </w:tc>
        <w:tc>
          <w:tcPr>
            <w:tcW w:w="14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9"/>
              </w:rPr>
              <w:t>808</w:t>
            </w:r>
          </w:p>
        </w:tc>
        <w:tc>
          <w:tcPr>
            <w:tcW w:w="220" w:type="dxa"/>
            <w:vAlign w:val="bottom"/>
          </w:tcPr>
          <w:p>
            <w:pPr>
              <w:spacing w:after="0"/>
              <w:rPr>
                <w:sz w:val="18"/>
                <w:szCs w:val="18"/>
                <w:color w:val="auto"/>
              </w:rPr>
            </w:pPr>
          </w:p>
        </w:tc>
      </w:tr>
      <w:tr>
        <w:trPr>
          <w:trHeight w:val="662"/>
        </w:trPr>
        <w:tc>
          <w:tcPr>
            <w:tcW w:w="3860" w:type="dxa"/>
            <w:vAlign w:val="bottom"/>
          </w:tcPr>
          <w:p>
            <w:pPr>
              <w:spacing w:after="0"/>
              <w:rPr>
                <w:sz w:val="24"/>
                <w:szCs w:val="24"/>
                <w:color w:val="auto"/>
              </w:rPr>
            </w:pPr>
          </w:p>
        </w:tc>
        <w:tc>
          <w:tcPr>
            <w:tcW w:w="3400" w:type="dxa"/>
            <w:vAlign w:val="bottom"/>
          </w:tcPr>
          <w:p>
            <w:pPr>
              <w:jc w:val="right"/>
              <w:ind w:right="255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29"/>
        </w:trPr>
        <w:tc>
          <w:tcPr>
            <w:tcW w:w="386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220" w:firstLine="648"/>
        <w:spacing w:after="0" w:line="308" w:lineRule="auto"/>
        <w:rPr>
          <w:sz w:val="20"/>
          <w:szCs w:val="20"/>
          <w:color w:val="auto"/>
        </w:rPr>
      </w:pPr>
      <w:r>
        <w:rPr>
          <w:rFonts w:ascii="Arial" w:cs="Arial" w:eastAsia="Arial" w:hAnsi="Arial"/>
          <w:sz w:val="17"/>
          <w:szCs w:val="17"/>
          <w:color w:val="auto"/>
        </w:rPr>
        <w:t>The Company’s Amended and Restated Certificate of Incorporation authorizes the issuance of up to 45,000,000 shares of common stock, all of which have been designated voting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1220" w:firstLine="648"/>
        <w:spacing w:after="0" w:line="277" w:lineRule="auto"/>
        <w:rPr>
          <w:sz w:val="20"/>
          <w:szCs w:val="20"/>
          <w:color w:val="auto"/>
        </w:rPr>
      </w:pPr>
      <w:r>
        <w:rPr>
          <w:rFonts w:ascii="Arial" w:cs="Arial" w:eastAsia="Arial" w:hAnsi="Arial"/>
          <w:sz w:val="18"/>
          <w:szCs w:val="18"/>
          <w:color w:val="auto"/>
        </w:rPr>
        <w:t>The Company’s Amended and Restated Certificate of Incorporation authorizes the issuance of up to 5,000,000 shares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October 17, 2016, the Company filed a Registration Statement on Form S-3 with the Securities and Exchange Commission effective November 1, 2016, providing for the public offer and sale of certain securities of the Company from time to time, at its discretion, up to an aggregate amount of $250 million. In connection with such Form S-3, the Company entered into an Equity Distribution Agreement with Raymond James &amp; Associates, Inc. pursuant to which the Company may issue and sell shares of the Company’s stock having an aggregate offering price of up to $50.0 million (the “Second ATM Offering”) from time to time through Raymond James &amp; Associates, Inc. On November 22, 2016, the Company commenced sales of common stock through the Second ATM Offering. The Company completed its Second ATM Offering in March 2017 and sold 1.6 million shares of common stock at a weighted average price of $31.55 per share, providing proceeds of $48.8 million, net of expenses and underwriting discounts and commissions.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Geographic Information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2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288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8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4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4,519</w:t>
            </w:r>
          </w:p>
        </w:tc>
        <w:tc>
          <w:tcPr>
            <w:tcW w:w="38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23,239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3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China</w:t>
            </w:r>
          </w:p>
        </w:tc>
        <w:tc>
          <w:tcPr>
            <w:tcW w:w="39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17"/>
        </w:trPr>
        <w:tc>
          <w:tcPr>
            <w:tcW w:w="288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50,422</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378"/>
        </w:trPr>
        <w:tc>
          <w:tcPr>
            <w:tcW w:w="28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7"/>
          </w:tcPr>
          <w:p>
            <w:pPr>
              <w:ind w:left="180"/>
              <w:spacing w:after="0"/>
              <w:rPr>
                <w:sz w:val="20"/>
                <w:szCs w:val="20"/>
                <w:color w:val="auto"/>
              </w:rPr>
            </w:pPr>
            <w:r>
              <w:rPr>
                <w:rFonts w:ascii="Arial" w:cs="Arial" w:eastAsia="Arial" w:hAnsi="Arial"/>
                <w:sz w:val="14"/>
                <w:szCs w:val="14"/>
                <w:b w:val="1"/>
                <w:bCs w:val="1"/>
                <w:color w:val="auto"/>
              </w:rPr>
              <w:t>As of the period ended</w:t>
            </w:r>
          </w:p>
        </w:tc>
      </w:tr>
      <w:tr>
        <w:trPr>
          <w:trHeight w:val="142"/>
        </w:trPr>
        <w:tc>
          <w:tcPr>
            <w:tcW w:w="28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gridSpan w:val="2"/>
          </w:tcPr>
          <w:p>
            <w:pPr>
              <w:spacing w:after="0"/>
              <w:rPr>
                <w:sz w:val="12"/>
                <w:szCs w:val="12"/>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3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8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4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66,705</w:t>
            </w:r>
          </w:p>
        </w:tc>
        <w:tc>
          <w:tcPr>
            <w:tcW w:w="3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66,028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3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China</w:t>
            </w:r>
          </w:p>
        </w:tc>
        <w:tc>
          <w:tcPr>
            <w:tcW w:w="3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34,113</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30"/>
        </w:trPr>
        <w:tc>
          <w:tcPr>
            <w:tcW w:w="2880" w:type="dxa"/>
            <w:vAlign w:val="bottom"/>
            <w:tcBorders>
              <w:bottom w:val="single" w:sz="8" w:color="CCEEFF"/>
            </w:tcBorders>
            <w:shd w:val="clear" w:color="auto" w:fill="CCEEFF"/>
          </w:tcPr>
          <w:p>
            <w:pPr>
              <w:spacing w:after="0"/>
              <w:rPr>
                <w:sz w:val="19"/>
                <w:szCs w:val="19"/>
                <w:color w:val="auto"/>
              </w:rPr>
            </w:pPr>
          </w:p>
        </w:tc>
        <w:tc>
          <w:tcPr>
            <w:tcW w:w="40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155,327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148,869</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r>
      <w:tr>
        <w:trPr>
          <w:trHeight w:val="865"/>
        </w:trPr>
        <w:tc>
          <w:tcPr>
            <w:tcW w:w="2880" w:type="dxa"/>
            <w:vAlign w:val="bottom"/>
          </w:tcPr>
          <w:p>
            <w:pPr>
              <w:spacing w:after="0"/>
              <w:rPr>
                <w:sz w:val="24"/>
                <w:szCs w:val="24"/>
                <w:color w:val="auto"/>
              </w:rPr>
            </w:pPr>
          </w:p>
        </w:tc>
        <w:tc>
          <w:tcPr>
            <w:tcW w:w="3960" w:type="dxa"/>
            <w:vAlign w:val="bottom"/>
          </w:tcPr>
          <w:p>
            <w:pPr>
              <w:jc w:val="right"/>
              <w:ind w:right="213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9"/>
        </w:trPr>
        <w:tc>
          <w:tcPr>
            <w:tcW w:w="2880" w:type="dxa"/>
            <w:vAlign w:val="bottom"/>
            <w:tcBorders>
              <w:bottom w:val="single" w:sz="8" w:color="auto"/>
            </w:tcBorders>
          </w:tcPr>
          <w:p>
            <w:pPr>
              <w:spacing w:after="0"/>
              <w:rPr>
                <w:sz w:val="11"/>
                <w:szCs w:val="11"/>
                <w:color w:val="auto"/>
              </w:rPr>
            </w:pPr>
          </w:p>
        </w:tc>
        <w:tc>
          <w:tcPr>
            <w:tcW w:w="39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Company has evaluated subsequent events through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March 31, 2017 and the audited consolidated financial statements and notes thereto and management’s discussion and analysis of financial condition and results of operations for the fiscal year ended December 31, 2016 included in our Annual Report on Form 10-K. References to “Applied Optoelectronics” “we,” “our” and “us” are to Applied Optoelectronics, Inc. and its subsidiaries unless otherwise specified or the context otherwise requires.</w:t>
      </w:r>
    </w:p>
    <w:p>
      <w:pPr>
        <w:spacing w:after="0" w:line="18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are a leading, vertically integrated provider of fiber-optic networking products, primarily for four networking end-markets: internet data center, cable television, or CATV, fiber-to-the-home, or FTTH, and telecommunication, or telecom. We design and manufacture a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four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 way to deliver the desired bandwidth.</w:t>
      </w:r>
    </w:p>
    <w:p>
      <w:pPr>
        <w:spacing w:after="0" w:line="16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manufacture are proven to be reliable over time and highly tolerant of changes in temperature and humidity, making them well-suited to the CATV and FTTH markets where networking equipment is often installed outdoors.</w:t>
      </w:r>
    </w:p>
    <w:p>
      <w:pPr>
        <w:spacing w:after="0" w:line="170" w:lineRule="exact"/>
        <w:rPr>
          <w:sz w:val="20"/>
          <w:szCs w:val="20"/>
          <w:color w:val="auto"/>
        </w:rPr>
      </w:pPr>
    </w:p>
    <w:p>
      <w:pPr>
        <w:ind w:right="220" w:firstLine="648"/>
        <w:spacing w:after="0" w:line="287" w:lineRule="auto"/>
        <w:rPr>
          <w:sz w:val="20"/>
          <w:szCs w:val="20"/>
          <w:color w:val="auto"/>
        </w:rPr>
      </w:pPr>
      <w:r>
        <w:rPr>
          <w:rFonts w:ascii="Arial" w:cs="Arial" w:eastAsia="Arial" w:hAnsi="Arial"/>
          <w:sz w:val="16"/>
          <w:szCs w:val="16"/>
          <w:color w:val="auto"/>
        </w:rPr>
        <w:t>We have three manufacturing sites: Sugar Land, Texas, Ningbo, China and Taipei, Taiwan. We have an additional research and development center in Lawrenceville, Georgia. In our Sugar Land facility, we manufacture laser chips (utilizing our MBE process),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telecom,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manufacturing facility conducts testing on the components, modules or subsystems it manufactures and each such facility is certified to ISO 9001:2008. Our facilities in Ningbo, China, Taipei, Taiwan, and Sugar Land, TX are all certified to ISO 14001:2004.</w:t>
      </w:r>
    </w:p>
    <w:p>
      <w:pPr>
        <w:spacing w:after="0" w:line="16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CATV, FTTH, telecom and internet data center customers. Throughout our sales cycle, we work closely with our customers to achieve design wins that we believe provide long-lasting relationships and promote higher customer retention.</w:t>
      </w:r>
    </w:p>
    <w:p>
      <w:pPr>
        <w:spacing w:after="0" w:line="16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principal executive offices are located at 13139 Jess Pirtle Blvd., Sugar Land, TX 77478, and our telephone number is (281) 295-1800.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6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w w:val="91"/>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60" w:type="dxa"/>
            <w:vAlign w:val="bottom"/>
            <w:gridSpan w:val="4"/>
          </w:tcPr>
          <w:p>
            <w:pPr>
              <w:jc w:val="center"/>
              <w:ind w:right="15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center"/>
              <w:ind w:left="435"/>
              <w:spacing w:after="0" w:line="142" w:lineRule="exact"/>
              <w:rPr>
                <w:sz w:val="20"/>
                <w:szCs w:val="20"/>
                <w:color w:val="auto"/>
              </w:rPr>
            </w:pPr>
            <w:r>
              <w:rPr>
                <w:rFonts w:ascii="Arial" w:cs="Arial" w:eastAsia="Arial" w:hAnsi="Arial"/>
                <w:sz w:val="14"/>
                <w:szCs w:val="14"/>
                <w:b w:val="1"/>
                <w:bCs w:val="1"/>
                <w:color w:val="auto"/>
                <w:w w:val="96"/>
              </w:rPr>
              <w:t>2017</w:t>
            </w:r>
          </w:p>
        </w:tc>
        <w:tc>
          <w:tcPr>
            <w:tcW w:w="52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3"/>
          </w:tcPr>
          <w:p>
            <w:pPr>
              <w:jc w:val="center"/>
              <w:ind w:left="333"/>
              <w:spacing w:after="0" w:line="142" w:lineRule="exact"/>
              <w:rPr>
                <w:sz w:val="20"/>
                <w:szCs w:val="20"/>
                <w:color w:val="auto"/>
              </w:rPr>
            </w:pPr>
            <w:r>
              <w:rPr>
                <w:rFonts w:ascii="Arial" w:cs="Arial" w:eastAsia="Arial" w:hAnsi="Arial"/>
                <w:sz w:val="14"/>
                <w:szCs w:val="14"/>
                <w:b w:val="1"/>
                <w:bCs w:val="1"/>
                <w:color w:val="auto"/>
                <w:w w:val="89"/>
              </w:rPr>
              <w:t>2016</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$ 96,224</w:t>
            </w: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Cost of goods sold</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54,752</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56.9 %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36,169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71.7 %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41,472</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14,253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2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16.7 %</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Sales and marketing</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1,903</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3.3 %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2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11.4 %</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17,157</w:t>
            </w:r>
          </w:p>
        </w:tc>
        <w:tc>
          <w:tcPr>
            <w:tcW w:w="2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15,809</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24,315</w:t>
            </w: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Other income (expense)</w:t>
            </w:r>
          </w:p>
        </w:tc>
        <w:tc>
          <w:tcPr>
            <w:tcW w:w="2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0.2 %</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Interest expense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0.7 %</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Total other income (expense)</w:t>
            </w:r>
          </w:p>
        </w:tc>
        <w:tc>
          <w:tcPr>
            <w:tcW w:w="2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21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23,443</w:t>
            </w:r>
          </w:p>
        </w:tc>
        <w:tc>
          <w:tcPr>
            <w:tcW w:w="2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(3,654)</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0.4 %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$ 19,789</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3460" w:type="dxa"/>
            <w:vAlign w:val="bottom"/>
          </w:tcPr>
          <w:p>
            <w:pPr>
              <w:spacing w:after="0"/>
              <w:rPr>
                <w:sz w:val="24"/>
                <w:szCs w:val="24"/>
                <w:color w:val="auto"/>
              </w:rPr>
            </w:pPr>
          </w:p>
        </w:tc>
        <w:tc>
          <w:tcPr>
            <w:tcW w:w="2140" w:type="dxa"/>
            <w:vAlign w:val="bottom"/>
          </w:tcPr>
          <w:p>
            <w:pPr>
              <w:jc w:val="right"/>
              <w:ind w:right="890"/>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420" w:top="125" w:right="12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generate revenue through the sale of our products to equipment providers and network operators for the internet data center, CATV, FTTH and telecom markets. We derive a significant portion of our revenue from our top ten customers, and we anticipate that we will continue to do so for the foreseeable future. The following charts provide the revenue contribution from each of the markets we served for the three months ended March 31, 2017 and 2016 (in thousands):</w:t>
      </w:r>
    </w:p>
    <w:p>
      <w:pPr>
        <w:spacing w:after="0" w:line="159"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Three months ended</w:t>
      </w:r>
    </w:p>
    <w:p>
      <w:pPr>
        <w:ind w:left="74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CATV</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Data Center</w:t>
            </w: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82.7 %</w:t>
            </w: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77.3 %</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FTTH</w:t>
            </w: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0.1 %</w:t>
            </w: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0.8 %</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Telecom</w:t>
            </w: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3.3 %</w:t>
            </w: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6.1 %</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0.3 %</w:t>
            </w: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0.3 %</w:t>
            </w:r>
          </w:p>
        </w:tc>
      </w:tr>
      <w:tr>
        <w:trPr>
          <w:trHeight w:val="217"/>
        </w:trPr>
        <w:tc>
          <w:tcPr>
            <w:tcW w:w="68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vMerge w:val="restart"/>
          </w:tcPr>
          <w:p>
            <w:pPr>
              <w:jc w:val="right"/>
              <w:ind w:right="59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6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CATV</w:t>
            </w:r>
          </w:p>
        </w:tc>
        <w:tc>
          <w:tcPr>
            <w:tcW w:w="2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$ 13,094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Data Center</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79,594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38,980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40,614</w:t>
            </w:r>
          </w:p>
        </w:tc>
        <w:tc>
          <w:tcPr>
            <w:tcW w:w="900" w:type="dxa"/>
            <w:vAlign w:val="bottom"/>
            <w:gridSpan w:val="3"/>
          </w:tcPr>
          <w:p>
            <w:pPr>
              <w:jc w:val="right"/>
              <w:ind w:right="30"/>
              <w:spacing w:after="0"/>
              <w:rPr>
                <w:sz w:val="20"/>
                <w:szCs w:val="20"/>
                <w:color w:val="auto"/>
              </w:rPr>
            </w:pPr>
            <w:r>
              <w:rPr>
                <w:rFonts w:ascii="Arial" w:cs="Arial" w:eastAsia="Arial" w:hAnsi="Arial"/>
                <w:sz w:val="18"/>
                <w:szCs w:val="18"/>
                <w:color w:val="auto"/>
              </w:rPr>
              <w:t>104.2 %</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FTTH</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9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Telecom</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3,171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900" w:type="dxa"/>
            <w:vAlign w:val="bottom"/>
            <w:gridSpan w:val="3"/>
          </w:tcPr>
          <w:p>
            <w:pPr>
              <w:jc w:val="right"/>
              <w:ind w:right="3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9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17"/>
        </w:trPr>
        <w:tc>
          <w:tcPr>
            <w:tcW w:w="350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3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96,224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50,422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45,802</w:t>
            </w:r>
          </w:p>
        </w:tc>
        <w:tc>
          <w:tcPr>
            <w:tcW w:w="1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Growth in the three months ended March 31, 2017 was driven primarily by increasing revenue from our internet data center customers, and we also anticipate that our revenue derived from this market will continue to increase as a percentage of our revenue as we further penetrate and extend our products into this market.</w:t>
      </w:r>
    </w:p>
    <w:p>
      <w:pPr>
        <w:spacing w:after="0" w:line="16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During the three months ended March 31, 2017, revenues in the internet data center market were driven primarily by increasing demand for our 40 gigabits per second and 100 Gbps transceivers as our customers continued to upgrade their technology infrastructure. The decrease in revenue in our FTTH market is due to a decline in demand for certain older legacy products. Demand for these legacy products is expected to continue to fluctuate. The increase in revenues in the CATV market for the year was a result of increased demand from customers who are supplying equipment for CATV network upgrades which began during the year. Revenue in our telecom market was relatively flat compared to the prior year, representing consistent demand by our telecom customers.</w:t>
      </w:r>
    </w:p>
    <w:p>
      <w:pPr>
        <w:spacing w:after="0" w:line="17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the three months ended March 31, 2017 and 2016, our top ten customers represented 96.7% and 92.3% of our revenue,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6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Amount   Revenue</w:t>
            </w: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Amount   Revenue</w:t>
            </w:r>
          </w:p>
        </w:tc>
        <w:tc>
          <w:tcPr>
            <w:tcW w:w="6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60" w:type="dxa"/>
            <w:vAlign w:val="bottom"/>
            <w:gridSpan w:val="6"/>
          </w:tcPr>
          <w:p>
            <w:pPr>
              <w:ind w:left="260"/>
              <w:spacing w:after="0" w:line="142" w:lineRule="exact"/>
              <w:rPr>
                <w:sz w:val="20"/>
                <w:szCs w:val="20"/>
                <w:color w:val="auto"/>
              </w:rPr>
            </w:pPr>
            <w:r>
              <w:rPr>
                <w:rFonts w:ascii="Arial" w:cs="Arial" w:eastAsia="Arial" w:hAnsi="Arial"/>
                <w:sz w:val="14"/>
                <w:szCs w:val="14"/>
                <w:b w:val="1"/>
                <w:bCs w:val="1"/>
                <w:color w:val="auto"/>
                <w:w w:val="88"/>
              </w:rPr>
              <w:t>(in thousands, except percentages)</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$54,752</w:t>
            </w:r>
          </w:p>
        </w:tc>
        <w:tc>
          <w:tcPr>
            <w:tcW w:w="1580" w:type="dxa"/>
            <w:vAlign w:val="bottom"/>
            <w:gridSpan w:val="3"/>
            <w:shd w:val="clear" w:color="auto" w:fill="CCEEFF"/>
          </w:tcPr>
          <w:p>
            <w:pPr>
              <w:jc w:val="right"/>
              <w:ind w:right="202"/>
              <w:spacing w:after="0"/>
              <w:rPr>
                <w:sz w:val="20"/>
                <w:szCs w:val="20"/>
                <w:color w:val="auto"/>
              </w:rPr>
            </w:pPr>
            <w:r>
              <w:rPr>
                <w:rFonts w:ascii="Arial" w:cs="Arial" w:eastAsia="Arial" w:hAnsi="Arial"/>
                <w:sz w:val="18"/>
                <w:szCs w:val="18"/>
                <w:color w:val="auto"/>
              </w:rPr>
              <w:t>56.9 % $36,169</w:t>
            </w:r>
          </w:p>
        </w:tc>
        <w:tc>
          <w:tcPr>
            <w:tcW w:w="14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71.7 % $18,583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Gross margin</w:t>
            </w:r>
          </w:p>
        </w:tc>
        <w:tc>
          <w:tcPr>
            <w:tcW w:w="2420" w:type="dxa"/>
            <w:vAlign w:val="bottom"/>
            <w:gridSpan w:val="2"/>
          </w:tcPr>
          <w:p>
            <w:pPr>
              <w:jc w:val="right"/>
              <w:ind w:right="208"/>
              <w:spacing w:after="0"/>
              <w:rPr>
                <w:sz w:val="20"/>
                <w:szCs w:val="20"/>
                <w:color w:val="auto"/>
              </w:rPr>
            </w:pPr>
            <w:r>
              <w:rPr>
                <w:rFonts w:ascii="Arial" w:cs="Arial" w:eastAsia="Arial" w:hAnsi="Arial"/>
                <w:sz w:val="18"/>
                <w:szCs w:val="18"/>
                <w:color w:val="auto"/>
              </w:rPr>
              <w:t>41,472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43.1 %</w:t>
            </w:r>
          </w:p>
        </w:tc>
        <w:tc>
          <w:tcPr>
            <w:tcW w:w="860" w:type="dxa"/>
            <w:vAlign w:val="bottom"/>
          </w:tcPr>
          <w:p>
            <w:pPr>
              <w:jc w:val="right"/>
              <w:ind w:right="202"/>
              <w:spacing w:after="0"/>
              <w:rPr>
                <w:sz w:val="20"/>
                <w:szCs w:val="20"/>
                <w:color w:val="auto"/>
              </w:rPr>
            </w:pPr>
            <w:r>
              <w:rPr>
                <w:rFonts w:ascii="Arial" w:cs="Arial" w:eastAsia="Arial" w:hAnsi="Arial"/>
                <w:sz w:val="18"/>
                <w:szCs w:val="18"/>
                <w:color w:val="auto"/>
              </w:rPr>
              <w:t>14,253</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28.3 %</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Cost of goods sold increased by $18.6 million, or 51.4%, for the three months ended March 31, 2017, as compared to the three months ended March 31, 2016, primarily due to a 45.6% increase in sales over the prior year. The increase in gross margin for the three months ended March 31, 2017 compared to the same period ended March 31, 2016</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was primarily the result of lower production costs associated with certain 40G and 100G products. Production costs were reduced due mainly to improved product yields, related to process improvements and automation.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w w:val="93"/>
              </w:rPr>
              <w:t>Three months ended March 31,</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vMerge w:val="restart"/>
          </w:tcPr>
          <w:p>
            <w:pPr>
              <w:jc w:val="right"/>
              <w:ind w:right="49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w w:val="83"/>
              </w:rPr>
              <w:t>2017</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(964)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8"/>
              </w:rPr>
              <w:t>(11.5)%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1,903</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1,680</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13.3 %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36.4 %</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17,157</w:t>
            </w:r>
          </w:p>
        </w:tc>
        <w:tc>
          <w:tcPr>
            <w:tcW w:w="2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15,809</w:t>
            </w: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1,348</w:t>
            </w:r>
          </w:p>
        </w:tc>
        <w:tc>
          <w:tcPr>
            <w:tcW w:w="16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Research and development expense decreased by $1.0 million, or 11.5%, for the three months ended March 31, 2017 as compared to the three months ended March 31, 2016. Research and development costs consist of R&amp;D work orders, R&amp;D material usage and other project related costs related to 40G, 100G, and 200/400G data center products, DOCSIS 3.1-capable CATV products, including remote-PHY products, and other new product development, and depreciation expense resulting from R&amp;D equipment investments. Research and development costs decreased for the three months ended March 31, 2017 as compared to the three months ended March 31, 2016 due mainly to a decrease in materials and supplies used in R&amp;D activities, partially offset by an increase in personnel-related costs and increased overhead costs associated with our new building in Sugar Land.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Sales and marketing expense increased by $0.2 million, or 13.3%, for the three months ended March 31, 2017 as compared to the three months ended March 31, 2016. This increase was due to an increase in personnel costs, including sales commissions, partially offset by decreased commissions payable to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General and administrative expense increased by $2.1 million, or 36.4%, for the three months ended March 31, 2017 compared to the three months ended March 31, 2016. This was primarily due to an increase in personnel-related costs, overhead costs due to our new building in Sugar Land, and additional professional service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10"/>
          </w:tcPr>
          <w:p>
            <w:pPr>
              <w:jc w:val="right"/>
              <w:ind w:right="550"/>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restart"/>
          </w:tcPr>
          <w:p>
            <w:pPr>
              <w:jc w:val="right"/>
              <w:ind w:right="334"/>
              <w:spacing w:after="0"/>
              <w:rPr>
                <w:sz w:val="20"/>
                <w:szCs w:val="20"/>
                <w:color w:val="auto"/>
              </w:rPr>
            </w:pPr>
            <w:r>
              <w:rPr>
                <w:rFonts w:ascii="Arial" w:cs="Arial" w:eastAsia="Arial" w:hAnsi="Arial"/>
                <w:sz w:val="14"/>
                <w:szCs w:val="14"/>
                <w:b w:val="1"/>
                <w:bCs w:val="1"/>
                <w:color w:val="auto"/>
              </w:rPr>
              <w:t>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right"/>
              <w:ind w:right="398"/>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right"/>
              <w:ind w:right="397"/>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860" w:type="dxa"/>
            <w:vAlign w:val="bottom"/>
            <w:gridSpan w:val="4"/>
            <w:vMerge w:val="restart"/>
          </w:tcPr>
          <w:p>
            <w:pPr>
              <w:ind w:left="122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6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6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revenue</w:t>
            </w:r>
          </w:p>
        </w:tc>
        <w:tc>
          <w:tcPr>
            <w:tcW w:w="680" w:type="dxa"/>
            <w:vAlign w:val="bottom"/>
            <w:gridSpan w:val="4"/>
            <w:vMerge w:val="continue"/>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revenue</w:t>
            </w:r>
          </w:p>
        </w:tc>
        <w:tc>
          <w:tcPr>
            <w:tcW w:w="680" w:type="dxa"/>
            <w:vAlign w:val="bottom"/>
            <w:gridSpan w:val="4"/>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12"/>
          </w:tcPr>
          <w:p>
            <w:pPr>
              <w:ind w:left="46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(299)</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(401)</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(608)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(942)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7"/>
        </w:trPr>
        <w:tc>
          <w:tcPr>
            <w:tcW w:w="328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1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(872)</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(906)</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(2,664.</w:t>
            </w:r>
            <w:r>
              <w:rPr>
                <w:rFonts w:ascii="Arial" w:cs="Arial" w:eastAsia="Arial" w:hAnsi="Arial"/>
                <w:sz w:val="18"/>
                <w:szCs w:val="18"/>
                <w:u w:val="single" w:color="auto"/>
                <w:color w:val="auto"/>
                <w:w w:val="88"/>
              </w:rPr>
              <w:t>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decreased 65.3% for the three months ended March 31, 2017 as compared to the three months ended March 31, 2016 due to lower investment balances during the period.</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Interest expense decreased 25.4% for the three months ended March 31, 2017 as compared to the three months ended March 31, 2016. This was due to repayment of debt that had been previously borrowed to fund expansion projects.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Other income (expense) decreased by $1.0 million for the three months ended March 31, 2017 compared to the same period of the prior year due to unrealized foreign exchange losses resulting from the unfavorable fluctuation of certain Asian currencies against the U.S. dollar. We qualify as a high-tech enterprise in China, as determined by the Chinese government, and are paid subsidies from time to time by the Chinese government to foster local high-tech manufacturing. We did not receive subsidies during the three months ended March 31, 2017 and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0"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6350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6120"/>
        <w:spacing w:after="0"/>
        <w:tabs>
          <w:tab w:leader="none" w:pos="6840" w:val="left"/>
          <w:tab w:leader="none" w:pos="78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-3175</wp:posOffset>
            </wp:positionV>
            <wp:extent cx="1809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6320"/>
        <w:spacing w:after="0" w:line="233" w:lineRule="auto"/>
        <w:rPr>
          <w:sz w:val="20"/>
          <w:szCs w:val="20"/>
          <w:color w:val="auto"/>
        </w:rPr>
      </w:pPr>
      <w:r>
        <w:rPr>
          <w:rFonts w:ascii="Arial" w:cs="Arial" w:eastAsia="Arial" w:hAnsi="Arial"/>
          <w:sz w:val="14"/>
          <w:szCs w:val="14"/>
          <w:b w:val="1"/>
          <w:bCs w:val="1"/>
          <w:color w:val="auto"/>
        </w:rPr>
        <w:t>(in thousands, except percentages)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(3,654)</w:t>
            </w:r>
          </w:p>
        </w:tc>
        <w:tc>
          <w:tcPr>
            <w:tcW w:w="2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$ 192   (3,846)  (2,003.1)%</w:t>
            </w:r>
          </w:p>
        </w:tc>
      </w:tr>
    </w:tbl>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tax provision or benefit from income taxes for interim periods is determined using an estimate of our annual effective tax rate, adjusted for discrete items, if any, that are taken into account in the relevant period. Our quarterly tax provision, and our quarterly estimate of our annual effective tax rate, is subject to significant variation due to several factors, including variability in accurately predicting our pre-tax income and loss and the mix of jurisdictions to which they relate, tax law developments, and relative changes in permanent tax benefits or expenses.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tax rate for the three months ended March 31, 2017 and 2016 was 15.59% and 12.61%,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the three months ended March 31, 2017, the effective tax rate varied from the federal statutory rate of 35%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the level and mix of earnings among tax jurisdictions. Additionally, we recognized a tax benefit of $0.5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for excess tax benefits due to employee share-based compensation in accordance with ASU 2016-09.</w:t>
      </w:r>
    </w:p>
    <w:p>
      <w:pPr>
        <w:spacing w:after="0" w:line="21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For the three months ended March 31, 2016, the effective tax rate varied from the federal statutory rate of 35% primarily due to valuation allowances recorded on the deferred tax assets in the US and our foreign jurisdictions.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1, 2017, we adopted ASU 2016-09, "Improvements to Employee Share-Based Payment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Accounting." The new standard requires that the tax impact related to the difference between share-based compensation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book and tax purposes be recognized as income tax benefit or expense in our condensed consolidated statement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reporting period in which such awards vest. The standard also required a modified retrospective adoption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previously unrecognized excess tax benefits. Accordingly, we recognized a deferred tax asset of $1.2 million and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corresponding credit to retained earnings in conjunction with the adoption. The effects of adopting the other provisions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ASU 2016-09 were not significant. See also Note 2 —Significant Accounting Policies —Recent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Pronouncements for additional information.</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221E1F"/>
        </w:rPr>
        <w:t xml:space="preserve">We recorded a valuation allowance against our deferred tax assets in China as of March 31, 2017 and December 31, 2016. </w:t>
      </w:r>
      <w:r>
        <w:rPr>
          <w:rFonts w:ascii="Arial" w:cs="Arial" w:eastAsia="Arial" w:hAnsi="Arial"/>
          <w:sz w:val="17"/>
          <w:szCs w:val="17"/>
          <w:color w:val="000000"/>
        </w:rPr>
        <w:t>In the third quarter of 2016, we removed the valuation allowances that had been recorded against our U.S. and Taiwan</w:t>
      </w:r>
      <w:r>
        <w:rPr>
          <w:rFonts w:ascii="Arial" w:cs="Arial" w:eastAsia="Arial" w:hAnsi="Arial"/>
          <w:sz w:val="17"/>
          <w:szCs w:val="17"/>
          <w:color w:val="221E1F"/>
        </w:rPr>
        <w:t xml:space="preserve"> </w:t>
      </w:r>
      <w:r>
        <w:rPr>
          <w:rFonts w:ascii="Arial" w:cs="Arial" w:eastAsia="Arial" w:hAnsi="Arial"/>
          <w:sz w:val="17"/>
          <w:szCs w:val="17"/>
          <w:color w:val="000000"/>
        </w:rPr>
        <w:t xml:space="preserve">deferred tax assets. </w:t>
      </w:r>
      <w:r>
        <w:rPr>
          <w:rFonts w:ascii="Arial" w:cs="Arial" w:eastAsia="Arial" w:hAnsi="Arial"/>
          <w:sz w:val="17"/>
          <w:szCs w:val="17"/>
          <w:color w:val="221E1F"/>
        </w:rPr>
        <w:t>We intend to continue maintaining a full valuation allowance on our China deferred tax assets until there</w:t>
      </w:r>
      <w:r>
        <w:rPr>
          <w:rFonts w:ascii="Arial" w:cs="Arial" w:eastAsia="Arial" w:hAnsi="Arial"/>
          <w:sz w:val="17"/>
          <w:szCs w:val="17"/>
          <w:color w:val="000000"/>
        </w:rPr>
        <w:t xml:space="preserve"> </w:t>
      </w:r>
      <w:r>
        <w:rPr>
          <w:rFonts w:ascii="Arial" w:cs="Arial" w:eastAsia="Arial" w:hAnsi="Arial"/>
          <w:sz w:val="17"/>
          <w:szCs w:val="17"/>
          <w:color w:val="221E1F"/>
        </w:rPr>
        <w:t>is sufficient evidence to support the reversal of all or some portion of these allowances. However, given our current earnings and anticipated future earnings, we believe that there is a reasonable possibility that within the next 12 months, sufficient positive evidence may become available to allow us to reach a conclusion that a significant portion of the valuation allowance in China will no longer be needed. Release of the valuation allowance would result in the recognition of $0.4 million of deferred tax assets and a decrease to income tax expense for the same amount in the period the release is recorded. However, the exact timing and amount of the valuation allowance release are subject to change on the basis of the level of profitability that we are able to actually achieve.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From inception until our initial public offering in September 2013, we financed our operations through private sales of equity securities, cash generated from operations and from various lending arrangements. As of March 31, 2017, we had $50.0 million of unused borrowing capacity from all of our loan agreements. As of March 31, 2017, our cash, cash equivalents, restricted cash and short-term investments totaled $60.6 million. Cash and cash equivalents are held for working capital purposes and are invested primarily in money market or time deposit funds. We do not enter into investments for trading or speculative purposes. On October 17, 2016, we filed a Registration Statement on Form S-3 with the Securities and Exchange Commission, which was declared effective on November 1, 2016, providing for the public offer and sale of certain securities of the Company from time to time, at our discretion, up to an aggregate amount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$250 million. Between November 22, 2016 and March 2, 2017, the Company sold 1.6 million shares of common stock at a weighted average price of $31.55 per share, providing proceeds of $48.8 million, net of expenses and underwriting discounts and commissions.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(8,921)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(17,668)</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26,478</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bottom w:val="single" w:sz="8" w:color="CCEEFF"/>
            </w:tcBorders>
          </w:tcPr>
          <w:p>
            <w:pPr>
              <w:spacing w:after="0"/>
              <w:rPr>
                <w:sz w:val="18"/>
                <w:szCs w:val="18"/>
                <w:color w:val="auto"/>
              </w:rPr>
            </w:pPr>
          </w:p>
        </w:tc>
      </w:tr>
      <w:tr>
        <w:trPr>
          <w:trHeight w:val="217"/>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17,454</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For the three months ended March 31, 2017, net cash provided by operating activities was $9.7 million. Net cash provided by operating activities consisted of our net income of $19.8 million, after the exclusion of non-cash items of $7.7 million as well as an increase in accounts payable from our vendors of $10.2 million, decrease in prepaid assets of $4.8 million. These cash increases were offset by an increase in accounts receivable from our customers of $16.6 million, an increase in inventories of $4.3 million, an increase in prepaid assets of $5.1 million and a decrease in accrued liabilities of $1.2 million.</w:t>
      </w:r>
    </w:p>
    <w:p>
      <w:pPr>
        <w:spacing w:after="0" w:line="19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For the three months ended March 31, 2016, net cash provided by operating activities was $8.9 million. During the three months ended March 31, 2016, we recorded a net loss of $1.3 million. The net loss included non-cash charges, including depreciation and amortization of $3.0 million, share-based compensation expense of $0.8 million and non-cash increases to our inventory reserve account of $0.4 million. Cash provided by operating activities primarily related to a $6.2 million decrease in inventory related to sales orders and a decrease in our accounts receivable of $3.9 million from the collection of trade receivables from our customers, offset by cash used to decrease accounts payable to our vendors of $3.6 million and a decrease in accrued expenses of $2.2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the three months ended March 31, 2017, net cash used in investing activities was $8.9 million mainly for the purchase of additional machinery and equipment.</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For the three months ended March 31, 2016, net cash used in investing activities was $17.7 million mainly for the purchase of additional machinery and equipment and investment in construction of our U.S. plant, and increase in deposits and deferred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For the three months ended March 31, 2017, our financing activities provided $7.7 million in cash. We received $21.6 million in net proceeds from the sale of our common stock pursuant to an at-the market offering. In addition, we repaid $14.7 million of notes payable, offset by a decrease in restricted cash related to the repayment of notes payable.</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For the three months ended March 31, 2016, our financing activities provided $26.5 million in cash. We received $26.9 million in net borrowings associated with our bank loans, offset by $0.2 million repayment of notes payable and $0.2 million in increase in restricted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lending arrangements with several financial institutions, including a revolving line of credit and a term loan with East West Bank and Comerica Bank in the U.S., lines of credit and financing agreements for our Taiwan branch and several lines of credit arrangements for our China subsidiary. As of March 31, 2017, we had $50.0 million of unused borrowing capacity.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On June 24, 2016, we entered into a First Amendment to the Credit Agreement with East West Bank and Comerica Bank (the “First Amendment”), a second lien deed of trust, multiple security agreements and promissory notes evidencing two credit facilities and a term loan originally entered into on June 30, 2015. The First Amendment increased our revolving lines of credit from $25 million to $40 million, which mature on June 30, 2018, and retained a $10.0 million term loan maturing on June 30, 2020. The First Amendment also provides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2.75% or 3.0% to LIBOR Borrowing Rate plus 2.0%. As of March 31, 2017, no balance was outstanding under the revolving line of credit. On February 27, 2017, we repaid the outstanding balance of $9.4 million under the term loan and terminated the loan.</w:t>
      </w:r>
    </w:p>
    <w:p>
      <w:pPr>
        <w:spacing w:after="0" w:line="19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also had a term loan with East West Bank of $5.0 million with monthly payments of principal and interest that matured on July 31, 2019. On February 27, 2017, we repaid the outstanding balance of $2.8 million and terminated the loan.</w:t>
      </w:r>
    </w:p>
    <w:p>
      <w:pPr>
        <w:spacing w:after="0" w:line="12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June 24, 2016, we executed a Change in Terms Agreement, Notice of Final Agreement and Modification of the Construction Loan Agreement (the “Modification Agreement”) in connection with our Construction Loan Agreement with East West Bank for up to $22.0 million dollars to finance the construction of our campus expansion plan in Sugar Land, Texas, originally dated January 26, 2015 (the “Construction Loan Agreement”). Upon signing the original Construction Loan Agreement, we deposited $11.0 million into a restricted bank account for owner’s contribution of construction costs. The Modification Agreement has a fifteen-month draw down period with monthly interest payments commencing on February 26, 2015 and ending on July 31, 2016. Thereafter, the entire outstanding principal balance shall be converted to a sixty-six month term loan with principal and interest payments due monthly amortized over three hundred months. The first principal and interest payment commenced on August 26, 2016, and continue the same day of each month thereafter. The final principal and interest payment is due on January 26, 2022 and will include all unpaid principal and all accrued and unpaid interest. We may pay without penalty all or a portion of the amount owed earlier than due. Under the Construction Loan Agreement, the loan bears interest at an annual rate based on the one-month LIBOR Borrowing Rate plus 2.75%, and the interest rate is adjusted to LIBOR Borrowing Rate plus 2.0% under the Modification Agreement.</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September 27, 2016, we executed a Change in Terms Agreement, Notice of Final Agreement and Second Modification to the Construction Loan Agreement (the “Second Modifications”) to the Construction Loan Agreement with East West Bank. The Second Modifications amends and restates in part our Promissory Note and Construction Loan Agreement, which was originally executed on January 26, 2015, and the Modification Agreement. The draw down period end date, under the Second Modifications, was amended from July 31, 2016 to September 30, 2016. And thereafter, the entire outstanding principal balance shall be converted to a sixty-four (64) month term loan, amended from a sixty (66) month term loan, with principal and interest payments due monthly amortized over three hundred (300) months. The first principal and interest payment was due on October 26, 2016 and will continue on the same day of each month thereafter. The final principal and interest payment is due on January 26, 2022 and will include all unpaid principal and all accrued and unpaid interest. Except as expressly changed by the Second Modifications, the terms of the original obligation and the Modification Agreement remain unchanged. As of March 31, 2017, $21.5 million was outstanding under the construction loan.</w:t>
      </w:r>
    </w:p>
    <w:p>
      <w:pPr>
        <w:spacing w:after="0" w:line="17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loan and security agreements with East West Bank and Comerica Bank require us to maintain certain financial covenants, including a minimum cash balance, a current ratio, a maximum leverage ratio and a minimum fixed charge coverage ratio. Collateral for the U.S. bank loans and line of credit includes substantially all of the assets of the Company. As of March 31, 2017, we were in compliance with all covenants contained in these agreements.</w:t>
      </w:r>
    </w:p>
    <w:p>
      <w:pPr>
        <w:spacing w:after="0" w:line="17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June 30, 2015, our Taiwan branch entered into a Purchase and Sale Contract and a Finance Lease Agreement with Chailease Finance Co, Ltd. (“Chailease”) in connection with certain equipment, structured as a sale lease-back transaction. Pursuant to the sale contract, our Taiwan branch sold certain equipment to Chailease for a purchase price of 115,240,903 New Taiwan dollars, approximately $3.7 million, and simultaneously leased the equipment back from Chailease pursuant to the Finance Lease Agreement. The monthly lease payments range from 2,088,804 New Taiwan dollars, approximately $0.1 million, to 2,364,650 New Taiwan dollars, approximately $0.1 million, during the term of the Finance Lease Agreement, including an initial payment in an amount of 40,240,903 New Taiwan dollars, approximately $1.3 million. The Finance Lease Agreement has a three-year term, with monthly payments, maturing on May 27 and June 30, 2018 respectively. The title to the equipment will be transferred to our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Taiwan branch upon the expiration of the Finance Lease Agreement. On January 29, 2017, our Taiwan branch entered into an early Termination Agreement with Chailease to terminate the Purchase and Sale Contract and the Finance Lease Agreement. Under the terms of the Termination Agreement, we agreed to pay $1.2 million to Chailease which includes all costs and expenses associated with the early termination. Chailease agreed to transfer title to us of all property contemplated under the Lease Agreement. As of March 31, 2017, $1.5 million was outstanding under this Finance Lease Agreement.</w:t>
      </w:r>
    </w:p>
    <w:p>
      <w:pPr>
        <w:spacing w:after="0" w:line="15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March 31, 2016, our Taiwan branch entered into a Purchase and Sale Contract and a Finance Lease Agreement with Chailease in connection with certain equipment, structured as a sale lease-back transaction. Pursuant to the Purchase and Sale Contract, our Taiwan branch sold certain equipment to Chailease for a purchase price of 312,927,180 New Taiwan dollars, approximately $10.1 million, and simultaneously leased the equipment back from Chailease pursuant to the Finance Lease Agreement. The Finance Lease Agreement has a three-year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our Taiwan branch upon the expiration of the Finance Lease Agreement. As of March 31, 2017, $5.5 million was outstanding under this Finance Lease Agreement.</w:t>
      </w:r>
    </w:p>
    <w:p>
      <w:pPr>
        <w:spacing w:after="0" w:line="16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Chinese subsidiary had credit facilities with China Construction Bank totaling $13.2 million, which could be drawn in U.S. currency, RMB currency, issuing bank acceptance notes to vendors with different interest rates or issuing standby letters of credit. We pledged the land use rights and buildings of our Chinese subsidiary as collateral for the credit facility. Our Chinese subsidiary used $10.0 million of its credit facility to issue standby letters of credit as collateral for our Taiwan branch line of credit with China Construction Bank. As of March 31, 2017, we had repaid all outstanding balances and terminated the loan agreement with China Construction Bank.</w:t>
      </w:r>
    </w:p>
    <w:p>
      <w:pPr>
        <w:spacing w:after="0" w:line="17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March 31, 2017, there was no restricted cash, investments or security deposit associated with the loan facilities.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nine months, and such notes receivable may be redeemed with the issuing bank prior to maturity at a discount. Historically, we have collected on the notes receivable in full at the time of maturity.</w:t>
      </w:r>
    </w:p>
    <w:p>
      <w:pPr>
        <w:spacing w:after="0" w:line="18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believe that our existing cash and cash equivalents, and cash flows from our operating activities and borrowings from our lenders,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including our equity financing under our Registration Statement filed with the SEC in October 2016. The sale of additional equity or debt security could result in additional dilution to our stockholders, and its terms and prices may not be acceptable to us.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March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4"/>
                <w:szCs w:val="14"/>
                <w:b w:val="1"/>
                <w:bCs w:val="1"/>
                <w:color w:val="auto"/>
                <w:w w:val="91"/>
              </w:rPr>
              <w:t>Payments due by period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1720" w:type="dxa"/>
            <w:vAlign w:val="bottom"/>
            <w:gridSpan w:val="7"/>
          </w:tcPr>
          <w:p>
            <w:pPr>
              <w:ind w:left="160"/>
              <w:spacing w:after="0" w:line="119" w:lineRule="exact"/>
              <w:rPr>
                <w:sz w:val="20"/>
                <w:szCs w:val="20"/>
                <w:color w:val="auto"/>
              </w:rPr>
            </w:pPr>
            <w:r>
              <w:rPr>
                <w:rFonts w:ascii="Arial" w:cs="Arial" w:eastAsia="Arial" w:hAnsi="Arial"/>
                <w:sz w:val="13"/>
                <w:szCs w:val="13"/>
                <w:b w:val="1"/>
                <w:bCs w:val="1"/>
                <w:color w:val="auto"/>
              </w:rPr>
              <w:t>Less than 1</w:t>
            </w:r>
          </w:p>
        </w:tc>
        <w:tc>
          <w:tcPr>
            <w:tcW w:w="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82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1-3 Years</w:t>
            </w:r>
          </w:p>
        </w:tc>
        <w:tc>
          <w:tcPr>
            <w:tcW w:w="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and long-term debt</w:t>
            </w:r>
            <w:r>
              <w:rPr>
                <w:rFonts w:ascii="Arial" w:cs="Arial" w:eastAsia="Arial" w:hAnsi="Arial"/>
                <w:sz w:val="8"/>
                <w:szCs w:val="8"/>
                <w:color w:val="auto"/>
              </w:rPr>
              <w:t>(1)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$ 31,563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$ 20,596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8"/>
                <w:szCs w:val="8"/>
                <w:color w:val="auto"/>
              </w:rPr>
              <w:t>(2)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12,962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3,074</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commitments</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44,525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8,542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25,968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560" w:hanging="215"/>
        <w:spacing w:after="0" w:line="271" w:lineRule="auto"/>
        <w:rPr>
          <w:sz w:val="20"/>
          <w:szCs w:val="20"/>
          <w:color w:val="auto"/>
        </w:rPr>
      </w:pPr>
      <w:r>
        <w:rPr>
          <w:rFonts w:ascii="Arial" w:cs="Arial" w:eastAsia="Arial" w:hAnsi="Arial"/>
          <w:sz w:val="17"/>
          <w:szCs w:val="17"/>
          <w:color w:val="auto"/>
        </w:rPr>
        <w:t>(1)We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spacing w:after="0"/>
        <w:rPr>
          <w:sz w:val="20"/>
          <w:szCs w:val="20"/>
          <w:color w:val="auto"/>
        </w:rPr>
      </w:pPr>
      <w:r>
        <w:rPr>
          <w:rFonts w:ascii="Arial" w:cs="Arial" w:eastAsia="Arial" w:hAnsi="Arial"/>
          <w:sz w:val="17"/>
          <w:szCs w:val="17"/>
          <w:color w:val="auto"/>
        </w:rPr>
        <w:t>(2) We have entered into various non-cancellable operating lease agreements for our offices in Taiwan and in the U.S.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For the three months ended March 31, 2017, we did not, and we do not currently, have any off-balance sheet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our annual report on Form 10-K for the year ended December 31, 2016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 billion will, in general, qualify as an “emerging growth company” until the earliest of:</w:t>
      </w:r>
    </w:p>
    <w:p>
      <w:pPr>
        <w:spacing w:after="0" w:line="171" w:lineRule="exact"/>
        <w:rPr>
          <w:sz w:val="20"/>
          <w:szCs w:val="20"/>
          <w:color w:val="auto"/>
        </w:rPr>
      </w:pPr>
    </w:p>
    <w:p>
      <w:pPr>
        <w:ind w:left="740" w:right="400" w:hanging="89"/>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170" w:lineRule="exact"/>
        <w:rPr>
          <w:rFonts w:ascii="Arial" w:cs="Arial" w:eastAsia="Arial" w:hAnsi="Arial"/>
          <w:sz w:val="18"/>
          <w:szCs w:val="18"/>
          <w:color w:val="auto"/>
        </w:rPr>
      </w:pPr>
    </w:p>
    <w:p>
      <w:pPr>
        <w:ind w:left="740" w:hanging="8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 billion or more;</w:t>
      </w:r>
    </w:p>
    <w:p>
      <w:pPr>
        <w:spacing w:after="0" w:line="225" w:lineRule="exact"/>
        <w:rPr>
          <w:rFonts w:ascii="Arial" w:cs="Arial" w:eastAsia="Arial" w:hAnsi="Arial"/>
          <w:sz w:val="18"/>
          <w:szCs w:val="18"/>
          <w:color w:val="auto"/>
        </w:rPr>
      </w:pPr>
    </w:p>
    <w:p>
      <w:pPr>
        <w:ind w:left="740" w:right="300" w:hanging="89"/>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 billion in non-convertible debt;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right="20" w:hanging="89"/>
        <w:spacing w:after="0" w:line="276"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date on which it is deemed to be a “large accelerated filer,” which will occur at such time as the company (a) has an aggregate worldwide market value of common equity securities held by non-affiliates of $700 million or more as of the last business day of its most recently completed second fiscal quarter, (b) has been required to file annual and quarterly reports under the Exchange Act for a period of at least 12 months and (c) has filed at least one annual report pursuant to the Securities Act of 1934, as amended.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this definition, we are an “emerging growth company” and could remain one until as late as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For quantitative and qualitative disclosures about market risk affecting the Company, see Item 7A – Quantitative and Qualitative Disclosures about Market Risk in our Annual Report on Form 10-K for the fiscal year ended December 31, 2016. We do not believe the Company’s exposure to market risk has changed materially since December 31,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March 31, 2017. Based upon that evaluation, our Chief Executive Officer and Chief Financial Officer concluded that, as of the end of the period covered by this report,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2017, we were not involved in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24"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generate much of our revenue from a limited number of customers. In 2016, 2015 and 2014 and the three months ended March 31, 2017, our top ten customers represented 95.5%, 88.7%, 87.2% and 96.7% of our revenue, respectively. In 2016, Amazon represented 54.6% of our revenue and Microsoft represented 18.3%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6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For example, in January 2016, Arris completed its purchase of Pace Plc (“Pace”). Pace and Arris have historically been our customers, and if we fail to achieve historical levels of sales of our products to the new entity, the loss or reduction in sales could have an adverse effect on our business, financial condition, results of operations, and cash flows.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9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Although the length of our product development cycle varies widely by product and customer, it may take</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18 months or longer before we receive our first order. As a result, we may incur significant expenses long before customers accept and purchase our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760" w:hanging="109"/>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25" w:lineRule="exact"/>
        <w:rPr>
          <w:rFonts w:ascii="Arial" w:cs="Arial" w:eastAsia="Arial" w:hAnsi="Arial"/>
          <w:sz w:val="18"/>
          <w:szCs w:val="18"/>
          <w:color w:val="auto"/>
        </w:rPr>
      </w:pPr>
    </w:p>
    <w:p>
      <w:pPr>
        <w:ind w:left="820" w:hanging="16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760" w:hanging="109"/>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9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the CATV market does not continue to develop as we expect, or if there is any downturn in this market, our business would be adversely affected.</w:t>
      </w:r>
    </w:p>
    <w:p>
      <w:pPr>
        <w:spacing w:after="0" w:line="170"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Historically, we have generated much of our revenue from the CATV market. In 2016, 2015 and 2014, the CATV market represented 16.7%, 28.3% and 36.3% of our revenue, respectively. In the CATV market, we are relying on expected increasing demand for bandwidth-intensive services and applications such as on-demand television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FTTH market, and our business could be harmed if this market does not develop as we expect.</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For 2016 and 2015, respectively, we generated 0.6%, and 1.3% of our revenue from the FTTH market. We have only recently begun offering products to the FTTH market, and our WDM-PON products designed for this market have not yet,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which would negatively affect our sales, competitive position and reputation. We may also experience delays in production, typically in February, during the Chinese New Year holiday when our facilities in China and Taiwan are closed.</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2,171 of our employees as of December 31, 2016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quarter-to-quarter due to a number of factors, which may lead to volatility in our stock price.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800" w:hanging="149"/>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25" w:lineRule="exact"/>
        <w:rPr>
          <w:rFonts w:ascii="Arial" w:cs="Arial" w:eastAsia="Arial" w:hAnsi="Arial"/>
          <w:sz w:val="18"/>
          <w:szCs w:val="18"/>
          <w:color w:val="auto"/>
        </w:rPr>
      </w:pPr>
    </w:p>
    <w:p>
      <w:pPr>
        <w:ind w:left="740" w:right="760" w:hanging="89"/>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demand for our products, including the increase, decrease, rescheduling or cancellation of significant customer orders;</w:t>
      </w:r>
    </w:p>
    <w:p>
      <w:pPr>
        <w:spacing w:after="0" w:line="170" w:lineRule="exact"/>
        <w:rPr>
          <w:rFonts w:ascii="Arial" w:cs="Arial" w:eastAsia="Arial" w:hAnsi="Arial"/>
          <w:sz w:val="18"/>
          <w:szCs w:val="18"/>
          <w:color w:val="auto"/>
        </w:rPr>
      </w:pPr>
    </w:p>
    <w:p>
      <w:pPr>
        <w:ind w:left="740" w:right="280" w:hanging="89"/>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170" w:lineRule="exact"/>
        <w:rPr>
          <w:rFonts w:ascii="Arial" w:cs="Arial" w:eastAsia="Arial" w:hAnsi="Arial"/>
          <w:sz w:val="18"/>
          <w:szCs w:val="18"/>
          <w:color w:val="auto"/>
        </w:rPr>
      </w:pPr>
    </w:p>
    <w:p>
      <w:pPr>
        <w:ind w:left="760" w:hanging="109"/>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25" w:lineRule="exact"/>
        <w:rPr>
          <w:rFonts w:ascii="Arial" w:cs="Arial" w:eastAsia="Arial" w:hAnsi="Arial"/>
          <w:sz w:val="18"/>
          <w:szCs w:val="18"/>
          <w:color w:val="auto"/>
        </w:rPr>
      </w:pPr>
    </w:p>
    <w:p>
      <w:pPr>
        <w:ind w:left="860" w:hanging="209"/>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840" w:hanging="189"/>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of certain of our products;</w:t>
      </w:r>
    </w:p>
    <w:p>
      <w:pPr>
        <w:spacing w:after="0" w:line="225" w:lineRule="exact"/>
        <w:rPr>
          <w:rFonts w:ascii="Arial" w:cs="Arial" w:eastAsia="Arial" w:hAnsi="Arial"/>
          <w:sz w:val="18"/>
          <w:szCs w:val="18"/>
          <w:color w:val="auto"/>
        </w:rPr>
      </w:pPr>
    </w:p>
    <w:p>
      <w:pPr>
        <w:ind w:left="760" w:hanging="109"/>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25" w:lineRule="exact"/>
        <w:rPr>
          <w:rFonts w:ascii="Arial" w:cs="Arial" w:eastAsia="Arial" w:hAnsi="Arial"/>
          <w:sz w:val="18"/>
          <w:szCs w:val="18"/>
          <w:color w:val="auto"/>
        </w:rPr>
      </w:pPr>
    </w:p>
    <w:p>
      <w:pPr>
        <w:ind w:left="740" w:right="180" w:hanging="89"/>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170" w:lineRule="exact"/>
        <w:rPr>
          <w:rFonts w:ascii="Arial" w:cs="Arial" w:eastAsia="Arial" w:hAnsi="Arial"/>
          <w:sz w:val="18"/>
          <w:szCs w:val="18"/>
          <w:color w:val="auto"/>
        </w:rPr>
      </w:pPr>
    </w:p>
    <w:p>
      <w:pPr>
        <w:ind w:left="780" w:hanging="12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25"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900" w:hanging="24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right="340" w:hanging="89"/>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170" w:lineRule="exact"/>
        <w:rPr>
          <w:rFonts w:ascii="Arial" w:cs="Arial" w:eastAsia="Arial" w:hAnsi="Arial"/>
          <w:sz w:val="18"/>
          <w:szCs w:val="18"/>
          <w:color w:val="auto"/>
        </w:rPr>
      </w:pPr>
    </w:p>
    <w:p>
      <w:pPr>
        <w:ind w:left="780" w:hanging="12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25" w:lineRule="exact"/>
        <w:rPr>
          <w:rFonts w:ascii="Arial" w:cs="Arial" w:eastAsia="Arial" w:hAnsi="Arial"/>
          <w:sz w:val="18"/>
          <w:szCs w:val="18"/>
          <w:color w:val="auto"/>
        </w:rPr>
      </w:pPr>
    </w:p>
    <w:p>
      <w:pPr>
        <w:ind w:left="800" w:hanging="149"/>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880" w:hanging="22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suppliers and any supply interruption could have an adverse effect on our business.</w:t>
      </w:r>
    </w:p>
    <w:p>
      <w:pPr>
        <w:spacing w:after="0" w:line="26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6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 limited number of suppliers or a single qualified vendor may result in delivery and quality problems, and reduced control over product pricing, reliability and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upon outside contract manufacturers for a portion of the manufacturing process for some of our products.</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could contain defects that may cause us to incur significant costs or result in a loss of customers.</w:t>
      </w:r>
    </w:p>
    <w:p>
      <w:pPr>
        <w:spacing w:after="0" w:line="24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currently derive, and expect to continue to derive, a significant portion of our revenue from sales to international customers. In 2016, 2015 and 2014, 15.8%, 19.0% and 29.5%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54" w:lineRule="exact"/>
        <w:rPr>
          <w:sz w:val="20"/>
          <w:szCs w:val="20"/>
          <w:color w:val="auto"/>
        </w:rPr>
      </w:pPr>
    </w:p>
    <w:p>
      <w:pPr>
        <w:ind w:left="740" w:hanging="89"/>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rFonts w:ascii="Arial" w:cs="Arial" w:eastAsia="Arial" w:hAnsi="Arial"/>
          <w:sz w:val="18"/>
          <w:szCs w:val="18"/>
          <w:color w:val="auto"/>
        </w:rPr>
      </w:pPr>
    </w:p>
    <w:p>
      <w:pPr>
        <w:ind w:left="760" w:hanging="109"/>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25" w:lineRule="exact"/>
        <w:rPr>
          <w:rFonts w:ascii="Arial" w:cs="Arial" w:eastAsia="Arial" w:hAnsi="Arial"/>
          <w:sz w:val="18"/>
          <w:szCs w:val="18"/>
          <w:color w:val="auto"/>
        </w:rPr>
      </w:pPr>
    </w:p>
    <w:p>
      <w:pPr>
        <w:ind w:left="780" w:hanging="12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right="40" w:hanging="89"/>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170" w:lineRule="exact"/>
        <w:rPr>
          <w:rFonts w:ascii="Arial" w:cs="Arial" w:eastAsia="Arial" w:hAnsi="Arial"/>
          <w:sz w:val="18"/>
          <w:szCs w:val="18"/>
          <w:color w:val="auto"/>
        </w:rPr>
      </w:pPr>
    </w:p>
    <w:p>
      <w:pPr>
        <w:ind w:left="860" w:hanging="209"/>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25" w:lineRule="exact"/>
        <w:rPr>
          <w:rFonts w:ascii="Arial" w:cs="Arial" w:eastAsia="Arial" w:hAnsi="Arial"/>
          <w:sz w:val="18"/>
          <w:szCs w:val="18"/>
          <w:color w:val="auto"/>
        </w:rPr>
      </w:pPr>
    </w:p>
    <w:p>
      <w:pPr>
        <w:ind w:left="780" w:hanging="12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900" w:hanging="24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25" w:lineRule="exact"/>
        <w:rPr>
          <w:rFonts w:ascii="Arial" w:cs="Arial" w:eastAsia="Arial" w:hAnsi="Arial"/>
          <w:sz w:val="18"/>
          <w:szCs w:val="18"/>
          <w:color w:val="auto"/>
        </w:rPr>
      </w:pPr>
    </w:p>
    <w:p>
      <w:pPr>
        <w:ind w:left="740" w:right="360" w:hanging="89"/>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740" w:right="380" w:hanging="89"/>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740" w:right="100" w:hanging="89"/>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 the jurisdictions in which we currently operate or may operate in the future.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3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loan agreements contain restrictive covenants that may adversely affect our ability to conduct our business.</w:t>
      </w:r>
    </w:p>
    <w:p>
      <w:pPr>
        <w:spacing w:after="0" w:line="24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lending arrangements with several financial institutions, including loan agreements with East West Bank and Comerica Bank in the U.S., and our Taiwan location and China subsidiary have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East West Bank and Comerica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3" w:lineRule="exact"/>
        <w:rPr>
          <w:sz w:val="20"/>
          <w:szCs w:val="20"/>
          <w:color w:val="auto"/>
        </w:rPr>
      </w:pPr>
    </w:p>
    <w:p>
      <w:pPr>
        <w:ind w:left="1140" w:hanging="489"/>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1140" w:hanging="489"/>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1100" w:hanging="449"/>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1140" w:hanging="489"/>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1120" w:hanging="469"/>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1060" w:right="260" w:hanging="409"/>
        <w:spacing w:after="0" w:line="25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ind w:left="1060" w:hanging="409"/>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1060" w:right="240" w:hanging="409"/>
        <w:spacing w:after="0" w:line="25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ind w:left="1060" w:hanging="409"/>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1060" w:hanging="409"/>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9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commercially reasonable rates and terms. The occurrence of any of these circumstances may adversely affect our financial condition and results of operation.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78" w:lineRule="exact"/>
        <w:rPr>
          <w:sz w:val="20"/>
          <w:szCs w:val="20"/>
          <w:color w:val="auto"/>
        </w:rPr>
      </w:pPr>
    </w:p>
    <w:p>
      <w:pPr>
        <w:ind w:left="740" w:right="20" w:hanging="89"/>
        <w:spacing w:after="0" w:line="258"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the relevant technology, which may not be available on reasonable terms, or at all;</w:t>
      </w:r>
    </w:p>
    <w:p>
      <w:pPr>
        <w:spacing w:after="0" w:line="1" w:lineRule="exact"/>
        <w:rPr>
          <w:rFonts w:ascii="Arial" w:cs="Arial" w:eastAsia="Arial" w:hAnsi="Arial"/>
          <w:sz w:val="18"/>
          <w:szCs w:val="18"/>
          <w:color w:val="auto"/>
        </w:rPr>
      </w:pPr>
    </w:p>
    <w:p>
      <w:pPr>
        <w:ind w:left="740" w:hanging="89"/>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stop manufacturing, selling, incorporating or using our products that use the challenged intellectual property;</w:t>
      </w:r>
    </w:p>
    <w:p>
      <w:pPr>
        <w:spacing w:after="0" w:line="20" w:lineRule="exact"/>
        <w:rPr>
          <w:rFonts w:ascii="Arial" w:cs="Arial" w:eastAsia="Arial" w:hAnsi="Arial"/>
          <w:sz w:val="17"/>
          <w:szCs w:val="17"/>
          <w:color w:val="auto"/>
        </w:rPr>
      </w:pPr>
    </w:p>
    <w:p>
      <w:pPr>
        <w:ind w:left="840" w:hanging="189"/>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740" w:right="580" w:hanging="89"/>
        <w:spacing w:after="0" w:line="261"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184"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of December 31, 2016, we had U.S. accumulated net operating losses, or NOLs, of approximately $37.7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and therefore our annual utilization of our NOLs is limited. In addition, should we experience additional ownership changes, our NOL carry forwards may be further limited.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exposed to risks and increased expenses and business risk as a result of Restriction on Hazardous Substances, or RoHS directives.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18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170"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Rapidly changing standards and regulations could make our products obsolete, which would cause our revenue and results of operations to suffer.</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initial conflict minerals report on Form SD on May 31, 2016.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6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business operations conducted in China are critical to our success. A total of $57.4 million, $20.6 million and $22.0 million or 22.0%, 11.0% and 16.9%, of our revenue in the years ended December 31, 2016, 2015 and 2014 was attributable to our product manufacturing plants in China, respectively. Additionally, a substantial portion of our property, plant and equipment, 23% and 22% as of December 31, 2016 and 2015,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65"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substantial costs and diversion of resources and management attention. Any adverse changes to these laws, regulations and legal requirements or their interpretation or enforcement could have a material adverse effect on our business.</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has applied to calendar years 2012 through 2016. We have not yet realized any benefit from the 10% reduction in income tax rate due to losses incurred by our China subsidiary; however, if we fail to continue to qualify for this preferential rate in the future, we may incur higher tax rates on our income in China. In order to retain the preferential tax rate, we must meet certain operating conditions, satisfy certain product requirements, meet certain headcount requirements and maintain certain levels of research expenditures. We applied for an additional three years of preferential status with the Chinese government in 2014 and received approval as a high-technology enterprise through September 2017. Any future increase in the enterprise income tax rate applicable to us or the expiration or other limitation of preferential tax rates available to us could increase our tax liabilities and reduce our net income.</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China regulation of loans to and direct investment by offshore holding companies in China entities may delay or prevent us from making loans or additional capital contributions to our China subsidiary.</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7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China subsidiary is subject to Chinese labor laws and regulations and Chinese labor laws may increase our operating costs in China.</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4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w:t>
      </w:r>
    </w:p>
    <w:p>
      <w:pPr>
        <w:spacing w:after="0" w:line="1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currently do not plan to declare or pay dividends on shares of our common stock in the foreseeable future. In addition, the terms of our loan and security agreement with East West Bank and Comerica Bank restrict our ability to pay dividends.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47" w:lineRule="exact"/>
        <w:rPr>
          <w:sz w:val="20"/>
          <w:szCs w:val="20"/>
          <w:color w:val="auto"/>
        </w:rPr>
      </w:pPr>
    </w:p>
    <w:p>
      <w:pPr>
        <w:ind w:left="740" w:hanging="8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780" w:hanging="12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25" w:lineRule="exact"/>
        <w:rPr>
          <w:rFonts w:ascii="Arial" w:cs="Arial" w:eastAsia="Arial" w:hAnsi="Arial"/>
          <w:sz w:val="18"/>
          <w:szCs w:val="18"/>
          <w:color w:val="auto"/>
        </w:rPr>
      </w:pPr>
    </w:p>
    <w:p>
      <w:pPr>
        <w:ind w:left="740" w:right="180" w:hanging="89"/>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170" w:lineRule="exact"/>
        <w:rPr>
          <w:rFonts w:ascii="Arial" w:cs="Arial" w:eastAsia="Arial" w:hAnsi="Arial"/>
          <w:sz w:val="18"/>
          <w:szCs w:val="18"/>
          <w:color w:val="auto"/>
        </w:rPr>
      </w:pPr>
    </w:p>
    <w:p>
      <w:pPr>
        <w:ind w:left="800" w:hanging="149"/>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25" w:lineRule="exact"/>
        <w:rPr>
          <w:rFonts w:ascii="Arial" w:cs="Arial" w:eastAsia="Arial" w:hAnsi="Arial"/>
          <w:sz w:val="18"/>
          <w:szCs w:val="18"/>
          <w:color w:val="auto"/>
        </w:rPr>
      </w:pPr>
    </w:p>
    <w:p>
      <w:pPr>
        <w:ind w:left="760" w:hanging="10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25" w:lineRule="exact"/>
        <w:rPr>
          <w:rFonts w:ascii="Arial" w:cs="Arial" w:eastAsia="Arial" w:hAnsi="Arial"/>
          <w:sz w:val="18"/>
          <w:szCs w:val="18"/>
          <w:color w:val="auto"/>
        </w:rPr>
      </w:pPr>
    </w:p>
    <w:p>
      <w:pPr>
        <w:ind w:left="740" w:right="540" w:hanging="89"/>
        <w:spacing w:after="0" w:line="34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 of control provisions in our stock incentive plans, and the individual stock option agreements, which provide that a change of control may accelerate the vesting of the stock options issued under such plans.</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7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As an “emerging growth company” within the meaning of the Securities Act, we utilize certain modified disclosure requirements, and we cannot be certain if these reduced requirements will make our common stock less attractive to investors.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an emerging growth company within the meaning of the rules under the Securities Act. We have in this Quarterly Report on Form 10-Q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8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APPLIED OPTOELECTRONICS, INC.</w:t>
      </w:r>
    </w:p>
    <w:p>
      <w:pPr>
        <w:spacing w:after="0" w:line="17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7"/>
          <w:szCs w:val="17"/>
          <w:color w:val="auto"/>
        </w:rPr>
        <w:t>By: /s/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6350</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Stefan J. Murry</w:t>
      </w:r>
    </w:p>
    <w:p>
      <w:pPr>
        <w:ind w:left="4880"/>
        <w:spacing w:after="0" w:line="219" w:lineRule="auto"/>
        <w:rPr>
          <w:sz w:val="20"/>
          <w:szCs w:val="20"/>
          <w:color w:val="auto"/>
        </w:rPr>
      </w:pPr>
      <w:r>
        <w:rPr>
          <w:rFonts w:ascii="Arial" w:cs="Arial" w:eastAsia="Arial" w:hAnsi="Arial"/>
          <w:sz w:val="18"/>
          <w:szCs w:val="18"/>
          <w:color w:val="auto"/>
        </w:rPr>
        <w:t>Chief Financial Officer</w:t>
      </w:r>
    </w:p>
    <w:p>
      <w:pPr>
        <w:ind w:left="4880"/>
        <w:spacing w:after="0" w:line="220" w:lineRule="auto"/>
        <w:rPr>
          <w:sz w:val="20"/>
          <w:szCs w:val="20"/>
          <w:color w:val="auto"/>
        </w:rPr>
      </w:pPr>
      <w:r>
        <w:rPr>
          <w:rFonts w:ascii="Arial" w:cs="Arial" w:eastAsia="Arial" w:hAnsi="Arial"/>
          <w:sz w:val="18"/>
          <w:szCs w:val="18"/>
          <w:i w:val="1"/>
          <w:iCs w:val="1"/>
          <w:color w:val="auto"/>
        </w:rPr>
        <w:t>(principal financial officer and principal accounting</w:t>
      </w:r>
    </w:p>
    <w:p>
      <w:pPr>
        <w:ind w:left="48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4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77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55"/>
        </w:trPr>
        <w:tc>
          <w:tcPr>
            <w:tcW w:w="10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74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Amended and Restated Certificate of Incorporation, as currently in effect (filed as Exhibit 3.1 to the</w:t>
            </w:r>
          </w:p>
        </w:tc>
      </w:tr>
      <w:tr>
        <w:trPr>
          <w:trHeight w:val="189"/>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40" w:type="dxa"/>
            <w:vAlign w:val="bottom"/>
          </w:tcPr>
          <w:p>
            <w:pPr>
              <w:spacing w:after="0" w:line="189" w:lineRule="exact"/>
              <w:rPr>
                <w:sz w:val="20"/>
                <w:szCs w:val="20"/>
                <w:color w:val="auto"/>
              </w:rPr>
            </w:pPr>
            <w:r>
              <w:rPr>
                <w:rFonts w:ascii="Arial" w:cs="Arial" w:eastAsia="Arial" w:hAnsi="Arial"/>
                <w:sz w:val="18"/>
                <w:szCs w:val="18"/>
                <w:color w:val="auto"/>
                <w:w w:val="97"/>
              </w:rPr>
              <w:t>Registrant’s Quarterly Report on Form 10-Q filed with the Securities and Exchange Commission on</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November 14, 2013).</w:t>
            </w:r>
          </w:p>
        </w:tc>
      </w:tr>
      <w:tr>
        <w:trPr>
          <w:trHeight w:val="337"/>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5"/>
              </w:rPr>
              <w:t>Amended and Restated Bylaws, as currently in effect (filed as Exhibit 3.2 to the Registrant’s Quarterly</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8"/>
              </w:rPr>
              <w:t>Report on Form 10-Q filed with the Securities and Exchange Commission on November 14, 2013).</w:t>
            </w:r>
          </w:p>
        </w:tc>
      </w:tr>
      <w:tr>
        <w:trPr>
          <w:trHeight w:val="337"/>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4"/>
              </w:rPr>
              <w:t>Common Stock Specimen (filed as Exhibit 4.1 to the Registrant’s Current Report on Form 8-K filed with</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the Securities and Exchange Commission on July 15, 2015).</w:t>
            </w:r>
          </w:p>
        </w:tc>
      </w:tr>
      <w:tr>
        <w:trPr>
          <w:trHeight w:val="337"/>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3"/>
              </w:rPr>
              <w:t>Translation of Early Termination Agreement, dated January 25, 2017, between Applied Optoelectronics,</w:t>
            </w:r>
          </w:p>
        </w:tc>
      </w:tr>
      <w:tr>
        <w:trPr>
          <w:trHeight w:val="189"/>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40" w:type="dxa"/>
            <w:vAlign w:val="bottom"/>
          </w:tcPr>
          <w:p>
            <w:pPr>
              <w:spacing w:after="0" w:line="189" w:lineRule="exact"/>
              <w:rPr>
                <w:sz w:val="20"/>
                <w:szCs w:val="20"/>
                <w:color w:val="auto"/>
              </w:rPr>
            </w:pPr>
            <w:r>
              <w:rPr>
                <w:rFonts w:ascii="Arial" w:cs="Arial" w:eastAsia="Arial" w:hAnsi="Arial"/>
                <w:sz w:val="18"/>
                <w:szCs w:val="18"/>
                <w:color w:val="auto"/>
                <w:w w:val="95"/>
              </w:rPr>
              <w:t>Inc. and Chailease Finance Company, Ltd. (filed as Exhibit 10.1 to the Registrant’s Current Report on</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Form 8-K filed with the Securities and Exchange Commission on January 30, 2017).</w:t>
            </w:r>
          </w:p>
        </w:tc>
      </w:tr>
      <w:tr>
        <w:trPr>
          <w:trHeight w:val="337"/>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0"/>
              </w:rPr>
              <w:t>Amended and Restated 2013 Equity Incentive Plan (filed as Exhibit 10.6 to the Registrant’s Current Report</w:t>
            </w: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10.2†*</w:t>
            </w:r>
          </w:p>
        </w:tc>
        <w:tc>
          <w:tcPr>
            <w:tcW w:w="7740" w:type="dxa"/>
            <w:vAlign w:val="bottom"/>
          </w:tcPr>
          <w:p>
            <w:pPr>
              <w:spacing w:after="0"/>
              <w:rPr>
                <w:sz w:val="20"/>
                <w:szCs w:val="20"/>
                <w:color w:val="auto"/>
              </w:rPr>
            </w:pPr>
            <w:r>
              <w:rPr>
                <w:rFonts w:ascii="Arial" w:cs="Arial" w:eastAsia="Arial" w:hAnsi="Arial"/>
                <w:sz w:val="18"/>
                <w:szCs w:val="18"/>
                <w:color w:val="auto"/>
              </w:rPr>
              <w:t>on Form 10-K filed with the Securities and Exchange Commission on March 9, 2017).</w:t>
            </w:r>
          </w:p>
        </w:tc>
      </w:tr>
      <w:tr>
        <w:trPr>
          <w:trHeight w:val="337"/>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7"/>
              </w:rPr>
              <w:t>Certification of Chief Executive Officer pursuant to Exchange Act Rule, 13a-14(a) and 15d-14(a), as</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37"/>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8"/>
              </w:rPr>
              <w:t>Certification of Chief Financial Officer pursuant to Exchange Act Rule, 13a-14(a) and 15d-14(a), as</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37"/>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3"/>
              </w:rPr>
              <w:t>Certification pursuant to 18 U.S.C. 1350, adopted pursuant to Section 906 of the Sarbanes-Oxley Act of</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2002, by Chief Executive Officer and Chief Financial Officer</w:t>
            </w:r>
          </w:p>
        </w:tc>
      </w:tr>
      <w:tr>
        <w:trPr>
          <w:trHeight w:val="378"/>
        </w:trPr>
        <w:tc>
          <w:tcPr>
            <w:tcW w:w="12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7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78"/>
        </w:trPr>
        <w:tc>
          <w:tcPr>
            <w:tcW w:w="12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7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12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7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12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7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78"/>
        </w:trPr>
        <w:tc>
          <w:tcPr>
            <w:tcW w:w="12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7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12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7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-7620</wp:posOffset>
            </wp:positionV>
            <wp:extent cx="342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540" w:hanging="537"/>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sz w:val="20"/>
          <w:szCs w:val="20"/>
          <w:color w:val="auto"/>
        </w:rPr>
      </w:pPr>
    </w:p>
    <w:p>
      <w:pPr>
        <w:ind w:left="4440" w:right="4099" w:hanging="4437"/>
        <w:spacing w:after="0" w:line="887" w:lineRule="auto"/>
        <w:tabs>
          <w:tab w:leader="none" w:pos="7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509" w:hanging="509"/>
        <w:spacing w:after="0"/>
        <w:tabs>
          <w:tab w:leader="none" w:pos="5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449" w:right="200" w:hanging="449"/>
        <w:spacing w:after="0" w:line="264" w:lineRule="auto"/>
        <w:tabs>
          <w:tab w:leader="none" w:pos="4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9" w:right="200" w:hanging="449"/>
        <w:spacing w:after="0" w:line="342" w:lineRule="auto"/>
        <w:tabs>
          <w:tab w:leader="none" w:pos="4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23" w:lineRule="exact"/>
        <w:rPr>
          <w:rFonts w:ascii="Arial" w:cs="Arial" w:eastAsia="Arial" w:hAnsi="Arial"/>
          <w:sz w:val="16"/>
          <w:szCs w:val="16"/>
          <w:color w:val="auto"/>
        </w:rPr>
      </w:pPr>
    </w:p>
    <w:p>
      <w:pPr>
        <w:ind w:left="449" w:right="120" w:hanging="449"/>
        <w:spacing w:after="0" w:line="291" w:lineRule="auto"/>
        <w:tabs>
          <w:tab w:leader="none" w:pos="4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49"/>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1" w:lineRule="exact"/>
        <w:rPr>
          <w:sz w:val="20"/>
          <w:szCs w:val="20"/>
          <w:color w:val="auto"/>
        </w:rPr>
      </w:pPr>
    </w:p>
    <w:p>
      <w:pPr>
        <w:ind w:left="1129" w:right="80" w:hanging="148"/>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sz w:val="20"/>
          <w:szCs w:val="20"/>
          <w:color w:val="auto"/>
        </w:rPr>
      </w:pPr>
    </w:p>
    <w:p>
      <w:pPr>
        <w:ind w:left="1129" w:right="200" w:hanging="161"/>
        <w:spacing w:after="0" w:line="286" w:lineRule="auto"/>
        <w:rPr>
          <w:sz w:val="20"/>
          <w:szCs w:val="20"/>
          <w:color w:val="auto"/>
        </w:rPr>
      </w:pPr>
      <w:r>
        <w:rPr>
          <w:rFonts w:ascii="Arial" w:cs="Arial" w:eastAsia="Arial" w:hAnsi="Arial"/>
          <w:sz w:val="17"/>
          <w:szCs w:val="17"/>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jc w:val="both"/>
        <w:ind w:left="1129" w:right="300" w:hanging="148"/>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ind w:left="1129" w:right="320" w:hanging="161"/>
        <w:spacing w:after="0" w:line="312"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sz w:val="20"/>
          <w:szCs w:val="20"/>
          <w:color w:val="auto"/>
        </w:rPr>
      </w:pPr>
    </w:p>
    <w:p>
      <w:pPr>
        <w:ind w:left="449" w:right="160" w:hanging="449"/>
        <w:spacing w:after="0" w:line="264" w:lineRule="auto"/>
        <w:tabs>
          <w:tab w:leader="none" w:pos="4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129" w:right="60" w:hanging="148"/>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1129" w:right="80" w:hanging="161"/>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May 9, 2017</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CHIH-HSIANG (THOMPSON) LIN</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509" w:hanging="509"/>
        <w:spacing w:after="0"/>
        <w:tabs>
          <w:tab w:leader="none" w:pos="5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449" w:right="200" w:hanging="449"/>
        <w:spacing w:after="0" w:line="264" w:lineRule="auto"/>
        <w:tabs>
          <w:tab w:leader="none" w:pos="4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9" w:right="200" w:hanging="449"/>
        <w:spacing w:after="0" w:line="342" w:lineRule="auto"/>
        <w:tabs>
          <w:tab w:leader="none" w:pos="4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23" w:lineRule="exact"/>
        <w:rPr>
          <w:rFonts w:ascii="Arial" w:cs="Arial" w:eastAsia="Arial" w:hAnsi="Arial"/>
          <w:sz w:val="16"/>
          <w:szCs w:val="16"/>
          <w:color w:val="auto"/>
        </w:rPr>
      </w:pPr>
    </w:p>
    <w:p>
      <w:pPr>
        <w:ind w:left="449" w:right="120" w:hanging="449"/>
        <w:spacing w:after="0" w:line="291" w:lineRule="auto"/>
        <w:tabs>
          <w:tab w:leader="none" w:pos="4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49"/>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1" w:lineRule="exact"/>
        <w:rPr>
          <w:sz w:val="20"/>
          <w:szCs w:val="20"/>
          <w:color w:val="auto"/>
        </w:rPr>
      </w:pPr>
    </w:p>
    <w:p>
      <w:pPr>
        <w:ind w:left="1129" w:right="80" w:hanging="148"/>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sz w:val="20"/>
          <w:szCs w:val="20"/>
          <w:color w:val="auto"/>
        </w:rPr>
      </w:pPr>
    </w:p>
    <w:p>
      <w:pPr>
        <w:ind w:left="1129" w:right="200" w:hanging="161"/>
        <w:spacing w:after="0" w:line="286" w:lineRule="auto"/>
        <w:rPr>
          <w:sz w:val="20"/>
          <w:szCs w:val="20"/>
          <w:color w:val="auto"/>
        </w:rPr>
      </w:pPr>
      <w:r>
        <w:rPr>
          <w:rFonts w:ascii="Arial" w:cs="Arial" w:eastAsia="Arial" w:hAnsi="Arial"/>
          <w:sz w:val="17"/>
          <w:szCs w:val="17"/>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jc w:val="both"/>
        <w:ind w:left="1129" w:right="300" w:hanging="148"/>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ind w:left="1129" w:right="320" w:hanging="161"/>
        <w:spacing w:after="0" w:line="312"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sz w:val="20"/>
          <w:szCs w:val="20"/>
          <w:color w:val="auto"/>
        </w:rPr>
      </w:pPr>
    </w:p>
    <w:p>
      <w:pPr>
        <w:ind w:left="449" w:right="160" w:hanging="449"/>
        <w:spacing w:after="0" w:line="264" w:lineRule="auto"/>
        <w:tabs>
          <w:tab w:leader="none" w:pos="4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129" w:right="60" w:hanging="148"/>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1129" w:right="80" w:hanging="161"/>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May 9, 2017</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STEFAN J. MURRY</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54" w:lineRule="exact"/>
        <w:rPr>
          <w:sz w:val="20"/>
          <w:szCs w:val="20"/>
          <w:color w:val="auto"/>
        </w:rPr>
      </w:pPr>
    </w:p>
    <w:p>
      <w:pPr>
        <w:jc w:val="both"/>
        <w:ind w:left="580" w:hanging="253"/>
        <w:spacing w:after="0" w:line="264"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2017, to which this Certification is attached as Exhibit 32.1 (the “Quarterly Report”) fully complies with the requirements of Section 13(a) or Section 15(d) of the Exchange Act; and</w:t>
      </w:r>
    </w:p>
    <w:p>
      <w:pPr>
        <w:spacing w:after="0" w:line="181" w:lineRule="exact"/>
        <w:rPr>
          <w:rFonts w:ascii="Arial" w:cs="Arial" w:eastAsia="Arial" w:hAnsi="Arial"/>
          <w:sz w:val="18"/>
          <w:szCs w:val="18"/>
          <w:color w:val="auto"/>
        </w:rPr>
      </w:pPr>
    </w:p>
    <w:p>
      <w:pPr>
        <w:ind w:left="580" w:hanging="253"/>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the operation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9</w:t>
      </w:r>
      <w:r>
        <w:rPr>
          <w:rFonts w:ascii="Arial" w:cs="Arial" w:eastAsia="Arial" w:hAnsi="Arial"/>
          <w:sz w:val="8"/>
          <w:szCs w:val="8"/>
          <w:color w:val="auto"/>
        </w:rPr>
        <w:t>th</w:t>
      </w:r>
      <w:r>
        <w:rPr>
          <w:rFonts w:ascii="Arial" w:cs="Arial" w:eastAsia="Arial" w:hAnsi="Arial"/>
          <w:sz w:val="18"/>
          <w:szCs w:val="18"/>
          <w:color w:val="auto"/>
        </w:rPr>
        <w:t xml:space="preserve"> day of May, 2017.</w:t>
      </w:r>
    </w:p>
    <w:p>
      <w:pPr>
        <w:sectPr>
          <w:pgSz w:w="11900" w:h="16838" w:orient="portrait"/>
          <w:cols w:equalWidth="0" w:num="1">
            <w:col w:w="9060"/>
          </w:cols>
          <w:pgMar w:left="1420" w:top="121" w:right="1419" w:bottom="1440" w:gutter="0" w:footer="0" w:header="0"/>
        </w:sectPr>
      </w:pPr>
    </w:p>
    <w:p>
      <w:pPr>
        <w:spacing w:after="0" w:line="225" w:lineRule="exact"/>
        <w:rPr>
          <w:sz w:val="20"/>
          <w:szCs w:val="20"/>
          <w:color w:val="auto"/>
        </w:rPr>
      </w:pPr>
    </w:p>
    <w:p>
      <w:pPr>
        <w:ind w:right="1060"/>
        <w:spacing w:after="0" w:line="295" w:lineRule="auto"/>
        <w:rPr>
          <w:sz w:val="20"/>
          <w:szCs w:val="20"/>
          <w:color w:val="auto"/>
        </w:rPr>
      </w:pPr>
      <w:r>
        <w:rPr>
          <w:rFonts w:ascii="Arial" w:cs="Arial" w:eastAsia="Arial" w:hAnsi="Arial"/>
          <w:sz w:val="17"/>
          <w:szCs w:val="17"/>
          <w:color w:val="auto"/>
        </w:rPr>
        <w:t>/s/ CHIH-HSIANG (THOMPSON) LIN CHIH-HSIANG (THOMPSON) LIN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27959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870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65" w:lineRule="exact"/>
        <w:rPr>
          <w:sz w:val="20"/>
          <w:szCs w:val="20"/>
          <w:color w:val="auto"/>
        </w:rPr>
      </w:pPr>
    </w:p>
    <w:p>
      <w:pPr>
        <w:sectPr>
          <w:pgSz w:w="11900" w:h="16838" w:orient="portrait"/>
          <w:cols w:equalWidth="0" w:num="2">
            <w:col w:w="3960" w:space="720"/>
            <w:col w:w="4380"/>
          </w:cols>
          <w:pgMar w:left="1420" w:top="121" w:right="1419" w:bottom="1440" w:gutter="0" w:footer="0" w:header="0"/>
          <w:type w:val="continuous"/>
        </w:sectPr>
      </w:pP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8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5"/>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2019-12-29T07:09:09Z</dcterms:created>
  <dcterms:modified xsi:type="dcterms:W3CDTF">2019-12-29T07:09:09Z</dcterms:modified>
</cp:coreProperties>
</file>