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60630_10q.htm"/>
      <w:bookmarkStart w:id="1" w:name="ksaaoi20260630_10q"/>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60"/>
        <w:gridCol w:w="1820"/>
        <w:gridCol w:w="29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3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 xml:space="preserve">As of </w:t>
      </w:r>
      <w:r>
        <w:rPr>
          <w:rFonts w:ascii="Times New Roman" w:hAnsi="Times New Roman"/>
          <w:color w:val="000000"/>
          <w:sz w:val="20"/>
        </w:rPr>
        <w:t>August 3, 2026</w:t>
      </w:r>
      <w:r>
        <w:rPr>
          <w:rFonts w:ascii="Times New Roman" w:hAnsi="Times New Roman"/>
          <w:sz w:val="20"/>
        </w:rPr>
        <w:t>, there w</w:t>
      </w:r>
      <w:r>
        <w:rPr>
          <w:rFonts w:ascii="Times New Roman" w:hAnsi="Times New Roman"/>
          <w:sz w:val="20"/>
          <w:shd w:fill="FFFFFF" w:val="clear"/>
        </w:rPr>
        <w:t xml:space="preserve">ere </w:t>
      </w:r>
      <w:r>
        <w:rPr>
          <w:rFonts w:ascii="Times New Roman" w:hAnsi="Times New Roman"/>
          <w:color w:val="000000"/>
          <w:sz w:val="20"/>
          <w:shd w:fill="FFFFFF" w:val="clear"/>
        </w:rPr>
        <w:t>84,569,237 </w:t>
      </w:r>
      <w:r>
        <w:rPr>
          <w:rFonts w:ascii="Times New Roman" w:hAnsi="Times New Roman"/>
          <w:sz w:val="20"/>
          <w:shd w:fill="FFFFFF" w:val="clear"/>
        </w:rPr>
        <w:t>sh</w:t>
      </w:r>
      <w:r>
        <w:rPr>
          <w:rFonts w:ascii="Times New Roman" w:hAnsi="Times New Roman"/>
          <w:sz w:val="20"/>
        </w:rPr>
        <w:t>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43"/>
        <w:gridCol w:w="9151"/>
        <w:gridCol w:w="411"/>
      </w:tblGrid>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June 30, 2026 (Unaudited) and December 31, 2025</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and Six Months ended June 30, 2026 and 2025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and Six Months ended June 30, 2026 and 2025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and Six Months ended June 30, 2026 and 2025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Six Months ended June 30, 2026 and 2025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8</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9</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51"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51"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32</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51"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32</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51"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33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51"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33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283"/>
              <w:jc w:val="left"/>
              <w:rPr/>
            </w:pPr>
            <w:r>
              <w:rPr/>
              <w:t>Item 2.</w:t>
            </w:r>
          </w:p>
        </w:tc>
        <w:tc>
          <w:tcPr>
            <w:tcW w:w="9151" w:type="dxa"/>
            <w:tcBorders/>
            <w:vAlign w:val="center"/>
          </w:tcPr>
          <w:p>
            <w:pPr>
              <w:pStyle w:val="TableContents"/>
              <w:bidi w:val="0"/>
              <w:spacing w:before="0" w:after="283"/>
              <w:jc w:val="left"/>
              <w:rPr/>
            </w:pPr>
            <w:hyperlink w:anchor="unreg">
              <w:r>
                <w:rPr>
                  <w:rStyle w:val="InternetLink"/>
                </w:rPr>
                <w:t>Unregistered Sales of Equity Securities and Use of Proceeds</w:t>
              </w:r>
            </w:hyperlink>
          </w:p>
        </w:tc>
        <w:tc>
          <w:tcPr>
            <w:tcW w:w="411" w:type="dxa"/>
            <w:tcBorders/>
            <w:vAlign w:val="center"/>
          </w:tcPr>
          <w:p>
            <w:pPr>
              <w:pStyle w:val="TableContents"/>
              <w:bidi w:val="0"/>
              <w:spacing w:before="0" w:after="283"/>
              <w:jc w:val="right"/>
              <w:rPr/>
            </w:pPr>
            <w:hyperlink w:anchor="unreg">
              <w:r>
                <w:rPr>
                  <w:rStyle w:val="InternetLink"/>
                </w:rPr>
                <w:t>33</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283"/>
              <w:jc w:val="left"/>
              <w:rPr/>
            </w:pPr>
            <w:r>
              <w:rPr/>
              <w:t>Item 5.</w:t>
            </w:r>
          </w:p>
        </w:tc>
        <w:tc>
          <w:tcPr>
            <w:tcW w:w="9151"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34</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5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34</w:t>
              </w:r>
            </w:hyperlink>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283"/>
              <w:jc w:val="left"/>
              <w:rPr/>
            </w:pPr>
            <w:r>
              <w:rPr/>
              <w:t> </w:t>
            </w:r>
          </w:p>
        </w:tc>
        <w:tc>
          <w:tcPr>
            <w:tcW w:w="9151"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36</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p>
      <w:pPr>
        <w:pStyle w:val="TextBody"/>
        <w:bidi w:val="0"/>
        <w:spacing w:before="0" w:after="0"/>
        <w:ind w:left="0" w:right="0" w:firstLine="180"/>
        <w:jc w:val="left"/>
        <w:rPr/>
      </w:pPr>
      <w:r>
        <w:rPr/>
        <w:t> </w:t>
      </w:r>
    </w:p>
    <w:tbl>
      <w:tblPr>
        <w:tblW w:w="10205" w:type="dxa"/>
        <w:jc w:val="left"/>
        <w:tblInd w:w="0" w:type="dxa"/>
        <w:tblLayout w:type="fixed"/>
        <w:tblCellMar>
          <w:top w:w="0" w:type="dxa"/>
          <w:left w:w="0" w:type="dxa"/>
          <w:bottom w:w="0" w:type="dxa"/>
          <w:right w:w="0" w:type="dxa"/>
        </w:tblCellMar>
      </w:tblPr>
      <w:tblGrid>
        <w:gridCol w:w="7894"/>
        <w:gridCol w:w="60"/>
        <w:gridCol w:w="125"/>
        <w:gridCol w:w="845"/>
        <w:gridCol w:w="80"/>
        <w:gridCol w:w="60"/>
        <w:gridCol w:w="136"/>
        <w:gridCol w:w="923"/>
        <w:gridCol w:w="82"/>
      </w:tblGrid>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sz w:val="20"/>
              </w:rPr>
            </w:pPr>
            <w:r>
              <w:rPr>
                <w:sz w:val="20"/>
              </w:rPr>
              <w:t>$</w:t>
            </w:r>
          </w:p>
        </w:tc>
        <w:tc>
          <w:tcPr>
            <w:tcW w:w="845" w:type="dxa"/>
            <w:tcBorders/>
            <w:shd w:fill="CCEEFF" w:val="clear"/>
            <w:vAlign w:val="center"/>
          </w:tcPr>
          <w:p>
            <w:pPr>
              <w:pStyle w:val="TableContents"/>
              <w:bidi w:val="0"/>
              <w:spacing w:before="0" w:after="283"/>
              <w:ind w:left="0" w:right="0" w:hanging="0"/>
              <w:jc w:val="right"/>
              <w:rPr>
                <w:sz w:val="20"/>
              </w:rPr>
            </w:pPr>
            <w:r>
              <w:rPr>
                <w:sz w:val="20"/>
              </w:rPr>
              <w:t>499,737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sz w:val="20"/>
              </w:rPr>
            </w:pPr>
            <w:r>
              <w:rPr>
                <w:sz w:val="20"/>
              </w:rPr>
              <w:t>$</w:t>
            </w:r>
          </w:p>
        </w:tc>
        <w:tc>
          <w:tcPr>
            <w:tcW w:w="923" w:type="dxa"/>
            <w:tcBorders/>
            <w:shd w:fill="CCEEFF" w:val="clear"/>
            <w:vAlign w:val="center"/>
          </w:tcPr>
          <w:p>
            <w:pPr>
              <w:pStyle w:val="TableContents"/>
              <w:bidi w:val="0"/>
              <w:spacing w:before="0" w:after="283"/>
              <w:ind w:left="0" w:right="0" w:hanging="0"/>
              <w:jc w:val="right"/>
              <w:rPr>
                <w:sz w:val="20"/>
              </w:rPr>
            </w:pPr>
            <w:r>
              <w:rPr>
                <w:sz w:val="20"/>
              </w:rPr>
              <w:t>206,140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9,021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9,895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314,009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244,404</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278,791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183,105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88,316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32,183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1,189,874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675,727</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697,086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376,050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4,917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4,825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75,168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49,697</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3,633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3,623</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6,469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7,616</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324,045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50,885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2,301,192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sz w:val="20"/>
              </w:rPr>
            </w:pPr>
            <w:r>
              <w:rPr>
                <w:sz w:val="20"/>
              </w:rPr>
              <w:t>$</w:t>
            </w:r>
          </w:p>
        </w:tc>
        <w:tc>
          <w:tcPr>
            <w:tcW w:w="845" w:type="dxa"/>
            <w:tcBorders/>
            <w:shd w:fill="FFFFFF" w:val="clear"/>
            <w:vAlign w:val="center"/>
          </w:tcPr>
          <w:p>
            <w:pPr>
              <w:pStyle w:val="TableContents"/>
              <w:bidi w:val="0"/>
              <w:spacing w:before="0" w:after="283"/>
              <w:ind w:left="0" w:right="0" w:hanging="0"/>
              <w:jc w:val="right"/>
              <w:rPr>
                <w:sz w:val="20"/>
              </w:rPr>
            </w:pPr>
            <w:r>
              <w:rPr>
                <w:sz w:val="20"/>
              </w:rPr>
              <w:t>286,088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sz w:val="20"/>
              </w:rPr>
            </w:pPr>
            <w:r>
              <w:rPr>
                <w:sz w:val="20"/>
              </w:rPr>
              <w:t>$</w:t>
            </w:r>
          </w:p>
        </w:tc>
        <w:tc>
          <w:tcPr>
            <w:tcW w:w="923" w:type="dxa"/>
            <w:tcBorders/>
            <w:shd w:fill="FFFFFF" w:val="clear"/>
            <w:vAlign w:val="center"/>
          </w:tcPr>
          <w:p>
            <w:pPr>
              <w:pStyle w:val="TableContents"/>
              <w:bidi w:val="0"/>
              <w:spacing w:before="0" w:after="283"/>
              <w:ind w:left="0" w:right="0" w:hanging="0"/>
              <w:jc w:val="right"/>
              <w:rPr>
                <w:sz w:val="20"/>
              </w:rPr>
            </w:pPr>
            <w:r>
              <w:rPr>
                <w:sz w:val="20"/>
              </w:rPr>
              <w:t>143,932</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Bank acceptance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33,940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33,363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46,939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42,491</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lease liabilities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4,223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3,522</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57,258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33,975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428,448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257,283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Non-current lease liabilities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73,920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47,393</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Non-current portion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Convertible senior notes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129,142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129,829</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633,167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434,505</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Commitments and contingencies (Note 18)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Preferred Stock; 5,000 shares authorized at $0.001 par value; no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Common Stock; 120,000 shares authorized at $0.001 par value; 84,386 and 74,998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75</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sz w:val="20"/>
              </w:rPr>
            </w:pPr>
            <w:r>
              <w:rPr>
                <w:sz w:val="20"/>
              </w:rPr>
              <w:t>2,192,682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sz w:val="20"/>
              </w:rPr>
            </w:pPr>
            <w:r>
              <w:rPr>
                <w:sz w:val="20"/>
              </w:rPr>
              <w:t>1,224,538</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sz w:val="20"/>
              </w:rPr>
            </w:pPr>
            <w:r>
              <w:rPr>
                <w:sz w:val="20"/>
              </w:rPr>
              <w:t>2,399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3" w:type="dxa"/>
            <w:tcBorders/>
            <w:shd w:fill="CCEEFF" w:val="clear"/>
            <w:vAlign w:val="center"/>
          </w:tcPr>
          <w:p>
            <w:pPr>
              <w:pStyle w:val="TableContents"/>
              <w:bidi w:val="0"/>
              <w:spacing w:before="0" w:after="283"/>
              <w:ind w:left="0" w:right="0" w:hanging="0"/>
              <w:jc w:val="right"/>
              <w:rPr>
                <w:sz w:val="20"/>
              </w:rPr>
            </w:pPr>
            <w:r>
              <w:rPr>
                <w:sz w:val="20"/>
              </w:rPr>
              <w:t>(617</w:t>
            </w:r>
          </w:p>
        </w:tc>
        <w:tc>
          <w:tcPr>
            <w:tcW w:w="82" w:type="dxa"/>
            <w:tcBorders/>
            <w:shd w:fill="CCEEFF" w:val="clear"/>
            <w:vAlign w:val="center"/>
          </w:tcPr>
          <w:p>
            <w:pPr>
              <w:pStyle w:val="TableContents"/>
              <w:bidi w:val="0"/>
              <w:spacing w:before="0" w:after="283"/>
              <w:jc w:val="left"/>
              <w:rPr>
                <w:sz w:val="20"/>
              </w:rPr>
            </w:pPr>
            <w:r>
              <w:rPr>
                <w:sz w:val="20"/>
              </w:rPr>
              <w:t>)</w:t>
            </w:r>
          </w:p>
        </w:tc>
      </w:tr>
      <w:tr>
        <w:trPr/>
        <w:tc>
          <w:tcPr>
            <w:tcW w:w="789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(527,140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(490,078</w:t>
            </w:r>
          </w:p>
        </w:tc>
        <w:tc>
          <w:tcPr>
            <w:tcW w:w="82" w:type="dxa"/>
            <w:tcBorders/>
            <w:shd w:fill="FFFFFF" w:val="clear"/>
            <w:vAlign w:val="center"/>
          </w:tcPr>
          <w:p>
            <w:pPr>
              <w:pStyle w:val="TableContents"/>
              <w:bidi w:val="0"/>
              <w:spacing w:before="0" w:after="283"/>
              <w:jc w:val="left"/>
              <w:rPr>
                <w:sz w:val="20"/>
              </w:rPr>
            </w:pPr>
            <w:r>
              <w:rPr>
                <w:sz w:val="20"/>
              </w:rPr>
              <w:t>)</w:t>
            </w:r>
          </w:p>
        </w:tc>
      </w:tr>
      <w:tr>
        <w:trPr/>
        <w:tc>
          <w:tcPr>
            <w:tcW w:w="7894" w:type="dxa"/>
            <w:tcBorders/>
            <w:shd w:fill="CCEE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1,668,025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733,918</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180" w:right="0" w:hanging="0"/>
              <w:jc w:val="left"/>
              <w:rPr>
                <w:rFonts w:ascii="Times New Roman;Times;serif" w:hAnsi="Times New Roman;Times;serif"/>
                <w:b w:val="false"/>
                <w:sz w:val="20"/>
              </w:rPr>
            </w:pPr>
            <w:r>
              <w:rPr>
                <w:rFonts w:ascii="Times New Roman;Times;serif" w:hAnsi="Times New Roman;Times;serif"/>
                <w:b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2,301,192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1,168,423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0"/>
        <w:ind w:left="0" w:right="0" w:hanging="0"/>
        <w:jc w:val="center"/>
        <w:rPr/>
      </w:pPr>
      <w:r>
        <w:rPr/>
        <w:t> </w:t>
      </w:r>
    </w:p>
    <w:tbl>
      <w:tblPr>
        <w:tblW w:w="9829" w:type="dxa"/>
        <w:jc w:val="left"/>
        <w:tblInd w:w="0" w:type="dxa"/>
        <w:tblLayout w:type="fixed"/>
        <w:tblCellMar>
          <w:top w:w="0" w:type="dxa"/>
          <w:left w:w="0" w:type="dxa"/>
          <w:bottom w:w="0" w:type="dxa"/>
          <w:right w:w="0" w:type="dxa"/>
        </w:tblCellMar>
      </w:tblPr>
      <w:tblGrid>
        <w:gridCol w:w="4895"/>
        <w:gridCol w:w="60"/>
        <w:gridCol w:w="170"/>
        <w:gridCol w:w="950"/>
        <w:gridCol w:w="109"/>
        <w:gridCol w:w="82"/>
        <w:gridCol w:w="170"/>
        <w:gridCol w:w="950"/>
        <w:gridCol w:w="80"/>
        <w:gridCol w:w="60"/>
        <w:gridCol w:w="156"/>
        <w:gridCol w:w="868"/>
        <w:gridCol w:w="100"/>
        <w:gridCol w:w="75"/>
        <w:gridCol w:w="156"/>
        <w:gridCol w:w="868"/>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191,922</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343,066</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202,811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138,715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245,943</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141,105</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97,123</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34,871</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17,837</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31,573</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56,477</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77,934</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134,841</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(24,727</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(37,718</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6,644</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(34,724</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(22,781</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(37,062</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1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center"/>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center"/>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81,568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78,789</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81,568</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78,789</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 </w:t>
      </w:r>
    </w:p>
    <w:tbl>
      <w:tblPr>
        <w:tblW w:w="8839" w:type="dxa"/>
        <w:jc w:val="left"/>
        <w:tblInd w:w="0" w:type="dxa"/>
        <w:tblLayout w:type="fixed"/>
        <w:tblCellMar>
          <w:top w:w="0" w:type="dxa"/>
          <w:left w:w="0" w:type="dxa"/>
          <w:bottom w:w="0" w:type="dxa"/>
          <w:right w:w="0" w:type="dxa"/>
        </w:tblCellMar>
      </w:tblPr>
      <w:tblGrid>
        <w:gridCol w:w="3905"/>
        <w:gridCol w:w="60"/>
        <w:gridCol w:w="192"/>
        <w:gridCol w:w="998"/>
        <w:gridCol w:w="122"/>
        <w:gridCol w:w="92"/>
        <w:gridCol w:w="192"/>
        <w:gridCol w:w="837"/>
        <w:gridCol w:w="80"/>
        <w:gridCol w:w="60"/>
        <w:gridCol w:w="164"/>
        <w:gridCol w:w="855"/>
        <w:gridCol w:w="105"/>
        <w:gridCol w:w="78"/>
        <w:gridCol w:w="164"/>
        <w:gridCol w:w="855"/>
        <w:gridCol w:w="8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(22,781</w:t>
            </w:r>
          </w:p>
        </w:tc>
        <w:tc>
          <w:tcPr>
            <w:tcW w:w="1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(37,062</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 adjustment</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2,606</w:t>
            </w:r>
          </w:p>
        </w:tc>
        <w:tc>
          <w:tcPr>
            <w:tcW w:w="12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3,661</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(20,175</w:t>
            </w:r>
          </w:p>
        </w:tc>
        <w:tc>
          <w:tcPr>
            <w:tcW w:w="1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(34,046</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16"/>
        <w:gridCol w:w="60"/>
        <w:gridCol w:w="67"/>
        <w:gridCol w:w="652"/>
        <w:gridCol w:w="63"/>
        <w:gridCol w:w="63"/>
        <w:gridCol w:w="220"/>
        <w:gridCol w:w="460"/>
        <w:gridCol w:w="60"/>
        <w:gridCol w:w="60"/>
        <w:gridCol w:w="125"/>
        <w:gridCol w:w="845"/>
        <w:gridCol w:w="80"/>
        <w:gridCol w:w="60"/>
        <w:gridCol w:w="255"/>
        <w:gridCol w:w="995"/>
        <w:gridCol w:w="80"/>
        <w:gridCol w:w="60"/>
        <w:gridCol w:w="158"/>
        <w:gridCol w:w="957"/>
        <w:gridCol w:w="80"/>
        <w:gridCol w:w="60"/>
        <w:gridCol w:w="144"/>
        <w:gridCol w:w="987"/>
        <w:gridCol w:w="98"/>
      </w:tblGrid>
      <w:tr>
        <w:trPr/>
        <w:tc>
          <w:tcPr>
            <w:tcW w:w="3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283"/>
              <w:jc w:val="left"/>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78,971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1,105,952</w:t>
            </w:r>
          </w:p>
        </w:tc>
        <w:tc>
          <w:tcPr>
            <w:tcW w:w="98" w:type="dxa"/>
            <w:tcBorders/>
            <w:shd w:fill="CCEE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(69,425</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98" w:type="dxa"/>
            <w:tcBorders/>
            <w:shd w:fill="CCEE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645,758</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to share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98" w:type="dxa"/>
            <w:tcBorders/>
            <w:shd w:fill="CCEE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98" w:type="dxa"/>
            <w:tcBorders/>
            <w:shd w:fill="FFFFFF" w:val="clear"/>
            <w:vAlign w:val="center"/>
          </w:tcPr>
          <w:p>
            <w:pPr>
              <w:pStyle w:val="TableContents"/>
              <w:bidi w:val="0"/>
              <w:spacing w:before="0" w:after="283"/>
              <w:jc w:val="left"/>
              <w:rPr/>
            </w:pPr>
            <w:r>
              <w:rPr/>
              <w:t> </w:t>
            </w:r>
          </w:p>
        </w:tc>
      </w:tr>
      <w:tr>
        <w:trPr/>
        <w:tc>
          <w:tcPr>
            <w:tcW w:w="3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2,606</w:t>
            </w:r>
          </w:p>
        </w:tc>
        <w:tc>
          <w:tcPr>
            <w:tcW w:w="98" w:type="dxa"/>
            <w:tcBorders/>
            <w:shd w:fill="CCEEFF" w:val="clear"/>
            <w:vAlign w:val="center"/>
          </w:tcPr>
          <w:p>
            <w:pPr>
              <w:pStyle w:val="TableContents"/>
              <w:bidi w:val="0"/>
              <w:spacing w:before="0" w:after="283"/>
              <w:jc w:val="left"/>
              <w:rPr/>
            </w:pPr>
            <w:r>
              <w:rPr/>
              <w:t> </w:t>
            </w:r>
          </w:p>
        </w:tc>
      </w:tr>
      <w:tr>
        <w:trPr/>
        <w:tc>
          <w:tcPr>
            <w:tcW w:w="35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(22,781</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84,386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1,668,025</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78"/>
        <w:gridCol w:w="60"/>
        <w:gridCol w:w="67"/>
        <w:gridCol w:w="653"/>
        <w:gridCol w:w="63"/>
        <w:gridCol w:w="63"/>
        <w:gridCol w:w="220"/>
        <w:gridCol w:w="460"/>
        <w:gridCol w:w="60"/>
        <w:gridCol w:w="60"/>
        <w:gridCol w:w="140"/>
        <w:gridCol w:w="780"/>
        <w:gridCol w:w="80"/>
        <w:gridCol w:w="60"/>
        <w:gridCol w:w="233"/>
        <w:gridCol w:w="1017"/>
        <w:gridCol w:w="80"/>
        <w:gridCol w:w="60"/>
        <w:gridCol w:w="158"/>
        <w:gridCol w:w="957"/>
        <w:gridCol w:w="80"/>
        <w:gridCol w:w="60"/>
        <w:gridCol w:w="172"/>
        <w:gridCol w:w="961"/>
        <w:gridCol w:w="83"/>
      </w:tblGrid>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283"/>
              <w:jc w:val="left"/>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53,212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309,013</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124,105</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83" w:type="dxa"/>
            <w:tcBorders/>
            <w:shd w:fill="CCEEFF" w:val="clear"/>
            <w:vAlign w:val="center"/>
          </w:tcPr>
          <w:p>
            <w:pPr>
              <w:pStyle w:val="TableContents"/>
              <w:bidi w:val="0"/>
              <w:spacing w:before="0" w:after="283"/>
              <w:jc w:val="left"/>
              <w:rPr/>
            </w:pPr>
            <w:r>
              <w:rPr/>
              <w:t> </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3" w:type="dxa"/>
            <w:tcBorders/>
            <w:shd w:fill="FFFFFF" w:val="clear"/>
            <w:vAlign w:val="center"/>
          </w:tcPr>
          <w:p>
            <w:pPr>
              <w:pStyle w:val="TableContents"/>
              <w:bidi w:val="0"/>
              <w:spacing w:before="0" w:after="283"/>
              <w:jc w:val="left"/>
              <w:rPr/>
            </w:pPr>
            <w:r>
              <w:rPr/>
              <w:t> </w:t>
            </w:r>
          </w:p>
        </w:tc>
      </w:tr>
      <w:tr>
        <w:trPr/>
        <w:tc>
          <w:tcPr>
            <w:tcW w:w="3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424,981</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0"/>
        <w:gridCol w:w="60"/>
        <w:gridCol w:w="67"/>
        <w:gridCol w:w="653"/>
        <w:gridCol w:w="63"/>
        <w:gridCol w:w="63"/>
        <w:gridCol w:w="220"/>
        <w:gridCol w:w="460"/>
        <w:gridCol w:w="60"/>
        <w:gridCol w:w="60"/>
        <w:gridCol w:w="125"/>
        <w:gridCol w:w="845"/>
        <w:gridCol w:w="80"/>
        <w:gridCol w:w="60"/>
        <w:gridCol w:w="255"/>
        <w:gridCol w:w="995"/>
        <w:gridCol w:w="80"/>
        <w:gridCol w:w="60"/>
        <w:gridCol w:w="158"/>
        <w:gridCol w:w="957"/>
        <w:gridCol w:w="80"/>
        <w:gridCol w:w="60"/>
        <w:gridCol w:w="144"/>
        <w:gridCol w:w="987"/>
        <w:gridCol w:w="83"/>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center"/>
              <w:rPr/>
            </w:pPr>
            <w:r>
              <w:rPr>
                <w:rStyle w:val="Emphasis"/>
              </w:rPr>
              <w:t> </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733,918</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1,028,207</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to share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w:t>
            </w:r>
          </w:p>
        </w:tc>
        <w:tc>
          <w:tcPr>
            <w:tcW w:w="83"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9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83"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84,386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1,668,025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5"/>
        <w:gridCol w:w="60"/>
        <w:gridCol w:w="67"/>
        <w:gridCol w:w="657"/>
        <w:gridCol w:w="63"/>
        <w:gridCol w:w="63"/>
        <w:gridCol w:w="220"/>
        <w:gridCol w:w="460"/>
        <w:gridCol w:w="60"/>
        <w:gridCol w:w="60"/>
        <w:gridCol w:w="140"/>
        <w:gridCol w:w="780"/>
        <w:gridCol w:w="80"/>
        <w:gridCol w:w="60"/>
        <w:gridCol w:w="233"/>
        <w:gridCol w:w="1017"/>
        <w:gridCol w:w="80"/>
        <w:gridCol w:w="60"/>
        <w:gridCol w:w="125"/>
        <w:gridCol w:w="755"/>
        <w:gridCol w:w="80"/>
        <w:gridCol w:w="60"/>
        <w:gridCol w:w="172"/>
        <w:gridCol w:w="963"/>
        <w:gridCol w:w="85"/>
      </w:tblGrid>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center"/>
              <w:rPr/>
            </w:pPr>
            <w:r>
              <w:rPr>
                <w:rStyle w:val="Emphasis"/>
              </w:rPr>
              <w:t> </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49,393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85" w:type="dxa"/>
            <w:tcBorders/>
            <w:shd w:fill="CCEE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w:t>
            </w:r>
          </w:p>
        </w:tc>
        <w:tc>
          <w:tcPr>
            <w:tcW w:w="85" w:type="dxa"/>
            <w:tcBorders/>
            <w:shd w:fill="CCEE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195,770</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657"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16,783</w:t>
            </w:r>
          </w:p>
        </w:tc>
        <w:tc>
          <w:tcPr>
            <w:tcW w:w="85" w:type="dxa"/>
            <w:tcBorders/>
            <w:shd w:fill="CCEEFF" w:val="clear"/>
            <w:vAlign w:val="center"/>
          </w:tcPr>
          <w:p>
            <w:pPr>
              <w:pStyle w:val="TableContents"/>
              <w:bidi w:val="0"/>
              <w:spacing w:before="0" w:after="283"/>
              <w:jc w:val="left"/>
              <w:rPr/>
            </w:pPr>
            <w:r>
              <w:rPr/>
              <w:t> </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w:t>
            </w:r>
          </w:p>
        </w:tc>
        <w:tc>
          <w:tcPr>
            <w:tcW w:w="85" w:type="dxa"/>
            <w:tcBorders/>
            <w:shd w:fill="FFFFFF" w:val="clear"/>
            <w:vAlign w:val="center"/>
          </w:tcPr>
          <w:p>
            <w:pPr>
              <w:pStyle w:val="TableContents"/>
              <w:bidi w:val="0"/>
              <w:spacing w:before="0" w:after="283"/>
              <w:jc w:val="left"/>
              <w:rPr/>
            </w:pPr>
            <w:r>
              <w:rPr/>
              <w:t> </w:t>
            </w:r>
          </w:p>
        </w:tc>
      </w:tr>
      <w:tr>
        <w:trPr/>
        <w:tc>
          <w:tcPr>
            <w:tcW w:w="3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424,981</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843"/>
        <w:gridCol w:w="60"/>
        <w:gridCol w:w="138"/>
        <w:gridCol w:w="943"/>
        <w:gridCol w:w="88"/>
        <w:gridCol w:w="66"/>
        <w:gridCol w:w="138"/>
        <w:gridCol w:w="843"/>
        <w:gridCol w:w="86"/>
      </w:tblGrid>
      <w:tr>
        <w:trPr/>
        <w:tc>
          <w:tcPr>
            <w:tcW w:w="7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081" w:type="dxa"/>
            <w:gridSpan w:val="2"/>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81"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sz w:val="20"/>
              </w:rPr>
            </w:pPr>
            <w:r>
              <w:rPr>
                <w:sz w:val="20"/>
              </w:rPr>
              <w:t>$</w:t>
            </w:r>
          </w:p>
        </w:tc>
        <w:tc>
          <w:tcPr>
            <w:tcW w:w="943" w:type="dxa"/>
            <w:tcBorders/>
            <w:shd w:fill="FFFFFF" w:val="clear"/>
            <w:vAlign w:val="center"/>
          </w:tcPr>
          <w:p>
            <w:pPr>
              <w:pStyle w:val="TableContents"/>
              <w:bidi w:val="0"/>
              <w:spacing w:before="0" w:after="283"/>
              <w:ind w:left="0" w:right="0" w:hanging="0"/>
              <w:jc w:val="right"/>
              <w:rPr>
                <w:sz w:val="20"/>
              </w:rPr>
            </w:pPr>
            <w:r>
              <w:rPr>
                <w:sz w:val="20"/>
              </w:rPr>
              <w:t>(37,062</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sz w:val="20"/>
              </w:rPr>
            </w:pPr>
            <w:r>
              <w:rPr>
                <w:sz w:val="20"/>
              </w:rPr>
              <w:t>$</w:t>
            </w:r>
          </w:p>
        </w:tc>
        <w:tc>
          <w:tcPr>
            <w:tcW w:w="843" w:type="dxa"/>
            <w:tcBorders/>
            <w:shd w:fill="FFFFFF" w:val="clear"/>
            <w:vAlign w:val="center"/>
          </w:tcPr>
          <w:p>
            <w:pPr>
              <w:pStyle w:val="TableContents"/>
              <w:bidi w:val="0"/>
              <w:spacing w:before="0" w:after="283"/>
              <w:ind w:left="0" w:right="0" w:hanging="0"/>
              <w:jc w:val="right"/>
              <w:rPr>
                <w:sz w:val="20"/>
              </w:rPr>
            </w:pPr>
            <w:r>
              <w:rPr>
                <w:sz w:val="20"/>
              </w:rPr>
              <w:t>(18,270</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81"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Allowance for bad debt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49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1</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1,133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3,728</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19,729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12,125</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Amortization of debt issuance costs and premium</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(511</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(505</w:t>
            </w:r>
          </w:p>
        </w:tc>
        <w:tc>
          <w:tcPr>
            <w:tcW w:w="86" w:type="dxa"/>
            <w:tcBorders/>
            <w:shd w:fill="CCEEFF" w:val="clear"/>
            <w:vAlign w:val="center"/>
          </w:tcPr>
          <w:p>
            <w:pPr>
              <w:pStyle w:val="TableContents"/>
              <w:bidi w:val="0"/>
              <w:spacing w:before="0" w:after="283"/>
              <w:ind w:left="0" w:right="0" w:hanging="0"/>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c>
          <w:tcPr>
            <w:tcW w:w="943" w:type="dxa"/>
            <w:tcBorders/>
            <w:shd w:fill="FFFFFF" w:val="clear"/>
            <w:vAlign w:val="center"/>
          </w:tcPr>
          <w:p>
            <w:pPr>
              <w:pStyle w:val="TableContents"/>
              <w:bidi w:val="0"/>
              <w:spacing w:before="0" w:after="0"/>
              <w:ind w:left="0" w:right="0" w:hanging="0"/>
              <w:jc w:val="right"/>
              <w:rPr>
                <w:sz w:val="20"/>
              </w:rPr>
            </w:pPr>
            <w:r>
              <w:rPr>
                <w:sz w:val="20"/>
              </w:rPr>
              <w:t>1,374</w:t>
            </w:r>
          </w:p>
        </w:tc>
        <w:tc>
          <w:tcPr>
            <w:tcW w:w="88"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c>
          <w:tcPr>
            <w:tcW w:w="843" w:type="dxa"/>
            <w:tcBorders/>
            <w:shd w:fill="FFFFFF" w:val="cle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Loss on disposal of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244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9</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9,254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5,726</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Warrants contra revenue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2,130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53</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Unrealized foreign exchange loss (gain)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532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(5,229</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receivable, trade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(69,649</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(94,652</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(94,092</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(51,048</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(56,009</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(1,472</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(26,043</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(11,204</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142,156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27,993</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5,169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5,127</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27,815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11,229</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(73,781</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(116,389</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(335,132</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(53,868</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Prepayment for equipment and others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sz w:val="20"/>
              </w:rPr>
            </w:pPr>
            <w:r>
              <w:rPr>
                <w:sz w:val="20"/>
              </w:rPr>
              <w:t>(289,744</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sz w:val="20"/>
              </w:rPr>
            </w:pPr>
            <w:r>
              <w:rPr>
                <w:sz w:val="20"/>
              </w:rPr>
              <w:t>(21,181</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(259</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(145</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Purchase of land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(8,581</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(633,713</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(75,194</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issuance of notes payable and long-term debt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sz w:val="20"/>
              </w:rPr>
            </w:pPr>
            <w:r>
              <w:rPr>
                <w:sz w:val="20"/>
              </w:rPr>
              <w:t>1,653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line of credit borrowings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46,906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22,111</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line of credit borrowings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(24,733</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(26,708</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Changes in ADPI</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sz w:val="20"/>
              </w:rPr>
            </w:pPr>
            <w:r>
              <w:rPr>
                <w:sz w:val="20"/>
              </w:rPr>
              <w:t>80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68,639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55,517</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(69,215</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(42,820</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Payments of tax withholding on behalf of employees related to share-based compensation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(71,163</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(7,821</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Payment on convertible notes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(95</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(56</w:t>
            </w:r>
          </w:p>
        </w:tc>
        <w:tc>
          <w:tcPr>
            <w:tcW w:w="86" w:type="dxa"/>
            <w:tcBorders/>
            <w:shd w:fill="CCEEFF" w:val="clear"/>
            <w:vAlign w:val="center"/>
          </w:tcPr>
          <w:p>
            <w:pPr>
              <w:pStyle w:val="TableContents"/>
              <w:bidi w:val="0"/>
              <w:spacing w:before="0" w:after="283"/>
              <w:jc w:val="left"/>
              <w:rPr>
                <w:sz w:val="20"/>
              </w:rPr>
            </w:pPr>
            <w:r>
              <w:rPr>
                <w:sz w:val="20"/>
              </w:rPr>
              <w:t>)</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Proceeds from common stock offering, net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1,028,207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195,770</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980,279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195,993</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19,938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3,652</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292,723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sz w:val="20"/>
              </w:rPr>
            </w:pPr>
            <w:r>
              <w:rPr>
                <w:sz w:val="20"/>
              </w:rPr>
              <w:t>8,062</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216,035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79,133</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508,758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87,195</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Interest, net of amounts capitalized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sz w:val="20"/>
              </w:rPr>
            </w:pPr>
            <w:r>
              <w:rPr>
                <w:sz w:val="20"/>
              </w:rPr>
              <w:t>$</w:t>
            </w:r>
          </w:p>
        </w:tc>
        <w:tc>
          <w:tcPr>
            <w:tcW w:w="943" w:type="dxa"/>
            <w:tcBorders/>
            <w:shd w:fill="FFFFFF" w:val="clear"/>
            <w:vAlign w:val="center"/>
          </w:tcPr>
          <w:p>
            <w:pPr>
              <w:pStyle w:val="TableContents"/>
              <w:bidi w:val="0"/>
              <w:spacing w:before="0" w:after="283"/>
              <w:ind w:left="0" w:right="0" w:hanging="0"/>
              <w:jc w:val="right"/>
              <w:rPr>
                <w:sz w:val="20"/>
              </w:rPr>
            </w:pPr>
            <w:r>
              <w:rPr>
                <w:sz w:val="20"/>
              </w:rPr>
              <w:t>1,942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sz w:val="20"/>
              </w:rPr>
            </w:pPr>
            <w:r>
              <w:rPr>
                <w:sz w:val="20"/>
              </w:rPr>
              <w:t>$</w:t>
            </w:r>
          </w:p>
        </w:tc>
        <w:tc>
          <w:tcPr>
            <w:tcW w:w="843" w:type="dxa"/>
            <w:tcBorders/>
            <w:shd w:fill="FFFFFF" w:val="clear"/>
            <w:vAlign w:val="center"/>
          </w:tcPr>
          <w:p>
            <w:pPr>
              <w:pStyle w:val="TableContents"/>
              <w:bidi w:val="0"/>
              <w:spacing w:before="0" w:after="283"/>
              <w:ind w:left="0" w:right="0" w:hanging="0"/>
              <w:jc w:val="right"/>
              <w:rPr>
                <w:sz w:val="20"/>
              </w:rPr>
            </w:pPr>
            <w:r>
              <w:rPr>
                <w:sz w:val="20"/>
              </w:rPr>
              <w:t>274</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sz w:val="20"/>
              </w:rPr>
            </w:pPr>
            <w:r>
              <w:rPr>
                <w:sz w:val="20"/>
              </w:rPr>
              <w:t>(3</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7843" w:type="dxa"/>
            <w:tcBorders/>
            <w:shd w:fill="CCEE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accounts payable related to property and equipment additions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sz w:val="20"/>
              </w:rPr>
            </w:pPr>
            <w:r>
              <w:rPr>
                <w:sz w:val="20"/>
              </w:rPr>
              <w:t>$</w:t>
            </w:r>
          </w:p>
        </w:tc>
        <w:tc>
          <w:tcPr>
            <w:tcW w:w="943" w:type="dxa"/>
            <w:tcBorders/>
            <w:shd w:fill="CCEEFF" w:val="clear"/>
            <w:vAlign w:val="center"/>
          </w:tcPr>
          <w:p>
            <w:pPr>
              <w:pStyle w:val="TableContents"/>
              <w:bidi w:val="0"/>
              <w:spacing w:before="0" w:after="283"/>
              <w:ind w:left="0" w:right="0" w:hanging="0"/>
              <w:jc w:val="right"/>
              <w:rPr>
                <w:sz w:val="20"/>
              </w:rPr>
            </w:pPr>
            <w:r>
              <w:rPr>
                <w:sz w:val="20"/>
              </w:rPr>
              <w:t>770</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sz w:val="20"/>
              </w:rPr>
            </w:pPr>
            <w:r>
              <w:rPr>
                <w:sz w:val="20"/>
              </w:rPr>
              <w:t>$</w:t>
            </w:r>
          </w:p>
        </w:tc>
        <w:tc>
          <w:tcPr>
            <w:tcW w:w="843" w:type="dxa"/>
            <w:tcBorders/>
            <w:shd w:fill="CCEEFF" w:val="clear"/>
            <w:vAlign w:val="center"/>
          </w:tcPr>
          <w:p>
            <w:pPr>
              <w:pStyle w:val="TableContents"/>
              <w:bidi w:val="0"/>
              <w:spacing w:before="0" w:after="283"/>
              <w:ind w:left="0" w:right="0" w:hanging="0"/>
              <w:jc w:val="right"/>
              <w:rPr>
                <w:sz w:val="20"/>
              </w:rPr>
            </w:pPr>
            <w:r>
              <w:rPr>
                <w:sz w:val="20"/>
              </w:rPr>
              <w:t>1,405</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0" w:right="0" w:firstLine="180"/>
              <w:jc w:val="left"/>
              <w:rPr>
                <w:rFonts w:ascii="Times New Roman;Times;serif" w:hAnsi="Times New Roman;Times;serif"/>
                <w:b w:val="false"/>
                <w:sz w:val="20"/>
              </w:rPr>
            </w:pPr>
            <w:r>
              <w:rPr>
                <w:rFonts w:ascii="Times New Roman;Times;serif" w:hAnsi="Times New Roman;Times;serif"/>
                <w:b w:val="false"/>
                <w:sz w:val="20"/>
              </w:rPr>
              <w:t>Net change in deposits and prepaid for equipment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(1,405</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sz w:val="20"/>
              </w:rPr>
            </w:pPr>
            <w:r>
              <w:rPr>
                <w:sz w:val="20"/>
              </w:rPr>
              <w:t>(17,484</w:t>
            </w:r>
          </w:p>
        </w:tc>
        <w:tc>
          <w:tcPr>
            <w:tcW w:w="86" w:type="dxa"/>
            <w:tcBorders/>
            <w:shd w:fill="FFFFFF" w:val="clear"/>
            <w:vAlign w:val="center"/>
          </w:tcPr>
          <w:p>
            <w:pPr>
              <w:pStyle w:val="TableContents"/>
              <w:bidi w:val="0"/>
              <w:spacing w:before="0" w:after="283"/>
              <w:jc w:val="left"/>
              <w:rPr>
                <w:sz w:val="20"/>
              </w:rPr>
            </w:pPr>
            <w:r>
              <w:rPr>
                <w:sz w:val="20"/>
              </w:rPr>
              <w:t>)</w:t>
            </w:r>
          </w:p>
        </w:tc>
      </w:tr>
      <w:tr>
        <w:trP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and financing activities: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Warrant issued and vested to customer</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20"/>
              </w:rPr>
            </w:pPr>
            <w:r>
              <w:rPr>
                <w:sz w:val="20"/>
              </w:rPr>
              <w:t>$</w:t>
            </w:r>
          </w:p>
        </w:tc>
        <w:tc>
          <w:tcPr>
            <w:tcW w:w="943" w:type="dxa"/>
            <w:tcBorders/>
            <w:shd w:fill="FFFFFF" w:val="clear"/>
            <w:vAlign w:val="center"/>
          </w:tcPr>
          <w:p>
            <w:pPr>
              <w:pStyle w:val="TableContents"/>
              <w:bidi w:val="0"/>
              <w:spacing w:before="0" w:after="283"/>
              <w:jc w:val="right"/>
              <w:rPr>
                <w:sz w:val="20"/>
              </w:rPr>
            </w:pPr>
            <w:r>
              <w:rPr>
                <w:sz w:val="20"/>
              </w:rPr>
              <w:t>1,775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sz w:val="20"/>
              </w:rPr>
            </w:pPr>
            <w:r>
              <w:rPr>
                <w:sz w:val="20"/>
              </w:rPr>
              <w:t>$</w:t>
            </w:r>
          </w:p>
        </w:tc>
        <w:tc>
          <w:tcPr>
            <w:tcW w:w="843" w:type="dxa"/>
            <w:tcBorders/>
            <w:shd w:fill="FFFFFF" w:val="clear"/>
            <w:vAlign w:val="center"/>
          </w:tcPr>
          <w:p>
            <w:pPr>
              <w:pStyle w:val="TableContents"/>
              <w:bidi w:val="0"/>
              <w:spacing w:before="0" w:after="283"/>
              <w:jc w:val="right"/>
              <w:rPr>
                <w:sz w:val="20"/>
              </w:rPr>
            </w:pPr>
            <w:r>
              <w:rPr>
                <w:sz w:val="20"/>
              </w:rPr>
              <w:t>16,739</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and AI data centers,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as well as certain of its data center transceivers and performs research and development activities for laser component and optical module products and certain data center transceiver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certain of its data center transceivers and certain CATV systems and equipment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June 30, 2025</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necessary for the fair statement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2025</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credit losses, inventory reserve, valuation of long-lived assets, service and product warranty costs, share-based compensation expense, estimated useful lives of tangible and intangible assets, and taxes.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2025</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 Adopted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caps w:val="false"/>
          <w:smallCaps w:val="false"/>
        </w:rPr>
        <w:t>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05—Financial</w:t>
      </w:r>
      <w:r>
        <w:rPr>
          <w:rFonts w:ascii="Times New Roman" w:hAnsi="Times New Roman"/>
          <w:caps w:val="false"/>
          <w:smallCaps w:val="false"/>
          <w:sz w:val="20"/>
        </w:rPr>
        <w:t xml:space="preserve">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which added a practical expedient that assumes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asset when estimating expected credit losses for current accounts receivable and current contract assets. The guidance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We have adopted this ASU and this ASU did </w:t>
      </w:r>
      <w:r>
        <w:rPr>
          <w:rStyle w:val="Emphasis"/>
          <w:rFonts w:ascii="Times New Roman" w:hAnsi="Times New Roman"/>
          <w:caps w:val="false"/>
          <w:smallCaps w:val="false"/>
          <w:sz w:val="20"/>
        </w:rPr>
        <w:t>not</w:t>
      </w:r>
      <w:r>
        <w:rPr>
          <w:rFonts w:ascii="Times New Roman" w:hAnsi="Times New Roman"/>
          <w:caps w:val="false"/>
          <w:smallCaps w:val="false"/>
          <w:sz w:val="20"/>
        </w:rPr>
        <w: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i/>
          <w:caps w:val="false"/>
          <w:smallCaps w:val="false"/>
          <w:sz w:val="20"/>
        </w:rPr>
        <w:t xml:space="preserve">Recent Accounting Pronouncements </w:t>
      </w:r>
      <w:r>
        <w:rPr>
          <w:rStyle w:val="Emphasis"/>
          <w:rFonts w:ascii="Times New Roman;Times;serif" w:hAnsi="Times New Roman;Times;serif"/>
          <w:i/>
          <w:caps w:val="false"/>
          <w:smallCaps w:val="false"/>
          <w:sz w:val="20"/>
        </w:rPr>
        <w:t>Not</w:t>
      </w:r>
      <w:r>
        <w:rPr>
          <w:rFonts w:ascii="Times New Roman;Times;serif" w:hAnsi="Times New Roman;Times;serif"/>
          <w:i/>
          <w:caps w:val="false"/>
          <w:smallCaps w:val="false"/>
          <w:sz w:val="20"/>
        </w:rPr>
        <w:t xml:space="preserve"> Yet Adopted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sz w:val="20"/>
          <w:shd w:fill="FFFFFF" w:val="clear"/>
        </w:rPr>
        <w:t>In </w:t>
      </w:r>
      <w:r>
        <w:rPr>
          <w:rStyle w:val="Emphasis"/>
          <w:sz w:val="20"/>
          <w:shd w:fill="FFFFFF" w:val="clear"/>
        </w:rPr>
        <w:t xml:space="preserve"> November 2024, </w:t>
      </w:r>
      <w:r>
        <w:rPr>
          <w:sz w:val="20"/>
          <w:shd w:fill="FFFFFF" w:val="clear"/>
        </w:rPr>
        <w:t>the Financial Accounting Standard Board ("FASB") issued Accounting Standard Update ("ASU") </w:t>
      </w:r>
      <w:r>
        <w:rPr>
          <w:rStyle w:val="Emphasis"/>
          <w:sz w:val="20"/>
          <w:shd w:fill="FFFFFF" w:val="clear"/>
        </w:rPr>
        <w:t>2024</w:t>
      </w:r>
      <w:r>
        <w:rPr>
          <w:sz w:val="20"/>
          <w:shd w:fill="FFFFFF" w:val="clear"/>
        </w:rPr>
        <w:t>-</w:t>
      </w:r>
      <w:r>
        <w:rPr>
          <w:rStyle w:val="Emphasis"/>
          <w:sz w:val="20"/>
          <w:shd w:fill="FFFFFF" w:val="clear"/>
        </w:rPr>
        <w:t>03</w:t>
      </w:r>
      <w:r>
        <w:rPr>
          <w:sz w:val="20"/>
          <w:shd w:fill="FFFFFF" w:val="clear"/>
        </w:rPr>
        <w:t> "Income Statement: Reporting Comprehensive Income/Expense Disaggregation Disclosures (Subtopic </w:t>
      </w:r>
      <w:r>
        <w:rPr>
          <w:rStyle w:val="Emphasis"/>
          <w:sz w:val="20"/>
          <w:shd w:fill="FFFFFF" w:val="clear"/>
        </w:rPr>
        <w:t>220</w:t>
      </w:r>
      <w:r>
        <w:rPr>
          <w:sz w:val="20"/>
          <w:shd w:fill="FFFFFF" w:val="clear"/>
        </w:rPr>
        <w:t>-</w:t>
      </w:r>
      <w:r>
        <w:rPr>
          <w:rStyle w:val="Emphasis"/>
          <w:sz w:val="20"/>
          <w:shd w:fill="FFFFFF" w:val="clear"/>
        </w:rPr>
        <w:t>40</w:t>
      </w:r>
      <w:r>
        <w:rPr>
          <w:sz w:val="20"/>
          <w:shd w:fill="FFFFFF" w:val="clear"/>
        </w:rPr>
        <w:t>)" to improve the disclosures about an entity's expenses. Upon adoption, we will be required to disclose in the notes a disaggregation of certain expense categories included within the expense captions of the income statement. The standard is effective for our </w:t>
      </w:r>
      <w:r>
        <w:rPr>
          <w:rStyle w:val="Emphasis"/>
          <w:sz w:val="20"/>
          <w:shd w:fill="FFFFFF" w:val="clear"/>
        </w:rPr>
        <w:t>2027</w:t>
      </w:r>
      <w:r>
        <w:rPr>
          <w:sz w:val="20"/>
          <w:shd w:fill="FFFFFF" w:val="clear"/>
        </w:rPr>
        <w:t> annual period, and our interim periods beginning in </w:t>
      </w:r>
      <w:r>
        <w:rPr>
          <w:rStyle w:val="Emphasis"/>
          <w:sz w:val="20"/>
          <w:shd w:fill="FFFFFF" w:val="clear"/>
        </w:rPr>
        <w:t>2028.</w:t>
      </w:r>
      <w:r>
        <w:rPr>
          <w:sz w:val="20"/>
          <w:shd w:fill="FFFFFF" w:val="clear"/>
        </w:rPr>
        <w:t> The Company is currently evaluating the impact of the new standard will have on its annual financial statements and related disclosures.</w:t>
      </w:r>
      <w:r>
        <w:rPr>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sz w:val="20"/>
        </w:rPr>
        <w:t xml:space="preserve">In </w:t>
      </w:r>
      <w:r>
        <w:rPr>
          <w:rStyle w:val="Emphasis"/>
          <w:sz w:val="20"/>
        </w:rPr>
        <w:t xml:space="preserve">November 2024, </w:t>
      </w:r>
      <w:r>
        <w:rPr>
          <w:sz w:val="20"/>
        </w:rPr>
        <w:t xml:space="preserve">the FASB issued ASU </w:t>
      </w:r>
      <w:r>
        <w:rPr>
          <w:rStyle w:val="Emphasis"/>
          <w:sz w:val="20"/>
        </w:rPr>
        <w:t>2024</w:t>
      </w:r>
      <w:r>
        <w:rPr>
          <w:sz w:val="20"/>
        </w:rPr>
        <w:t xml:space="preserve">- </w:t>
      </w:r>
      <w:r>
        <w:rPr>
          <w:rStyle w:val="Emphasis"/>
          <w:sz w:val="20"/>
        </w:rPr>
        <w:t>04,</w:t>
      </w:r>
      <w:r>
        <w:rPr>
          <w:sz w:val="20"/>
        </w:rPr>
        <w:t xml:space="preserve"> Debt-Debt with Conversion and Other Options (Subtopic </w:t>
      </w:r>
      <w:r>
        <w:rPr>
          <w:rStyle w:val="Emphasis"/>
          <w:sz w:val="20"/>
        </w:rPr>
        <w:t>470</w:t>
      </w:r>
      <w:r>
        <w:rPr>
          <w:sz w:val="20"/>
        </w:rPr>
        <w:t xml:space="preserve">- </w:t>
      </w:r>
      <w:r>
        <w:rPr>
          <w:rStyle w:val="Emphasis"/>
          <w:sz w:val="20"/>
        </w:rPr>
        <w:t>20</w:t>
      </w:r>
      <w:r>
        <w:rPr>
          <w:sz w:val="20"/>
        </w:rPr>
        <w:t xml:space="preserve">): Induced Conversions of Convertible Debt Instruments.  The amendments clarify the accounting for certain induced conversions of convertible debt instruments.  The Company is currently evaluating the impact that adoption of this guidance </w:t>
      </w:r>
      <w:r>
        <w:rPr>
          <w:rStyle w:val="Emphasis"/>
          <w:sz w:val="20"/>
        </w:rPr>
        <w:t xml:space="preserve">may </w:t>
      </w:r>
      <w:r>
        <w:rPr>
          <w:sz w:val="20"/>
        </w:rPr>
        <w:t xml:space="preserve">have on its consolidated financial statements and related disclosures.  Because the Company has outstanding convertible debt instruments, the guidance </w:t>
      </w:r>
      <w:r>
        <w:rPr>
          <w:rStyle w:val="Emphasis"/>
          <w:sz w:val="20"/>
        </w:rPr>
        <w:t xml:space="preserve">may </w:t>
      </w:r>
      <w:r>
        <w:rPr>
          <w:sz w:val="20"/>
        </w:rPr>
        <w:t xml:space="preserve">affect the accounting for future conversions, exchanges, or settlements of such instruments.  The Company does </w:t>
      </w:r>
      <w:r>
        <w:rPr>
          <w:rStyle w:val="Emphasis"/>
          <w:sz w:val="20"/>
        </w:rPr>
        <w:t>not</w:t>
      </w:r>
      <w:r>
        <w:rPr>
          <w:sz w:val="20"/>
        </w:rPr>
        <w:t xml:space="preserve"> currently expect the adoption of ASU </w:t>
      </w:r>
      <w:r>
        <w:rPr>
          <w:rStyle w:val="Emphasis"/>
          <w:sz w:val="20"/>
        </w:rPr>
        <w:t>2024</w:t>
      </w:r>
      <w:r>
        <w:rPr>
          <w:sz w:val="20"/>
        </w:rPr>
        <w:t xml:space="preserve">- </w:t>
      </w:r>
      <w:r>
        <w:rPr>
          <w:rStyle w:val="Emphasis"/>
          <w:sz w:val="20"/>
        </w:rPr>
        <w:t>04</w:t>
      </w:r>
      <w:r>
        <w:rPr>
          <w:sz w:val="20"/>
        </w:rPr>
        <w:t xml:space="preserve"> to have a material impact on is consolidated statements.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sz w:val="20"/>
          <w:shd w:fill="FFFFFF" w:val="clear"/>
        </w:rPr>
        <w:t xml:space="preserve">In </w:t>
      </w:r>
      <w:r>
        <w:rPr>
          <w:rStyle w:val="Emphasis"/>
          <w:sz w:val="20"/>
          <w:shd w:fill="FFFFFF" w:val="clear"/>
        </w:rPr>
        <w:t xml:space="preserve">May 2025, </w:t>
      </w:r>
      <w:r>
        <w:rPr>
          <w:sz w:val="20"/>
        </w:rPr>
        <w:t xml:space="preserve">the FASB issued ASU  </w:t>
      </w:r>
      <w:r>
        <w:rPr>
          <w:rStyle w:val="Emphasis"/>
          <w:sz w:val="20"/>
          <w:shd w:fill="FFFFFF" w:val="clear"/>
        </w:rPr>
        <w:t>2025</w:t>
      </w:r>
      <w:r>
        <w:rPr>
          <w:sz w:val="20"/>
          <w:shd w:fill="FFFFFF" w:val="clear"/>
        </w:rPr>
        <w:t>-</w:t>
      </w:r>
      <w:r>
        <w:rPr>
          <w:rStyle w:val="Emphasis"/>
          <w:sz w:val="20"/>
          <w:shd w:fill="FFFFFF" w:val="clear"/>
        </w:rPr>
        <w:t>04</w:t>
      </w:r>
      <w:r>
        <w:rPr>
          <w:sz w:val="20"/>
          <w:shd w:fill="FFFFFF" w:val="clear"/>
        </w:rPr>
        <w:t xml:space="preserve"> "Share-Based Consideration Payable to a Customer". The standard is effective for our </w:t>
      </w:r>
      <w:r>
        <w:rPr>
          <w:rStyle w:val="Emphasis"/>
          <w:sz w:val="20"/>
          <w:shd w:fill="FFFFFF" w:val="clear"/>
        </w:rPr>
        <w:t>2026</w:t>
      </w:r>
      <w:r>
        <w:rPr>
          <w:sz w:val="20"/>
          <w:shd w:fill="FFFFFF" w:val="clear"/>
        </w:rPr>
        <w:t xml:space="preserve"> annual period, and our interim periods beginning in </w:t>
      </w:r>
      <w:r>
        <w:rPr>
          <w:rStyle w:val="Emphasis"/>
          <w:sz w:val="20"/>
          <w:shd w:fill="FFFFFF" w:val="clear"/>
        </w:rPr>
        <w:t>2027.</w:t>
      </w:r>
      <w:r>
        <w:rPr>
          <w:sz w:val="20"/>
          <w:shd w:fill="FFFFFF" w:val="clear"/>
        </w:rPr>
        <w:t xml:space="preserve"> The Company is currently evaluating the impact of this ASU on its annual financial statements and related disclosures. </w:t>
      </w:r>
      <w:r>
        <w:rPr>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sz w:val="20"/>
        </w:rPr>
        <w:t xml:space="preserve">In </w:t>
      </w:r>
      <w:r>
        <w:rPr>
          <w:rStyle w:val="Emphasis"/>
          <w:sz w:val="20"/>
        </w:rPr>
        <w:t xml:space="preserve">September 2025, </w:t>
      </w:r>
      <w:r>
        <w:rPr>
          <w:sz w:val="20"/>
        </w:rPr>
        <w:t xml:space="preserve">the FASB issued ASU </w:t>
      </w:r>
      <w:r>
        <w:rPr>
          <w:rStyle w:val="Emphasis"/>
          <w:sz w:val="20"/>
        </w:rPr>
        <w:t>2025</w:t>
      </w:r>
      <w:r>
        <w:rPr>
          <w:sz w:val="20"/>
        </w:rPr>
        <w:t xml:space="preserve">- </w:t>
      </w:r>
      <w:r>
        <w:rPr>
          <w:rStyle w:val="Emphasis"/>
          <w:sz w:val="20"/>
        </w:rPr>
        <w:t>06—Intangibles—Goodwill</w:t>
      </w:r>
      <w:r>
        <w:rPr>
          <w:sz w:val="20"/>
        </w:rPr>
        <w:t xml:space="preserve"> and Other—Internal-Use Software (Subtopic </w:t>
      </w:r>
      <w:r>
        <w:rPr>
          <w:rStyle w:val="Emphasis"/>
          <w:sz w:val="20"/>
        </w:rPr>
        <w:t>350</w:t>
      </w:r>
      <w:r>
        <w:rPr>
          <w:sz w:val="20"/>
        </w:rPr>
        <w:t xml:space="preserve">- </w:t>
      </w:r>
      <w:r>
        <w:rPr>
          <w:rStyle w:val="Emphasis"/>
          <w:sz w:val="20"/>
        </w:rPr>
        <w:t>40</w:t>
      </w:r>
      <w:r>
        <w:rPr>
          <w:sz w:val="20"/>
        </w:rPr>
        <w:t xml:space="preserve">): Targeted Improvements to the Accounting for Internal-Use Software, which removed the language around project stages that was used to assess when costs could be capitalized for an internal-use software. The update also requires internal-use software to be disclosed under the ASC </w:t>
      </w:r>
      <w:r>
        <w:rPr>
          <w:rStyle w:val="Emphasis"/>
          <w:sz w:val="20"/>
        </w:rPr>
        <w:t>360</w:t>
      </w:r>
      <w:r>
        <w:rPr>
          <w:sz w:val="20"/>
        </w:rPr>
        <w:t xml:space="preserve"> Property, Plant, and Equipment guidance. The guidance is effective for annual periods beginning after </w:t>
      </w:r>
      <w:r>
        <w:rPr>
          <w:rStyle w:val="Emphasis"/>
          <w:sz w:val="20"/>
        </w:rPr>
        <w:t xml:space="preserve">December 15, 2027. </w:t>
      </w:r>
      <w:r>
        <w:rPr>
          <w:sz w:val="20"/>
        </w:rPr>
        <w:t xml:space="preserve">The Company is currently assessing the impact of this ASU on the Company’s accounting policies and the financial statements. </w:t>
      </w:r>
    </w:p>
    <w:p>
      <w:pPr>
        <w:pStyle w:val="TextBody"/>
        <w:bidi w:val="0"/>
        <w:spacing w:before="0" w:after="283"/>
        <w:jc w:val="left"/>
        <w:rPr/>
      </w:pPr>
      <w:r>
        <w:rPr/>
        <w:t xml:space="preserve">  </w:t>
      </w:r>
    </w:p>
    <w:p>
      <w:pPr>
        <w:pStyle w:val="TextBody"/>
        <w:bidi w:val="0"/>
        <w:spacing w:before="0" w:after="0"/>
        <w:ind w:left="0" w:right="0" w:firstLine="180"/>
        <w:jc w:val="left"/>
        <w:rPr/>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to establish the accounting for a government grant received by a business entity including guidance for (</w:t>
      </w:r>
      <w:r>
        <w:rPr>
          <w:rStyle w:val="Emphasis"/>
          <w:rFonts w:ascii="Times New Roman" w:hAnsi="Times New Roman"/>
          <w:caps w:val="false"/>
          <w:smallCaps w:val="false"/>
          <w:sz w:val="20"/>
        </w:rPr>
        <w:t>1</w:t>
      </w:r>
      <w:r>
        <w:rPr>
          <w:rFonts w:ascii="Times New Roman" w:hAnsi="Times New Roman"/>
          <w:caps w:val="false"/>
          <w:smallCaps w:val="false"/>
          <w:sz w:val="20"/>
        </w:rPr>
        <w:t>) a grant related to an asset and (</w:t>
      </w:r>
      <w:r>
        <w:rPr>
          <w:rStyle w:val="Emphasis"/>
          <w:rFonts w:ascii="Times New Roman" w:hAnsi="Times New Roman"/>
          <w:caps w:val="false"/>
          <w:smallCaps w:val="false"/>
          <w:sz w:val="20"/>
        </w:rPr>
        <w:t>2</w:t>
      </w:r>
      <w:r>
        <w:rPr>
          <w:rFonts w:ascii="Times New Roman" w:hAnsi="Times New Roman"/>
          <w:caps w:val="false"/>
          <w:smallCaps w:val="false"/>
          <w:sz w:val="20"/>
        </w:rPr>
        <w:t>) a grant related to income. For public business entities, the provisions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are effective for fiscal years beginning after </w:t>
      </w:r>
      <w:r>
        <w:rPr>
          <w:rStyle w:val="Emphasis"/>
          <w:rFonts w:ascii="Times New Roman" w:hAnsi="Times New Roman"/>
          <w:caps w:val="false"/>
          <w:smallCaps w:val="false"/>
          <w:sz w:val="20"/>
        </w:rPr>
        <w:t xml:space="preserve"> December 15, 2028. </w:t>
      </w:r>
      <w:r>
        <w:rPr>
          <w:rFonts w:ascii="Times New Roman" w:hAnsi="Times New Roman"/>
          <w:caps w:val="false"/>
          <w:smallCaps w:val="false"/>
          <w:sz w:val="20"/>
        </w:rPr>
        <w:t>Early adoption is permitted. Management is currently evaluating the requirements under this new standard and does </w:t>
      </w:r>
      <w:r>
        <w:rPr>
          <w:rStyle w:val="Emphasis"/>
          <w:rFonts w:ascii="Times New Roman" w:hAnsi="Times New Roman"/>
          <w:caps w:val="false"/>
          <w:smallCaps w:val="false"/>
          <w:sz w:val="20"/>
        </w:rPr>
        <w:t>not</w:t>
      </w:r>
      <w:r>
        <w:rPr>
          <w:rFonts w:ascii="Times New Roman" w:hAnsi="Times New Roman"/>
          <w:caps w:val="false"/>
          <w:smallCaps w:val="false"/>
          <w:sz w:val="20"/>
        </w:rPr>
        <w:t> expect the adoption to have a material impact on the Company's results of operations or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Narrow-Scope Improvements. The ASU clarifies interim disclosure requirements and the applicability of Topic </w:t>
      </w:r>
      <w:r>
        <w:rPr>
          <w:rStyle w:val="Emphasis"/>
          <w:rFonts w:ascii="Times New Roman" w:hAnsi="Times New Roman"/>
          <w:caps w:val="false"/>
          <w:smallCaps w:val="false"/>
          <w:sz w:val="20"/>
        </w:rPr>
        <w:t>270.</w:t>
      </w:r>
      <w:r>
        <w:rPr>
          <w:rFonts w:ascii="Times New Roman" w:hAnsi="Times New Roman"/>
          <w:caps w:val="false"/>
          <w:smallCaps w:val="false"/>
          <w:sz w:val="20"/>
        </w:rPr>
        <w:t> The objective of the amendments is to provide further clarity about the current interim disclosure requirements. The ASU is effective for interim reporting periods within annual reporting periods beginning after </w:t>
      </w:r>
      <w:r>
        <w:rPr>
          <w:rStyle w:val="Emphasis"/>
          <w:rFonts w:ascii="Times New Roman" w:hAnsi="Times New Roman"/>
          <w:caps w:val="false"/>
          <w:smallCaps w:val="false"/>
          <w:sz w:val="20"/>
        </w:rPr>
        <w:t xml:space="preserve"> December 15, 2027. </w:t>
      </w:r>
      <w:r>
        <w:rPr>
          <w:rFonts w:ascii="Times New Roman" w:hAnsi="Times New Roman"/>
          <w:caps w:val="false"/>
          <w:smallCaps w:val="false"/>
          <w:sz w:val="20"/>
        </w:rPr>
        <w:t>Adoption of this ASU can be applied either a prospective or a retrospective approach.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caps w:val="false"/>
          <w:smallCaps w:val="false"/>
        </w:rPr>
        <w:t>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Codification Improvements. The ASU addresses </w:t>
      </w:r>
      <w:r>
        <w:rPr>
          <w:rStyle w:val="Emphasis"/>
          <w:rFonts w:ascii="Times New Roman" w:hAnsi="Times New Roman"/>
          <w:caps w:val="false"/>
          <w:smallCaps w:val="false"/>
          <w:sz w:val="20"/>
        </w:rPr>
        <w:t>thirty-three</w:t>
      </w:r>
      <w:r>
        <w:rPr>
          <w:rFonts w:ascii="Times New Roman" w:hAnsi="Times New Roman"/>
          <w:caps w:val="false"/>
          <w:smallCaps w:val="false"/>
          <w:sz w:val="20"/>
        </w:rPr>
        <w:t> items, representing the changes to the Codification that (</w:t>
      </w:r>
      <w:r>
        <w:rPr>
          <w:rStyle w:val="Emphasis"/>
          <w:rFonts w:ascii="Times New Roman" w:hAnsi="Times New Roman"/>
          <w:caps w:val="false"/>
          <w:smallCaps w:val="false"/>
          <w:sz w:val="20"/>
        </w:rPr>
        <w:t>1</w:t>
      </w:r>
      <w:r>
        <w:rPr>
          <w:rFonts w:ascii="Times New Roman" w:hAnsi="Times New Roman"/>
          <w:caps w:val="false"/>
          <w:smallCaps w:val="false"/>
          <w:sz w:val="20"/>
        </w:rPr>
        <w:t>) clarify, (</w:t>
      </w:r>
      <w:r>
        <w:rPr>
          <w:rStyle w:val="Emphasis"/>
          <w:rFonts w:ascii="Times New Roman" w:hAnsi="Times New Roman"/>
          <w:caps w:val="false"/>
          <w:smallCaps w:val="false"/>
          <w:sz w:val="20"/>
        </w:rPr>
        <w:t>2</w:t>
      </w:r>
      <w:r>
        <w:rPr>
          <w:rFonts w:ascii="Times New Roman" w:hAnsi="Times New Roman"/>
          <w:caps w:val="false"/>
          <w:smallCaps w:val="false"/>
          <w:sz w:val="20"/>
        </w:rPr>
        <w:t>) correct errors, or (</w:t>
      </w:r>
      <w:r>
        <w:rPr>
          <w:rStyle w:val="Emphasis"/>
          <w:rFonts w:ascii="Times New Roman" w:hAnsi="Times New Roman"/>
          <w:caps w:val="false"/>
          <w:smallCaps w:val="false"/>
          <w:sz w:val="20"/>
        </w:rPr>
        <w:t>3</w:t>
      </w:r>
      <w:r>
        <w:rPr>
          <w:rFonts w:ascii="Times New Roman" w:hAnsi="Times New Roman"/>
          <w:caps w:val="false"/>
          <w:smallCaps w:val="false"/>
          <w:sz w:val="20"/>
        </w:rPr>
        <w:t>) make minor improvements. Generally, the amendments in this update are </w:t>
      </w:r>
      <w:r>
        <w:rPr>
          <w:rStyle w:val="Emphasis"/>
          <w:rFonts w:ascii="Times New Roman" w:hAnsi="Times New Roman"/>
          <w:caps w:val="false"/>
          <w:smallCaps w:val="false"/>
          <w:sz w:val="20"/>
        </w:rPr>
        <w:t>not</w:t>
      </w:r>
      <w:r>
        <w:rPr>
          <w:rFonts w:ascii="Times New Roman" w:hAnsi="Times New Roman"/>
          <w:caps w:val="false"/>
          <w:smallCaps w:val="false"/>
          <w:sz w:val="20"/>
        </w:rPr>
        <w:t> intended to result in significant changes for most entities. The ASU is effective for interim reporting periods within annual reporting periods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The adoption method of this ASU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vary, on an issue-by-issue basis.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expect this ASU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xml:space="preserve">          </w:t>
      </w:r>
      <w:r>
        <w:rPr>
          <w:rFonts w:ascii="Times New Roman" w:hAnsi="Times New Roman"/>
          <w:caps w:val="false"/>
          <w:smallCaps w:val="false"/>
          <w:sz w:val="20"/>
        </w:rPr>
        <w:t>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or changes in accounting pronouncements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that are of significance or potential significance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"Segment and Geographic Information."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All of the Company's contracts have original expected durations of </w:t>
      </w:r>
      <w:r>
        <w:rPr>
          <w:rStyle w:val="Emphasis"/>
          <w:rFonts w:ascii="Times New Roman;Times;serif" w:hAnsi="Times New Roman;Times;serif"/>
          <w:sz w:val="20"/>
        </w:rPr>
        <w:t>one</w:t>
      </w:r>
      <w:r>
        <w:rPr>
          <w:rFonts w:ascii="Times New Roman;Times;serif" w:hAnsi="Times New Roman;Times;serif"/>
          <w:sz w:val="20"/>
        </w:rPr>
        <w:t xml:space="preserve"> year or less, and therefore the Company does </w:t>
      </w:r>
      <w:r>
        <w:rPr>
          <w:rStyle w:val="Emphasis"/>
          <w:rFonts w:ascii="Times New Roman;Times;serif" w:hAnsi="Times New Roman;Times;serif"/>
          <w:sz w:val="20"/>
        </w:rPr>
        <w:t>not</w:t>
      </w:r>
      <w:r>
        <w:rPr>
          <w:rFonts w:ascii="Times New Roman;Times;serif" w:hAnsi="Times New Roman;Times;serif"/>
          <w:sz w:val="20"/>
        </w:rPr>
        <w:t xml:space="preserve"> disclose remaining performance obligations.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March 13, 2025, </w:t>
      </w:r>
      <w:r>
        <w:rPr>
          <w:rFonts w:ascii="Times New Roman" w:hAnsi="Times New Roman"/>
          <w:sz w:val="20"/>
        </w:rPr>
        <w:t xml:space="preserve">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sz w:val="20"/>
        </w:rPr>
        <w:t xml:space="preserve">may </w:t>
      </w:r>
      <w:r>
        <w:rPr>
          <w:rFonts w:ascii="Times New Roman" w:hAnsi="Times New Roman"/>
          <w:sz w:val="20"/>
        </w:rPr>
        <w:t xml:space="preserve">vest over the next </w:t>
      </w:r>
      <w:r>
        <w:rPr>
          <w:rStyle w:val="Emphasis"/>
          <w:rFonts w:ascii="Times New Roman" w:hAnsi="Times New Roman"/>
          <w:sz w:val="20"/>
        </w:rPr>
        <w:t>10</w:t>
      </w:r>
      <w:r>
        <w:rPr>
          <w:rFonts w:ascii="Times New Roman" w:hAnsi="Times New Roman"/>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The grant date fair value of the Customer Warrant was determined to be $12.64 per share, using the Black-Scholes-Merton option pricing model. </w:t>
      </w:r>
    </w:p>
    <w:p>
      <w:pPr>
        <w:pStyle w:val="TextBody"/>
        <w:bidi w:val="0"/>
        <w:spacing w:before="0" w:after="0"/>
        <w:ind w:left="0" w:right="0" w:firstLine="720"/>
        <w:jc w:val="both"/>
        <w:rPr/>
      </w:pPr>
      <w:r>
        <w:rPr/>
        <w:t> </w:t>
      </w:r>
    </w:p>
    <w:p>
      <w:pPr>
        <w:pStyle w:val="TextBody"/>
        <w:bidi w:val="0"/>
        <w:ind w:left="0" w:right="0" w:firstLine="720"/>
        <w:jc w:val="left"/>
        <w:rPr>
          <w:sz w:val="20"/>
        </w:rPr>
      </w:pPr>
      <w:r>
        <w:rPr>
          <w:sz w:val="20"/>
        </w:rPr>
        <w:t xml:space="preserve">The per share grant date fair value of the Customer Warrant was estimated using the following assumptions: </w:t>
      </w:r>
    </w:p>
    <w:p>
      <w:pPr>
        <w:pStyle w:val="TextBody"/>
        <w:bidi w:val="0"/>
        <w:spacing w:before="0" w:after="0"/>
        <w:ind w:left="0" w:right="0" w:firstLine="720"/>
        <w:jc w:val="both"/>
        <w:rPr/>
      </w:pPr>
      <w:r>
        <w:rPr/>
        <w:t> </w:t>
      </w:r>
    </w:p>
    <w:tbl>
      <w:tblPr>
        <w:tblW w:w="4934" w:type="dxa"/>
        <w:jc w:val="left"/>
        <w:tblInd w:w="0" w:type="dxa"/>
        <w:tblLayout w:type="fixed"/>
        <w:tblCellMar>
          <w:top w:w="0" w:type="dxa"/>
          <w:left w:w="0" w:type="dxa"/>
          <w:bottom w:w="0" w:type="dxa"/>
          <w:right w:w="0" w:type="dxa"/>
        </w:tblCellMar>
      </w:tblPr>
      <w:tblGrid>
        <w:gridCol w:w="3485"/>
        <w:gridCol w:w="60"/>
        <w:gridCol w:w="246"/>
        <w:gridCol w:w="958"/>
        <w:gridCol w:w="18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recognized approximately $2.1 million related reduction to $84.8 million revenue associated with customer arrangements that included the issuance of warrants.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recorded other current asset of $1.0 million and other noncurrent asset of $15.0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recorded other current assets of $3.7 million and other noncurrent assets of $12.6 million, representing the aggregate grant-date fair value of 1,324,233 warrant shares vested at issuance.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 </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leases space under non-cancellable operating leases for manufacturing facilities, research and development offices and certain storage facilities and apartments. These leases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caps w:val="false"/>
          <w:smallCaps w:val="false"/>
          <w:sz w:val="20"/>
        </w:rPr>
        <w:t>one</w:t>
      </w:r>
      <w:r>
        <w:rPr>
          <w:rFonts w:ascii="Times New Roman" w:hAnsi="Times New Roman"/>
          <w:caps w:val="false"/>
          <w:smallCaps w:val="false"/>
          <w:sz w:val="20"/>
        </w:rPr>
        <w:t>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On </w:t>
      </w:r>
      <w:r>
        <w:rPr>
          <w:rStyle w:val="Emphasis"/>
          <w:rFonts w:ascii="Times New Roman" w:hAnsi="Times New Roman"/>
          <w:sz w:val="20"/>
        </w:rPr>
        <w:t xml:space="preserve"> October 7, 2024, </w:t>
      </w:r>
      <w:r>
        <w:rPr>
          <w:rFonts w:ascii="Times New Roman" w:hAnsi="Times New Roman"/>
          <w:sz w:val="20"/>
        </w:rPr>
        <w:t>Prime World entered into a Land and Building Lease Agreement with San Ho Enterprise Co., Ltd. ("San Ho Enterprise"), under which Prime World will lease approximately 38,072 square feet, of </w:t>
      </w:r>
      <w:r>
        <w:rPr>
          <w:rStyle w:val="Emphasis"/>
          <w:rFonts w:ascii="Times New Roman" w:hAnsi="Times New Roman"/>
          <w:sz w:val="20"/>
        </w:rPr>
        <w:t>two</w:t>
      </w:r>
      <w:r>
        <w:rPr>
          <w:rFonts w:ascii="Times New Roman" w:hAnsi="Times New Roman"/>
          <w:sz w:val="20"/>
        </w:rPr>
        <w:t> adjoining parcels of land, in New Taipei City. The lease also includes a building on these parcels, totaling approximately 36,662 square feet. The lease term is for fifteen years, commencing on </w:t>
      </w:r>
      <w:r>
        <w:rPr>
          <w:rStyle w:val="Emphasis"/>
          <w:rFonts w:ascii="Times New Roman" w:hAnsi="Times New Roman"/>
          <w:sz w:val="20"/>
        </w:rPr>
        <w:t xml:space="preserve"> December 1, 2024, </w:t>
      </w:r>
      <w:r>
        <w:rPr>
          <w:rFonts w:ascii="Times New Roman" w:hAnsi="Times New Roman"/>
          <w:sz w:val="20"/>
        </w:rPr>
        <w:t>and ending on </w:t>
      </w:r>
      <w:r>
        <w:rPr>
          <w:rStyle w:val="Emphasis"/>
          <w:rFonts w:ascii="Times New Roman" w:hAnsi="Times New Roman"/>
          <w:sz w:val="20"/>
        </w:rPr>
        <w:t xml:space="preserve"> November 30, 2039. </w:t>
      </w:r>
      <w:r>
        <w:rPr>
          <w:rFonts w:ascii="Times New Roman" w:hAnsi="Times New Roman"/>
          <w:sz w:val="20"/>
        </w:rPr>
        <w:t>A </w:t>
      </w:r>
      <w:r>
        <w:rPr>
          <w:rStyle w:val="Emphasis"/>
          <w:rFonts w:ascii="Times New Roman" w:hAnsi="Times New Roman"/>
          <w:sz w:val="20"/>
        </w:rPr>
        <w:t>two</w:t>
      </w:r>
      <w:r>
        <w:rPr>
          <w:rFonts w:ascii="Times New Roman" w:hAnsi="Times New Roman"/>
          <w:sz w:val="20"/>
        </w:rPr>
        <w:t>-month renovation period from </w:t>
      </w:r>
      <w:r>
        <w:rPr>
          <w:rStyle w:val="Emphasis"/>
          <w:rFonts w:ascii="Times New Roman" w:hAnsi="Times New Roman"/>
          <w:sz w:val="20"/>
        </w:rPr>
        <w:t xml:space="preserve"> October 1 </w:t>
      </w:r>
      <w:r>
        <w:rPr>
          <w:rFonts w:ascii="Times New Roman" w:hAnsi="Times New Roman"/>
          <w:sz w:val="20"/>
        </w:rPr>
        <w:t>to </w:t>
      </w:r>
      <w:r>
        <w:rPr>
          <w:rStyle w:val="Emphasis"/>
          <w:rFonts w:ascii="Times New Roman" w:hAnsi="Times New Roman"/>
          <w:sz w:val="20"/>
        </w:rPr>
        <w:t xml:space="preserve"> November 30, 2024, </w:t>
      </w:r>
      <w:r>
        <w:rPr>
          <w:rFonts w:ascii="Times New Roman" w:hAnsi="Times New Roman"/>
          <w:sz w:val="20"/>
        </w:rPr>
        <w:t>preceded the lease term, during which </w:t>
      </w:r>
      <w:r>
        <w:rPr>
          <w:rStyle w:val="Emphasis"/>
          <w:rFonts w:ascii="Times New Roman" w:hAnsi="Times New Roman"/>
          <w:sz w:val="20"/>
        </w:rPr>
        <w:t>no</w:t>
      </w:r>
      <w:r>
        <w:rPr>
          <w:rFonts w:ascii="Times New Roman" w:hAnsi="Times New Roman"/>
          <w:sz w:val="20"/>
        </w:rPr>
        <w:t> rent was charged by San Ho Enterprise. During the lease term, the monthly rent will increase by </w:t>
      </w:r>
      <w:r>
        <w:rPr>
          <w:rStyle w:val="Emphasis"/>
          <w:rFonts w:ascii="Times New Roman" w:hAnsi="Times New Roman"/>
          <w:sz w:val="20"/>
        </w:rPr>
        <w:t>three</w:t>
      </w:r>
      <w:r>
        <w:rPr>
          <w:rFonts w:ascii="Times New Roman" w:hAnsi="Times New Roman"/>
          <w:sz w:val="20"/>
        </w:rPr>
        <w:t> percent (3%) every </w:t>
      </w:r>
      <w:r>
        <w:rPr>
          <w:rStyle w:val="Emphasis"/>
          <w:rFonts w:ascii="Times New Roman" w:hAnsi="Times New Roman"/>
          <w:sz w:val="20"/>
        </w:rPr>
        <w:t>three</w:t>
      </w:r>
      <w:r>
        <w:rPr>
          <w:rFonts w:ascii="Times New Roman" w:hAnsi="Times New Roman"/>
          <w:sz w:val="20"/>
        </w:rPr>
        <w:t> years.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Prime World entered into a Lease Agreement with International Games System Co., Ltd., under which Prime World will lease a parcel of land with a total area of approximately 65,580 square feet, in New Taipei City. The lease includes a building on the parcel, totaling approximately 346,212 square feet, excluding approximately 54,086 square feet of the leased property which, at the same time, had previously been leased to an existing tenant. The lease term is for fifteen years, commencing </w:t>
      </w:r>
      <w:r>
        <w:rPr>
          <w:rStyle w:val="Emphasis"/>
          <w:rFonts w:ascii="Times New Roman" w:hAnsi="Times New Roman"/>
          <w:caps w:val="false"/>
          <w:smallCaps w:val="false"/>
          <w:sz w:val="20"/>
        </w:rPr>
        <w:t xml:space="preserve">November 1, 2025, </w:t>
      </w:r>
      <w:r>
        <w:rPr>
          <w:rFonts w:ascii="Times New Roman" w:hAnsi="Times New Roman"/>
          <w:caps w:val="false"/>
          <w:smallCaps w:val="false"/>
          <w:sz w:val="20"/>
        </w:rPr>
        <w:t xml:space="preserve">and ending </w:t>
      </w:r>
      <w:r>
        <w:rPr>
          <w:rStyle w:val="Emphasis"/>
          <w:rFonts w:ascii="Times New Roman" w:hAnsi="Times New Roman"/>
          <w:caps w:val="false"/>
          <w:smallCaps w:val="false"/>
          <w:sz w:val="20"/>
        </w:rPr>
        <w:t xml:space="preserve">October 31, 2040.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-month renovation period from </w:t>
      </w:r>
      <w:r>
        <w:rPr>
          <w:rStyle w:val="Emphasis"/>
          <w:rFonts w:ascii="Times New Roman" w:hAnsi="Times New Roman"/>
          <w:caps w:val="false"/>
          <w:smallCaps w:val="false"/>
          <w:sz w:val="20"/>
        </w:rPr>
        <w:t xml:space="preserve">September 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October 1, 2025, </w:t>
      </w:r>
      <w:r>
        <w:rPr>
          <w:rFonts w:ascii="Times New Roman" w:hAnsi="Times New Roman"/>
          <w:caps w:val="false"/>
          <w:smallCaps w:val="false"/>
          <w:sz w:val="20"/>
        </w:rPr>
        <w:t xml:space="preserve">preceded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rent was charged.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On </w:t>
      </w:r>
      <w:r>
        <w:rPr>
          <w:rStyle w:val="Emphasis"/>
          <w:rFonts w:ascii="Times New Roman" w:hAnsi="Times New Roman"/>
          <w:caps w:val="false"/>
          <w:smallCaps w:val="false"/>
          <w:sz w:val="20"/>
        </w:rPr>
        <w:t xml:space="preserve">October 28, 2025, </w:t>
      </w:r>
      <w:r>
        <w:rPr>
          <w:rFonts w:ascii="Times New Roman" w:hAnsi="Times New Roman"/>
          <w:caps w:val="false"/>
          <w:smallCaps w:val="false"/>
          <w:sz w:val="20"/>
        </w:rPr>
        <w:t xml:space="preserve">Prime World entered into a lease to include 54,086 square feet of the property which was previously excluded in the lease entered into on </w:t>
      </w:r>
      <w:r>
        <w:rPr>
          <w:rStyle w:val="Emphasis"/>
          <w:rFonts w:ascii="Times New Roman" w:hAnsi="Times New Roman"/>
          <w:caps w:val="false"/>
          <w:smallCaps w:val="false"/>
          <w:sz w:val="20"/>
        </w:rPr>
        <w:t>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the Company entered into a Lease Agreement with Coleman Logistics Assets LLC (“Coleman”), pursuant to which the Company will lease approximately 209,665 square feet of space located at </w:t>
      </w:r>
      <w:r>
        <w:rPr>
          <w:rStyle w:val="Emphasis"/>
          <w:rFonts w:ascii="Times New Roman" w:hAnsi="Times New Roman"/>
          <w:caps w:val="false"/>
          <w:smallCaps w:val="false"/>
          <w:sz w:val="20"/>
        </w:rPr>
        <w:t>1111</w:t>
      </w:r>
      <w:r>
        <w:rPr>
          <w:rFonts w:ascii="Times New Roman" w:hAnsi="Times New Roman"/>
          <w:caps w:val="false"/>
          <w:smallCaps w:val="false"/>
          <w:sz w:val="20"/>
        </w:rPr>
        <w:t xml:space="preserve"> Gillingham Lane, Sugar Land, Texas </w:t>
      </w:r>
      <w:r>
        <w:rPr>
          <w:rStyle w:val="Emphasis"/>
          <w:rFonts w:ascii="Times New Roman" w:hAnsi="Times New Roman"/>
          <w:caps w:val="false"/>
          <w:smallCaps w:val="false"/>
          <w:sz w:val="20"/>
        </w:rPr>
        <w:t>77478.</w:t>
      </w:r>
      <w:r>
        <w:rPr>
          <w:rFonts w:ascii="Times New Roman" w:hAnsi="Times New Roman"/>
          <w:caps w:val="false"/>
          <w:smallCaps w:val="false"/>
          <w:sz w:val="20"/>
        </w:rPr>
        <w:t xml:space="preserve"> The leased premises will be used by the Company primarily for manufacturing and related operations. The lease has a term of 126 months, commencing on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expiring approximately </w:t>
      </w:r>
      <w:r>
        <w:rPr>
          <w:rStyle w:val="Emphasis"/>
          <w:rFonts w:ascii="Times New Roman" w:hAnsi="Times New Roman"/>
          <w:caps w:val="false"/>
          <w:smallCaps w:val="false"/>
          <w:sz w:val="20"/>
        </w:rPr>
        <w:t>126</w:t>
      </w:r>
      <w:r>
        <w:rPr>
          <w:rFonts w:ascii="Times New Roman" w:hAnsi="Times New Roman"/>
          <w:caps w:val="false"/>
          <w:smallCaps w:val="false"/>
          <w:sz w:val="20"/>
        </w:rPr>
        <w:t xml:space="preserve"> months thereafter, unless earlier terminated in accordance with the lease. Coleman agreed to provide a construction allowance toward the cost of leasehold improvements in an amount equal to the lesser of (i) the actual aggregate cost of such improvements or (ii) $1,886,985. Base rent under the lease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months of the term and thereafter increases on a scheduled basis through the end of the term, reflecting an average annual escalation of approximately 3.5%. Beginning in the </w:t>
      </w:r>
      <w:r>
        <w:rPr>
          <w:rStyle w:val="Emphasis"/>
          <w:rFonts w:ascii="Times New Roman" w:hAnsi="Times New Roman"/>
          <w:caps w:val="false"/>
          <w:smallCaps w:val="false"/>
          <w:sz w:val="20"/>
        </w:rPr>
        <w:t>eighth</w:t>
      </w:r>
      <w:r>
        <w:rPr>
          <w:rFonts w:ascii="Times New Roman" w:hAnsi="Times New Roman"/>
          <w:caps w:val="false"/>
          <w:smallCaps w:val="false"/>
          <w:sz w:val="20"/>
        </w:rPr>
        <w:t xml:space="preserve"> month of the term, base rent will be $7.44 per rentable square foot on an annual basis (approximately $129,992 per month), escalating periodically to $10.49 per rentable square foot on an annual basis (approximately $183,367 per month) during the final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the term. </w:t>
      </w:r>
      <w:r>
        <w:rPr>
          <w:rFonts w:ascii="Times New Roman" w:hAnsi="Times New Roman"/>
          <w:caps w:val="false"/>
          <w:smallCaps w:val="false"/>
          <w:sz w:val="20"/>
          <w:shd w:fill="FFFFFF" w:val="clear"/>
        </w:rPr>
        <w:t xml:space="preserve">The total undiscounted lease payments over the initial lease term are approximately $18.5 million. As of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we recorded an $11.3 million ROU asset and $12.2 million in lease liability related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2026, </w:t>
      </w:r>
      <w:r>
        <w:rPr>
          <w:rFonts w:ascii="Times New Roman" w:hAnsi="Times New Roman"/>
          <w:caps w:val="false"/>
          <w:smallCaps w:val="false"/>
          <w:sz w:val="20"/>
        </w:rPr>
        <w:t xml:space="preserve">the Company entered into a Lease Agreement with Blue Ridge Commerce Center West LLC ("Blue Ridge"), pursuant to which the Company will lease approximately 153,928 square feet of space in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located at </w:t>
      </w:r>
      <w:r>
        <w:rPr>
          <w:rStyle w:val="Emphasis"/>
          <w:rFonts w:ascii="Times New Roman" w:hAnsi="Times New Roman"/>
          <w:caps w:val="false"/>
          <w:smallCaps w:val="false"/>
          <w:sz w:val="20"/>
        </w:rPr>
        <w:t>16851</w:t>
      </w:r>
      <w:r>
        <w:rPr>
          <w:rFonts w:ascii="Times New Roman" w:hAnsi="Times New Roman"/>
          <w:caps w:val="false"/>
          <w:smallCaps w:val="false"/>
          <w:sz w:val="20"/>
        </w:rPr>
        <w:t xml:space="preserve"> Blue Ridge Commerce Drive, Houston, Texas </w:t>
      </w:r>
      <w:r>
        <w:rPr>
          <w:rStyle w:val="Emphasis"/>
          <w:rFonts w:ascii="Times New Roman" w:hAnsi="Times New Roman"/>
          <w:caps w:val="false"/>
          <w:smallCaps w:val="false"/>
          <w:sz w:val="20"/>
        </w:rPr>
        <w:t>77489.</w:t>
      </w:r>
      <w:r>
        <w:rPr>
          <w:rFonts w:ascii="Times New Roman" w:hAnsi="Times New Roman"/>
          <w:caps w:val="false"/>
          <w:smallCaps w:val="false"/>
          <w:sz w:val="20"/>
        </w:rPr>
        <w:t xml:space="preserve"> The leased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office, warehouse and light manufacturing and assembly purposes. The leased term is 130 months, commencing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 xml:space="preserve">Blue Ridge agreed to provide improvement allowance in the amount of $3,078,560. Base rent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of the term. For months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monthly base rent is $5.16 per rentable square foot on an annualized basis (approximately $66,189 per month). Beginning in month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base rent increases to $10.32 per rentable square foot on an annualized basis (approximately $132,378 per month) and escalates periodically throughout the remainder of the term, reflecting an average annual increase of approximately 3.5%. These scheduled increases culminate in base rent of $14.56 per rentable square foot on an annualized basis (approximately $186,732 per month) during the final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months of the term (months </w:t>
      </w:r>
      <w:r>
        <w:rPr>
          <w:rStyle w:val="Emphasis"/>
          <w:rFonts w:ascii="Times New Roman" w:hAnsi="Times New Roman"/>
          <w:caps w:val="false"/>
          <w:smallCaps w:val="false"/>
          <w:sz w:val="20"/>
        </w:rPr>
        <w:t>121</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130</w:t>
      </w:r>
      <w:r>
        <w:rPr>
          <w:rFonts w:ascii="Times New Roman" w:hAnsi="Times New Roman"/>
          <w:caps w:val="false"/>
          <w:smallCaps w:val="false"/>
          <w:sz w:val="20"/>
        </w:rPr>
        <w:t xml:space="preserve">). The Company was required to pay (i) prepaid rent of $163,164 to be applied against the </w:t>
      </w:r>
      <w:r>
        <w:rPr>
          <w:rStyle w:val="Emphasis"/>
          <w:rFonts w:ascii="Times New Roman" w:hAnsi="Times New Roman"/>
          <w:caps w:val="false"/>
          <w:smallCaps w:val="false"/>
          <w:sz w:val="20"/>
        </w:rPr>
        <w:t>eleventh</w:t>
      </w:r>
      <w:r>
        <w:rPr>
          <w:rFonts w:ascii="Times New Roman" w:hAnsi="Times New Roman"/>
          <w:caps w:val="false"/>
          <w:smallCaps w:val="false"/>
          <w:sz w:val="20"/>
        </w:rPr>
        <w:t xml:space="preserve"> month’s rent and (ii) an initial security deposit of $2 million, which accrues interest and is subject to partial reductions during the lease term if specified payment-performance conditions are satisfied. The lease provides for scheduled reductions of the security deposit of $0.5 million after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months, $0.5 million after </w:t>
      </w:r>
      <w:r>
        <w:rPr>
          <w:rStyle w:val="Emphasis"/>
          <w:rFonts w:ascii="Times New Roman" w:hAnsi="Times New Roman"/>
          <w:caps w:val="false"/>
          <w:smallCaps w:val="false"/>
          <w:sz w:val="20"/>
        </w:rPr>
        <w:t>70</w:t>
      </w:r>
      <w:r>
        <w:rPr>
          <w:rFonts w:ascii="Times New Roman" w:hAnsi="Times New Roman"/>
          <w:caps w:val="false"/>
          <w:smallCaps w:val="false"/>
          <w:sz w:val="20"/>
        </w:rPr>
        <w:t xml:space="preserve"> months, and $0.34 million after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months, subject to the Company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being in default and other conditions set forth in the Lease. The total undiscounted lease payments over the initial lease term are approximately $19.5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recorded a $12.3 million ROU asset and $13.0 million in lease liability related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8, 2026, </w:t>
      </w:r>
      <w:r>
        <w:rPr>
          <w:rFonts w:ascii="Times New Roman" w:hAnsi="Times New Roman"/>
          <w:caps w:val="false"/>
          <w:smallCaps w:val="false"/>
          <w:sz w:val="20"/>
        </w:rPr>
        <w:t xml:space="preserve">the Company entered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separate Lease Agreements with Hightower Phase I Owner, LLC ("Hightower"), pursuant to which the Company will lease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industrial buildings, located at </w:t>
      </w:r>
      <w:r>
        <w:rPr>
          <w:rStyle w:val="Emphasis"/>
          <w:rFonts w:ascii="Times New Roman" w:hAnsi="Times New Roman"/>
          <w:caps w:val="false"/>
          <w:smallCaps w:val="false"/>
          <w:sz w:val="20"/>
        </w:rPr>
        <w:t>6000</w:t>
      </w:r>
      <w:r>
        <w:rPr>
          <w:rFonts w:ascii="Times New Roman" w:hAnsi="Times New Roman"/>
          <w:caps w:val="false"/>
          <w:smallCaps w:val="false"/>
          <w:sz w:val="20"/>
        </w:rPr>
        <w:t xml:space="preserve"> McHard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6100</w:t>
      </w:r>
      <w:r>
        <w:rPr>
          <w:rFonts w:ascii="Times New Roman" w:hAnsi="Times New Roman"/>
          <w:caps w:val="false"/>
          <w:smallCaps w:val="false"/>
          <w:sz w:val="20"/>
        </w:rPr>
        <w:t xml:space="preserve"> McHard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17255</w:t>
      </w:r>
      <w:r>
        <w:rPr>
          <w:rFonts w:ascii="Times New Roman" w:hAnsi="Times New Roman"/>
          <w:caps w:val="false"/>
          <w:smallCaps w:val="false"/>
          <w:sz w:val="20"/>
        </w:rPr>
        <w:t xml:space="preserve"> Chimney Rock Road, Houston, Texas </w:t>
      </w:r>
      <w:r>
        <w:rPr>
          <w:rStyle w:val="Emphasis"/>
          <w:rFonts w:ascii="Times New Roman" w:hAnsi="Times New Roman"/>
          <w:caps w:val="false"/>
          <w:smallCaps w:val="false"/>
          <w:sz w:val="20"/>
        </w:rPr>
        <w:t>77053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leased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manufacturing, warehouse and office use. Each lease has a term of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full calendar months, plus any partial month from the commencement date to the end of the calendar month in which the commencement date occurs. The commencement date will be the earliest of: (i) the date on which the Company occupies any portion of the applicable premises and begins conducting business therein, (ii) the date on which Hightower’s work is substantially completed, or (iii) the date on which such work would have been substantially completed but for any tenant delay days. Under each lease agreement, the Company is entitled to an initial rent abatement period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Commencing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month, base rent escalates periodically throughout the term.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consists of approximately 163,930 rentable square feet, together with approximately 3.34-acre adjacent unimproved tract. Monthly basic rent starts at $104,915.20 in month four, escalating periodically to $146,127.30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Monthly basic rent for the adjacent unimproved tract starts at $6,680.00 in month four, escalating periodically to $9,303.99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consists of approximately 343,332 rentable square feet. Monthly basic rent starts at $205,999.20 in month four, escalating periodically to $286,918.45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consists of approximately 228,954 rentable square feet. Monthly basic rent starts at $146,530.56 in month four, escalating periodically to $204,089.73 during months </w:t>
      </w:r>
      <w:r>
        <w:rPr>
          <w:rStyle w:val="Emphasis"/>
          <w:rFonts w:ascii="Times New Roman" w:hAnsi="Times New Roman"/>
          <w:caps w:val="false"/>
          <w:smallCaps w:val="false"/>
          <w:sz w:val="20"/>
        </w:rPr>
        <w:t>112</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123.</w:t>
      </w:r>
      <w:r>
        <w:rPr>
          <w:rFonts w:ascii="Times New Roman" w:hAnsi="Times New Roman"/>
          <w:caps w:val="false"/>
          <w:smallCaps w:val="false"/>
          <w:sz w:val="20"/>
        </w:rPr>
        <w:t xml:space="preserve"> Each lease agreement includes a purchase and sale agreement granting the Company an option to purchase Building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Building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together with the land on which such buildings are located. The purchase and sale agreements provide for an aggregate purchase price of $102,250,000 and require earnest money of $1,758,750.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ROU asset nor lease liability related to this agreement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the commencement criteria.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b w:val="false"/>
          <w:sz w:val="20"/>
        </w:rPr>
        <w:t xml:space="preserve">Lease expense was included in general and administrative expenses and totaled $2.5 million and $0.8 million for the </w:t>
      </w:r>
      <w:r>
        <w:rPr>
          <w:rStyle w:val="Emphasis"/>
          <w:rFonts w:ascii="Times New Roman;Times;serif" w:hAnsi="Times New Roman;Times;serif"/>
          <w:b w:val="false"/>
          <w:sz w:val="20"/>
        </w:rPr>
        <w:t>three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June 30, 2026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2025</w:t>
      </w:r>
      <w:r>
        <w:rPr>
          <w:rFonts w:ascii="Times New Roman;Times;serif" w:hAnsi="Times New Roman;Times;serif"/>
          <w:b w:val="false"/>
          <w:sz w:val="20"/>
        </w:rPr>
        <w:t xml:space="preserve">, respectively. Total lease expense was $4.7 million and $1.3 million for the </w:t>
      </w:r>
      <w:r>
        <w:rPr>
          <w:rStyle w:val="Emphasis"/>
          <w:rFonts w:ascii="Times New Roman;Times;serif" w:hAnsi="Times New Roman;Times;serif"/>
          <w:b w:val="false"/>
          <w:sz w:val="20"/>
        </w:rPr>
        <w:t>six</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June 30, 2026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2025</w:t>
      </w:r>
      <w:r>
        <w:rPr>
          <w:rFonts w:ascii="Times New Roman;Times;serif" w:hAnsi="Times New Roman;Times;serif"/>
          <w:b w:val="false"/>
          <w:sz w:val="20"/>
        </w:rPr>
        <w:t>, respectively. The components of lease expense were as follows for the periods indicated (in thousands):</w:t>
      </w:r>
    </w:p>
    <w:p>
      <w:pPr>
        <w:pStyle w:val="TextBody"/>
        <w:bidi w:val="0"/>
        <w:spacing w:before="0" w:after="0"/>
        <w:ind w:left="0" w:right="0" w:firstLine="720"/>
        <w:jc w:val="left"/>
        <w:rPr/>
      </w:pPr>
      <w:r>
        <w:rPr/>
        <w:t> </w:t>
      </w:r>
    </w:p>
    <w:tbl>
      <w:tblPr>
        <w:tblW w:w="6968" w:type="dxa"/>
        <w:jc w:val="left"/>
        <w:tblInd w:w="0" w:type="dxa"/>
        <w:tblLayout w:type="fixed"/>
        <w:tblCellMar>
          <w:top w:w="0" w:type="dxa"/>
          <w:left w:w="0" w:type="dxa"/>
          <w:bottom w:w="0" w:type="dxa"/>
          <w:right w:w="0" w:type="dxa"/>
        </w:tblCellMar>
      </w:tblPr>
      <w:tblGrid>
        <w:gridCol w:w="2075"/>
        <w:gridCol w:w="60"/>
        <w:gridCol w:w="255"/>
        <w:gridCol w:w="992"/>
        <w:gridCol w:w="122"/>
        <w:gridCol w:w="122"/>
        <w:gridCol w:w="255"/>
        <w:gridCol w:w="685"/>
        <w:gridCol w:w="60"/>
        <w:gridCol w:w="60"/>
        <w:gridCol w:w="207"/>
        <w:gridCol w:w="805"/>
        <w:gridCol w:w="99"/>
        <w:gridCol w:w="99"/>
        <w:gridCol w:w="207"/>
        <w:gridCol w:w="805"/>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2,327</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99"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FFFFFF" w:val="clear"/>
            <w:vAlign w:val="center"/>
          </w:tcPr>
          <w:p>
            <w:pPr>
              <w:pStyle w:val="TableContents"/>
              <w:bidi w:val="0"/>
              <w:spacing w:before="0" w:after="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4,742</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June 30, 2026</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25" w:type="dxa"/>
        <w:jc w:val="left"/>
        <w:tblInd w:w="0" w:type="dxa"/>
        <w:tblLayout w:type="fixed"/>
        <w:tblCellMar>
          <w:top w:w="0" w:type="dxa"/>
          <w:left w:w="0" w:type="dxa"/>
          <w:bottom w:w="0" w:type="dxa"/>
          <w:right w:w="0" w:type="dxa"/>
        </w:tblCellMar>
      </w:tblPr>
      <w:tblGrid>
        <w:gridCol w:w="2225"/>
        <w:gridCol w:w="60"/>
        <w:gridCol w:w="138"/>
        <w:gridCol w:w="722"/>
        <w:gridCol w:w="80"/>
      </w:tblGrid>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6 months)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9,321</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9,318</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8,757</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58,608</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99,008</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7724" w:type="dxa"/>
        <w:jc w:val="left"/>
        <w:tblInd w:w="0" w:type="dxa"/>
        <w:tblLayout w:type="fixed"/>
        <w:tblCellMar>
          <w:top w:w="0" w:type="dxa"/>
          <w:left w:w="0" w:type="dxa"/>
          <w:bottom w:w="0" w:type="dxa"/>
          <w:right w:w="0" w:type="dxa"/>
        </w:tblCellMar>
      </w:tblPr>
      <w:tblGrid>
        <w:gridCol w:w="5255"/>
        <w:gridCol w:w="60"/>
        <w:gridCol w:w="100"/>
        <w:gridCol w:w="808"/>
        <w:gridCol w:w="308"/>
        <w:gridCol w:w="100"/>
        <w:gridCol w:w="100"/>
        <w:gridCol w:w="808"/>
        <w:gridCol w:w="185"/>
      </w:tblGrid>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0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9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30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185"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3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617" w:type="dxa"/>
        <w:jc w:val="left"/>
        <w:tblInd w:w="0" w:type="dxa"/>
        <w:tblLayout w:type="fixed"/>
        <w:tblCellMar>
          <w:top w:w="0" w:type="dxa"/>
          <w:left w:w="0" w:type="dxa"/>
          <w:bottom w:w="0" w:type="dxa"/>
          <w:right w:w="0" w:type="dxa"/>
        </w:tblCellMar>
      </w:tblPr>
      <w:tblGrid>
        <w:gridCol w:w="6275"/>
        <w:gridCol w:w="60"/>
        <w:gridCol w:w="179"/>
        <w:gridCol w:w="846"/>
        <w:gridCol w:w="86"/>
        <w:gridCol w:w="86"/>
        <w:gridCol w:w="179"/>
        <w:gridCol w:w="846"/>
        <w:gridCol w:w="60"/>
      </w:tblGrid>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02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w:t>
            </w:r>
          </w:p>
        </w:tc>
        <w:tc>
          <w:tcPr>
            <w:tcW w:w="6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049" w:type="dxa"/>
        <w:jc w:val="left"/>
        <w:tblInd w:w="0" w:type="dxa"/>
        <w:tblLayout w:type="fixed"/>
        <w:tblCellMar>
          <w:top w:w="0" w:type="dxa"/>
          <w:left w:w="0" w:type="dxa"/>
          <w:bottom w:w="0" w:type="dxa"/>
          <w:right w:w="0" w:type="dxa"/>
        </w:tblCellMar>
      </w:tblPr>
      <w:tblGrid>
        <w:gridCol w:w="6845"/>
        <w:gridCol w:w="60"/>
        <w:gridCol w:w="125"/>
        <w:gridCol w:w="695"/>
        <w:gridCol w:w="60"/>
        <w:gridCol w:w="60"/>
        <w:gridCol w:w="173"/>
        <w:gridCol w:w="971"/>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 xml:space="preserve">Restricted cash includes guarantee deposits for customs duties, a China government subsidy fund, and deposits as collateral in order to secure bank acceptance notes issued to vendors. As of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 xml:space="preserve">December 31, 2025, </w:t>
      </w:r>
      <w:r>
        <w:rPr>
          <w:rFonts w:ascii="Times New Roman" w:hAnsi="Times New Roman"/>
          <w:sz w:val="20"/>
        </w:rPr>
        <w:t xml:space="preserve">there were $6.9 million and $8.7 million of restricted cash required for bank acceptance notes issued to vendors, respectively. There were $2.1 million and $1.2 million guarantee deposits for customs duties as of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 xml:space="preserve">December 31, 2025, </w:t>
      </w:r>
      <w:r>
        <w:rPr>
          <w:rFonts w:ascii="Times New Roman" w:hAnsi="Times New Roman"/>
          <w:sz w:val="20"/>
        </w:rPr>
        <w:t>respectively.</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 On </w:t>
      </w:r>
      <w:r>
        <w:rPr>
          <w:rStyle w:val="Emphasis"/>
          <w:rFonts w:ascii="Times New Roman;Times;serif" w:hAnsi="Times New Roman;Times;serif"/>
          <w:sz w:val="20"/>
        </w:rPr>
        <w:t xml:space="preserve">March 13, 2025, </w:t>
      </w:r>
      <w:r>
        <w:rPr>
          <w:rFonts w:ascii="Times New Roman;Times;serif" w:hAnsi="Times New Roman;Times;serif"/>
          <w:sz w:val="20"/>
        </w:rPr>
        <w:t xml:space="preserve">the Company issued 7,945,399 stock warrants to a subsidiary of Amazon, and 1,324,233 warrants have been vested upon signing the warrant agreement.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such warrants are both in the money and are considered dilutive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firstLine="720"/>
        <w:jc w:val="left"/>
        <w:rPr/>
      </w:pPr>
      <w:r>
        <w:rPr/>
        <w:t> </w:t>
      </w:r>
    </w:p>
    <w:tbl>
      <w:tblPr>
        <w:tblW w:w="9768" w:type="dxa"/>
        <w:jc w:val="left"/>
        <w:tblInd w:w="0" w:type="dxa"/>
        <w:tblLayout w:type="fixed"/>
        <w:tblCellMar>
          <w:top w:w="0" w:type="dxa"/>
          <w:left w:w="0" w:type="dxa"/>
          <w:bottom w:w="0" w:type="dxa"/>
          <w:right w:w="0" w:type="dxa"/>
        </w:tblCellMar>
      </w:tblPr>
      <w:tblGrid>
        <w:gridCol w:w="4835"/>
        <w:gridCol w:w="60"/>
        <w:gridCol w:w="186"/>
        <w:gridCol w:w="971"/>
        <w:gridCol w:w="119"/>
        <w:gridCol w:w="89"/>
        <w:gridCol w:w="186"/>
        <w:gridCol w:w="881"/>
        <w:gridCol w:w="80"/>
        <w:gridCol w:w="60"/>
        <w:gridCol w:w="164"/>
        <w:gridCol w:w="855"/>
        <w:gridCol w:w="105"/>
        <w:gridCol w:w="78"/>
        <w:gridCol w:w="164"/>
        <w:gridCol w:w="855"/>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157" w:type="dxa"/>
            <w:gridSpan w:val="2"/>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01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(22,781</w:t>
            </w:r>
          </w:p>
        </w:tc>
        <w:tc>
          <w:tcPr>
            <w:tcW w:w="119" w:type="dxa"/>
            <w:tcBorders/>
            <w:shd w:fill="FFFFFF" w:val="clear"/>
            <w:vAlign w:val="center"/>
          </w:tcPr>
          <w:p>
            <w:pPr>
              <w:pStyle w:val="TableContents"/>
              <w:bidi w:val="0"/>
              <w:spacing w:before="0" w:after="283"/>
              <w:jc w:val="left"/>
              <w:rPr>
                <w:sz w:val="20"/>
              </w:rPr>
            </w:pPr>
            <w:r>
              <w:rPr>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(9,098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(37,062</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(18,270</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157" w:type="dxa"/>
            <w:gridSpan w:val="2"/>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sz w:val="20"/>
              </w:rPr>
            </w:pPr>
            <w:r>
              <w:rPr>
                <w:sz w:val="20"/>
              </w:rPr>
              <w:t>81,568</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sz w:val="20"/>
              </w:rPr>
            </w:pPr>
            <w:r>
              <w:rPr>
                <w:sz w:val="20"/>
              </w:rPr>
              <w:t>56,772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sz w:val="20"/>
              </w:rPr>
            </w:pPr>
            <w:r>
              <w:rPr>
                <w:sz w:val="20"/>
              </w:rPr>
              <w:t>78,789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55" w:type="dxa"/>
            <w:tcBorders/>
            <w:shd w:fill="CCEEFF" w:val="clear"/>
            <w:vAlign w:val="center"/>
          </w:tcPr>
          <w:p>
            <w:pPr>
              <w:pStyle w:val="TableContents"/>
              <w:bidi w:val="0"/>
              <w:spacing w:before="0" w:after="283"/>
              <w:ind w:left="0" w:right="0" w:hanging="0"/>
              <w:jc w:val="right"/>
              <w:rPr>
                <w:sz w:val="20"/>
              </w:rPr>
            </w:pPr>
            <w:r>
              <w:rPr>
                <w:sz w:val="20"/>
              </w:rPr>
              <w:t>53,426</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sz w:val="20"/>
              </w:rPr>
            </w:pPr>
            <w:r>
              <w:rPr>
                <w:sz w:val="20"/>
              </w:rPr>
              <w:t>81,568</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sz w:val="20"/>
              </w:rPr>
            </w:pPr>
            <w:r>
              <w:rPr>
                <w:sz w:val="20"/>
              </w:rPr>
              <w:t>56,772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sz w:val="20"/>
              </w:rPr>
            </w:pPr>
            <w:r>
              <w:rPr>
                <w:sz w:val="20"/>
              </w:rPr>
              <w:t>78,789</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55" w:type="dxa"/>
            <w:tcBorders/>
            <w:shd w:fill="FFFFFF" w:val="clear"/>
            <w:vAlign w:val="center"/>
          </w:tcPr>
          <w:p>
            <w:pPr>
              <w:pStyle w:val="TableContents"/>
              <w:bidi w:val="0"/>
              <w:spacing w:before="0" w:after="283"/>
              <w:ind w:left="0" w:right="0" w:hanging="0"/>
              <w:jc w:val="right"/>
              <w:rPr>
                <w:sz w:val="20"/>
              </w:rPr>
            </w:pPr>
            <w:r>
              <w:rPr>
                <w:sz w:val="20"/>
              </w:rPr>
              <w:t>53,426</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57" w:type="dxa"/>
            <w:gridSpan w:val="2"/>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067"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sz w:val="20"/>
              </w:rPr>
            </w:pPr>
            <w:r>
              <w:rPr>
                <w:sz w:val="20"/>
              </w:rPr>
              <w:t>$</w:t>
            </w:r>
          </w:p>
        </w:tc>
        <w:tc>
          <w:tcPr>
            <w:tcW w:w="971" w:type="dxa"/>
            <w:tcBorders/>
            <w:shd w:fill="FFFFFF" w:val="clear"/>
            <w:vAlign w:val="center"/>
          </w:tcPr>
          <w:p>
            <w:pPr>
              <w:pStyle w:val="TableContents"/>
              <w:bidi w:val="0"/>
              <w:spacing w:before="0" w:after="283"/>
              <w:ind w:left="0" w:right="0" w:hanging="0"/>
              <w:jc w:val="right"/>
              <w:rPr>
                <w:sz w:val="20"/>
              </w:rPr>
            </w:pPr>
            <w:r>
              <w:rPr>
                <w:sz w:val="20"/>
              </w:rPr>
              <w:t>(0.28</w:t>
            </w:r>
          </w:p>
        </w:tc>
        <w:tc>
          <w:tcPr>
            <w:tcW w:w="119" w:type="dxa"/>
            <w:tcBorders/>
            <w:shd w:fill="FFFFFF" w:val="clear"/>
            <w:vAlign w:val="center"/>
          </w:tcPr>
          <w:p>
            <w:pPr>
              <w:pStyle w:val="TableContents"/>
              <w:bidi w:val="0"/>
              <w:spacing w:before="0" w:after="283"/>
              <w:jc w:val="left"/>
              <w:rPr>
                <w:sz w:val="20"/>
              </w:rPr>
            </w:pPr>
            <w:r>
              <w:rPr>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sz w:val="20"/>
              </w:rPr>
            </w:pPr>
            <w:r>
              <w:rPr>
                <w:sz w:val="20"/>
              </w:rPr>
              <w:t>$</w:t>
            </w:r>
          </w:p>
        </w:tc>
        <w:tc>
          <w:tcPr>
            <w:tcW w:w="881" w:type="dxa"/>
            <w:tcBorders/>
            <w:shd w:fill="FFFFFF" w:val="clear"/>
            <w:vAlign w:val="center"/>
          </w:tcPr>
          <w:p>
            <w:pPr>
              <w:pStyle w:val="TableContents"/>
              <w:bidi w:val="0"/>
              <w:spacing w:before="0" w:after="283"/>
              <w:ind w:left="0" w:right="0" w:hanging="0"/>
              <w:jc w:val="right"/>
              <w:rPr>
                <w:sz w:val="20"/>
              </w:rPr>
            </w:pPr>
            <w:r>
              <w:rPr>
                <w:sz w:val="20"/>
              </w:rPr>
              <w:t>(0.16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sz w:val="20"/>
              </w:rPr>
            </w:pPr>
            <w:r>
              <w:rPr>
                <w:sz w:val="20"/>
              </w:rPr>
              <w:t>$</w:t>
            </w:r>
          </w:p>
        </w:tc>
        <w:tc>
          <w:tcPr>
            <w:tcW w:w="855" w:type="dxa"/>
            <w:tcBorders/>
            <w:shd w:fill="FFFFFF" w:val="clear"/>
            <w:vAlign w:val="center"/>
          </w:tcPr>
          <w:p>
            <w:pPr>
              <w:pStyle w:val="TableContents"/>
              <w:bidi w:val="0"/>
              <w:spacing w:before="0" w:after="283"/>
              <w:ind w:left="0" w:right="0" w:hanging="0"/>
              <w:jc w:val="right"/>
              <w:rPr>
                <w:sz w:val="20"/>
              </w:rPr>
            </w:pPr>
            <w:r>
              <w:rPr>
                <w:sz w:val="20"/>
              </w:rPr>
              <w:t>(0.47</w:t>
            </w:r>
          </w:p>
        </w:tc>
        <w:tc>
          <w:tcPr>
            <w:tcW w:w="105" w:type="dxa"/>
            <w:tcBorders/>
            <w:shd w:fill="FFFFFF" w:val="clear"/>
            <w:vAlign w:val="center"/>
          </w:tcPr>
          <w:p>
            <w:pPr>
              <w:pStyle w:val="TableContents"/>
              <w:bidi w:val="0"/>
              <w:spacing w:before="0" w:after="283"/>
              <w:jc w:val="left"/>
              <w:rPr>
                <w:sz w:val="20"/>
              </w:rPr>
            </w:pPr>
            <w:r>
              <w:rPr>
                <w:sz w:val="20"/>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sz w:val="20"/>
              </w:rPr>
            </w:pPr>
            <w:r>
              <w:rPr>
                <w:sz w:val="20"/>
              </w:rPr>
              <w:t>$</w:t>
            </w:r>
          </w:p>
        </w:tc>
        <w:tc>
          <w:tcPr>
            <w:tcW w:w="855" w:type="dxa"/>
            <w:tcBorders/>
            <w:shd w:fill="FFFFFF" w:val="clear"/>
            <w:vAlign w:val="center"/>
          </w:tcPr>
          <w:p>
            <w:pPr>
              <w:pStyle w:val="TableContents"/>
              <w:bidi w:val="0"/>
              <w:spacing w:before="0" w:after="283"/>
              <w:ind w:left="0" w:right="0" w:hanging="0"/>
              <w:jc w:val="right"/>
              <w:rPr>
                <w:sz w:val="20"/>
              </w:rPr>
            </w:pPr>
            <w:r>
              <w:rPr>
                <w:sz w:val="20"/>
              </w:rPr>
              <w:t>(0.34</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48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sz w:val="20"/>
              </w:rPr>
            </w:pPr>
            <w:r>
              <w:rPr>
                <w:sz w:val="20"/>
              </w:rPr>
              <w:t>$</w:t>
            </w:r>
          </w:p>
        </w:tc>
        <w:tc>
          <w:tcPr>
            <w:tcW w:w="971" w:type="dxa"/>
            <w:tcBorders/>
            <w:shd w:fill="CCEEFF" w:val="clear"/>
            <w:vAlign w:val="center"/>
          </w:tcPr>
          <w:p>
            <w:pPr>
              <w:pStyle w:val="TableContents"/>
              <w:bidi w:val="0"/>
              <w:spacing w:before="0" w:after="283"/>
              <w:ind w:left="0" w:right="0" w:hanging="0"/>
              <w:jc w:val="right"/>
              <w:rPr>
                <w:sz w:val="20"/>
              </w:rPr>
            </w:pPr>
            <w:r>
              <w:rPr>
                <w:sz w:val="20"/>
              </w:rPr>
              <w:t>(0.28</w:t>
            </w:r>
          </w:p>
        </w:tc>
        <w:tc>
          <w:tcPr>
            <w:tcW w:w="119" w:type="dxa"/>
            <w:tcBorders/>
            <w:shd w:fill="CCEEFF" w:val="clear"/>
            <w:vAlign w:val="center"/>
          </w:tcPr>
          <w:p>
            <w:pPr>
              <w:pStyle w:val="TableContents"/>
              <w:bidi w:val="0"/>
              <w:spacing w:before="0" w:after="283"/>
              <w:jc w:val="left"/>
              <w:rPr>
                <w:sz w:val="20"/>
              </w:rPr>
            </w:pPr>
            <w:r>
              <w:rPr>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sz w:val="20"/>
              </w:rPr>
            </w:pPr>
            <w:r>
              <w:rPr>
                <w:sz w:val="20"/>
              </w:rPr>
              <w:t>$</w:t>
            </w:r>
          </w:p>
        </w:tc>
        <w:tc>
          <w:tcPr>
            <w:tcW w:w="881" w:type="dxa"/>
            <w:tcBorders/>
            <w:shd w:fill="CCEEFF" w:val="clear"/>
            <w:vAlign w:val="center"/>
          </w:tcPr>
          <w:p>
            <w:pPr>
              <w:pStyle w:val="TableContents"/>
              <w:bidi w:val="0"/>
              <w:spacing w:before="0" w:after="283"/>
              <w:ind w:left="0" w:right="0" w:hanging="0"/>
              <w:jc w:val="right"/>
              <w:rPr>
                <w:sz w:val="20"/>
              </w:rPr>
            </w:pPr>
            <w:r>
              <w:rPr>
                <w:sz w:val="20"/>
              </w:rPr>
              <w:t>(0.16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sz w:val="20"/>
              </w:rPr>
            </w:pPr>
            <w:r>
              <w:rPr>
                <w:sz w:val="20"/>
              </w:rPr>
              <w:t>$</w:t>
            </w:r>
          </w:p>
        </w:tc>
        <w:tc>
          <w:tcPr>
            <w:tcW w:w="855" w:type="dxa"/>
            <w:tcBorders/>
            <w:shd w:fill="CCEEFF" w:val="clear"/>
            <w:vAlign w:val="center"/>
          </w:tcPr>
          <w:p>
            <w:pPr>
              <w:pStyle w:val="TableContents"/>
              <w:bidi w:val="0"/>
              <w:spacing w:before="0" w:after="283"/>
              <w:ind w:left="0" w:right="0" w:hanging="0"/>
              <w:jc w:val="right"/>
              <w:rPr>
                <w:sz w:val="20"/>
              </w:rPr>
            </w:pPr>
            <w:r>
              <w:rPr>
                <w:sz w:val="20"/>
              </w:rPr>
              <w:t>(0.47</w:t>
            </w:r>
          </w:p>
        </w:tc>
        <w:tc>
          <w:tcPr>
            <w:tcW w:w="105" w:type="dxa"/>
            <w:tcBorders/>
            <w:shd w:fill="CCEEFF" w:val="clear"/>
            <w:vAlign w:val="center"/>
          </w:tcPr>
          <w:p>
            <w:pPr>
              <w:pStyle w:val="TableContents"/>
              <w:bidi w:val="0"/>
              <w:spacing w:before="0" w:after="283"/>
              <w:jc w:val="left"/>
              <w:rPr>
                <w:sz w:val="20"/>
              </w:rPr>
            </w:pPr>
            <w:r>
              <w:rPr>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sz w:val="20"/>
              </w:rPr>
            </w:pPr>
            <w:r>
              <w:rPr>
                <w:sz w:val="20"/>
              </w:rPr>
              <w:t>$</w:t>
            </w:r>
          </w:p>
        </w:tc>
        <w:tc>
          <w:tcPr>
            <w:tcW w:w="855" w:type="dxa"/>
            <w:tcBorders/>
            <w:shd w:fill="CCEEFF" w:val="clear"/>
            <w:vAlign w:val="center"/>
          </w:tcPr>
          <w:p>
            <w:pPr>
              <w:pStyle w:val="TableContents"/>
              <w:bidi w:val="0"/>
              <w:spacing w:before="0" w:after="283"/>
              <w:ind w:left="0" w:right="0" w:hanging="0"/>
              <w:jc w:val="right"/>
              <w:rPr>
                <w:sz w:val="20"/>
              </w:rPr>
            </w:pPr>
            <w:r>
              <w:rPr>
                <w:sz w:val="20"/>
              </w:rPr>
              <w:t>(0.34</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7704" w:type="dxa"/>
        <w:jc w:val="left"/>
        <w:tblInd w:w="0" w:type="dxa"/>
        <w:tblLayout w:type="fixed"/>
        <w:tblCellMar>
          <w:top w:w="0" w:type="dxa"/>
          <w:left w:w="0" w:type="dxa"/>
          <w:bottom w:w="0" w:type="dxa"/>
          <w:right w:w="0" w:type="dxa"/>
        </w:tblCellMar>
      </w:tblPr>
      <w:tblGrid>
        <w:gridCol w:w="2810"/>
        <w:gridCol w:w="60"/>
        <w:gridCol w:w="120"/>
        <w:gridCol w:w="976"/>
        <w:gridCol w:w="120"/>
        <w:gridCol w:w="120"/>
        <w:gridCol w:w="120"/>
        <w:gridCol w:w="976"/>
        <w:gridCol w:w="60"/>
        <w:gridCol w:w="60"/>
        <w:gridCol w:w="110"/>
        <w:gridCol w:w="891"/>
        <w:gridCol w:w="110"/>
        <w:gridCol w:w="110"/>
        <w:gridCol w:w="110"/>
        <w:gridCol w:w="891"/>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2,435</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2,884</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2,884</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3,116</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Amazon warrant</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1,324</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6,711</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consist of the following for the periods indicated (in thousands):​</w:t>
      </w:r>
    </w:p>
    <w:p>
      <w:pPr>
        <w:pStyle w:val="TextBody"/>
        <w:bidi w:val="0"/>
        <w:spacing w:before="0" w:after="0"/>
        <w:ind w:left="0" w:right="0" w:firstLine="720"/>
        <w:jc w:val="left"/>
        <w:rPr/>
      </w:pPr>
      <w:r>
        <w:rPr/>
        <w:t> </w:t>
      </w:r>
    </w:p>
    <w:tbl>
      <w:tblPr>
        <w:tblW w:w="6008" w:type="dxa"/>
        <w:jc w:val="left"/>
        <w:tblInd w:w="0" w:type="dxa"/>
        <w:tblLayout w:type="fixed"/>
        <w:tblCellMar>
          <w:top w:w="0" w:type="dxa"/>
          <w:left w:w="0" w:type="dxa"/>
          <w:bottom w:w="0" w:type="dxa"/>
          <w:right w:w="0" w:type="dxa"/>
        </w:tblCellMar>
      </w:tblPr>
      <w:tblGrid>
        <w:gridCol w:w="2930"/>
        <w:gridCol w:w="60"/>
        <w:gridCol w:w="181"/>
        <w:gridCol w:w="1008"/>
        <w:gridCol w:w="80"/>
        <w:gridCol w:w="60"/>
        <w:gridCol w:w="243"/>
        <w:gridCol w:w="1366"/>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85,740</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95,538</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18,822</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183,105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inventory reserve adjustment expensed for inventory was $(1.3) million and $1.9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inventory reserve adjustment expensed for inventory was $1.1 million and $3.7 million, respectively.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direct inventory write-offs related to scrap, discontinued products and damaged inventories were $3.6 million and $0.9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direct inventory write-offs related to scrap, discontinued products and damaged inventories were $6.0 million and $2.0 million, respectively.</w:t>
      </w:r>
    </w:p>
    <w:p>
      <w:pPr>
        <w:pStyle w:val="TextBody"/>
        <w:bidi w:val="0"/>
        <w:spacing w:before="0" w:after="0"/>
        <w:ind w:left="0" w:right="0" w:hanging="0"/>
        <w:jc w:val="left"/>
        <w:rPr/>
      </w:pPr>
      <w:r>
        <w:rPr/>
        <w:t xml:space="preserve">    </w:t>
      </w:r>
      <w:r>
        <w:rPr>
          <w:shd w:fill="FFFFFF" w:val="clear"/>
        </w:rPr>
        <w:t xml:space="preserve">​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383" w:type="dxa"/>
        <w:jc w:val="left"/>
        <w:tblInd w:w="0" w:type="dxa"/>
        <w:tblLayout w:type="fixed"/>
        <w:tblCellMar>
          <w:top w:w="0" w:type="dxa"/>
          <w:left w:w="0" w:type="dxa"/>
          <w:bottom w:w="0" w:type="dxa"/>
          <w:right w:w="0" w:type="dxa"/>
        </w:tblCellMar>
      </w:tblPr>
      <w:tblGrid>
        <w:gridCol w:w="3305"/>
        <w:gridCol w:w="60"/>
        <w:gridCol w:w="169"/>
        <w:gridCol w:w="1020"/>
        <w:gridCol w:w="80"/>
        <w:gridCol w:w="60"/>
        <w:gridCol w:w="228"/>
        <w:gridCol w:w="1381"/>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138,163</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404,145</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17,180</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568,054</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335,141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 Equipment Prepayments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Other assets, net primarily consist of long-term prepayments made in connection with the Company's capital expansion projects.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other assets, net was $324.0 million, compared to $50.9 million as of </w:t>
      </w:r>
      <w:r>
        <w:rPr>
          <w:rStyle w:val="Emphasis"/>
          <w:rFonts w:ascii="Times New Roman;Times;serif" w:hAnsi="Times New Roman;Times;serif"/>
          <w:sz w:val="20"/>
        </w:rPr>
        <w:t xml:space="preserve">December 31, 2025. </w:t>
      </w:r>
      <w:r>
        <w:rPr>
          <w:rFonts w:ascii="Times New Roman;Times;serif" w:hAnsi="Times New Roman;Times;serif"/>
          <w:sz w:val="20"/>
        </w:rPr>
        <w:t>The increase was primarily attributable to advance payments for equipment and facility related capital expenditures associated with the Company's manufacturing expansion initiatives. These amounts are expected to be reclassified to property, plant and equipment as the related assets are received and placed into service.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depreciation expense of property, plant and equipment was $10.4 million and $6.3 million,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the depreciation expense of property, plant and equipment was $19.5 million and $11.9 million, respectively.</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amortization expense for intangible assets, included in general and administrative expenses on the statement of operations, was $0.1 million and $0.2 million,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amortization expense for intangible assets, included in general and administrative expenses on the statement of operations, was $0.2 million and $0.3 million, respectively.  The remaining weighted average amortization period for intangible assets is approximately 7.4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June 30, 2026</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rPr/>
      </w:pPr>
      <w:r>
        <w:rPr/>
        <w:t> </w:t>
      </w:r>
    </w:p>
    <w:tbl>
      <w:tblPr>
        <w:tblW w:w="2955" w:type="dxa"/>
        <w:jc w:val="left"/>
        <w:tblInd w:w="0" w:type="dxa"/>
        <w:tblLayout w:type="fixed"/>
        <w:tblCellMar>
          <w:top w:w="0" w:type="dxa"/>
          <w:left w:w="0" w:type="dxa"/>
          <w:bottom w:w="0" w:type="dxa"/>
          <w:right w:w="0" w:type="dxa"/>
        </w:tblCellMar>
      </w:tblPr>
      <w:tblGrid>
        <w:gridCol w:w="2225"/>
        <w:gridCol w:w="60"/>
        <w:gridCol w:w="125"/>
        <w:gridCol w:w="485"/>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accounts receivable was $314.0 million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Of this amount, $211.0 million was due from Digicomm International Inc.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our top </w:t>
      </w:r>
      <w:r>
        <w:rPr>
          <w:rStyle w:val="Emphasis"/>
          <w:rFonts w:ascii="Times New Roman;Times;serif" w:hAnsi="Times New Roman;Times;serif"/>
          <w:sz w:val="20"/>
        </w:rPr>
        <w:t>ten</w:t>
      </w:r>
      <w:r>
        <w:rPr>
          <w:rFonts w:ascii="Times New Roman;Times;serif" w:hAnsi="Times New Roman;Times;serif"/>
          <w:sz w:val="20"/>
        </w:rPr>
        <w:t xml:space="preserve"> customers represented 99% and 98% of our revenue,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42%, 26% and 24% of our revenue,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54%, 34% and 6% of our revenue,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xml:space="preserve"> customers represented 43%, 26% and 24% of our revenue, respectively.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our top </w:t>
      </w:r>
      <w:r>
        <w:rPr>
          <w:rStyle w:val="Emphasis"/>
          <w:rFonts w:ascii="Times New Roman;Times;serif" w:hAnsi="Times New Roman;Times;serif"/>
          <w:sz w:val="20"/>
        </w:rPr>
        <w:t>three</w:t>
      </w:r>
      <w:r>
        <w:rPr>
          <w:rFonts w:ascii="Times New Roman;Times;serif" w:hAnsi="Times New Roman;Times;serif"/>
          <w:sz w:val="20"/>
        </w:rPr>
        <w:t> customers represented 59%, 30% and 5% of our revenue,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was $445.1 million and $129.1 million, respectively. As of </w:t>
      </w:r>
      <w:r>
        <w:rPr>
          <w:rStyle w:val="Emphasis"/>
          <w:rFonts w:ascii="Times New Roman;Times;serif" w:hAnsi="Times New Roman;Times;serif"/>
          <w:sz w:val="20"/>
        </w:rPr>
        <w:t>December 31, 2025</w:t>
      </w:r>
      <w:r>
        <w:rPr>
          <w:rFonts w:ascii="Times New Roman;Times;serif" w:hAnsi="Times New Roman;Times;serif"/>
          <w:sz w:val="20"/>
        </w:rPr>
        <w:t xml:space="preserve">, the fair value and carrying amount of our convertible senior notes was $145.2 million and $129.8 million, respectively. The fair value is based on observable market prices for this debt, which is traded in less active markets and is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 The significant increase in the fair value of the convertible senior notes relative to their carrying amount as of </w:t>
      </w:r>
      <w:r>
        <w:rPr>
          <w:rStyle w:val="Emphasis"/>
          <w:rFonts w:ascii="Times New Roman;Times;serif" w:hAnsi="Times New Roman;Times;serif"/>
          <w:sz w:val="20"/>
        </w:rPr>
        <w:t xml:space="preserve">June 30, 2026 </w:t>
      </w:r>
      <w:r>
        <w:rPr>
          <w:rFonts w:ascii="Times New Roman;Times;serif" w:hAnsi="Times New Roman;Times;serif"/>
          <w:sz w:val="20"/>
        </w:rPr>
        <w:t>is primarily attributable to a substantial increase in the market price of the Company's common stock during the quarter, which increased the value of the conversion feature embedded in the notes.</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699"/>
        <w:gridCol w:w="60"/>
        <w:gridCol w:w="158"/>
        <w:gridCol w:w="828"/>
        <w:gridCol w:w="80"/>
        <w:gridCol w:w="60"/>
        <w:gridCol w:w="199"/>
        <w:gridCol w:w="1038"/>
        <w:gridCol w:w="83"/>
      </w:tblGrid>
      <w:tr>
        <w:trPr/>
        <w:tc>
          <w:tcPr>
            <w:tcW w:w="76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283"/>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China bank up to $44 million with interest at 2.6% and 3%, maturing June 25, 2027 and June 12, 2032, respectively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$14.7 million with interest at 2.45%, maturing March 26, 2027</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3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13,772</w:t>
            </w:r>
          </w:p>
        </w:tc>
        <w:tc>
          <w:tcPr>
            <w:tcW w:w="83" w:type="dxa"/>
            <w:tcBorders/>
            <w:shd w:fill="FFFFFF" w:val="clear"/>
            <w:vAlign w:val="center"/>
          </w:tcPr>
          <w:p>
            <w:pPr>
              <w:pStyle w:val="TableContents"/>
              <w:bidi w:val="0"/>
              <w:spacing w:before="0" w:after="0"/>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China bank up to $3.0 million with interest at 3%, maturing May 8, 2028</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 of credit with a China bank up to $2.9 million with interest at 2.45%, maturing December 28, 2026</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$14.7 million with interest at 2.31%, maturing June 25, 2027</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line of credit with a China bank up to $2.9 million with interest at 2.4%, maturing June 11, 2027</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2.5%, maturing July 13, 2026</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Taiwan bank up to $3.1 million with interest at 3.20%, maturing August 25, 2026</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3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0"/>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and equipment term loan with a Taiwan bank up to $8.8 million with interest at 3%, maturing June 11, 2027 and June 11, 2029, respectively</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FFFFFF" w:val="clear"/>
            <w:vAlign w:val="center"/>
          </w:tcPr>
          <w:p>
            <w:pPr>
              <w:pStyle w:val="TableContents"/>
              <w:bidi w:val="0"/>
              <w:spacing w:before="0" w:after="283"/>
              <w:jc w:val="left"/>
              <w:rPr/>
            </w:pPr>
            <w:r>
              <w:rPr/>
              <w:t> </w:t>
            </w:r>
          </w:p>
        </w:tc>
      </w:tr>
      <w:tr>
        <w:trPr/>
        <w:tc>
          <w:tcPr>
            <w:tcW w:w="76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488" w:type="dxa"/>
        <w:jc w:val="left"/>
        <w:tblInd w:w="0" w:type="dxa"/>
        <w:tblLayout w:type="fixed"/>
        <w:tblCellMar>
          <w:top w:w="0" w:type="dxa"/>
          <w:left w:w="0" w:type="dxa"/>
          <w:bottom w:w="0" w:type="dxa"/>
          <w:right w:w="0" w:type="dxa"/>
        </w:tblCellMar>
      </w:tblPr>
      <w:tblGrid>
        <w:gridCol w:w="5450"/>
        <w:gridCol w:w="60"/>
        <w:gridCol w:w="208"/>
        <w:gridCol w:w="981"/>
        <w:gridCol w:w="60"/>
        <w:gridCol w:w="60"/>
        <w:gridCol w:w="280"/>
        <w:gridCol w:w="1329"/>
        <w:gridCol w:w="60"/>
      </w:tblGrid>
      <w:tr>
        <w:trPr/>
        <w:tc>
          <w:tcPr>
            <w:tcW w:w="54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0.05% handling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SPD Credit Line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29, 2025, </w:t>
      </w:r>
      <w:r>
        <w:rPr>
          <w:rFonts w:ascii="Times New Roman;Times;serif" w:hAnsi="Times New Roman;Times;serif"/>
          <w:sz w:val="20"/>
        </w:rPr>
        <w:t xml:space="preserve">Global entered into a five-year revolving credit line agreement with Shanghai Pudong Development Bank Co., Ltd. in Ningbo City, China ("SPD"), totaling </w:t>
      </w:r>
      <w:r>
        <w:rPr>
          <w:rStyle w:val="Emphasis"/>
          <w:rFonts w:ascii="Times New Roman;Times;serif" w:hAnsi="Times New Roman;Times;serif"/>
          <w:sz w:val="20"/>
        </w:rPr>
        <w:t>250,000,000</w:t>
      </w:r>
      <w:r>
        <w:rPr>
          <w:rFonts w:ascii="Times New Roman;Times;serif" w:hAnsi="Times New Roman;Times;serif"/>
          <w:sz w:val="20"/>
        </w:rPr>
        <w:t xml:space="preserve"> RMB (the "¥250M SPD Credit Line"), or approximately $34.9 million at that time, and a mortgage contract. The ¥250M SPD Credit Line is included in the prior 82,000,000 RMB credit facility entered into by Global on </w:t>
      </w:r>
      <w:r>
        <w:rPr>
          <w:rStyle w:val="Emphasis"/>
          <w:rFonts w:ascii="Times New Roman;Times;serif" w:hAnsi="Times New Roman;Times;serif"/>
          <w:sz w:val="20"/>
        </w:rPr>
        <w:t>July 18, 2025.</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Global entered into a one-year revolving credit line agreement with SPD increasing the ¥250M SPD Credit Line to 500,000,000 RMB (the "¥500M SPD Credit Line"), or approximately $73.8 million at that time. Borrowing under the ¥500M SPD Credit Line will be used for general corporate and capital investment purposes. Global's obligation under the ¥500M SPD Credit Line will be secured by certain real property owned by Global.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$21.1 million was outstanding under the ¥500M SPD Credit Line, and the outstanding balance of bank acceptance notes under this bank issued to vendors was $9.5 million. The unused credit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was $45.7 million.</w:t>
      </w:r>
    </w:p>
    <w:p>
      <w:pPr>
        <w:pStyle w:val="TextBody"/>
        <w:bidi w:val="0"/>
        <w:spacing w:before="0" w:after="0"/>
        <w:ind w:left="180" w:right="0" w:hanging="0"/>
        <w:jc w:val="left"/>
        <w:rPr/>
      </w:pPr>
      <w:r>
        <w:rPr/>
        <w:t> </w:t>
      </w:r>
    </w:p>
    <w:p>
      <w:pPr>
        <w:pStyle w:val="TextBody"/>
        <w:bidi w:val="0"/>
        <w:spacing w:before="0" w:after="0"/>
        <w:ind w:left="180" w:right="0" w:hanging="180"/>
        <w:jc w:val="left"/>
        <w:rPr>
          <w:rFonts w:ascii="Times New Roman;Times;serif" w:hAnsi="Times New Roman;Times;serif"/>
          <w:i/>
          <w:sz w:val="20"/>
        </w:rPr>
      </w:pPr>
      <w:r>
        <w:rPr>
          <w:rFonts w:ascii="Times New Roman;Times;serif" w:hAnsi="Times New Roman;Times;serif"/>
          <w:i/>
          <w:sz w:val="20"/>
        </w:rPr>
        <w:t xml:space="preserve">CCB Loan </w:t>
      </w:r>
    </w:p>
    <w:p>
      <w:pPr>
        <w:pStyle w:val="TextBody"/>
        <w:bidi w:val="0"/>
        <w:spacing w:before="0" w:after="0"/>
        <w:ind w:left="18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12, 2025, </w:t>
      </w:r>
      <w:r>
        <w:rPr>
          <w:rFonts w:ascii="Times New Roman;Times;serif" w:hAnsi="Times New Roman;Times;serif"/>
          <w:sz w:val="20"/>
        </w:rPr>
        <w:t>Global entered into a one-year credit facility with China Construction Bank Co., Ltd., in Ningbo, City, China ("CCB"), totaling 96,800,000 RMB (the "CCB Credit Facility"), or approximately $13.5 million at that time.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26, 2025, </w:t>
      </w:r>
      <w:r>
        <w:rPr>
          <w:rFonts w:ascii="Times New Roman;Times;serif" w:hAnsi="Times New Roman;Times;serif"/>
          <w:sz w:val="20"/>
        </w:rPr>
        <w:t xml:space="preserve">Global entered into a five-year revolving credit line agreement with CCB, totaling 162,260,000 RMB (the "CCB Credit Line"), or approximately $22.7 million at that time. The amount available under the CCB Credit Line is inclusive of the CCB Credit Facility previously granted by CCB on </w:t>
      </w:r>
      <w:r>
        <w:rPr>
          <w:rStyle w:val="Emphasis"/>
          <w:rFonts w:ascii="Times New Roman;Times;serif" w:hAnsi="Times New Roman;Times;serif"/>
          <w:sz w:val="20"/>
        </w:rPr>
        <w:t xml:space="preserve">June 12, 2025.  </w:t>
      </w:r>
      <w:r>
        <w:rPr>
          <w:rFonts w:ascii="Times New Roman;Times;serif" w:hAnsi="Times New Roman;Times;serif"/>
          <w:sz w:val="20"/>
        </w:rPr>
        <w:t xml:space="preserve">On </w:t>
      </w:r>
      <w:r>
        <w:rPr>
          <w:rStyle w:val="Emphasis"/>
          <w:rFonts w:ascii="Times New Roman;Times;serif" w:hAnsi="Times New Roman;Times;serif"/>
          <w:sz w:val="20"/>
        </w:rPr>
        <w:t xml:space="preserve">December 19, 2025, </w:t>
      </w:r>
      <w:r>
        <w:rPr>
          <w:rFonts w:ascii="Times New Roman;Times;serif" w:hAnsi="Times New Roman;Times;serif"/>
          <w:sz w:val="20"/>
        </w:rPr>
        <w:t xml:space="preserve">the CCB Credit Line was increased to 250,000,000 RMB. Global's obligation under the CCB Credit Line is secured by certain real property owned by Global.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there was $14.7 million outstanding under the CCB Credit Line. The outstanding balance of bank acceptances notes under this bank issued to vendors was $20.2 million as of </w:t>
      </w:r>
      <w:r>
        <w:rPr>
          <w:rStyle w:val="Emphasis"/>
          <w:rFonts w:ascii="Times New Roman;Times;serif" w:hAnsi="Times New Roman;Times;serif"/>
          <w:sz w:val="20"/>
        </w:rPr>
        <w:t>June 30, 2026. </w:t>
      </w:r>
      <w:r>
        <w:rPr>
          <w:rFonts w:ascii="Times New Roman;Times;serif" w:hAnsi="Times New Roman;Times;serif"/>
          <w:sz w:val="20"/>
        </w:rPr>
        <w:t xml:space="preserve">The unused credit as of </w:t>
      </w:r>
      <w:r>
        <w:rPr>
          <w:rStyle w:val="Emphasis"/>
          <w:rFonts w:ascii="Times New Roman;Times;serif" w:hAnsi="Times New Roman;Times;serif"/>
          <w:sz w:val="20"/>
        </w:rPr>
        <w:t>June 30, 2026 </w:t>
      </w:r>
      <w:r>
        <w:rPr>
          <w:rFonts w:ascii="Times New Roman;Times;serif" w:hAnsi="Times New Roman;Times;serif"/>
          <w:sz w:val="20"/>
        </w:rPr>
        <w:t>was $5.9 million.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NBCB Loan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23, 2025, </w:t>
      </w:r>
      <w:r>
        <w:rPr>
          <w:rFonts w:ascii="Times New Roman" w:hAnsi="Times New Roman"/>
          <w:caps w:val="false"/>
          <w:smallCaps w:val="false"/>
          <w:sz w:val="20"/>
        </w:rPr>
        <w:t xml:space="preserve">Global entered into a five-year credit facility with Bank of Ningbo, in Ningbo City, China, totaling 20,000,000 RMB (the "NBCB Credit Facility"), or approximately $2.8 million at that time. On </w:t>
      </w:r>
      <w:r>
        <w:rPr>
          <w:rStyle w:val="Emphasis"/>
          <w:rFonts w:ascii="Times New Roman" w:hAnsi="Times New Roman"/>
          <w:caps w:val="false"/>
          <w:smallCaps w:val="false"/>
          <w:sz w:val="20"/>
        </w:rPr>
        <w:t xml:space="preserve">December 19, 2025, </w:t>
      </w:r>
      <w:r>
        <w:rPr>
          <w:rFonts w:ascii="Times New Roman" w:hAnsi="Times New Roman"/>
          <w:caps w:val="false"/>
          <w:smallCaps w:val="false"/>
          <w:sz w:val="20"/>
        </w:rPr>
        <w:t xml:space="preserve">the parties entered into an amendment to the NBCB Credit Facility, increasing the credit limit to 50,000,000 RMB, or approximately $7.1 million at that time (the "NBCB Credit Line").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was $0.7 million outstanding under the NBCB Credit Line. The outstanding balance of bank acceptance notes issued to vendors under this bank was $4.3 million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unused credit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was $2.3 million.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CZB Loan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26, 2025, </w:t>
      </w:r>
      <w:r>
        <w:rPr>
          <w:rFonts w:ascii="Times New Roman" w:hAnsi="Times New Roman"/>
          <w:caps w:val="false"/>
          <w:smallCaps w:val="false"/>
          <w:sz w:val="20"/>
        </w:rPr>
        <w:t xml:space="preserve">Global entered into an asset pooling cooperation agreement with China Zheshang Bank in Ningbo City, China totaling 40,000,000 RMB (the "CZB Credit Line"), or approximately $5.7 million at that time.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was $1.5 million outstanding under the CZB Credit Line. The unused credit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was $1.5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BOC Loan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29, 2026, </w:t>
      </w:r>
      <w:r>
        <w:rPr>
          <w:rFonts w:ascii="Times New Roman" w:hAnsi="Times New Roman"/>
          <w:caps w:val="false"/>
          <w:smallCaps w:val="false"/>
          <w:sz w:val="20"/>
        </w:rPr>
        <w:t xml:space="preserve">Global entered into a one-year credit facility with Bank of China in Ningbo City, China, totaling 100,000,000 RMB (the "BOC Credit Line"), or approximately $14.7 million at that time.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was $14.7 million outstanding under the BOC Credit Line. The unused credit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was $0.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BOKF Loan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July 31, 2025, </w:t>
      </w:r>
      <w:r>
        <w:rPr>
          <w:rFonts w:ascii="Times New Roman;Times;serif" w:hAnsi="Times New Roman;Times;serif"/>
          <w:sz w:val="20"/>
        </w:rPr>
        <w:t xml:space="preserve">the Company entered into a Loan and Security Agreement with BOKF, NA dba BOK Financial, as agent for secured parties (the "BOKF Credit Facility"). The BOKF Credit Facility provides the Company with a three-year, $35 million revolving line of credit, with the ability to request additional lender commitments in an aggregate amount </w:t>
      </w:r>
      <w:r>
        <w:rPr>
          <w:rStyle w:val="Emphasis"/>
          <w:rFonts w:ascii="Times New Roman;Times;serif" w:hAnsi="Times New Roman;Times;serif"/>
          <w:sz w:val="20"/>
        </w:rPr>
        <w:t>not</w:t>
      </w:r>
      <w:r>
        <w:rPr>
          <w:rFonts w:ascii="Times New Roman;Times;serif" w:hAnsi="Times New Roman;Times;serif"/>
          <w:sz w:val="20"/>
        </w:rPr>
        <w:t xml:space="preserve"> to exceed $40 million (for a total aggregate amount of $75 million) pursuant to certain conditions. As of </w:t>
      </w:r>
      <w:r>
        <w:rPr>
          <w:rStyle w:val="Emphasis"/>
          <w:rFonts w:ascii="Times New Roman;Times;serif" w:hAnsi="Times New Roman;Times;serif"/>
          <w:sz w:val="20"/>
        </w:rPr>
        <w:t xml:space="preserve">June 30, 2026, </w:t>
      </w:r>
      <w:r>
        <w:rPr>
          <w:rFonts w:ascii="Times New Roman;Times;serif" w:hAnsi="Times New Roman;Times;serif"/>
          <w:sz w:val="20"/>
        </w:rPr>
        <w:t>$0 was outstanding under the BOKF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Taishin Loan</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Prime World entered into a credit facility with Taishin International Bank in Taiwan, consisting of a NT$100,000,000 line of credit (the "NT$100M Credit Line"), or approximately $3.1 million at that time, and a US$2,000,000 line of credit (the "US$2M Credit Line", collectively, with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the "Taishin Credit Facility"). Prime World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utilize the Taishin Credit Facility from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31, 2026. </w:t>
      </w:r>
      <w:r>
        <w:rPr>
          <w:rFonts w:ascii="Times New Roman" w:hAnsi="Times New Roman"/>
          <w:caps w:val="false"/>
          <w:smallCaps w:val="false"/>
          <w:sz w:val="20"/>
        </w:rPr>
        <w:t xml:space="preserve">Borrowings under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drawn as short-term loans, while the </w:t>
      </w:r>
      <w:r>
        <w:rPr>
          <w:rStyle w:val="Emphasis"/>
          <w:rFonts w:ascii="Times New Roman" w:hAnsi="Times New Roman"/>
          <w:caps w:val="false"/>
          <w:smallCaps w:val="false"/>
          <w:sz w:val="20"/>
        </w:rPr>
        <w:t>US$2M</w:t>
      </w:r>
      <w:r>
        <w:rPr>
          <w:rFonts w:ascii="Times New Roman" w:hAnsi="Times New Roman"/>
          <w:caps w:val="false"/>
          <w:smallCaps w:val="false"/>
          <w:sz w:val="20"/>
        </w:rPr>
        <w:t xml:space="preserve"> Credit Line is a derivatives-based facility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by Prime World to enter into foreign exchange hedging transactions.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$3.1 million was outstanding under the NT$100M Credit Line and the US$2M Credit Line was unutilized.</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FCB Loan</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caps w:val="false"/>
          <w:smallCaps w:val="false"/>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2026, </w:t>
      </w:r>
      <w:r>
        <w:rPr>
          <w:rFonts w:ascii="Times New Roman" w:hAnsi="Times New Roman"/>
          <w:caps w:val="false"/>
          <w:smallCaps w:val="false"/>
          <w:sz w:val="20"/>
        </w:rPr>
        <w:t xml:space="preserve">Prime World entered into a credit facility with First Commercial Bank in Taiwan, consisting of a NT$100,000,000 line of credit (the "FCB Credit Facility"), or approximately $3.1 million at that time.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there was $3.1 million outstanding under the FCB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CTBC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Prime World entered into a credit facility with CTBC Bank Co., Ltd. in Taiwan, consisting of a NT$100,000,000 line of credit and a NT$180,000,000 equipment term loan (collectively, the "CTBC Credit Facility"), or approximately a total of $8.8 million at that time.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CTBC Credit Facility was unutilized.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were in compliance with the covenants in the lending arrangements.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Unused Borrowing Capacity</w:t>
      </w:r>
    </w:p>
    <w:p>
      <w:pPr>
        <w:pStyle w:val="TextBody"/>
        <w:bidi w:val="0"/>
        <w:spacing w:before="0" w:after="0"/>
        <w:ind w:left="0" w:right="0" w:firstLine="720"/>
        <w:jc w:val="left"/>
        <w:rPr/>
      </w:pPr>
      <w:r>
        <w:rPr/>
        <w:t> </w:t>
      </w:r>
    </w:p>
    <w:p>
      <w:pPr>
        <w:pStyle w:val="TextBody"/>
        <w:bidi w:val="0"/>
        <w:ind w:left="0" w:right="0" w:firstLine="720"/>
        <w:jc w:val="left"/>
        <w:rPr/>
      </w:pPr>
      <w:r>
        <w:rPr>
          <w:rFonts w:ascii="Times New Roman;Times;serif" w:hAnsi="Times New Roman;Times;serif"/>
          <w:sz w:val="20"/>
          <w:shd w:fill="FFFFFF" w:val="clear"/>
        </w:rPr>
        <w:t>As of </w:t>
      </w:r>
      <w:r>
        <w:rPr>
          <w:rFonts w:ascii="Times New Roman;Times;serif" w:hAnsi="Times New Roman;Times;serif"/>
          <w:sz w:val="20"/>
        </w:rPr>
        <w:t xml:space="preserve"> </w:t>
      </w:r>
      <w:r>
        <w:rPr>
          <w:rStyle w:val="Emphasis"/>
          <w:rFonts w:ascii="Times New Roman;Times;serif" w:hAnsi="Times New Roman;Times;serif"/>
          <w:sz w:val="20"/>
        </w:rPr>
        <w:t>June 30, 2026</w:t>
      </w:r>
      <w:r>
        <w:rPr>
          <w:rFonts w:ascii="Times New Roman;Times;serif" w:hAnsi="Times New Roman;Times;serif"/>
          <w:sz w:val="20"/>
        </w:rPr>
        <w:t xml:space="preserve"> </w:t>
      </w:r>
      <w:r>
        <w:rPr>
          <w:rFonts w:ascii="Times New Roman;Times;serif" w:hAnsi="Times New Roman;Times;serif"/>
          <w:sz w:val="20"/>
          <w:shd w:fill="FFFFFF" w:val="clear"/>
        </w:rPr>
        <w:t xml:space="preserve">and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Fonts w:ascii="Times New Roman;Times;serif" w:hAnsi="Times New Roman;Times;serif"/>
          <w:sz w:val="20"/>
          <w:shd w:fill="FFFFFF" w:val="clear"/>
        </w:rPr>
        <w:t>, the Company had $106.5</w:t>
      </w:r>
      <w:r>
        <w:rPr>
          <w:rFonts w:ascii="Times New Roman;Times;serif" w:hAnsi="Times New Roman;Times;serif"/>
          <w:sz w:val="20"/>
        </w:rPr>
        <w:t xml:space="preserve"> </w:t>
      </w:r>
      <w:r>
        <w:rPr>
          <w:rFonts w:ascii="Times New Roman;Times;serif" w:hAnsi="Times New Roman;Times;serif"/>
          <w:sz w:val="20"/>
          <w:shd w:fill="FFFFFF" w:val="clear"/>
        </w:rPr>
        <w:t> million and $60.7</w:t>
      </w:r>
      <w:r>
        <w:rPr>
          <w:rFonts w:ascii="Times New Roman;Times;serif" w:hAnsi="Times New Roman;Times;serif"/>
          <w:sz w:val="20"/>
        </w:rPr>
        <w:t xml:space="preserve"> million </w:t>
      </w:r>
      <w:r>
        <w:rPr>
          <w:rFonts w:ascii="Times New Roman;Times;serif" w:hAnsi="Times New Roman;Times;serif"/>
          <w:sz w:val="20"/>
          <w:shd w:fill="FFFFFF" w:val="clear"/>
        </w:rPr>
        <w:t> of unused borrowing capacity, respectively.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there </w:t>
      </w:r>
      <w:r>
        <w:rPr>
          <w:rFonts w:ascii="Times New Roman;Times;serif" w:hAnsi="Times New Roman;Times;serif"/>
          <w:sz w:val="20"/>
          <w:shd w:fill="FFFFFF" w:val="clear"/>
        </w:rPr>
        <w:t>was $6.9</w:t>
      </w:r>
      <w:r>
        <w:rPr>
          <w:rFonts w:ascii="Times New Roman;Times;serif" w:hAnsi="Times New Roman;Times;serif"/>
          <w:sz w:val="20"/>
        </w:rPr>
        <w:t xml:space="preserve"> </w:t>
      </w:r>
      <w:r>
        <w:rPr>
          <w:rFonts w:ascii="Times New Roman;Times;serif" w:hAnsi="Times New Roman;Times;serif"/>
          <w:sz w:val="20"/>
          <w:shd w:fill="FFFFFF" w:val="clear"/>
        </w:rPr>
        <w:t> million and $8.7 million of restricted cash, investme</w:t>
      </w:r>
      <w:r>
        <w:rPr>
          <w:rFonts w:ascii="Times New Roman;Times;serif" w:hAnsi="Times New Roman;Times;serif"/>
          <w:sz w:val="20"/>
        </w:rPr>
        <w:t xml:space="preserve">nts or security deposits associated with the loan facilities, respectively.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 xml:space="preserve">the Company entered into exchange agreements with certain holders of its 5.25% senior convertible notes due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to exchange approximately $76.7 million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aggregate consideration consisting of (i) $125.0 million aggregate principal amount of 2.75% Convertible Senior Notes due </w:t>
      </w:r>
      <w:r>
        <w:rPr>
          <w:rStyle w:val="Emphasis"/>
          <w:rFonts w:ascii="Times New Roman" w:hAnsi="Times New Roman"/>
          <w:caps w:val="false"/>
          <w:smallCaps w:val="false"/>
          <w:sz w:val="20"/>
        </w:rPr>
        <w:t>2030</w:t>
      </w:r>
      <w:r>
        <w:rPr>
          <w:rFonts w:ascii="Times New Roman" w:hAnsi="Times New Roman"/>
          <w:caps w:val="false"/>
          <w:smallCaps w:val="false"/>
          <w:sz w:val="20"/>
        </w:rPr>
        <w: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(ii) 1,487,874 shares of the Company’s common stock, par value $0.001 per share (the "Common Stock") and (iii) approximately $89.6 thousands of cash in aggregate, representing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the value of fractional shares of Common Stock (such transactions, collectively, the "Exchanges"). The Exchanges closed on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and we recorded a debt extinguishment loss of $112.0 million due to these Exchanges. There was $3.5 million principal amount for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remaining. On </w:t>
      </w:r>
      <w:r>
        <w:rPr>
          <w:rStyle w:val="Emphasis"/>
          <w:rFonts w:ascii="Times New Roman" w:hAnsi="Times New Roman"/>
          <w:caps w:val="false"/>
          <w:smallCaps w:val="false"/>
          <w:sz w:val="20"/>
        </w:rPr>
        <w:t xml:space="preserve">July 30, 2025, </w:t>
      </w:r>
      <w:r>
        <w:rPr>
          <w:rFonts w:ascii="Times New Roman" w:hAnsi="Times New Roman"/>
          <w:caps w:val="false"/>
          <w:smallCaps w:val="false"/>
          <w:sz w:val="20"/>
        </w:rPr>
        <w:t xml:space="preserve">the Company retired the final $3.5 million principal and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by exchanging such outstanding principal for 239,404 shares of the Company's common stock and by paying the accrued and outstanding interest in 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 "Indenture"), between the Company, as issuer, and Computershare Trust Company, N.A., as trustee. The </w:t>
      </w:r>
      <w:r>
        <w:rPr>
          <w:rStyle w:val="Emphasis"/>
          <w:rFonts w:ascii="Times New Roman" w:hAnsi="Times New Roman"/>
          <w:caps w:val="false"/>
          <w:smallCaps w:val="false"/>
          <w:sz w:val="20"/>
        </w:rPr>
        <w:t>2030</w:t>
      </w:r>
      <w:r>
        <w:rPr>
          <w:rFonts w:ascii="Times New Roman" w:hAnsi="Times New Roman"/>
          <w:caps w:val="false"/>
          <w:smallCaps w:val="false"/>
          <w:sz w:val="20"/>
        </w:rPr>
        <w:t> Notes bear interest at a rate of 2.75% per year and will pay interest semiannually in arrears on </w:t>
      </w:r>
      <w:r>
        <w:rPr>
          <w:rStyle w:val="Emphasis"/>
          <w:rFonts w:ascii="Times New Roman" w:hAnsi="Times New Roman"/>
          <w:caps w:val="false"/>
          <w:smallCaps w:val="false"/>
          <w:sz w:val="20"/>
        </w:rPr>
        <w:t xml:space="preserve"> January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July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July 15, 2025. </w:t>
      </w: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mature on </w:t>
      </w:r>
      <w:r>
        <w:rPr>
          <w:rStyle w:val="Emphasis"/>
          <w:rFonts w:ascii="Times New Roman" w:hAnsi="Times New Roman"/>
          <w:caps w:val="false"/>
          <w:smallCaps w:val="false"/>
          <w:sz w:val="20"/>
        </w:rPr>
        <w:t xml:space="preserve"> January 15, 2030,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 holder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exercised its conversion right with respect to $75,000 in aggregate principal amount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The Company settled the conversion by delivering 1,731 shares of Common Stock and $84 in cash to the converting holder based on the applicable conversion rate of 23.0884 shares per </w:t>
      </w:r>
      <w:r>
        <w:rPr>
          <w:rStyle w:val="Emphasis"/>
          <w:rFonts w:ascii="Times New Roman" w:hAnsi="Times New Roman"/>
          <w:caps w:val="false"/>
          <w:smallCaps w:val="false"/>
          <w:sz w:val="20"/>
        </w:rPr>
        <w:t>$1,000</w:t>
      </w:r>
      <w:r>
        <w:rPr>
          <w:rFonts w:ascii="Times New Roman" w:hAnsi="Times New Roman"/>
          <w:caps w:val="false"/>
          <w:smallCaps w:val="false"/>
          <w:sz w:val="20"/>
        </w:rPr>
        <w:t xml:space="preserve"> principal amount. Following this conversion, the aggregate principal amount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outstanding was approximately $124.9 million as of </w:t>
      </w:r>
      <w:r>
        <w:rPr>
          <w:rStyle w:val="Emphasis"/>
          <w:rFonts w:ascii="Times New Roman" w:hAnsi="Times New Roman"/>
          <w:caps w:val="false"/>
          <w:smallCaps w:val="false"/>
          <w:sz w:val="20"/>
        </w:rPr>
        <w:t>June 30, 2026.</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for the periods indicated (in thousands):</w:t>
      </w:r>
    </w:p>
    <w:p>
      <w:pPr>
        <w:pStyle w:val="TextBody"/>
        <w:bidi w:val="0"/>
        <w:spacing w:before="0" w:after="0"/>
        <w:ind w:left="0" w:right="0" w:firstLine="941"/>
        <w:jc w:val="left"/>
        <w:rPr/>
      </w:pPr>
      <w:r>
        <w:rPr/>
        <w:t>​</w:t>
      </w:r>
    </w:p>
    <w:tbl>
      <w:tblPr>
        <w:tblW w:w="4904" w:type="dxa"/>
        <w:jc w:val="left"/>
        <w:tblInd w:w="0" w:type="dxa"/>
        <w:tblLayout w:type="fixed"/>
        <w:tblCellMar>
          <w:top w:w="0" w:type="dxa"/>
          <w:left w:w="0" w:type="dxa"/>
          <w:bottom w:w="0" w:type="dxa"/>
          <w:right w:w="0" w:type="dxa"/>
        </w:tblCellMar>
      </w:tblPr>
      <w:tblGrid>
        <w:gridCol w:w="2660"/>
        <w:gridCol w:w="60"/>
        <w:gridCol w:w="125"/>
        <w:gridCol w:w="695"/>
        <w:gridCol w:w="80"/>
        <w:gridCol w:w="60"/>
        <w:gridCol w:w="173"/>
        <w:gridCol w:w="971"/>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carrying amount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129,142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is 23.0884 shares of Common Stock per </w:t>
      </w:r>
      <w:r>
        <w:rPr>
          <w:rStyle w:val="Emphasis"/>
          <w:rFonts w:ascii="Times New Roman" w:hAnsi="Times New Roman"/>
          <w:caps w:val="false"/>
          <w:smallCaps w:val="false"/>
          <w:sz w:val="20"/>
        </w:rPr>
        <w:t>$1,000</w:t>
      </w:r>
      <w:r>
        <w:rPr>
          <w:rFonts w:ascii="Times New Roman" w:hAnsi="Times New Roman"/>
          <w:caps w:val="false"/>
          <w:smallCaps w:val="false"/>
          <w:sz w:val="20"/>
        </w:rPr>
        <w:t>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(which is equivalent to a conversion price of approximately $43.31 per share of Common Stock, representing a premium of approximately 27.50% over the last reported sale price of the Common Stock 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of $33.97 per share), subject to adjustment. Before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January 15, 2027 </w:t>
      </w:r>
      <w:r>
        <w:rPr>
          <w:rFonts w:ascii="Times New Roman" w:hAnsi="Times New Roman"/>
          <w:caps w:val="false"/>
          <w:smallCaps w:val="false"/>
          <w:sz w:val="20"/>
        </w:rPr>
        <w:t xml:space="preserve">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but only if the last reported sale price per share of the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xml:space="preserve">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to be redeemed, plus accrued and unpaid interest, if any, to, but excluding, the redemption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Calling any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for redemption will constitute a "Make-Whole Fundamental Change" (as defined in the Indenture) with respect to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in which case the conversion rate applicable to the conversion of that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unless the Company has previously elected to redeem all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each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2030</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the date the Company’s sends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subject to customary events of default.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do </w:t>
      </w:r>
      <w:r>
        <w:rPr>
          <w:rStyle w:val="Emphasis"/>
          <w:rFonts w:ascii="Times New Roman" w:hAnsi="Times New Roman"/>
          <w:caps w:val="false"/>
          <w:smallCaps w:val="false"/>
          <w:sz w:val="20"/>
        </w:rPr>
        <w:t>not</w:t>
      </w:r>
      <w:r>
        <w:rPr>
          <w:rFonts w:ascii="Times New Roman" w:hAnsi="Times New Roman"/>
          <w:caps w:val="false"/>
          <w:smallCaps w:val="false"/>
          <w:sz w:val="20"/>
        </w:rPr>
        <w:t> restrict the Company’s ability to incur debt or liens.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60" w:right="0" w:firstLine="540"/>
        <w:jc w:val="left"/>
        <w:rPr/>
      </w:pPr>
      <w:r>
        <w:rPr/>
        <w:t> </w:t>
      </w:r>
    </w:p>
    <w:p>
      <w:pPr>
        <w:pStyle w:val="TextBody"/>
        <w:bidi w:val="0"/>
        <w:spacing w:before="0" w:after="0"/>
        <w:ind w:left="0" w:right="0" w:firstLine="72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2026</w:t>
      </w:r>
      <w:r>
        <w:rPr>
          <w:rFonts w:ascii="Times New Roman" w:hAnsi="Times New Roman"/>
          <w:color w:val="000000"/>
          <w:sz w:val="20"/>
        </w:rPr>
        <w:t xml:space="preserve"> Notes and </w:t>
      </w:r>
      <w:r>
        <w:rPr>
          <w:rStyle w:val="Emphasis"/>
          <w:rFonts w:ascii="Times New Roman" w:hAnsi="Times New Roman"/>
          <w:color w:val="000000"/>
          <w:sz w:val="20"/>
        </w:rPr>
        <w:t>2030</w:t>
      </w:r>
      <w:r>
        <w:rPr>
          <w:rFonts w:ascii="Times New Roman" w:hAnsi="Times New Roman"/>
          <w:color w:val="000000"/>
          <w:sz w:val="20"/>
        </w:rPr>
        <w:t> Notes (in thousands):</w:t>
      </w:r>
    </w:p>
    <w:p>
      <w:pPr>
        <w:pStyle w:val="TextBody"/>
        <w:bidi w:val="0"/>
        <w:spacing w:before="0" w:after="0"/>
        <w:ind w:left="0" w:right="0" w:firstLine="720"/>
        <w:jc w:val="left"/>
        <w:rPr/>
      </w:pPr>
      <w:r>
        <w:rPr/>
        <w:t> </w:t>
      </w:r>
    </w:p>
    <w:tbl>
      <w:tblPr>
        <w:tblW w:w="8045" w:type="dxa"/>
        <w:jc w:val="left"/>
        <w:tblInd w:w="0" w:type="dxa"/>
        <w:tblLayout w:type="fixed"/>
        <w:tblCellMar>
          <w:top w:w="0" w:type="dxa"/>
          <w:left w:w="0" w:type="dxa"/>
          <w:bottom w:w="0" w:type="dxa"/>
          <w:right w:w="0" w:type="dxa"/>
        </w:tblCellMar>
      </w:tblPr>
      <w:tblGrid>
        <w:gridCol w:w="2900"/>
        <w:gridCol w:w="60"/>
        <w:gridCol w:w="261"/>
        <w:gridCol w:w="700"/>
        <w:gridCol w:w="386"/>
        <w:gridCol w:w="125"/>
        <w:gridCol w:w="261"/>
        <w:gridCol w:w="700"/>
        <w:gridCol w:w="185"/>
        <w:gridCol w:w="60"/>
        <w:gridCol w:w="211"/>
        <w:gridCol w:w="820"/>
        <w:gridCol w:w="313"/>
        <w:gridCol w:w="101"/>
        <w:gridCol w:w="211"/>
        <w:gridCol w:w="566"/>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8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1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sz w:val="20"/>
              </w:rPr>
            </w:pPr>
            <w:r>
              <w:rPr>
                <w:sz w:val="20"/>
              </w:rPr>
              <w:t>$</w:t>
            </w:r>
          </w:p>
        </w:tc>
        <w:tc>
          <w:tcPr>
            <w:tcW w:w="700" w:type="dxa"/>
            <w:tcBorders/>
            <w:shd w:fill="CCEEFF" w:val="clear"/>
            <w:vAlign w:val="center"/>
          </w:tcPr>
          <w:p>
            <w:pPr>
              <w:pStyle w:val="TableContents"/>
              <w:bidi w:val="0"/>
              <w:spacing w:before="0" w:after="283"/>
              <w:ind w:left="0" w:right="0" w:hanging="0"/>
              <w:jc w:val="right"/>
              <w:rPr>
                <w:sz w:val="20"/>
              </w:rPr>
            </w:pPr>
            <w:r>
              <w:rPr>
                <w:sz w:val="20"/>
              </w:rPr>
              <w:t>344</w:t>
            </w:r>
          </w:p>
        </w:tc>
        <w:tc>
          <w:tcPr>
            <w:tcW w:w="38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sz w:val="20"/>
              </w:rPr>
            </w:pPr>
            <w:r>
              <w:rPr>
                <w:sz w:val="20"/>
              </w:rPr>
              <w:t>$</w:t>
            </w:r>
          </w:p>
        </w:tc>
        <w:tc>
          <w:tcPr>
            <w:tcW w:w="700" w:type="dxa"/>
            <w:tcBorders/>
            <w:shd w:fill="CCEEFF" w:val="clear"/>
            <w:vAlign w:val="center"/>
          </w:tcPr>
          <w:p>
            <w:pPr>
              <w:pStyle w:val="TableContents"/>
              <w:bidi w:val="0"/>
              <w:spacing w:before="0" w:after="283"/>
              <w:ind w:left="0" w:right="0" w:hanging="0"/>
              <w:jc w:val="right"/>
              <w:rPr>
                <w:sz w:val="20"/>
              </w:rPr>
            </w:pPr>
            <w:r>
              <w:rPr>
                <w:sz w:val="20"/>
              </w:rPr>
              <w:t>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820" w:type="dxa"/>
            <w:tcBorders/>
            <w:shd w:fill="CCEEFF" w:val="clear"/>
            <w:vAlign w:val="center"/>
          </w:tcPr>
          <w:p>
            <w:pPr>
              <w:pStyle w:val="TableContents"/>
              <w:bidi w:val="0"/>
              <w:spacing w:before="0" w:after="283"/>
              <w:ind w:left="0" w:right="0" w:hanging="0"/>
              <w:jc w:val="right"/>
              <w:rPr>
                <w:sz w:val="20"/>
              </w:rPr>
            </w:pPr>
            <w:r>
              <w:rPr>
                <w:sz w:val="20"/>
              </w:rPr>
              <w:t>691</w:t>
            </w:r>
          </w:p>
        </w:tc>
        <w:tc>
          <w:tcPr>
            <w:tcW w:w="31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sz w:val="20"/>
              </w:rPr>
            </w:pPr>
            <w:r>
              <w:rPr>
                <w:sz w:val="20"/>
              </w:rPr>
              <w:t>$</w:t>
            </w:r>
          </w:p>
        </w:tc>
        <w:tc>
          <w:tcPr>
            <w:tcW w:w="566" w:type="dxa"/>
            <w:tcBorders/>
            <w:shd w:fill="CCEEFF" w:val="clear"/>
            <w:vAlign w:val="center"/>
          </w:tcPr>
          <w:p>
            <w:pPr>
              <w:pStyle w:val="TableContents"/>
              <w:bidi w:val="0"/>
              <w:spacing w:before="0" w:after="283"/>
              <w:ind w:left="0" w:right="0" w:hanging="0"/>
              <w:jc w:val="right"/>
              <w:rPr>
                <w:sz w:val="20"/>
              </w:rPr>
            </w:pPr>
            <w:r>
              <w:rPr>
                <w:sz w:val="20"/>
              </w:rPr>
              <w:t>92</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220</w:t>
            </w:r>
          </w:p>
        </w:tc>
        <w:tc>
          <w:tcPr>
            <w:tcW w:w="38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436</w:t>
            </w:r>
          </w:p>
        </w:tc>
        <w:tc>
          <w:tcPr>
            <w:tcW w:w="31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701</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564</w:t>
            </w:r>
          </w:p>
        </w:tc>
        <w:tc>
          <w:tcPr>
            <w:tcW w:w="38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1,127</w:t>
            </w:r>
          </w:p>
        </w:tc>
        <w:tc>
          <w:tcPr>
            <w:tcW w:w="31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793</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sz w:val="20"/>
              </w:rPr>
            </w:pPr>
            <w:r>
              <w:rPr>
                <w:sz w:val="20"/>
              </w:rPr>
              <w:t>1.0</w:t>
            </w:r>
          </w:p>
        </w:tc>
        <w:tc>
          <w:tcPr>
            <w:tcW w:w="386" w:type="dxa"/>
            <w:tcBorders/>
            <w:shd w:fill="FFFFFF" w:val="clear"/>
            <w:vAlign w:val="center"/>
          </w:tcPr>
          <w:p>
            <w:pPr>
              <w:pStyle w:val="TableContents"/>
              <w:bidi w:val="0"/>
              <w:spacing w:before="0" w:after="283"/>
              <w:jc w:val="left"/>
              <w:rPr>
                <w:sz w:val="20"/>
              </w:rPr>
            </w:pPr>
            <w:r>
              <w:rPr>
                <w:sz w:val="20"/>
              </w:rPr>
              <w:t>%</w:t>
            </w:r>
          </w:p>
        </w:tc>
        <w:tc>
          <w:tcPr>
            <w:tcW w:w="125"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sz w:val="20"/>
              </w:rPr>
            </w:pPr>
            <w:r>
              <w:rPr>
                <w:sz w:val="20"/>
              </w:rPr>
              <w:t>1.0</w:t>
            </w:r>
          </w:p>
        </w:tc>
        <w:tc>
          <w:tcPr>
            <w:tcW w:w="313" w:type="dxa"/>
            <w:tcBorders/>
            <w:shd w:fill="FFFFFF" w:val="clear"/>
            <w:vAlign w:val="center"/>
          </w:tcPr>
          <w:p>
            <w:pPr>
              <w:pStyle w:val="TableContents"/>
              <w:bidi w:val="0"/>
              <w:spacing w:before="0" w:after="283"/>
              <w:jc w:val="left"/>
              <w:rPr>
                <w:sz w:val="20"/>
              </w:rPr>
            </w:pPr>
            <w:r>
              <w:rPr>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sz w:val="20"/>
              </w:rPr>
            </w:pPr>
            <w:r>
              <w:rPr>
                <w:sz w:val="20"/>
              </w:rPr>
              <w:t>1.0</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058" w:type="dxa"/>
        <w:jc w:val="left"/>
        <w:tblInd w:w="0" w:type="dxa"/>
        <w:tblLayout w:type="fixed"/>
        <w:tblCellMar>
          <w:top w:w="0" w:type="dxa"/>
          <w:left w:w="0" w:type="dxa"/>
          <w:bottom w:w="0" w:type="dxa"/>
          <w:right w:w="0" w:type="dxa"/>
        </w:tblCellMar>
      </w:tblPr>
      <w:tblGrid>
        <w:gridCol w:w="3020"/>
        <w:gridCol w:w="60"/>
        <w:gridCol w:w="208"/>
        <w:gridCol w:w="981"/>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capital expenditure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firstLine="720"/>
        <w:jc w:val="left"/>
        <w:rPr/>
      </w:pPr>
      <w:r>
        <w:rPr/>
        <w:t> </w:t>
      </w:r>
    </w:p>
    <w:tbl>
      <w:tblPr>
        <w:tblW w:w="7743" w:type="dxa"/>
        <w:jc w:val="left"/>
        <w:tblInd w:w="0" w:type="dxa"/>
        <w:tblLayout w:type="fixed"/>
        <w:tblCellMar>
          <w:top w:w="0" w:type="dxa"/>
          <w:left w:w="0" w:type="dxa"/>
          <w:bottom w:w="0" w:type="dxa"/>
          <w:right w:w="0" w:type="dxa"/>
        </w:tblCellMar>
      </w:tblPr>
      <w:tblGrid>
        <w:gridCol w:w="2810"/>
        <w:gridCol w:w="60"/>
        <w:gridCol w:w="239"/>
        <w:gridCol w:w="757"/>
        <w:gridCol w:w="153"/>
        <w:gridCol w:w="115"/>
        <w:gridCol w:w="239"/>
        <w:gridCol w:w="929"/>
        <w:gridCol w:w="80"/>
        <w:gridCol w:w="60"/>
        <w:gridCol w:w="195"/>
        <w:gridCol w:w="853"/>
        <w:gridCol w:w="125"/>
        <w:gridCol w:w="94"/>
        <w:gridCol w:w="195"/>
        <w:gridCol w:w="759"/>
        <w:gridCol w:w="8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9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9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6,354</w:t>
            </w:r>
          </w:p>
        </w:tc>
        <w:tc>
          <w:tcPr>
            <w:tcW w:w="8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5845" w:type="dxa"/>
        <w:jc w:val="left"/>
        <w:tblInd w:w="0" w:type="dxa"/>
        <w:tblLayout w:type="fixed"/>
        <w:tblCellMar>
          <w:top w:w="0" w:type="dxa"/>
          <w:left w:w="0" w:type="dxa"/>
          <w:bottom w:w="0" w:type="dxa"/>
          <w:right w:w="0" w:type="dxa"/>
        </w:tblCellMar>
      </w:tblPr>
      <w:tblGrid>
        <w:gridCol w:w="60"/>
        <w:gridCol w:w="170"/>
        <w:gridCol w:w="5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615" w:type="dxa"/>
            <w:tcBorders/>
            <w:vAlign w:val="center"/>
          </w:tcPr>
          <w:p>
            <w:pPr>
              <w:pStyle w:val="TableContents"/>
              <w:bidi w:val="0"/>
              <w:spacing w:before="0" w:after="0"/>
              <w:ind w:left="0" w:right="0" w:hanging="0"/>
              <w:jc w:val="left"/>
              <w:rPr/>
            </w:pPr>
            <w:r>
              <w:rPr>
                <w:rFonts w:ascii="Times New Roman" w:hAnsi="Times New Roman"/>
                <w:sz w:val="20"/>
              </w:rPr>
              <w:t xml:space="preserve">the Amended and Restated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2026</w:t>
            </w:r>
            <w:r>
              <w:rPr>
                <w:rFonts w:ascii="Times New Roman" w:hAnsi="Times New Roman"/>
                <w:sz w:val="20"/>
              </w:rPr>
              <w:t xml:space="preserve"> Equity Incentive Plan (</w:t>
            </w:r>
            <w:r>
              <w:rPr>
                <w:rStyle w:val="Emphasis"/>
                <w:rFonts w:ascii="Times New Roman" w:hAnsi="Times New Roman"/>
                <w:sz w:val="20"/>
              </w:rPr>
              <w:t>"2026</w:t>
            </w:r>
            <w:r>
              <w:rPr>
                <w:rFonts w:ascii="Times New Roman" w:hAnsi="Times New Roman"/>
                <w:sz w:val="20"/>
              </w:rPr>
              <w:t xml:space="preserve">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Performance Based Incentive Plan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w:t>
      </w:r>
      <w:r>
        <w:rPr>
          <w:rStyle w:val="Emphasis"/>
          <w:rFonts w:ascii="Times New Roman" w:hAnsi="Times New Roman"/>
          <w:sz w:val="20"/>
        </w:rPr>
        <w:t>2021</w:t>
      </w:r>
      <w:r>
        <w:rPr>
          <w:rFonts w:ascii="Times New Roman" w:hAnsi="Times New Roman"/>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of $2.1 million and $1.2 million, respectively. </w:t>
      </w:r>
      <w:r>
        <w:rPr>
          <w:rFonts w:ascii="Times New Roman" w:hAnsi="Times New Roman"/>
          <w:sz w:val="20"/>
          <w:shd w:fill="FFFFFF" w:val="clear"/>
        </w:rPr>
        <w:t xml:space="preserve">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 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of $3.9 million and $2.1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following is a summary of PSU activity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June 30, 2026:</w:t>
      </w:r>
    </w:p>
    <w:p>
      <w:pPr>
        <w:pStyle w:val="TextBody"/>
        <w:bidi w:val="0"/>
        <w:spacing w:before="0" w:after="0"/>
        <w:ind w:left="160" w:right="0" w:firstLine="540"/>
        <w:jc w:val="left"/>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2555"/>
        <w:gridCol w:w="60"/>
        <w:gridCol w:w="91"/>
        <w:gridCol w:w="840"/>
        <w:gridCol w:w="83"/>
        <w:gridCol w:w="62"/>
        <w:gridCol w:w="225"/>
        <w:gridCol w:w="1067"/>
        <w:gridCol w:w="62"/>
        <w:gridCol w:w="62"/>
        <w:gridCol w:w="200"/>
        <w:gridCol w:w="778"/>
        <w:gridCol w:w="62"/>
        <w:gridCol w:w="62"/>
        <w:gridCol w:w="141"/>
        <w:gridCol w:w="791"/>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rStyle w:val="Emphasis"/>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right"/>
              <w:rPr/>
            </w:pPr>
            <w:r>
              <w:rPr/>
              <w:t> </w:t>
            </w:r>
          </w:p>
        </w:tc>
        <w:tc>
          <w:tcPr>
            <w:tcW w:w="1292"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Weighted</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283"/>
              <w:jc w:val="left"/>
              <w:rPr/>
            </w:pPr>
            <w:r>
              <w:rPr>
                <w:rStyle w:val="Emphasis"/>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Vesting</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 and Contractual Life)</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3"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ind w:left="0" w:right="0" w:hanging="0"/>
              <w:jc w:val="right"/>
              <w:rPr/>
            </w:pPr>
            <w:r>
              <w:rPr/>
              <w:t> </w:t>
            </w:r>
          </w:p>
        </w:tc>
        <w:tc>
          <w:tcPr>
            <w:tcW w:w="1067"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41,442</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3"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ind w:left="0" w:right="0" w:hanging="0"/>
              <w:jc w:val="right"/>
              <w:rPr/>
            </w:pPr>
            <w:r>
              <w:rPr/>
              <w:t> </w:t>
            </w:r>
          </w:p>
        </w:tc>
        <w:tc>
          <w:tcPr>
            <w:tcW w:w="1067"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134,219</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278,493</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ind w:left="0" w:right="0" w:hanging="0"/>
              <w:jc w:val="right"/>
              <w:rPr/>
            </w:pPr>
            <w:r>
              <w:rPr/>
              <w:t> </w:t>
            </w:r>
          </w:p>
        </w:tc>
        <w:tc>
          <w:tcPr>
            <w:tcW w:w="1067"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June 30, 2026</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3"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ind w:left="0" w:right="0" w:hanging="0"/>
              <w:jc w:val="right"/>
              <w:rPr/>
            </w:pPr>
            <w:r>
              <w:rPr/>
              <w:t> </w:t>
            </w:r>
          </w:p>
        </w:tc>
        <w:tc>
          <w:tcPr>
            <w:tcW w:w="1067"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87,779</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to vest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3"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ind w:left="0" w:right="0" w:hanging="0"/>
              <w:jc w:val="right"/>
              <w:rPr/>
            </w:pPr>
            <w:r>
              <w:rPr/>
              <w:t> </w:t>
            </w:r>
          </w:p>
        </w:tc>
        <w:tc>
          <w:tcPr>
            <w:tcW w:w="1067"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2026</w:t>
      </w:r>
      <w:r>
        <w:rPr>
          <w:rFonts w:ascii="Times New Roman" w:hAnsi="Times New Roman"/>
          <w:sz w:val="20"/>
        </w:rPr>
        <w:t>, there was $16.8 million of unrecognized stock-based compensation expense related to outstanding PSUs, which expense is expected to be recognized over 2.4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Restricted stock units are issued to employees through a vesting plan and distribution schedule after employee remains with the Company for a particular length of time. 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6852" w:type="dxa"/>
        <w:jc w:val="left"/>
        <w:tblInd w:w="0" w:type="dxa"/>
        <w:tblLayout w:type="fixed"/>
        <w:tblCellMar>
          <w:top w:w="0" w:type="dxa"/>
          <w:left w:w="0" w:type="dxa"/>
          <w:bottom w:w="0" w:type="dxa"/>
          <w:right w:w="0" w:type="dxa"/>
        </w:tblCellMar>
      </w:tblPr>
      <w:tblGrid>
        <w:gridCol w:w="2405"/>
        <w:gridCol w:w="60"/>
        <w:gridCol w:w="96"/>
        <w:gridCol w:w="793"/>
        <w:gridCol w:w="80"/>
        <w:gridCol w:w="60"/>
        <w:gridCol w:w="253"/>
        <w:gridCol w:w="981"/>
        <w:gridCol w:w="60"/>
        <w:gridCol w:w="60"/>
        <w:gridCol w:w="191"/>
        <w:gridCol w:w="743"/>
        <w:gridCol w:w="60"/>
        <w:gridCol w:w="60"/>
        <w:gridCol w:w="135"/>
        <w:gridCol w:w="755"/>
        <w:gridCol w:w="6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Vesting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50,964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19,812</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49,767</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195,223</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195,223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June 30, 2026</w:t>
      </w:r>
      <w:r>
        <w:rPr>
          <w:rFonts w:ascii="Times New Roman" w:hAnsi="Times New Roman"/>
          <w:sz w:val="20"/>
        </w:rPr>
        <w:t>, there was</w:t>
      </w:r>
      <w:r>
        <w:rPr>
          <w:rFonts w:ascii="Times New Roman" w:hAnsi="Times New Roman"/>
          <w:sz w:val="20"/>
          <w:shd w:fill="FFFFFF" w:val="clear"/>
        </w:rPr>
        <w:t xml:space="preserve"> $24.7 million</w:t>
      </w:r>
      <w:r>
        <w:rPr>
          <w:rFonts w:ascii="Times New Roman" w:hAnsi="Times New Roman"/>
          <w:sz w:val="20"/>
        </w:rPr>
        <w:t xml:space="preserve"> of unrecognized compensation expense related to these RSUs. This expense is expected to be recognized over 3.0</w:t>
      </w:r>
      <w:r>
        <w:rPr>
          <w:rFonts w:ascii="Times New Roman" w:hAnsi="Times New Roman"/>
          <w:sz w:val="20"/>
          <w:shd w:fill="FFFFFF" w:val="clear"/>
        </w:rPr>
        <w:t>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firstLine="720"/>
        <w:jc w:val="left"/>
        <w:rPr/>
      </w:pPr>
      <w:r>
        <w:rPr/>
        <w:t> </w:t>
      </w:r>
    </w:p>
    <w:tbl>
      <w:tblPr>
        <w:tblW w:w="7119" w:type="dxa"/>
        <w:jc w:val="left"/>
        <w:tblInd w:w="0" w:type="dxa"/>
        <w:tblLayout w:type="fixed"/>
        <w:tblCellMar>
          <w:top w:w="0" w:type="dxa"/>
          <w:left w:w="0" w:type="dxa"/>
          <w:bottom w:w="0" w:type="dxa"/>
          <w:right w:w="0" w:type="dxa"/>
        </w:tblCellMar>
      </w:tblPr>
      <w:tblGrid>
        <w:gridCol w:w="3725"/>
        <w:gridCol w:w="60"/>
        <w:gridCol w:w="157"/>
        <w:gridCol w:w="609"/>
        <w:gridCol w:w="75"/>
        <w:gridCol w:w="75"/>
        <w:gridCol w:w="157"/>
        <w:gridCol w:w="609"/>
        <w:gridCol w:w="60"/>
        <w:gridCol w:w="60"/>
        <w:gridCol w:w="137"/>
        <w:gridCol w:w="533"/>
        <w:gridCol w:w="66"/>
        <w:gridCol w:w="66"/>
        <w:gridCol w:w="137"/>
        <w:gridCol w:w="533"/>
        <w:gridCol w:w="60"/>
      </w:tblGrid>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types</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607</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3,759</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7,091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4,120</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Income Taxes</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 Company recorded an income tax expense of $1.3 million, compared with no income tax expense or benefit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 Company recorded an income tax expense of $2.3 million, compared with no income tax expense or benefit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The income tax expense for the current period was primarily attributable to income in China, as well as the impact of valuation allowances and discrete items.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the effective tax rates were (6.0)% and 0.0%, respectively. For the </w:t>
      </w:r>
      <w:r>
        <w:rPr>
          <w:rStyle w:val="Emphasis"/>
          <w:rFonts w:ascii="Times New Roman;Times;serif" w:hAnsi="Times New Roman;Times;serif"/>
          <w:sz w:val="20"/>
        </w:rPr>
        <w:t>six</w:t>
      </w:r>
      <w:r>
        <w:rPr>
          <w:rFonts w:ascii="Times New Roman;Times;serif" w:hAnsi="Times New Roman;Times;serif"/>
          <w:sz w:val="20"/>
        </w:rPr>
        <w:t>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the effective tax rates were (6.7)% and 0.0%, respectively. The effective tax rate differed from the U.S. federal statutory rate of 21% primarily due to the impact of valuation allowances recorded against deferred tax assets ("DTA") in the United States and Taiwan, and the China R&amp;D Super Deduction.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assesses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Times;serif" w:hAnsi="Times New Roman;Times;serif"/>
          <w:sz w:val="20"/>
        </w:rPr>
        <w:t>not”</w:t>
      </w:r>
      <w:r>
        <w:rPr>
          <w:rFonts w:ascii="Times New Roman;Times;serif" w:hAnsi="Times New Roman;Times;serif"/>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US and Taiwan net deferred tax assets remains appropriate as of </w:t>
      </w:r>
      <w:r>
        <w:rPr>
          <w:rStyle w:val="Emphasis"/>
          <w:rFonts w:ascii="Times New Roman;Times;serif" w:hAnsi="Times New Roman;Times;serif"/>
          <w:sz w:val="20"/>
        </w:rPr>
        <w:t xml:space="preserve">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caps w:val="false"/>
          <w:smallCaps w:val="false"/>
          <w:sz w:val="20"/>
        </w:rPr>
        <w:t>The Company expects any earnings of foreign subsidiaries to be indefinitely invested outside the United States. As of </w:t>
      </w:r>
      <w:r>
        <w:rPr>
          <w:rStyle w:val="Emphasis"/>
          <w:rFonts w:ascii="Times New Roman;Times;serif" w:hAnsi="Times New Roman;Times;serif"/>
          <w:caps w:val="false"/>
          <w:smallCaps w:val="false"/>
          <w:sz w:val="20"/>
        </w:rPr>
        <w:t xml:space="preserve"> December 31, 2025, </w:t>
      </w:r>
      <w:r>
        <w:rPr>
          <w:rFonts w:ascii="Times New Roman;Times;serif" w:hAnsi="Times New Roman;Times;serif"/>
          <w:caps w:val="false"/>
          <w:smallCaps w:val="false"/>
          <w:sz w:val="20"/>
        </w:rPr>
        <w:t>however, the Company does not have any accumulated undistributed earnings generated by foreign subsidiaries and has estimated that its tax basis in foreign subsidiaries exceeds its book basis. The Company has concluded that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deferred tax asset (DTA) should be recorded because at the present time it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expect that the temporary book-tax basis difference that would create this DTA will reverse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Recent Tax Legislation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continues to evaluate the provisions of the One Big Beautiful Bill Act ("OBBBA"), which was enacted 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Consistent with its prior assessment,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provisions related to domestic research and development expenditures, bonus depreciation, business interest expense limitations, or clean energy tax credits to have a material impact on its income tax provision or effective tax rate.</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xml:space="preserve"> Segment and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have individual financial or operating goals for each location, nor for any other subset of the Company's operations. As such, the Company has determined it operates as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CODM uses net income or loss to allocate resources and assess performance. The CODM regularly reviews the consolidated net income or loss to make strategic decisions, such as capital expenditure plan, production plan and manpower allocation. The following table is in thousands.</w:t>
      </w:r>
    </w:p>
    <w:p>
      <w:pPr>
        <w:pStyle w:val="TextBody"/>
        <w:bidi w:val="0"/>
        <w:spacing w:before="0" w:after="0"/>
        <w:ind w:left="0" w:right="0" w:firstLine="720"/>
        <w:jc w:val="left"/>
        <w:rPr>
          <w:caps w:val="false"/>
          <w:smallCaps w:val="false"/>
        </w:rPr>
      </w:pPr>
      <w:r>
        <w:rPr>
          <w:caps w:val="false"/>
          <w:smallCaps w:val="false"/>
        </w:rPr>
        <w:t> </w:t>
      </w:r>
    </w:p>
    <w:tbl>
      <w:tblPr>
        <w:tblW w:w="7895" w:type="dxa"/>
        <w:jc w:val="left"/>
        <w:tblInd w:w="0" w:type="dxa"/>
        <w:tblLayout w:type="fixed"/>
        <w:tblCellMar>
          <w:top w:w="0" w:type="dxa"/>
          <w:left w:w="0" w:type="dxa"/>
          <w:bottom w:w="0" w:type="dxa"/>
          <w:right w:w="0" w:type="dxa"/>
        </w:tblCellMar>
      </w:tblPr>
      <w:tblGrid>
        <w:gridCol w:w="2960"/>
        <w:gridCol w:w="60"/>
        <w:gridCol w:w="165"/>
        <w:gridCol w:w="999"/>
        <w:gridCol w:w="105"/>
        <w:gridCol w:w="79"/>
        <w:gridCol w:w="165"/>
        <w:gridCol w:w="919"/>
        <w:gridCol w:w="80"/>
        <w:gridCol w:w="60"/>
        <w:gridCol w:w="146"/>
        <w:gridCol w:w="884"/>
        <w:gridCol w:w="93"/>
        <w:gridCol w:w="70"/>
        <w:gridCol w:w="146"/>
        <w:gridCol w:w="884"/>
        <w:gridCol w:w="8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999" w:type="dxa"/>
            <w:tcBorders/>
            <w:shd w:fill="CCEEFF" w:val="clear"/>
            <w:vAlign w:val="center"/>
          </w:tcPr>
          <w:p>
            <w:pPr>
              <w:pStyle w:val="TableContents"/>
              <w:bidi w:val="0"/>
              <w:spacing w:before="0" w:after="283"/>
              <w:ind w:left="0" w:right="0" w:hanging="0"/>
              <w:jc w:val="right"/>
              <w:rPr>
                <w:sz w:val="20"/>
              </w:rPr>
            </w:pPr>
            <w:r>
              <w:rPr>
                <w:sz w:val="20"/>
              </w:rPr>
              <w:t>191,922</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sz w:val="20"/>
              </w:rPr>
            </w:pPr>
            <w:r>
              <w:rPr>
                <w:sz w:val="20"/>
              </w:rPr>
              <w:t>$</w:t>
            </w:r>
          </w:p>
        </w:tc>
        <w:tc>
          <w:tcPr>
            <w:tcW w:w="919" w:type="dxa"/>
            <w:tcBorders/>
            <w:shd w:fill="CCEEFF" w:val="clear"/>
            <w:vAlign w:val="center"/>
          </w:tcPr>
          <w:p>
            <w:pPr>
              <w:pStyle w:val="TableContents"/>
              <w:bidi w:val="0"/>
              <w:spacing w:before="0" w:after="283"/>
              <w:ind w:left="0" w:right="0" w:hanging="0"/>
              <w:jc w:val="right"/>
              <w:rPr>
                <w:sz w:val="20"/>
              </w:rPr>
            </w:pPr>
            <w:r>
              <w:rPr>
                <w:sz w:val="20"/>
              </w:rPr>
              <w:t>102,952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884" w:type="dxa"/>
            <w:tcBorders/>
            <w:shd w:fill="CCEEFF" w:val="clear"/>
            <w:vAlign w:val="center"/>
          </w:tcPr>
          <w:p>
            <w:pPr>
              <w:pStyle w:val="TableContents"/>
              <w:bidi w:val="0"/>
              <w:spacing w:before="0" w:after="283"/>
              <w:ind w:left="0" w:right="0" w:hanging="0"/>
              <w:jc w:val="right"/>
              <w:rPr>
                <w:sz w:val="20"/>
              </w:rPr>
            </w:pPr>
            <w:r>
              <w:rPr>
                <w:sz w:val="20"/>
              </w:rPr>
              <w:t>343,066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20"/>
              </w:rPr>
            </w:pPr>
            <w:r>
              <w:rPr>
                <w:sz w:val="20"/>
              </w:rPr>
              <w:t>$</w:t>
            </w:r>
          </w:p>
        </w:tc>
        <w:tc>
          <w:tcPr>
            <w:tcW w:w="884" w:type="dxa"/>
            <w:tcBorders/>
            <w:shd w:fill="CCEEFF" w:val="clear"/>
            <w:vAlign w:val="center"/>
          </w:tcPr>
          <w:p>
            <w:pPr>
              <w:pStyle w:val="TableContents"/>
              <w:bidi w:val="0"/>
              <w:spacing w:before="0" w:after="283"/>
              <w:ind w:left="0" w:right="0" w:hanging="0"/>
              <w:jc w:val="right"/>
              <w:rPr>
                <w:sz w:val="20"/>
              </w:rPr>
            </w:pPr>
            <w:r>
              <w:rPr>
                <w:sz w:val="20"/>
              </w:rPr>
              <w:t>202,811</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sz w:val="20"/>
              </w:rPr>
            </w:pPr>
            <w:r>
              <w:rPr>
                <w:sz w:val="20"/>
              </w:rPr>
              <w:t>(138,715</w:t>
            </w:r>
          </w:p>
        </w:tc>
        <w:tc>
          <w:tcPr>
            <w:tcW w:w="105"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(71,790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sz w:val="20"/>
              </w:rPr>
            </w:pPr>
            <w:r>
              <w:rPr>
                <w:sz w:val="20"/>
              </w:rPr>
              <w:t>(245,943</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sz w:val="20"/>
              </w:rPr>
            </w:pPr>
            <w:r>
              <w:rPr>
                <w:sz w:val="20"/>
              </w:rPr>
              <w:t>(141,105</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research and development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sz w:val="20"/>
              </w:rPr>
            </w:pPr>
            <w:r>
              <w:rPr>
                <w:sz w:val="20"/>
              </w:rPr>
              <w:t>(34,039</w:t>
            </w:r>
          </w:p>
        </w:tc>
        <w:tc>
          <w:tcPr>
            <w:tcW w:w="105"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(20,425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(59,243</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(37,960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sales and marketing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99" w:type="dxa"/>
            <w:tcBorders/>
            <w:shd w:fill="FFFFFF" w:val="clear"/>
            <w:vAlign w:val="center"/>
          </w:tcPr>
          <w:p>
            <w:pPr>
              <w:pStyle w:val="TableContents"/>
              <w:bidi w:val="0"/>
              <w:spacing w:before="0" w:after="283"/>
              <w:ind w:left="0" w:right="0" w:hanging="0"/>
              <w:jc w:val="right"/>
              <w:rPr>
                <w:sz w:val="20"/>
              </w:rPr>
            </w:pPr>
            <w:r>
              <w:rPr>
                <w:sz w:val="20"/>
              </w:rPr>
              <w:t>(10,602</w:t>
            </w:r>
          </w:p>
        </w:tc>
        <w:tc>
          <w:tcPr>
            <w:tcW w:w="105"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sz w:val="20"/>
              </w:rPr>
            </w:pPr>
            <w:r>
              <w:rPr>
                <w:sz w:val="20"/>
              </w:rPr>
              <w:t>(7,303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sz w:val="20"/>
              </w:rPr>
            </w:pPr>
            <w:r>
              <w:rPr>
                <w:sz w:val="20"/>
              </w:rPr>
              <w:t>(16,498</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sz w:val="20"/>
              </w:rPr>
            </w:pPr>
            <w:r>
              <w:rPr>
                <w:sz w:val="20"/>
              </w:rPr>
              <w:t>(12,337</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99" w:type="dxa"/>
            <w:tcBorders/>
            <w:shd w:fill="CCEEFF" w:val="clear"/>
            <w:vAlign w:val="center"/>
          </w:tcPr>
          <w:p>
            <w:pPr>
              <w:pStyle w:val="TableContents"/>
              <w:bidi w:val="0"/>
              <w:spacing w:before="0" w:after="283"/>
              <w:ind w:left="0" w:right="0" w:hanging="0"/>
              <w:jc w:val="right"/>
              <w:rPr>
                <w:sz w:val="20"/>
              </w:rPr>
            </w:pPr>
            <w:r>
              <w:rPr>
                <w:sz w:val="20"/>
              </w:rPr>
              <w:t>(22,914</w:t>
            </w:r>
          </w:p>
        </w:tc>
        <w:tc>
          <w:tcPr>
            <w:tcW w:w="105"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sz w:val="20"/>
              </w:rPr>
            </w:pPr>
            <w:r>
              <w:rPr>
                <w:sz w:val="20"/>
              </w:rPr>
              <w:t>(14,336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(43,187</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(27,224</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(8,433</w:t>
            </w:r>
          </w:p>
        </w:tc>
        <w:tc>
          <w:tcPr>
            <w:tcW w:w="105" w:type="dxa"/>
            <w:tcBorders/>
            <w:shd w:fill="FFFFFF" w:val="clear"/>
            <w:vAlign w:val="center"/>
          </w:tcPr>
          <w:p>
            <w:pPr>
              <w:pStyle w:val="TableContents"/>
              <w:bidi w:val="0"/>
              <w:spacing w:before="0" w:after="283"/>
              <w:jc w:val="left"/>
              <w:rPr>
                <w:sz w:val="20"/>
              </w:rPr>
            </w:pPr>
            <w:r>
              <w:rPr>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(15,257</w:t>
            </w:r>
          </w:p>
        </w:tc>
        <w:tc>
          <w:tcPr>
            <w:tcW w:w="93" w:type="dxa"/>
            <w:tcBorders/>
            <w:shd w:fill="FFFFFF" w:val="clear"/>
            <w:vAlign w:val="center"/>
          </w:tcPr>
          <w:p>
            <w:pPr>
              <w:pStyle w:val="TableContents"/>
              <w:bidi w:val="0"/>
              <w:spacing w:before="0" w:after="283"/>
              <w:jc w:val="left"/>
              <w:rPr>
                <w:sz w:val="20"/>
              </w:rPr>
            </w:pPr>
            <w:r>
              <w:rPr>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(2,455</w:t>
            </w:r>
          </w:p>
        </w:tc>
        <w:tc>
          <w:tcPr>
            <w:tcW w:w="80" w:type="dxa"/>
            <w:tcBorders/>
            <w:shd w:fill="FFFFFF" w:val="clear"/>
            <w:vAlign w:val="center"/>
          </w:tcPr>
          <w:p>
            <w:pPr>
              <w:pStyle w:val="TableContents"/>
              <w:bidi w:val="0"/>
              <w:spacing w:before="0" w:after="283"/>
              <w:jc w:val="left"/>
              <w:rPr>
                <w:sz w:val="20"/>
              </w:rPr>
            </w:pPr>
            <w:r>
              <w:rPr>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(22,781</w:t>
            </w:r>
          </w:p>
        </w:tc>
        <w:tc>
          <w:tcPr>
            <w:tcW w:w="105" w:type="dxa"/>
            <w:tcBorders/>
            <w:shd w:fill="CCEEFF" w:val="clear"/>
            <w:vAlign w:val="center"/>
          </w:tcPr>
          <w:p>
            <w:pPr>
              <w:pStyle w:val="TableContents"/>
              <w:bidi w:val="0"/>
              <w:spacing w:before="0" w:after="283"/>
              <w:jc w:val="left"/>
              <w:rPr>
                <w:sz w:val="20"/>
              </w:rPr>
            </w:pPr>
            <w:r>
              <w:rPr>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(9,098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(37,062</w:t>
            </w:r>
          </w:p>
        </w:tc>
        <w:tc>
          <w:tcPr>
            <w:tcW w:w="93" w:type="dxa"/>
            <w:tcBorders/>
            <w:shd w:fill="CCEEFF" w:val="clear"/>
            <w:vAlign w:val="center"/>
          </w:tcPr>
          <w:p>
            <w:pPr>
              <w:pStyle w:val="TableContents"/>
              <w:bidi w:val="0"/>
              <w:spacing w:before="0" w:after="283"/>
              <w:jc w:val="left"/>
              <w:rPr>
                <w:sz w:val="20"/>
              </w:rPr>
            </w:pPr>
            <w:r>
              <w:rPr>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(18,270</w:t>
            </w:r>
          </w:p>
        </w:tc>
        <w:tc>
          <w:tcPr>
            <w:tcW w:w="8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sz w:val="20"/>
        </w:rPr>
        <w:t xml:space="preserve">We exclude share-based compensation and related expense, certain legal expenses associated with litigation and other </w:t>
      </w:r>
      <w:r>
        <w:rPr>
          <w:rStyle w:val="Emphasis"/>
          <w:rFonts w:ascii="Times New Roman" w:hAnsi="Times New Roman"/>
          <w:sz w:val="20"/>
        </w:rPr>
        <w:t>one</w:t>
      </w:r>
      <w:r>
        <w:rPr>
          <w:rFonts w:ascii="Times New Roman" w:hAnsi="Times New Roman"/>
          <w:sz w:val="20"/>
        </w:rPr>
        <w:t>-time expenses from adjusted research and development, adjusted sales and marketing and adjusted general and administrative expenses.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Other segment items include share-based compensation expense, interest expense, interest income, certain legal expenses associated with litigation and other </w:t>
      </w:r>
      <w:r>
        <w:rPr>
          <w:rStyle w:val="Emphasis"/>
          <w:rFonts w:ascii="Times New Roman" w:hAnsi="Times New Roman"/>
          <w:sz w:val="20"/>
        </w:rPr>
        <w:t>one</w:t>
      </w:r>
      <w:r>
        <w:rPr>
          <w:rFonts w:ascii="Times New Roman" w:hAnsi="Times New Roman"/>
          <w:sz w:val="20"/>
        </w:rPr>
        <w:t>-time items. </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 land use rights, right of use assets and intangible assets (in thousands):</w:t>
      </w:r>
    </w:p>
    <w:p>
      <w:pPr>
        <w:pStyle w:val="TextBody"/>
        <w:bidi w:val="0"/>
        <w:spacing w:before="0" w:after="0"/>
        <w:ind w:left="0" w:right="0" w:firstLine="720"/>
        <w:jc w:val="left"/>
        <w:rPr/>
      </w:pPr>
      <w:r>
        <w:rPr/>
        <w:t> </w:t>
      </w:r>
    </w:p>
    <w:tbl>
      <w:tblPr>
        <w:tblW w:w="6236" w:type="dxa"/>
        <w:jc w:val="left"/>
        <w:tblInd w:w="0" w:type="dxa"/>
        <w:tblLayout w:type="fixed"/>
        <w:tblCellMar>
          <w:top w:w="0" w:type="dxa"/>
          <w:left w:w="0" w:type="dxa"/>
          <w:bottom w:w="0" w:type="dxa"/>
          <w:right w:w="0" w:type="dxa"/>
        </w:tblCellMar>
      </w:tblPr>
      <w:tblGrid>
        <w:gridCol w:w="1280"/>
        <w:gridCol w:w="60"/>
        <w:gridCol w:w="176"/>
        <w:gridCol w:w="979"/>
        <w:gridCol w:w="84"/>
        <w:gridCol w:w="84"/>
        <w:gridCol w:w="176"/>
        <w:gridCol w:w="979"/>
        <w:gridCol w:w="60"/>
        <w:gridCol w:w="60"/>
        <w:gridCol w:w="159"/>
        <w:gridCol w:w="884"/>
        <w:gridCol w:w="76"/>
        <w:gridCol w:w="76"/>
        <w:gridCol w:w="159"/>
        <w:gridCol w:w="884"/>
        <w:gridCol w:w="6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5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15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vAlign w:val="center"/>
          </w:tcPr>
          <w:p>
            <w:pPr>
              <w:pStyle w:val="TableContents"/>
              <w:bidi w:val="0"/>
              <w:spacing w:before="0" w:after="283"/>
              <w:ind w:left="0" w:right="0" w:hanging="0"/>
              <w:jc w:val="left"/>
              <w:rPr/>
            </w:pPr>
            <w:r>
              <w:rPr/>
              <w:t> </w:t>
            </w:r>
          </w:p>
        </w:tc>
        <w:tc>
          <w:tcPr>
            <w:tcW w:w="176" w:type="dxa"/>
            <w:tcBorders/>
            <w:vAlign w:val="center"/>
          </w:tcPr>
          <w:p>
            <w:pPr>
              <w:pStyle w:val="TableContents"/>
              <w:bidi w:val="0"/>
              <w:spacing w:before="0" w:after="283"/>
              <w:ind w:left="0" w:right="0" w:hanging="0"/>
              <w:jc w:val="left"/>
              <w:rPr>
                <w:sz w:val="20"/>
              </w:rPr>
            </w:pPr>
            <w:r>
              <w:rPr>
                <w:sz w:val="20"/>
              </w:rPr>
              <w:t>$</w:t>
            </w:r>
          </w:p>
        </w:tc>
        <w:tc>
          <w:tcPr>
            <w:tcW w:w="979" w:type="dxa"/>
            <w:tcBorders/>
            <w:vAlign w:val="center"/>
          </w:tcPr>
          <w:p>
            <w:pPr>
              <w:pStyle w:val="TableContents"/>
              <w:bidi w:val="0"/>
              <w:spacing w:before="0" w:after="283"/>
              <w:ind w:left="0" w:right="0" w:hanging="0"/>
              <w:jc w:val="right"/>
              <w:rPr>
                <w:sz w:val="20"/>
              </w:rPr>
            </w:pPr>
            <w:r>
              <w:rPr>
                <w:sz w:val="20"/>
              </w:rPr>
              <w:t>1,339</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76" w:type="dxa"/>
            <w:tcBorders/>
            <w:vAlign w:val="center"/>
          </w:tcPr>
          <w:p>
            <w:pPr>
              <w:pStyle w:val="TableContents"/>
              <w:bidi w:val="0"/>
              <w:spacing w:before="0" w:after="283"/>
              <w:ind w:left="0" w:right="0" w:hanging="0"/>
              <w:jc w:val="left"/>
              <w:rPr>
                <w:sz w:val="20"/>
              </w:rPr>
            </w:pPr>
            <w:r>
              <w:rPr>
                <w:sz w:val="20"/>
              </w:rPr>
              <w:t>$</w:t>
            </w:r>
          </w:p>
        </w:tc>
        <w:tc>
          <w:tcPr>
            <w:tcW w:w="979" w:type="dxa"/>
            <w:tcBorders/>
            <w:vAlign w:val="center"/>
          </w:tcPr>
          <w:p>
            <w:pPr>
              <w:pStyle w:val="TableContents"/>
              <w:bidi w:val="0"/>
              <w:spacing w:before="0" w:after="283"/>
              <w:ind w:left="0" w:right="0" w:hanging="0"/>
              <w:jc w:val="right"/>
              <w:rPr>
                <w:sz w:val="20"/>
              </w:rPr>
            </w:pPr>
            <w:r>
              <w:rPr>
                <w:sz w:val="20"/>
              </w:rPr>
              <w:t>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 w:type="dxa"/>
            <w:tcBorders/>
            <w:vAlign w:val="center"/>
          </w:tcPr>
          <w:p>
            <w:pPr>
              <w:pStyle w:val="TableContents"/>
              <w:bidi w:val="0"/>
              <w:spacing w:before="0" w:after="283"/>
              <w:ind w:left="0" w:right="0" w:hanging="0"/>
              <w:jc w:val="left"/>
              <w:rPr>
                <w:sz w:val="20"/>
              </w:rPr>
            </w:pPr>
            <w:r>
              <w:rPr>
                <w:sz w:val="20"/>
              </w:rPr>
              <w:t>$</w:t>
            </w:r>
          </w:p>
        </w:tc>
        <w:tc>
          <w:tcPr>
            <w:tcW w:w="884" w:type="dxa"/>
            <w:tcBorders/>
            <w:vAlign w:val="center"/>
          </w:tcPr>
          <w:p>
            <w:pPr>
              <w:pStyle w:val="TableContents"/>
              <w:bidi w:val="0"/>
              <w:spacing w:before="0" w:after="283"/>
              <w:ind w:left="0" w:right="0" w:hanging="0"/>
              <w:jc w:val="right"/>
              <w:rPr>
                <w:sz w:val="20"/>
              </w:rPr>
            </w:pPr>
            <w:r>
              <w:rPr>
                <w:sz w:val="20"/>
              </w:rPr>
              <w:t>2,216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59" w:type="dxa"/>
            <w:tcBorders/>
            <w:vAlign w:val="center"/>
          </w:tcPr>
          <w:p>
            <w:pPr>
              <w:pStyle w:val="TableContents"/>
              <w:bidi w:val="0"/>
              <w:spacing w:before="0" w:after="283"/>
              <w:ind w:left="0" w:right="0" w:hanging="0"/>
              <w:jc w:val="left"/>
              <w:rPr>
                <w:sz w:val="20"/>
              </w:rPr>
            </w:pPr>
            <w:r>
              <w:rPr>
                <w:sz w:val="20"/>
              </w:rPr>
              <w:t>$</w:t>
            </w:r>
          </w:p>
        </w:tc>
        <w:tc>
          <w:tcPr>
            <w:tcW w:w="884" w:type="dxa"/>
            <w:tcBorders/>
            <w:vAlign w:val="center"/>
          </w:tcPr>
          <w:p>
            <w:pPr>
              <w:pStyle w:val="TableContents"/>
              <w:bidi w:val="0"/>
              <w:spacing w:before="0" w:after="283"/>
              <w:ind w:left="0" w:right="0" w:hanging="0"/>
              <w:jc w:val="right"/>
              <w:rPr>
                <w:sz w:val="20"/>
              </w:rPr>
            </w:pPr>
            <w:r>
              <w:rPr>
                <w:sz w:val="20"/>
              </w:rPr>
              <w:t>1,954</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sz w:val="20"/>
              </w:rPr>
            </w:pPr>
            <w:r>
              <w:rPr>
                <w:sz w:val="20"/>
              </w:rPr>
              <w:t>108,426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sz w:val="20"/>
              </w:rPr>
            </w:pPr>
            <w:r>
              <w:rPr>
                <w:sz w:val="20"/>
              </w:rPr>
              <w:t>39,505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189,364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sz w:val="20"/>
              </w:rPr>
            </w:pPr>
            <w:r>
              <w:rPr>
                <w:sz w:val="20"/>
              </w:rPr>
              <w:t>67,333</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82,157</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62,644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151,486</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sz w:val="20"/>
              </w:rPr>
            </w:pPr>
            <w:r>
              <w:rPr>
                <w:sz w:val="20"/>
              </w:rPr>
              <w:t>133,524</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191,922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343,066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202,811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3709" w:type="dxa"/>
        <w:jc w:val="left"/>
        <w:tblInd w:w="0" w:type="dxa"/>
        <w:tblLayout w:type="fixed"/>
        <w:tblCellMar>
          <w:top w:w="0" w:type="dxa"/>
          <w:left w:w="0" w:type="dxa"/>
          <w:bottom w:w="0" w:type="dxa"/>
          <w:right w:w="0" w:type="dxa"/>
        </w:tblCellMar>
      </w:tblPr>
      <w:tblGrid>
        <w:gridCol w:w="1505"/>
        <w:gridCol w:w="60"/>
        <w:gridCol w:w="125"/>
        <w:gridCol w:w="695"/>
        <w:gridCol w:w="60"/>
        <w:gridCol w:w="60"/>
        <w:gridCol w:w="173"/>
        <w:gridCol w:w="971"/>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123,677</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146,673</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162,322</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432,672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Commitments and Contingencies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 xml:space="preserve">The Company believes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claims or actions pending or threatened against it, the ultimate disposition of which would have a material adverse effect on 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9, 2021, </w:t>
      </w:r>
      <w:r>
        <w:rPr>
          <w:rFonts w:ascii="Times New Roman" w:hAnsi="Times New Roman"/>
          <w:caps w:val="false"/>
          <w:smallCaps w:val="false"/>
          <w:sz w:val="20"/>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rPr>
        <w:t>2016</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informing the Company that the Comptroller believes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but challenged the remaining tax assessments and vigorously defended its position. The Comptroller’s office exhausted its redetermination period and therefore moved the Company’s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20, 2026, </w:t>
      </w:r>
      <w:r>
        <w:rPr>
          <w:rFonts w:ascii="Times New Roman" w:hAnsi="Times New Roman"/>
          <w:caps w:val="false"/>
          <w:smallCaps w:val="false"/>
          <w:sz w:val="20"/>
        </w:rPr>
        <w:t xml:space="preserve">the United States Supreme Court issued a ruling invalidating certain tariffs previously imposed under the International Emergency Economic Powers Act ("IEEPA"). Following this ruling, the U.S. Court of International Trade issued an order directing U.S. Customs and Border Protection ("CBP") to establish a process for the submission and review of refund claims related to affected IEEPA tariffs. On </w:t>
      </w:r>
      <w:r>
        <w:rPr>
          <w:rStyle w:val="Emphasis"/>
          <w:rFonts w:ascii="Times New Roman" w:hAnsi="Times New Roman"/>
          <w:caps w:val="false"/>
          <w:smallCaps w:val="false"/>
          <w:sz w:val="20"/>
        </w:rPr>
        <w:t xml:space="preserve">April 20, 2026, </w:t>
      </w:r>
      <w:r>
        <w:rPr>
          <w:rFonts w:ascii="Times New Roman" w:hAnsi="Times New Roman"/>
          <w:caps w:val="false"/>
          <w:smallCaps w:val="false"/>
          <w:sz w:val="20"/>
        </w:rPr>
        <w:t xml:space="preserve">CBP launched an online portal through which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submit IEEPA tariff refund requests. On </w:t>
      </w:r>
      <w:r>
        <w:rPr>
          <w:rStyle w:val="Emphasis"/>
          <w:rFonts w:ascii="Times New Roman" w:hAnsi="Times New Roman"/>
          <w:caps w:val="false"/>
          <w:smallCaps w:val="false"/>
          <w:sz w:val="20"/>
        </w:rPr>
        <w:t xml:space="preserve">April 29, 2026, </w:t>
      </w:r>
      <w:r>
        <w:rPr>
          <w:rFonts w:ascii="Times New Roman" w:hAnsi="Times New Roman"/>
          <w:caps w:val="false"/>
          <w:smallCaps w:val="false"/>
          <w:sz w:val="20"/>
        </w:rPr>
        <w:t xml:space="preserve">the Company submitted refund claims totaling $5.7 million. The Company received payments of approximately $0.2 million and $1.2 million on </w:t>
      </w:r>
      <w:r>
        <w:rPr>
          <w:rStyle w:val="Emphasis"/>
          <w:rFonts w:ascii="Times New Roman" w:hAnsi="Times New Roman"/>
          <w:caps w:val="false"/>
          <w:smallCaps w:val="false"/>
          <w:sz w:val="20"/>
        </w:rPr>
        <w:t xml:space="preserve">May 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27, 2026, </w:t>
      </w:r>
      <w:r>
        <w:rPr>
          <w:rFonts w:ascii="Times New Roman" w:hAnsi="Times New Roman"/>
          <w:caps w:val="false"/>
          <w:smallCaps w:val="false"/>
          <w:sz w:val="20"/>
        </w:rPr>
        <w:t>respectively.</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6, 2026, </w:t>
      </w:r>
      <w:r>
        <w:rPr>
          <w:rFonts w:ascii="Times New Roman" w:hAnsi="Times New Roman"/>
          <w:caps w:val="false"/>
          <w:smallCaps w:val="false"/>
          <w:sz w:val="20"/>
        </w:rPr>
        <w:t xml:space="preserve">subsequent to the end of the reporting period, the Company received the remaining payment of approximately $4.5 million in connection with the IEEPA tariff refund claims. In the aggregate, the Company received approximately $5.9 million, consisting of the entire $5.7 million of duties claimed plus applicable interest. Accordingly, the Company's duty recovery under CAPE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is fully complete,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refund claims or amounts remaining outstanding under Phase </w:t>
      </w:r>
      <w:r>
        <w:rPr>
          <w:rStyle w:val="Emphasis"/>
          <w:rFonts w:ascii="Times New Roman" w:hAnsi="Times New Roman"/>
          <w:caps w:val="false"/>
          <w:smallCaps w:val="false"/>
          <w:sz w:val="20"/>
        </w:rPr>
        <w:t>1.</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June 30, 2026 and the audited consolidated financial statements and notes thereto and management’s discussion and analysis of financial condition and results of operations for the fiscal year ended December 31, 2025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those discussed in other documents we file with the SEC, including our Report on Form 10-K for the year ended December 31, 2025 and subsequent Quarterly Reports on Form 10-Q, and geopolitical tensions and conflicts, including with respect to international trade policies in areas such as tariffs and export controls, and the availability, timing and amount of refunds of previously paid tariffs.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and AI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vertically integrated manufacturing model provides us several advantages, including rapid product development, fast response times to customer requests and control over product quality and manufacturing costs. </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artificial intelligence (AI), cloud computing, network-connected devices, video traffic, and online social networking. Within the data center market, AI workloads are fueling the retooling of existing data centers and the construction of purpose-built data centers for AI, in both cases significantly increasing demand for higher speed optical networking technology. Existing internet data centers are also being upgraded with higher speed optical networking equipment to support ever-increasing data traffic.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transceivers for the internet data center market,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We also manufacture CATV outdoor equipment including amplifiers. In our China facility, we do certain assembly operations on various products, including some optical subassemblies and transceivers for the CATV transmitters (at the headend), some CATV outdoor equipment and transceivers for our internet data center market. The extent of the assembly operations in our China facility do not always establish the country of origin for these products as China for U.S. tariff purposes. Each manufacturing facility conducts testing on the components, modules or subsystems it manufactures, and each facility is certified to ISO 9001:2015. Our facilities in Ningbo, China, Taipei, Taiwan, and Sugar Land, Texas are all certified to ISO 14001:2015. We have recently announced plans to expand our manufacturing space in and around the Sugar Land, Texas area and are currently in the process of building out suitable facilities for this expansion. We expect the first of these new facilities to begin production later in 2026.</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and Other Matters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Demand for our data center products remained strong during the six months ended June 30, 2026, driven by continued investments by hyperscale customers in artificial intelligence, cloud computing and high-speed networking infrastructure.  We experienced significant growth in sales of data center products during the period, reflecting increased customer deployments and demand for higher speed optical connectivity solutions.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same time, the global economic environment remains subject to uncertainty resulting from evolving trade policies, tariffs, export controls, geopolitical developments and other macroeconomic factors.  These conditions may impact the availability and cost of materials and components, customer purchasing decisions, deployment schedules and capital spending plans.  In addition, changes in global trade policies and regulations could affect our manufacturing operations, supply chain and customer demand.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continue to monitor these developments and have implemented strategies intended to reduce potential disruptions, including supply chain diversification, inventory management initiatives and operational efficiencies.  However, future demand may be affected by changes in customer deployment schedules, inventory levels, capital spending plans and general market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9975" w:type="dxa"/>
        <w:jc w:val="left"/>
        <w:tblInd w:w="0" w:type="dxa"/>
        <w:tblLayout w:type="fixed"/>
        <w:tblCellMar>
          <w:top w:w="0" w:type="dxa"/>
          <w:left w:w="0" w:type="dxa"/>
          <w:bottom w:w="0" w:type="dxa"/>
          <w:right w:w="0" w:type="dxa"/>
        </w:tblCellMar>
      </w:tblPr>
      <w:tblGrid>
        <w:gridCol w:w="2735"/>
        <w:gridCol w:w="60"/>
        <w:gridCol w:w="125"/>
        <w:gridCol w:w="695"/>
        <w:gridCol w:w="80"/>
        <w:gridCol w:w="60"/>
        <w:gridCol w:w="60"/>
        <w:gridCol w:w="485"/>
        <w:gridCol w:w="245"/>
        <w:gridCol w:w="60"/>
        <w:gridCol w:w="125"/>
        <w:gridCol w:w="695"/>
        <w:gridCol w:w="80"/>
        <w:gridCol w:w="60"/>
        <w:gridCol w:w="60"/>
        <w:gridCol w:w="485"/>
        <w:gridCol w:w="245"/>
        <w:gridCol w:w="60"/>
        <w:gridCol w:w="125"/>
        <w:gridCol w:w="695"/>
        <w:gridCol w:w="80"/>
        <w:gridCol w:w="60"/>
        <w:gridCol w:w="60"/>
        <w:gridCol w:w="485"/>
        <w:gridCol w:w="245"/>
        <w:gridCol w:w="60"/>
        <w:gridCol w:w="125"/>
        <w:gridCol w:w="695"/>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and six months ended June 30, 2026 and 2025 (in thousands, except percentages):</w:t>
      </w:r>
    </w:p>
    <w:p>
      <w:pPr>
        <w:pStyle w:val="TextBody"/>
        <w:bidi w:val="0"/>
        <w:spacing w:before="0" w:after="0"/>
        <w:ind w:left="0" w:right="0" w:firstLine="720"/>
        <w:jc w:val="left"/>
        <w:rPr/>
      </w:pPr>
      <w:r>
        <w:rPr/>
        <w:t> </w:t>
      </w:r>
    </w:p>
    <w:tbl>
      <w:tblPr>
        <w:tblW w:w="6815" w:type="dxa"/>
        <w:jc w:val="left"/>
        <w:tblInd w:w="0" w:type="dxa"/>
        <w:tblLayout w:type="fixed"/>
        <w:tblCellMar>
          <w:top w:w="0" w:type="dxa"/>
          <w:left w:w="0" w:type="dxa"/>
          <w:bottom w:w="0" w:type="dxa"/>
          <w:right w:w="0" w:type="dxa"/>
        </w:tblCellMar>
      </w:tblPr>
      <w:tblGrid>
        <w:gridCol w:w="1340"/>
        <w:gridCol w:w="60"/>
        <w:gridCol w:w="125"/>
        <w:gridCol w:w="695"/>
        <w:gridCol w:w="60"/>
        <w:gridCol w:w="60"/>
        <w:gridCol w:w="81"/>
        <w:gridCol w:w="659"/>
        <w:gridCol w:w="185"/>
        <w:gridCol w:w="60"/>
        <w:gridCol w:w="125"/>
        <w:gridCol w:w="695"/>
        <w:gridCol w:w="60"/>
        <w:gridCol w:w="60"/>
        <w:gridCol w:w="81"/>
        <w:gridCol w:w="659"/>
        <w:gridCol w:w="185"/>
        <w:gridCol w:w="60"/>
        <w:gridCol w:w="125"/>
        <w:gridCol w:w="590"/>
        <w:gridCol w:w="60"/>
        <w:gridCol w:w="60"/>
        <w:gridCol w:w="60"/>
        <w:gridCol w:w="485"/>
        <w:gridCol w:w="185"/>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tbl>
      <w:tblPr>
        <w:tblW w:w="6980" w:type="dxa"/>
        <w:jc w:val="left"/>
        <w:tblInd w:w="0" w:type="dxa"/>
        <w:tblLayout w:type="fixed"/>
        <w:tblCellMar>
          <w:top w:w="0" w:type="dxa"/>
          <w:left w:w="0" w:type="dxa"/>
          <w:bottom w:w="0" w:type="dxa"/>
          <w:right w:w="0" w:type="dxa"/>
        </w:tblCellMar>
      </w:tblPr>
      <w:tblGrid>
        <w:gridCol w:w="1400"/>
        <w:gridCol w:w="60"/>
        <w:gridCol w:w="125"/>
        <w:gridCol w:w="695"/>
        <w:gridCol w:w="60"/>
        <w:gridCol w:w="60"/>
        <w:gridCol w:w="81"/>
        <w:gridCol w:w="659"/>
        <w:gridCol w:w="185"/>
        <w:gridCol w:w="60"/>
        <w:gridCol w:w="125"/>
        <w:gridCol w:w="695"/>
        <w:gridCol w:w="60"/>
        <w:gridCol w:w="60"/>
        <w:gridCol w:w="81"/>
        <w:gridCol w:w="659"/>
        <w:gridCol w:w="185"/>
        <w:gridCol w:w="60"/>
        <w:gridCol w:w="125"/>
        <w:gridCol w:w="695"/>
        <w:gridCol w:w="60"/>
        <w:gridCol w:w="60"/>
        <w:gridCol w:w="60"/>
        <w:gridCol w:w="485"/>
        <w:gridCol w:w="185"/>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for the three months ended June 30, 2026 increased by $89.0 million, or 86.4%, compared to the three months ended June 30, 2025. The increase was primarily driven by:</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$62.9 million increase in data center product revenues, reflecting continued demand for our high-speed connectivity products; and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$24.6 million increase in CATV product revenues, primarily driven by higher sales volume resulting from market share gains and continued aggressive deployment of our CATV products by our MSO customers.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Revenues for the six months ended June 30, 2026 increased by $140.3 million, or 69.2%, compared to the six months ended June 30, 2025. The increase was primarily driven by:</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$112.2 million increase in data center product revenues reflecting continued demand for our high-speed connectivity products;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$26.9 million increase in CATV product revenues primarily driven by higher sales volume resulting from market share gains and continued aggressive deployment of our CATV products by our MSO customers.</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revenue trends are expected to depend on customer demand, customer deployment schedules, competitive pricing, supply chain conditions and broader macroeconomic conditions.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and 2025, our top ten customers represented 99% and 98% of our revenue, respectively. For the six months ended June 30, 2026 and 2025, our top ten customers represented 99% and 97%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 </w:t>
      </w:r>
    </w:p>
    <w:p>
      <w:pPr>
        <w:pStyle w:val="TextBody"/>
        <w:bidi w:val="0"/>
        <w:spacing w:before="0" w:after="0"/>
        <w:ind w:left="0" w:right="0" w:hanging="0"/>
        <w:jc w:val="left"/>
        <w:rPr/>
      </w:pPr>
      <w:r>
        <w:rPr/>
        <w:t>​</w:t>
      </w:r>
    </w:p>
    <w:tbl>
      <w:tblPr>
        <w:tblW w:w="6800"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590"/>
        <w:gridCol w:w="60"/>
        <w:gridCol w:w="60"/>
        <w:gridCol w:w="100"/>
        <w:gridCol w:w="640"/>
        <w:gridCol w:w="185"/>
        <w:gridCol w:w="60"/>
        <w:gridCol w:w="125"/>
        <w:gridCol w:w="590"/>
        <w:gridCol w:w="60"/>
        <w:gridCol w:w="60"/>
        <w:gridCol w:w="60"/>
        <w:gridCol w:w="380"/>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2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010"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695"/>
        <w:gridCol w:w="60"/>
        <w:gridCol w:w="60"/>
        <w:gridCol w:w="100"/>
        <w:gridCol w:w="640"/>
        <w:gridCol w:w="185"/>
        <w:gridCol w:w="60"/>
        <w:gridCol w:w="125"/>
        <w:gridCol w:w="695"/>
        <w:gridCol w:w="60"/>
        <w:gridCol w:w="60"/>
        <w:gridCol w:w="60"/>
        <w:gridCol w:w="380"/>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$66.9 million, or 93.2%, for the three months ended </w:t>
      </w:r>
      <w:r>
        <w:rPr>
          <w:rFonts w:ascii="Times New Roman;Times;serif" w:hAnsi="Times New Roman;Times;serif"/>
          <w:sz w:val="20"/>
        </w:rPr>
        <w:t>June 30, 2026</w:t>
      </w:r>
      <w:r>
        <w:rPr>
          <w:rFonts w:ascii="Times New Roman;Times;serif" w:hAnsi="Times New Roman;Times;serif"/>
          <w:sz w:val="20"/>
          <w:shd w:fill="FFFFFF" w:val="clear"/>
        </w:rPr>
        <w:t>, compared to the three months ended </w:t>
      </w:r>
      <w:r>
        <w:rPr>
          <w:rFonts w:ascii="Times New Roman;Times;serif" w:hAnsi="Times New Roman;Times;serif"/>
          <w:sz w:val="20"/>
        </w:rPr>
        <w:t>June 30, 2025</w:t>
      </w:r>
      <w:r>
        <w:rPr>
          <w:rFonts w:ascii="Times New Roman;Times;serif" w:hAnsi="Times New Roman;Times;serif"/>
          <w:sz w:val="20"/>
          <w:shd w:fill="FFFFFF" w:val="clear"/>
        </w:rPr>
        <w:t>. </w:t>
      </w:r>
      <w:r>
        <w:rPr>
          <w:rFonts w:ascii="Times New Roman;Times;serif" w:hAnsi="Times New Roman;Times;serif"/>
          <w:sz w:val="20"/>
        </w:rPr>
        <w:t>The increase was primarily attributable to:</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$47.5 million increase in direct material costs, primarily due to higher production volumes;</w:t>
            </w:r>
          </w:p>
        </w:tc>
      </w:tr>
    </w:tbl>
    <w:tbl>
      <w:tblPr>
        <w:tblW w:w="7930" w:type="dxa"/>
        <w:jc w:val="left"/>
        <w:tblInd w:w="0" w:type="dxa"/>
        <w:tblLayout w:type="fixed"/>
        <w:tblCellMar>
          <w:top w:w="0" w:type="dxa"/>
          <w:left w:w="0" w:type="dxa"/>
          <w:bottom w:w="0" w:type="dxa"/>
          <w:right w:w="0" w:type="dxa"/>
        </w:tblCellMar>
      </w:tblPr>
      <w:tblGrid>
        <w:gridCol w:w="60"/>
        <w:gridCol w:w="170"/>
        <w:gridCol w:w="7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$8.6 million increase in direct labor costs, primarily due to increased production ramp activity;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other manufacturing and production related costs of approximately $12.5 million, associated with higher production levels;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partially offset by $1.7 million decrease in inventory reserve adjustments.</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$104.8 million, or 74.3%, for the 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six months ended </w:t>
      </w:r>
      <w:r>
        <w:rPr>
          <w:rFonts w:ascii="Times New Roman;Times;serif" w:hAnsi="Times New Roman;Times;serif"/>
          <w:sz w:val="20"/>
        </w:rPr>
        <w:t>June 30, 2025</w:t>
      </w:r>
      <w:r>
        <w:rPr>
          <w:rFonts w:ascii="Times New Roman;Times;serif" w:hAnsi="Times New Roman;Times;serif"/>
          <w:sz w:val="20"/>
          <w:shd w:fill="FFFFFF" w:val="clear"/>
        </w:rPr>
        <w:t>. </w:t>
      </w:r>
      <w:r>
        <w:rPr>
          <w:rFonts w:ascii="Times New Roman;Times;serif" w:hAnsi="Times New Roman;Times;serif"/>
          <w:sz w:val="20"/>
        </w:rPr>
        <w:t>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$69.6 million increase in direct material, direct labor and other standard manufacturing costs, primarily due to higher production volumes;</w:t>
            </w:r>
          </w:p>
        </w:tc>
      </w:tr>
    </w:tbl>
    <w:tbl>
      <w:tblPr>
        <w:tblW w:w="8035" w:type="dxa"/>
        <w:jc w:val="left"/>
        <w:tblInd w:w="0" w:type="dxa"/>
        <w:tblLayout w:type="fixed"/>
        <w:tblCellMar>
          <w:top w:w="0" w:type="dxa"/>
          <w:left w:w="0" w:type="dxa"/>
          <w:bottom w:w="0" w:type="dxa"/>
          <w:right w:w="0" w:type="dxa"/>
        </w:tblCellMar>
      </w:tblPr>
      <w:tblGrid>
        <w:gridCol w:w="60"/>
        <w:gridCol w:w="170"/>
        <w:gridCol w:w="7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$14.1 million increase in direct labor costs, primarily due to increased production ramp activity;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increase in other manufacturing and production related costs of approximately $20.9 million, associated with changes in inventory demand forecasts; and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a slight $0.2 million increase in inventory reserve adjustments.</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Gross margin decreased to 27.7% for the three</w:t>
      </w:r>
      <w:r>
        <w:rPr>
          <w:rFonts w:ascii="Times New Roman;Times;serif" w:hAnsi="Times New Roman;Times;serif"/>
          <w:sz w:val="20"/>
          <w:shd w:fill="FFFFFF" w:val="clear"/>
        </w:rPr>
        <w:t> m</w:t>
      </w:r>
      <w:r>
        <w:rPr>
          <w:rFonts w:ascii="Times New Roman;Times;serif" w:hAnsi="Times New Roman;Times;serif"/>
          <w:sz w:val="20"/>
        </w:rPr>
        <w:t>onths ended</w:t>
      </w:r>
      <w:r>
        <w:rPr>
          <w:rFonts w:ascii="Times New Roman;Times;serif" w:hAnsi="Times New Roman;Times;serif"/>
          <w:sz w:val="20"/>
          <w:shd w:fill="FFFFFF" w:val="clear"/>
        </w:rPr>
        <w:t> </w:t>
      </w:r>
      <w:r>
        <w:rPr>
          <w:rFonts w:ascii="Times New Roman;Times;serif" w:hAnsi="Times New Roman;Times;serif"/>
          <w:sz w:val="20"/>
        </w:rPr>
        <w:t>June 30, 2026, compared to 30.3% for the three months ended June 30, 2025. Despite the decrease in gross margin percentage, gross profit increased by $22.0 million, or 70.7%, driven by higher revenues. The decrease in gross margin was primarily attributable to:           </w:t>
      </w:r>
    </w:p>
    <w:tbl>
      <w:tblPr>
        <w:tblW w:w="9925" w:type="dxa"/>
        <w:jc w:val="left"/>
        <w:tblInd w:w="0" w:type="dxa"/>
        <w:tblLayout w:type="fixed"/>
        <w:tblCellMar>
          <w:top w:w="0" w:type="dxa"/>
          <w:left w:w="0" w:type="dxa"/>
          <w:bottom w:w="0" w:type="dxa"/>
          <w:right w:w="0" w:type="dxa"/>
        </w:tblCellMar>
      </w:tblPr>
      <w:tblGrid>
        <w:gridCol w:w="60"/>
        <w:gridCol w:w="170"/>
        <w:gridCol w:w="9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direct material, direct labor and other manufacturing costs associated with increased production volumes;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left"/>
              <w:rPr/>
            </w:pPr>
            <w:r>
              <w:rPr/>
              <w:t>partially offset by a lower inventory reserve adjustment of 2.2%.</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increase in gross profit was primarily attributable to:</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higher revenues, which contributed approximately $27.0 million to the increase in gross profit;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costs associated with certain data center products, which negatively impacted gross profit by approximately $5.0 million.</w:t>
            </w:r>
          </w:p>
        </w:tc>
      </w:tr>
    </w:tbl>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Gross margin decreased to 28.3% for the six </w:t>
      </w:r>
      <w:r>
        <w:rPr>
          <w:rFonts w:ascii="Times New Roman" w:hAnsi="Times New Roman"/>
          <w:caps w:val="false"/>
          <w:smallCaps w:val="false"/>
          <w:sz w:val="20"/>
          <w:shd w:fill="FFFFFF" w:val="clear"/>
        </w:rPr>
        <w:t> m</w:t>
      </w:r>
      <w:r>
        <w:rPr>
          <w:rFonts w:ascii="Times New Roman" w:hAnsi="Times New Roman"/>
          <w:caps w:val="false"/>
          <w:smallCaps w:val="false"/>
          <w:sz w:val="20"/>
        </w:rPr>
        <w:t xml:space="preserve">onths ended </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June 30, 2026, compared to 30.4% for the six months ended June 30, 2025. Despite the decrease in gross margin percentage, gross profit increased by $35.4 million, or 57.4%, driven by higher revenues. The decrease in gross margin was primarily attributable to: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improved absorption of manufacturing costs associated with higher production volumes, partially offset by increased inventory related costs and product mix.</w:t>
            </w:r>
          </w:p>
        </w:tc>
      </w:tr>
    </w:tbl>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The increase in gross profit was primarily attributable to: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revenues, which contributed approximately $42.6 million to the increase in gross profit;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increased costs associated with certain data center products, which negatively impacted gross profit by approximately $7.2 million.</w:t>
            </w:r>
          </w:p>
        </w:tc>
      </w:tr>
    </w:tbl>
    <w:p>
      <w:pPr>
        <w:pStyle w:val="TextBody"/>
        <w:bidi w:val="0"/>
        <w:spacing w:before="0" w:after="0"/>
        <w:ind w:left="0" w:right="0" w:firstLine="720"/>
        <w:jc w:val="left"/>
        <w:rPr>
          <w:caps w:val="false"/>
          <w:smallCaps w:val="false"/>
        </w:rPr>
      </w:pPr>
      <w:r>
        <w:rPr>
          <w:caps w:val="false"/>
          <w:smallCaps w:val="false"/>
        </w:rPr>
        <w:t xml:space="preserve">  </w:t>
      </w:r>
    </w:p>
    <w:p>
      <w:pPr>
        <w:pStyle w:val="TextBody"/>
        <w:bidi w:val="0"/>
        <w:spacing w:before="0" w:after="0"/>
        <w:ind w:left="0" w:right="0" w:firstLine="720"/>
        <w:jc w:val="left"/>
        <w:rPr>
          <w:caps w:val="false"/>
          <w:smallCaps w:val="false"/>
        </w:rPr>
      </w:pPr>
      <w:r>
        <w:rPr>
          <w:caps w:val="false"/>
          <w:smallCaps w:val="false"/>
        </w:rPr>
        <w:t>   </w:t>
      </w:r>
      <w:r>
        <w:rPr>
          <w:rFonts w:ascii="Times New Roman" w:hAnsi="Times New Roman"/>
          <w:caps w:val="false"/>
          <w:smallCaps w:val="false"/>
          <w:sz w:val="20"/>
        </w:rPr>
        <w:t xml:space="preserve">Management expects gross margin to increase in future periods as a result of product mix, cost optimization initiatives, and production efficiencies. </w:t>
      </w:r>
    </w:p>
    <w:p>
      <w:pPr>
        <w:pStyle w:val="TextBody"/>
        <w:bidi w:val="0"/>
        <w:spacing w:before="0" w:after="0"/>
        <w:ind w:left="0" w:right="0" w:firstLine="720"/>
        <w:jc w:val="left"/>
        <w:rPr/>
      </w:pPr>
      <w:r>
        <w:rPr/>
        <w:t xml:space="preserve">      </w:t>
      </w:r>
    </w:p>
    <w:p>
      <w:pPr>
        <w:pStyle w:val="TextBody"/>
        <w:bidi w:val="0"/>
        <w:spacing w:before="0" w:after="0"/>
        <w:jc w:val="left"/>
        <w:rPr/>
      </w:pPr>
      <w:r>
        <w:rPr/>
        <w:t xml:space="preserve">  </w:t>
      </w:r>
    </w:p>
    <w:p>
      <w:pPr>
        <w:pStyle w:val="TextBody"/>
        <w:bidi w:val="0"/>
        <w:jc w:val="left"/>
        <w:rPr>
          <w:sz w:val="20"/>
        </w:rPr>
      </w:pPr>
      <w:r>
        <w:rPr>
          <w:i/>
          <w:sz w:val="20"/>
        </w:rPr>
        <w:t>Operating Expenses</w:t>
      </w:r>
      <w:r>
        <w:rPr>
          <w:sz w:val="20"/>
        </w:rPr>
        <w:t xml:space="preserve"> </w:t>
      </w:r>
    </w:p>
    <w:p>
      <w:pPr>
        <w:pStyle w:val="TextBody"/>
        <w:bidi w:val="0"/>
        <w:spacing w:before="0" w:after="0"/>
        <w:ind w:left="0" w:right="0" w:hanging="0"/>
        <w:jc w:val="left"/>
        <w:rPr/>
      </w:pPr>
      <w:r>
        <w:rPr/>
        <w:t> </w:t>
      </w:r>
    </w:p>
    <w:tbl>
      <w:tblPr>
        <w:tblW w:w="728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7415" w:type="dxa"/>
        <w:jc w:val="left"/>
        <w:tblInd w:w="0" w:type="dxa"/>
        <w:tblLayout w:type="fixed"/>
        <w:tblCellMar>
          <w:top w:w="0" w:type="dxa"/>
          <w:left w:w="0" w:type="dxa"/>
          <w:bottom w:w="0" w:type="dxa"/>
          <w:right w:w="0" w:type="dxa"/>
        </w:tblCellMar>
      </w:tblPr>
      <w:tblGrid>
        <w:gridCol w:w="2240"/>
        <w:gridCol w:w="60"/>
        <w:gridCol w:w="125"/>
        <w:gridCol w:w="695"/>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380"/>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 increased by $14.3 million, or 69.2%, for the three months ended June 30, 2026 compared to the three months ended June 30, 2025. The increase was primarily attributable to:</w:t>
      </w:r>
    </w:p>
    <w:tbl>
      <w:tblPr>
        <w:tblW w:w="6925" w:type="dxa"/>
        <w:jc w:val="left"/>
        <w:tblInd w:w="0" w:type="dxa"/>
        <w:tblLayout w:type="fixed"/>
        <w:tblCellMar>
          <w:top w:w="0" w:type="dxa"/>
          <w:left w:w="0" w:type="dxa"/>
          <w:bottom w:w="0" w:type="dxa"/>
          <w:right w:w="0" w:type="dxa"/>
        </w:tblCellMar>
      </w:tblPr>
      <w:tblGrid>
        <w:gridCol w:w="60"/>
        <w:gridCol w:w="170"/>
        <w:gridCol w:w="6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personnel-related expenses supporting product development activities;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increased engineering and development costs associated with data center products and new product development initiatives, including acceleration of planned development efforts to support anticipated demand from certain customers.</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expense increased by $22.1 million, or 57.5%, for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2026 compared to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2025. The increase was primarily 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personnel-related expenses and increased R&amp;D related project costs associated with new product development activities;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customer demand for new products and the acceleration of planned development efforts to support anticipated demand from certain customers.</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and marketing expense increased by $3.4 million, or 41.2%, for the three months ended June 30, 2026 compared to the three months ended June 30, 2025. The increases were primarily </w:t>
      </w:r>
      <w:r>
        <w:rPr>
          <w:rFonts w:ascii="Times New Roman;Times;serif" w:hAnsi="Times New Roman;Times;serif"/>
          <w:color w:val="000000"/>
          <w:sz w:val="20"/>
        </w:rPr>
        <w:t>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compensation and related costs associated with expanded sales efforts supporting data center and Quantum Bandwidth products;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higher shipping and logistics expenses, driven by accelerated customer demand, and the impact of tariffs of approximately $0.1 million.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Sales and marketing expense increased by $4.3 million, or 32.2%, for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2026 compared to the </w:t>
      </w:r>
      <w:r>
        <w:rPr>
          <w:rFonts w:ascii="Times New Roman" w:hAnsi="Times New Roman"/>
          <w:caps w:val="false"/>
          <w:smallCaps w:val="false"/>
          <w:sz w:val="20"/>
          <w:shd w:fill="FFFFFF" w:val="clear"/>
        </w:rPr>
        <w:t>six</w:t>
      </w:r>
      <w:r>
        <w:rPr>
          <w:rFonts w:ascii="Times New Roman" w:hAnsi="Times New Roman"/>
          <w:caps w:val="false"/>
          <w:smallCaps w:val="false"/>
          <w:sz w:val="20"/>
        </w:rPr>
        <w:t xml:space="preserve"> months ended June 30, 2025. The increases were primarily </w:t>
      </w:r>
      <w:r>
        <w:rPr>
          <w:rFonts w:ascii="Times New Roman" w:hAnsi="Times New Roman"/>
          <w:caps w:val="false"/>
          <w:smallCaps w:val="false"/>
          <w:color w:val="000000"/>
          <w:sz w:val="20"/>
        </w:rPr>
        <w:t>attributable to:</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higher compensation and related costs associated with expanded sales efforts supporting data center and Quantum Bandwidth products;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higher shipping and logistics expenses, driven by accelerated customer demand, and the impact of tariffs of approximately $0.8 million.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Management continues to monitor tariff developments and their potential impact on its cost structure and pricing strategy. Based on current conditions, management expects shipping costs and tariff-related impacts to continue in 2026, likely at a reduced level compared to 2025 due to the Supreme Court’s decision overturning the IEEPA-related tariffs.  Management cannot currently assess whether this tariff trend will continue given the Administration’s current stated goal to replace the IEEPA tariffs with tariffs under other sections of federal law (e.g. Section 301 tariffs, reciprocal tariffs, etc.).</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$13.2 million, or 71.7%, for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2025</w:t>
      </w:r>
      <w:r>
        <w:rPr>
          <w:rFonts w:ascii="Times New Roman;Times;serif" w:hAnsi="Times New Roman;Times;serif"/>
          <w:sz w:val="20"/>
          <w:shd w:fill="FFFFFF" w:val="clear"/>
        </w:rPr>
        <w:t>. General and administrative expense increased by $21.8 million, or 62.7%, for the 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six months ended </w:t>
      </w:r>
      <w:r>
        <w:rPr>
          <w:rFonts w:ascii="Times New Roman;Times;serif" w:hAnsi="Times New Roman;Times;serif"/>
          <w:sz w:val="20"/>
        </w:rPr>
        <w:t>June 30, 2025</w:t>
      </w:r>
      <w:r>
        <w:rPr>
          <w:rFonts w:ascii="Times New Roman;Times;serif" w:hAnsi="Times New Roman;Times;serif"/>
          <w:sz w:val="20"/>
          <w:shd w:fill="FFFFFF" w:val="clear"/>
        </w:rPr>
        <w:t xml:space="preserve">. The increase was primarily due to increased personnel-related expense </w:t>
      </w:r>
      <w:r>
        <w:rPr>
          <w:rFonts w:ascii="Times New Roman;Times;serif" w:hAnsi="Times New Roman;Times;serif"/>
          <w:sz w:val="20"/>
        </w:rPr>
        <w:t>and expanded corporate infrastructure to support company growth</w:t>
      </w:r>
      <w:r>
        <w:rPr>
          <w:rFonts w:ascii="Times New Roman;Times;serif" w:hAnsi="Times New Roman;Times;serif"/>
          <w:sz w:val="20"/>
          <w:shd w:fill="FFFFFF" w:val="clea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 </w:t>
      </w:r>
    </w:p>
    <w:p>
      <w:pPr>
        <w:pStyle w:val="TextBody"/>
        <w:bidi w:val="0"/>
        <w:spacing w:before="0" w:after="0"/>
        <w:ind w:left="0" w:right="0" w:hanging="0"/>
        <w:jc w:val="left"/>
        <w:rPr/>
      </w:pPr>
      <w:r>
        <w:rPr/>
        <w:t>​</w:t>
      </w:r>
    </w:p>
    <w:tbl>
      <w:tblPr>
        <w:tblW w:w="8240" w:type="dxa"/>
        <w:jc w:val="left"/>
        <w:tblInd w:w="0" w:type="dxa"/>
        <w:tblLayout w:type="fixed"/>
        <w:tblCellMar>
          <w:top w:w="0" w:type="dxa"/>
          <w:left w:w="0" w:type="dxa"/>
          <w:bottom w:w="0" w:type="dxa"/>
          <w:right w:w="0" w:type="dxa"/>
        </w:tblCellMar>
      </w:tblPr>
      <w:tblGrid>
        <w:gridCol w:w="2735"/>
        <w:gridCol w:w="60"/>
        <w:gridCol w:w="142"/>
        <w:gridCol w:w="553"/>
        <w:gridCol w:w="80"/>
        <w:gridCol w:w="60"/>
        <w:gridCol w:w="104"/>
        <w:gridCol w:w="591"/>
        <w:gridCol w:w="245"/>
        <w:gridCol w:w="60"/>
        <w:gridCol w:w="142"/>
        <w:gridCol w:w="553"/>
        <w:gridCol w:w="80"/>
        <w:gridCol w:w="60"/>
        <w:gridCol w:w="104"/>
        <w:gridCol w:w="591"/>
        <w:gridCol w:w="245"/>
        <w:gridCol w:w="60"/>
        <w:gridCol w:w="129"/>
        <w:gridCol w:w="566"/>
        <w:gridCol w:w="80"/>
        <w:gridCol w:w="60"/>
        <w:gridCol w:w="60"/>
        <w:gridCol w:w="63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305" w:type="dxa"/>
            <w:gridSpan w:val="2"/>
            <w:tcBorders/>
            <w:shd w:fill="FFFFFF" w:val="clear"/>
            <w:vAlign w:val="center"/>
          </w:tcPr>
          <w:p>
            <w:pPr>
              <w:pStyle w:val="TableContents"/>
              <w:bidi w:val="0"/>
              <w:spacing w:before="0" w:after="283"/>
              <w:jc w:val="center"/>
              <w:rPr/>
            </w:pPr>
            <w:r>
              <w:rPr/>
              <w:t> </w:t>
            </w:r>
          </w:p>
        </w:tc>
        <w:tc>
          <w:tcPr>
            <w:tcW w:w="1530" w:type="dxa"/>
            <w:gridSpan w:val="6"/>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330" w:type="dxa"/>
        <w:jc w:val="left"/>
        <w:tblInd w:w="0" w:type="dxa"/>
        <w:tblLayout w:type="fixed"/>
        <w:tblCellMar>
          <w:top w:w="0" w:type="dxa"/>
          <w:left w:w="0" w:type="dxa"/>
          <w:bottom w:w="0" w:type="dxa"/>
          <w:right w:w="0" w:type="dxa"/>
        </w:tblCellMar>
      </w:tblPr>
      <w:tblGrid>
        <w:gridCol w:w="2915"/>
        <w:gridCol w:w="60"/>
        <w:gridCol w:w="129"/>
        <w:gridCol w:w="566"/>
        <w:gridCol w:w="80"/>
        <w:gridCol w:w="60"/>
        <w:gridCol w:w="104"/>
        <w:gridCol w:w="591"/>
        <w:gridCol w:w="245"/>
        <w:gridCol w:w="60"/>
        <w:gridCol w:w="129"/>
        <w:gridCol w:w="566"/>
        <w:gridCol w:w="80"/>
        <w:gridCol w:w="60"/>
        <w:gridCol w:w="104"/>
        <w:gridCol w:w="591"/>
        <w:gridCol w:w="245"/>
        <w:gridCol w:w="60"/>
        <w:gridCol w:w="129"/>
        <w:gridCol w:w="566"/>
        <w:gridCol w:w="80"/>
        <w:gridCol w:w="60"/>
        <w:gridCol w:w="60"/>
        <w:gridCol w:w="545"/>
        <w:gridCol w:w="24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5110"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by $3.0 million, or 1,035.7%, for the three months ended June 30, 2026 compared to the three months ended June 30, 2025. Interest income increased by $4.5 million, or 875.5%, for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2026 compared to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2025. The increase was primarily attributable to higher average cash and savings balances, as well as higher interest income earned on those balances during the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increased by $0.1 million, or 13.3%, for the three months ended June 30, 2026 compared to the three months ended June 30, 2025. Interest expense increased by $0.04 million, or 2.2%, for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2026 compared to the </w:t>
      </w:r>
      <w:r>
        <w:rPr>
          <w:rFonts w:ascii="Times New Roman;Times;serif" w:hAnsi="Times New Roman;Times;serif"/>
          <w:sz w:val="20"/>
          <w:shd w:fill="FFFFFF" w:val="clear"/>
        </w:rPr>
        <w:t>six</w:t>
      </w:r>
      <w:r>
        <w:rPr>
          <w:rFonts w:ascii="Times New Roman;Times;serif" w:hAnsi="Times New Roman;Times;serif"/>
          <w:sz w:val="20"/>
        </w:rPr>
        <w:t xml:space="preserve"> months ended June 30, 2025. The increase was primarily attributable to changes in outstanding debt balances and related financing costs during the period.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income (expenses) decreased by $6.5 million, or 87.7</w:t>
      </w:r>
      <w:r>
        <w:rPr>
          <w:rFonts w:ascii="Times New Roman;Times;serif" w:hAnsi="Times New Roman;Times;serif"/>
          <w:color w:val="000000"/>
          <w:sz w:val="20"/>
          <w:shd w:fill="FFFFFF" w:val="clear"/>
        </w:rPr>
        <w:t>%,</w:t>
      </w:r>
      <w:r>
        <w:rPr>
          <w:rFonts w:ascii="Times New Roman;Times;serif" w:hAnsi="Times New Roman;Times;serif"/>
          <w:sz w:val="20"/>
          <w:shd w:fill="FFFFFF" w:val="clear"/>
        </w:rPr>
        <w:t xml:space="preserve"> for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2025</w:t>
      </w:r>
      <w:r>
        <w:rPr>
          <w:rFonts w:ascii="Times New Roman;Times;serif" w:hAnsi="Times New Roman;Times;serif"/>
          <w:sz w:val="20"/>
          <w:shd w:fill="FFFFFF" w:val="clear"/>
        </w:rPr>
        <w:t>. Other income (expenses) decreased by $8.1 million, or 102.5</w:t>
      </w:r>
      <w:r>
        <w:rPr>
          <w:rFonts w:ascii="Times New Roman;Times;serif" w:hAnsi="Times New Roman;Times;serif"/>
          <w:color w:val="000000"/>
          <w:sz w:val="20"/>
          <w:shd w:fill="FFFFFF" w:val="clear"/>
        </w:rPr>
        <w:t>%,</w:t>
      </w:r>
      <w:r>
        <w:rPr>
          <w:rFonts w:ascii="Times New Roman;Times;serif" w:hAnsi="Times New Roman;Times;serif"/>
          <w:sz w:val="20"/>
          <w:shd w:fill="FFFFFF" w:val="clear"/>
        </w:rPr>
        <w:t xml:space="preserve"> for the 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six months ended </w:t>
      </w:r>
      <w:r>
        <w:rPr>
          <w:rFonts w:ascii="Times New Roman;Times;serif" w:hAnsi="Times New Roman;Times;serif"/>
          <w:sz w:val="20"/>
        </w:rPr>
        <w:t>June 30, 2025</w:t>
      </w:r>
      <w:r>
        <w:rPr>
          <w:rFonts w:ascii="Times New Roman;Times;serif" w:hAnsi="Times New Roman;Times;serif"/>
          <w:sz w:val="20"/>
          <w:shd w:fill="FFFFFF" w:val="clear"/>
        </w:rPr>
        <w:t>.</w:t>
      </w:r>
      <w:r>
        <w:rPr>
          <w:rFonts w:ascii="Times New Roman;Times;serif" w:hAnsi="Times New Roman;Times;serif"/>
          <w:sz w:val="20"/>
        </w:rPr>
        <w:t> </w:t>
      </w:r>
      <w:r>
        <w:rPr>
          <w:rFonts w:ascii="Times New Roman;Times;serif" w:hAnsi="Times New Roman;Times;serif"/>
          <w:sz w:val="20"/>
          <w:shd w:fill="FFFFFF" w:val="clear"/>
        </w:rPr>
        <w:t>The decrease was mainly due to</w:t>
      </w:r>
      <w:r>
        <w:rPr>
          <w:rFonts w:ascii="Times New Roman;Times;serif" w:hAnsi="Times New Roman;Times;serif"/>
          <w:sz w:val="20"/>
        </w:rPr>
        <w:t xml:space="preserve"> the negative foreign exchange impact.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rates for the three months </w:t>
      </w:r>
      <w:r>
        <w:rPr>
          <w:rFonts w:ascii="Times New Roman;Times;serif" w:hAnsi="Times New Roman;Times;serif"/>
          <w:sz w:val="20"/>
        </w:rPr>
        <w:t>ended June 30, 2026 and 2025</w:t>
      </w:r>
      <w:r>
        <w:rPr>
          <w:rFonts w:ascii="Times New Roman;Times;serif" w:hAnsi="Times New Roman;Times;serif"/>
          <w:sz w:val="20"/>
          <w:shd w:fill="FFFFFF" w:val="clear"/>
        </w:rPr>
        <w:t> were (6.0)% and 0%, respectively. </w:t>
      </w:r>
      <w:r>
        <w:rPr>
          <w:rFonts w:ascii="Times New Roman;Times;serif" w:hAnsi="Times New Roman;Times;serif"/>
          <w:sz w:val="20"/>
        </w:rPr>
        <w:t>For the six months ended June 30, 2026 and 2025, the effective tax rates were (6.7)% and 0.0%, respectively.</w:t>
      </w:r>
      <w:r>
        <w:rPr>
          <w:rFonts w:ascii="Times New Roman;Times;serif" w:hAnsi="Times New Roman;Times;serif"/>
          <w:sz w:val="20"/>
          <w:shd w:fill="FFFFFF" w:val="clear"/>
        </w:rPr>
        <w:t> The effective tax rate varied from the federal statutory rate of 21% primarily due to the change of the valuation allowance on federal, state, and Taiwan deferred tax assets ("DTA"), and the R&amp;D super deduction in China.</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To the extent that we make investments in expanding manufacturing in our semiconductor fabrication facility in Texas, we believe that the CHIPS Act would provide a refundable tax credit for certain equipment and facilities upgrades. We made significant investments in the three months ended June 30, 2026 which we believe should qualify for these credits, but we intend to continue to evaluate these and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420" w:type="dxa"/>
        <w:jc w:val="left"/>
        <w:tblInd w:w="0" w:type="dxa"/>
        <w:tblLayout w:type="fixed"/>
        <w:tblCellMar>
          <w:top w:w="0" w:type="dxa"/>
          <w:left w:w="0" w:type="dxa"/>
          <w:bottom w:w="0" w:type="dxa"/>
          <w:right w:w="0" w:type="dxa"/>
        </w:tblCellMar>
      </w:tblPr>
      <w:tblGrid>
        <w:gridCol w:w="3905"/>
        <w:gridCol w:w="60"/>
        <w:gridCol w:w="125"/>
        <w:gridCol w:w="650"/>
        <w:gridCol w:w="80"/>
        <w:gridCol w:w="60"/>
        <w:gridCol w:w="83"/>
        <w:gridCol w:w="612"/>
        <w:gridCol w:w="245"/>
        <w:gridCol w:w="60"/>
        <w:gridCol w:w="129"/>
        <w:gridCol w:w="566"/>
        <w:gridCol w:w="80"/>
        <w:gridCol w:w="60"/>
        <w:gridCol w:w="104"/>
        <w:gridCol w:w="591"/>
        <w:gridCol w:w="245"/>
        <w:gridCol w:w="60"/>
        <w:gridCol w:w="125"/>
        <w:gridCol w:w="650"/>
        <w:gridCol w:w="80"/>
        <w:gridCol w:w="60"/>
        <w:gridCol w:w="60"/>
        <w:gridCol w:w="485"/>
        <w:gridCol w:w="245"/>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1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9500" w:type="dxa"/>
        <w:jc w:val="left"/>
        <w:tblInd w:w="0" w:type="dxa"/>
        <w:tblLayout w:type="fixed"/>
        <w:tblCellMar>
          <w:top w:w="0" w:type="dxa"/>
          <w:left w:w="0" w:type="dxa"/>
          <w:bottom w:w="0" w:type="dxa"/>
          <w:right w:w="0" w:type="dxa"/>
        </w:tblCellMar>
      </w:tblPr>
      <w:tblGrid>
        <w:gridCol w:w="3905"/>
        <w:gridCol w:w="60"/>
        <w:gridCol w:w="125"/>
        <w:gridCol w:w="650"/>
        <w:gridCol w:w="80"/>
        <w:gridCol w:w="60"/>
        <w:gridCol w:w="83"/>
        <w:gridCol w:w="612"/>
        <w:gridCol w:w="245"/>
        <w:gridCol w:w="60"/>
        <w:gridCol w:w="125"/>
        <w:gridCol w:w="650"/>
        <w:gridCol w:w="80"/>
        <w:gridCol w:w="60"/>
        <w:gridCol w:w="104"/>
        <w:gridCol w:w="591"/>
        <w:gridCol w:w="245"/>
        <w:gridCol w:w="60"/>
        <w:gridCol w:w="125"/>
        <w:gridCol w:w="650"/>
        <w:gridCol w:w="80"/>
        <w:gridCol w:w="60"/>
        <w:gridCol w:w="60"/>
        <w:gridCol w:w="485"/>
        <w:gridCol w:w="245"/>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$14.9 million, or 285.8%, for the three months ended </w:t>
      </w:r>
      <w:r>
        <w:rPr>
          <w:rFonts w:ascii="Times New Roman;Times;serif" w:hAnsi="Times New Roman;Times;serif"/>
          <w:sz w:val="20"/>
        </w:rPr>
        <w:t>June 30, 2026</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increased by $19.4 million, or 133.0%, for the 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as compared to the six months ended </w:t>
      </w:r>
      <w:r>
        <w:rPr>
          <w:rFonts w:ascii="Times New Roman;Times;serif" w:hAnsi="Times New Roman;Times;serif"/>
          <w:sz w:val="20"/>
        </w:rPr>
        <w:t>June 30, 2025</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ha</w:t>
      </w:r>
      <w:r>
        <w:rPr>
          <w:rFonts w:ascii="Times New Roman;Times;serif" w:hAnsi="Times New Roman;Times;serif"/>
          <w:sz w:val="20"/>
          <w:shd w:fill="FFFFFF" w:val="clear"/>
        </w:rPr>
        <w:t>d $106.5</w:t>
      </w:r>
      <w:r>
        <w:rPr>
          <w:rFonts w:ascii="Times New Roman;Times;serif" w:hAnsi="Times New Roman;Times;serif"/>
          <w:color w:val="000000"/>
          <w:sz w:val="20"/>
          <w:shd w:fill="FFFFFF" w:val="clear"/>
        </w:rPr>
        <w:t> m</w:t>
      </w:r>
      <w:r>
        <w:rPr>
          <w:rFonts w:ascii="Times New Roman;Times;serif" w:hAnsi="Times New Roman;Times;serif"/>
          <w:sz w:val="20"/>
        </w:rPr>
        <w:t>illion of unused borrowing capacity from all of our loan agreements. As of June 30, 2026, our cash, cash equivalents and restricted cash totale</w:t>
      </w:r>
      <w:r>
        <w:rPr>
          <w:rFonts w:ascii="Times New Roman;Times;serif" w:hAnsi="Times New Roman;Times;serif"/>
          <w:sz w:val="20"/>
          <w:shd w:fill="FFFFFF" w:val="clear"/>
        </w:rPr>
        <w:t xml:space="preserve">d $508.8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ATM Offerings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On December 18, 2024, </w:t>
      </w:r>
      <w:r>
        <w:rPr>
          <w:rFonts w:cs="Times New Roman"/>
          <w:szCs w:val="20"/>
        </w:rPr>
        <w:t>﻿</w:t>
      </w:r>
      <w:r>
        <w:rPr>
          <w:rFonts w:ascii="Times New Roman" w:hAnsi="Times New Roman"/>
          <w:sz w:val="20"/>
        </w:rPr>
        <w:t xml:space="preserve">the Company filed an automatic shelf registration statement on Form S-3ASR (Registration File No. 333-283905) (the "Automatic Shelf Registration Statement") with the U.S. Securities and Exchange Commission, which became effective immediately upon filing. </w:t>
      </w:r>
    </w:p>
    <w:p>
      <w:pPr>
        <w:pStyle w:val="TextBody"/>
        <w:bidi w:val="0"/>
        <w:ind w:left="0" w:right="0" w:firstLine="720"/>
        <w:jc w:val="left"/>
        <w:rPr/>
      </w:pPr>
      <w:r>
        <w:rPr/>
        <w:t xml:space="preserve">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26, 2026, the Company entered into an Equity Distribution Agreement (the "First EDA") with Raymond James &amp; Associates and Needham &amp; Company, LLC (collectively, the "Sales Agents" and each, a "Sales Agent") pursuant to which the Company could issue and sell shares of the Company’s common stock, par value $0.001 per share having an aggregate offering price of up to $250 million (the "First ATM Offering"), from time to time through the Sales Agents. On March 12, 2026, the Company entered into Amendment No. 1 to the First EDA with the Sales Agents, to increase the aggregate offering price from $250 million to $500 million. On April 2, 2026, the Company completed the First ATM Offering and sold approximately 4.8 million shares at a weighted average price of $103.51 per share, providing proceeds of approximately $490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rFonts w:ascii="Times New Roman" w:hAnsi="Times New Roman"/>
          <w:caps w:val="false"/>
          <w:smallCaps w:val="false"/>
          <w:sz w:val="20"/>
        </w:rPr>
        <w:t xml:space="preserve">On May 14, 2026, the Company entered into an Equity Distribution Agreement (the "Second </w:t>
      </w:r>
      <w:r>
        <w:rPr>
          <w:rFonts w:cs="Times New Roman"/>
          <w:caps w:val="false"/>
          <w:smallCaps w:val="false"/>
          <w:szCs w:val="20"/>
        </w:rPr>
        <w:t>﻿</w:t>
      </w:r>
      <w:r>
        <w:rPr>
          <w:rFonts w:ascii="Times New Roman" w:hAnsi="Times New Roman"/>
          <w:caps w:val="false"/>
          <w:smallCaps w:val="false"/>
          <w:sz w:val="20"/>
        </w:rPr>
        <w:t xml:space="preserve">EDA") with the Sales Agents pursuant to which the Company could issue and sell shares of the Company's common stock, par value $0.001 per share (the "Shares") having an aggregate offering price of up to $600 million (the "Second </w:t>
      </w:r>
      <w:r>
        <w:rPr>
          <w:rFonts w:cs="Times New Roman"/>
          <w:caps w:val="false"/>
          <w:smallCaps w:val="false"/>
          <w:szCs w:val="20"/>
        </w:rPr>
        <w:t>﻿</w:t>
      </w:r>
      <w:r>
        <w:rPr>
          <w:rFonts w:ascii="Times New Roman" w:hAnsi="Times New Roman"/>
          <w:caps w:val="false"/>
          <w:smallCaps w:val="false"/>
          <w:sz w:val="20"/>
        </w:rPr>
        <w:t>ATM Offering"), from time to time through the Sales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rFonts w:ascii="Times New Roman" w:hAnsi="Times New Roman"/>
          <w:caps w:val="false"/>
          <w:smallCaps w:val="false"/>
          <w:sz w:val="20"/>
        </w:rPr>
        <w:t xml:space="preserve">Upon delivery of a placement notice and subject to the terms and conditions of the Second </w:t>
      </w:r>
      <w:r>
        <w:rPr>
          <w:rFonts w:cs="Times New Roman"/>
          <w:caps w:val="false"/>
          <w:smallCaps w:val="false"/>
          <w:szCs w:val="20"/>
        </w:rPr>
        <w:t>﻿</w:t>
      </w:r>
      <w:r>
        <w:rPr>
          <w:rFonts w:ascii="Times New Roman" w:hAnsi="Times New Roman"/>
          <w:caps w:val="false"/>
          <w:smallCaps w:val="false"/>
          <w:sz w:val="20"/>
        </w:rPr>
        <w:t xml:space="preserve">EDA,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one day. Subject to the terms and conditions of the Second </w:t>
      </w:r>
      <w:r>
        <w:rPr>
          <w:rFonts w:cs="Times New Roman"/>
          <w:caps w:val="false"/>
          <w:smallCaps w:val="false"/>
          <w:szCs w:val="20"/>
        </w:rPr>
        <w:t>﻿</w:t>
      </w:r>
      <w:r>
        <w:rPr>
          <w:rFonts w:ascii="Times New Roman" w:hAnsi="Times New Roman"/>
          <w:caps w:val="false"/>
          <w:smallCaps w:val="false"/>
          <w:sz w:val="20"/>
        </w:rPr>
        <w:t>EDA, the Sales Agents would use their commercially reasonable efforts to sell Shares on the Company’s behalf up to the designated amount specified in the placement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sz w:val="20"/>
        </w:rPr>
        <w:t xml:space="preserve">The Second </w:t>
      </w:r>
      <w:r>
        <w:rPr>
          <w:rFonts w:cs="Times New Roman;Times;serif"/>
          <w:szCs w:val="20"/>
        </w:rPr>
        <w:t>﻿</w:t>
      </w:r>
      <w:r>
        <w:rPr>
          <w:rFonts w:ascii="Times New Roman;Times;serif" w:hAnsi="Times New Roman;Times;serif"/>
          <w:sz w:val="20"/>
        </w:rPr>
        <w:t>EDA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details of the shares of common stock sold through the First ATM Offering and the Second ATM Offering as of the end of June 30, 2026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2362"/>
        <w:gridCol w:w="60"/>
        <w:gridCol w:w="699"/>
        <w:gridCol w:w="60"/>
        <w:gridCol w:w="79"/>
        <w:gridCol w:w="1125"/>
        <w:gridCol w:w="60"/>
        <w:gridCol w:w="60"/>
        <w:gridCol w:w="251"/>
        <w:gridCol w:w="1190"/>
        <w:gridCol w:w="60"/>
        <w:gridCol w:w="60"/>
        <w:gridCol w:w="137"/>
        <w:gridCol w:w="933"/>
        <w:gridCol w:w="60"/>
        <w:gridCol w:w="60"/>
        <w:gridCol w:w="305"/>
        <w:gridCol w:w="1448"/>
        <w:gridCol w:w="60"/>
        <w:gridCol w:w="60"/>
        <w:gridCol w:w="130"/>
        <w:gridCol w:w="881"/>
        <w:gridCol w:w="65"/>
      </w:tblGrid>
      <w:tr>
        <w:trPr/>
        <w:tc>
          <w:tcPr>
            <w:tcW w:w="2362"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6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9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ind w:left="0" w:right="0" w:hanging="0"/>
              <w:jc w:val="left"/>
              <w:rPr/>
            </w:pPr>
            <w:r>
              <w:rPr/>
              <w:t> </w:t>
            </w:r>
          </w:p>
        </w:tc>
        <w:tc>
          <w:tcPr>
            <w:tcW w:w="11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3,753,300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382,628</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362"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FFFFFF" w:val="clear"/>
            <w:tcMar>
              <w:bottom w:w="0" w:type="dxa"/>
            </w:tcMar>
            <w:vAlign w:val="center"/>
          </w:tcPr>
          <w:p>
            <w:pPr>
              <w:pStyle w:val="TableContents"/>
              <w:bidi w:val="0"/>
              <w:spacing w:before="0" w:after="283"/>
              <w:jc w:val="right"/>
              <w:rPr/>
            </w:pPr>
            <w:r>
              <w:rPr/>
              <w:t> </w:t>
            </w:r>
          </w:p>
        </w:tc>
        <w:tc>
          <w:tcPr>
            <w:tcW w:w="699"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April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2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1,077,126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109,563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144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107,372</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36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99"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May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1,943,789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345,249</w:t>
            </w:r>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362"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99"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25"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1,001,308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90"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0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48"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193,568</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3121" w:type="dxa"/>
            <w:gridSpan w:val="3"/>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2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7,775,523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1,049,814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1,028,817</w:t>
            </w:r>
          </w:p>
        </w:tc>
        <w:tc>
          <w:tcPr>
            <w:tcW w:w="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approximately $125.0 million aggregate principal amount of 2.75%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12 "Convertible Senior Notes" to the consolidated financial statements for further discussion of the 2030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 </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 </w:t>
      </w:r>
    </w:p>
    <w:tbl>
      <w:tblPr>
        <w:tblW w:w="6733" w:type="dxa"/>
        <w:jc w:val="left"/>
        <w:tblInd w:w="0" w:type="dxa"/>
        <w:tblLayout w:type="fixed"/>
        <w:tblCellMar>
          <w:top w:w="0" w:type="dxa"/>
          <w:left w:w="0" w:type="dxa"/>
          <w:bottom w:w="0" w:type="dxa"/>
          <w:right w:w="0" w:type="dxa"/>
        </w:tblCellMar>
      </w:tblPr>
      <w:tblGrid>
        <w:gridCol w:w="4355"/>
        <w:gridCol w:w="60"/>
        <w:gridCol w:w="147"/>
        <w:gridCol w:w="890"/>
        <w:gridCol w:w="94"/>
        <w:gridCol w:w="70"/>
        <w:gridCol w:w="147"/>
        <w:gridCol w:w="890"/>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(73,781</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(633,713</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980,279</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195,993</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19,938</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292,723</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$73.8 million during the six months ended June 30, 2026 as compared to $116.4 million during the six months ended June 30, 2025, a decrease of 36.6%. Net cash used in operating activities consisted of our net loss of $37.1 million, adjusted for non-cash items of $33.9 million, and a net use of cash from changes in working capital of $70.6 million.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hanging="0"/>
        <w:jc w:val="both"/>
        <w:rPr>
          <w:caps w:val="false"/>
          <w:smallCaps w:val="false"/>
        </w:rPr>
      </w:pPr>
      <w:r>
        <w:rPr>
          <w:caps w:val="false"/>
          <w:smallCaps w:val="false"/>
        </w:rPr>
        <w:t>           </w:t>
      </w:r>
      <w:r>
        <w:rPr>
          <w:rFonts w:ascii="Times New Roman" w:hAnsi="Times New Roman"/>
          <w:caps w:val="false"/>
          <w:smallCaps w:val="false"/>
          <w:sz w:val="20"/>
        </w:rPr>
        <w:t>The changes in working capital were primarily attributable to: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which increased by approximately $69.6 million during the six months ended June 30, 2026, as compared to an increase of approximately $94.7 million during the six months ended June 30, 2025, a decrease of 26.4%, primarily due to faster customer payments.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which increased by approximately $94.1 million during the six months ended June 30, 2026, as compared to an increase of approximately $51.0 million during the six months ended June 30, 2025, an increase of 84.3%, primarily due to production ramp and build to support anticipated demand, as well as longer lead times for certain components.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Accounts payable increased by $142.2 million during the six months ended June 30, 2026, compared to an increase of approximately $28.0 million during the six months ended June 30, 2025, an increase of 407.8%. The increase in the current period was primarily due to higher inventory and equipment purchases.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caps w:val="false"/>
          <w:smallCaps w:val="false"/>
        </w:rPr>
      </w:pPr>
      <w:r>
        <w:rPr>
          <w:caps w:val="false"/>
          <w:smallCaps w:val="false"/>
        </w:rPr>
        <w:t> </w:t>
      </w:r>
      <w:r>
        <w:rPr>
          <w:rFonts w:ascii="Times New Roman" w:hAnsi="Times New Roman"/>
          <w:caps w:val="false"/>
          <w:smallCaps w:val="false"/>
          <w:sz w:val="20"/>
        </w:rPr>
        <w:t>Management believes these changes are consistent with ongoing production ramp and customer demand dynamics, which may result in variability in operating cash flows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Customer Concentration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Digicomm represented approximately 67.2% of total accounts receivable. This concentration is primarily attributable to customer purchasing patterns, shipment timing, and billing concentration. Management has extended longer than typical payment terms to Digicomm in order to ensure Digicomm has adequate inventory on hand to quickly provide products to customers when needed for their network builds. The Company has a multi-year history with Digicomm and over this period the Company’s collection experience has been good. Digicomm’s payment history has generally been relatively consistent over time. In addition, to the extent customers in the Company’s data center business continue to grow relative to Digicomm, Management expects Accounts Receivable concentration with Digicomm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continues to monitor credit exposure and collection trends related to significant customers and does not believe this concentration will create a material credit</w:t>
        <w:noBreakHyphen/>
        <w:t>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revenues from Digicomm were approximately $147.0 million, representing approximately 42.8% of consolidated revenues. These revenues were primarily attributable to the CATV product category.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$633.7 million during the six months ended June 30, 2026 compared with $75.2 million in the six months ended June 30, 2025, an increase of 742.8%, primarily driven by capital expenditures of $335.1 million, which included $169.0 million capital expenditures in the US, $62.8 million in Taiwan, and $103.3 million in China. The increase in capital expenditures was primarily attributable to facility expansion and equipment purchases to support increased production capacity for the Company’s internet data center and broadband product lines, including investments related to Quantum Bandwidth products and the continued expansion of manufacturing operations for 400G, 800G, and 1.6T transceiver products. Management expects that 2026 CapEx will continue to be elevated above past year levels, driven by the need to expand production capacity to meet customer demand.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increase in prepayments for equipment and others, primarily reflects advance payments for equipment and facility related capital expenditures associated with the Company's manufacturing expansion projects in the United States, Taiwan and China.  These advance payments are expected to be reclassified to property, plant and equipment as the related assets are received and placed into service.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expects to continue to make investments in capacity expansion through at least the end of 2027 and believes that this expansion will provide adequate production capacity to meet expected demand for data center transceiver, semiconductor lasers, and Quantum Bandwidth broadband products, subject to demand variability, customer ramp timing, supply chain, and other factors. The Company expects to expand manufacturing operations in the U.S. and Taiwan during 2026 and 2027 primarily to support laser diode production and production of 800G and 1.6T transceivers.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$980.3 million during the six months ended June 30, 2026 compared with $196.0 million in the six months ended June 30, 2025, an increase of 400.2%, primarily attributable to the net proceeds of $1.03 billion from the ATM Offering, the net proceeds from line of credit borrowings of $22.2 million, the net proceeds of $1.7 million from issuance of notes payable and long-term debt, partially offset by net proceeds from bank acceptance payable of $0.6 million, and tax payments related to share-based compensation of $71.2 million.</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Loans and Commitments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June 30, 2026, we have lending arrangements with one U.S. bank</w:t>
      </w:r>
      <w:r>
        <w:rPr>
          <w:rFonts w:ascii="Times New Roman;Times;serif" w:hAnsi="Times New Roman;Times;serif"/>
          <w:sz w:val="20"/>
        </w:rPr>
        <w:t xml:space="preserve">, three financial institutions in Taiwan, </w:t>
      </w:r>
      <w:r>
        <w:rPr>
          <w:rFonts w:ascii="Times New Roman;Times;serif" w:hAnsi="Times New Roman;Times;serif"/>
          <w:sz w:val="20"/>
          <w:shd w:fill="FFFFFF" w:val="clear"/>
        </w:rPr>
        <w:t xml:space="preserve">and six financial institutions in China. As of </w:t>
      </w:r>
      <w:r>
        <w:rPr>
          <w:rFonts w:ascii="Times New Roman;Times;serif" w:hAnsi="Times New Roman;Times;serif"/>
          <w:sz w:val="20"/>
        </w:rPr>
        <w:t>June 30, 2026</w:t>
      </w:r>
      <w:r>
        <w:rPr>
          <w:rFonts w:ascii="Times New Roman;Times;serif" w:hAnsi="Times New Roman;Times;serif"/>
          <w:sz w:val="20"/>
          <w:shd w:fill="FFFFFF" w:val="clear"/>
        </w:rPr>
        <w:t>, we were in compliance with the covenants in the lending arrangements. </w:t>
      </w:r>
      <w:r>
        <w:rPr>
          <w:rFonts w:ascii="Times New Roman;Times;serif" w:hAnsi="Times New Roman;Times;serif"/>
          <w:color w:val="000000"/>
          <w:sz w:val="20"/>
          <w:shd w:fill="FFFFFF" w:val="clear"/>
        </w:rPr>
        <w:t xml:space="preserve">As of </w:t>
      </w:r>
      <w:r>
        <w:rPr>
          <w:rFonts w:ascii="Times New Roman;Times;serif" w:hAnsi="Times New Roman;Times;serif"/>
          <w:sz w:val="20"/>
        </w:rPr>
        <w:t>June 30, 2026</w:t>
      </w:r>
      <w:r>
        <w:rPr>
          <w:rFonts w:ascii="Times New Roman;Times;serif" w:hAnsi="Times New Roman;Times;serif"/>
          <w:color w:val="000000"/>
          <w:sz w:val="20"/>
          <w:shd w:fill="FFFFFF" w:val="clear"/>
        </w:rPr>
        <w:t>, we had $</w:t>
      </w:r>
      <w:r>
        <w:rPr>
          <w:rFonts w:ascii="Times New Roman;Times;serif" w:hAnsi="Times New Roman;Times;serif"/>
          <w:sz w:val="20"/>
          <w:shd w:fill="FFFFFF" w:val="clear"/>
        </w:rPr>
        <w:t>106.5</w:t>
      </w:r>
      <w:r>
        <w:rPr>
          <w:rFonts w:ascii="Times New Roman;Times;serif" w:hAnsi="Times New Roman;Times;serif"/>
          <w:color w:val="000000"/>
          <w:sz w:val="20"/>
          <w:shd w:fill="FFFFFF" w:val="clear"/>
        </w:rPr>
        <w:t> million of unused borrowing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13, 2025, we issued a warrant (the "Customer Warrant") to an Amazon affiliate to purchase up to an aggregate of 7,945,399 shares of the Company's common stock ("Warrant Shares") at an exercise price of $23.6956 per share. The Customer Warrant has a contractual term of 10 years. At the time of issuance, the Customer Warrant is exercisable to purchase 1,324,233 Warrant Shares. The remaining 6,621,166 Warrant Shares may vest over the next 10 years, dependent on aggregate purchases by Amazon of $4 billion of our products over this time period. See Note 3 "Revenue Recognition" of our Condensed Consolidated Financial Statements for additional description of the Warrant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$508.8 million as of June 30, 2026, an increase of approximately $292.7 million compared to December 31, 2025.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in Taiwan or U.S.,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had a total loan balance (excluding convertible notes) of $58.9 million from various lenders and had $106.5 million available borrowing capacity on existing credit lines. Should additional liquidity be needed, our Board may authorize issuance of additional common stock under an at-the-market offering in the future (see the discussion of "Liquidity and Capital Resources" in Item 2).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2025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Inflation in the United States has moderated in recent periods.  However, certain cost components, including labor, materials, logistics and tariffs, remain elevated relative to historical levels. These cost pressures were partially offset by improved supply chain conditions and continued cost optimization initiatives.</w:t>
      </w:r>
      <w:r>
        <w:rPr>
          <w:rFonts w:ascii="Times New Roman" w:hAnsi="Times New Roman"/>
          <w:caps w:val="false"/>
          <w:smallCaps w:val="false"/>
          <w:color w:val="FF0000"/>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we experienced continued inflationary pressures in certain areas of our operations. However, these pressures did not have a material impact on our business, financial condition, or results of operations. While we have implemented pricing actions, supply chain diversification initiatives and operational efficiencies to mitigate the effects of inflation, there can be no assurance that these measures will fully offset future cost increases. Continued inflationary pressures, particularly related to labor, tariffs and raw materials, could adversely affect our cost structure, gross margins and operating results in future periods.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2025. We do not believe the Company’s exposure to market risk has changed materially since December 31,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affected by changes in currency exchange and interest rates. Our risk management programs are designed to reduce, but may not entirely eliminate, the impacts of these risks. We performed an evaluation of these risks to our financial positions as of December 31, 2025, and updated that analysis as of June 30, 2026, to determine whether material changes in market risks pertaining to currency and interest rates have occurred as a result of the changes in international trade policies, including tariffs and export controls. No material revisions were noted since disclosing "Quantitative and Qualitative Disclosures About Market Risk" within MD&amp;A, in our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2026.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three months ended June 30, 2026 that have materially affected, or are reasonably likely to materially affect, the Company’s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2025 f</w:t>
      </w:r>
      <w:r>
        <w:rPr>
          <w:rFonts w:ascii="Times New Roman;Times;serif" w:hAnsi="Times New Roman;Times;serif"/>
          <w:sz w:val="20"/>
        </w:rPr>
        <w:t>or a detailed discussion of the risk factors affecting our Company. As of June 30, 2026, there have been no material changes to those risk factors.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7" w:name="unreg"/>
      <w:bookmarkEnd w:id="17"/>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26, 2026, a holder of the Company's 2.75% Convertible Senior Notes due 2030 (the "2030 Notes") converted $75 thousand in aggregate principal amount of 2030 Notes into 1,731 shares of the Company's Common Stock, based on the applicable conversion rate of 23.0884 shares per $1,000 principal amount of the 2030 Notes. The shares of Common Stock were issued in reliance on the exemption from registration provided by Section 3(a)(9) of the Securities Act of 1933, as amended. No proceeds were received by the Company in connection with the conversion.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8" w:name="item5"/>
      <w:bookmarkEnd w:id="18"/>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None</w:t>
      </w:r>
    </w:p>
    <w:p>
      <w:pPr>
        <w:pStyle w:val="TextBody"/>
        <w:bidi w:val="0"/>
        <w:spacing w:before="0" w:after="0"/>
        <w:ind w:left="0" w:right="0" w:hanging="0"/>
        <w:jc w:val="left"/>
        <w:rPr/>
      </w:pPr>
      <w:r>
        <w:rPr>
          <w:rFonts w:ascii="Times New Roman;Times;serif" w:hAnsi="Times New Roman;Times;serif"/>
          <w:sz w:val="20"/>
        </w:rPr>
        <w:br/>
        <w:t xml:space="preserve">(b) </w:t>
      </w:r>
      <w:r>
        <w:rPr>
          <w:rStyle w:val="Emphasis"/>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(c)</w:t>
      </w:r>
      <w:r>
        <w:rPr>
          <w:rFonts w:ascii="Times New Roman;Times;serif" w:hAnsi="Times New Roman;Times;serif"/>
          <w:color w:val="0782C1"/>
          <w:sz w:val="20"/>
        </w:rPr>
        <w:t> </w:t>
      </w: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were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59"/>
        <w:gridCol w:w="1376"/>
        <w:gridCol w:w="1160"/>
        <w:gridCol w:w="1249"/>
        <w:gridCol w:w="1597"/>
        <w:gridCol w:w="2564"/>
      </w:tblGrid>
      <w:tr>
        <w:trPr/>
        <w:tc>
          <w:tcPr>
            <w:tcW w:w="2259" w:type="dxa"/>
            <w:tcBorders/>
            <w:vAlign w:val="center"/>
          </w:tcPr>
          <w:p>
            <w:pPr>
              <w:pStyle w:val="TableContents"/>
              <w:bidi w:val="0"/>
              <w:spacing w:before="0" w:after="283"/>
              <w:jc w:val="left"/>
              <w:rPr/>
            </w:pPr>
            <w:r>
              <w:rPr/>
              <w:t>﻿</w:t>
            </w:r>
            <w:r>
              <w:rPr>
                <w:u w:val="single"/>
              </w:rPr>
              <w:t>Name</w:t>
            </w:r>
          </w:p>
        </w:tc>
        <w:tc>
          <w:tcPr>
            <w:tcW w:w="1376" w:type="dxa"/>
            <w:tcBorders/>
            <w:vAlign w:val="center"/>
          </w:tcPr>
          <w:p>
            <w:pPr>
              <w:pStyle w:val="TableContents"/>
              <w:bidi w:val="0"/>
              <w:spacing w:before="0" w:after="283"/>
              <w:jc w:val="left"/>
              <w:rPr>
                <w:u w:val="single"/>
              </w:rPr>
            </w:pPr>
            <w:r>
              <w:rPr>
                <w:u w:val="single"/>
              </w:rPr>
              <w:t>Title</w:t>
            </w:r>
            <w:r>
              <w:rPr>
                <w:u w:val="single"/>
              </w:rPr>
              <w:t>﻿</w:t>
            </w:r>
          </w:p>
        </w:tc>
        <w:tc>
          <w:tcPr>
            <w:tcW w:w="1160" w:type="dxa"/>
            <w:tcBorders/>
            <w:vAlign w:val="center"/>
          </w:tcPr>
          <w:p>
            <w:pPr>
              <w:pStyle w:val="TableContents"/>
              <w:bidi w:val="0"/>
              <w:spacing w:before="0" w:after="283"/>
              <w:jc w:val="left"/>
              <w:rPr>
                <w:u w:val="single"/>
              </w:rPr>
            </w:pPr>
            <w:r>
              <w:rPr>
                <w:u w:val="single"/>
              </w:rPr>
              <w:t>Action</w:t>
            </w:r>
            <w:r>
              <w:rPr>
                <w:u w:val="single"/>
              </w:rPr>
              <w:t>﻿</w:t>
            </w:r>
          </w:p>
        </w:tc>
        <w:tc>
          <w:tcPr>
            <w:tcW w:w="1249" w:type="dxa"/>
            <w:tcBorders/>
            <w:vAlign w:val="center"/>
          </w:tcPr>
          <w:p>
            <w:pPr>
              <w:pStyle w:val="TableContents"/>
              <w:bidi w:val="0"/>
              <w:spacing w:before="0" w:after="283"/>
              <w:jc w:val="left"/>
              <w:rPr>
                <w:u w:val="single"/>
              </w:rPr>
            </w:pPr>
            <w:r>
              <w:rPr>
                <w:u w:val="single"/>
              </w:rPr>
              <w:t>Date Adopted</w:t>
            </w:r>
            <w:r>
              <w:rPr>
                <w:u w:val="single"/>
              </w:rPr>
              <w:t>﻿</w:t>
            </w:r>
          </w:p>
        </w:tc>
        <w:tc>
          <w:tcPr>
            <w:tcW w:w="1597" w:type="dxa"/>
            <w:tcBorders/>
            <w:vAlign w:val="center"/>
          </w:tcPr>
          <w:p>
            <w:pPr>
              <w:pStyle w:val="TableContents"/>
              <w:bidi w:val="0"/>
              <w:spacing w:before="0" w:after="283"/>
              <w:jc w:val="left"/>
              <w:rPr>
                <w:u w:val="single"/>
              </w:rPr>
            </w:pPr>
            <w:r>
              <w:rPr>
                <w:u w:val="single"/>
              </w:rPr>
              <w:t>Expiration Date</w:t>
            </w:r>
            <w:r>
              <w:rPr>
                <w:u w:val="single"/>
              </w:rPr>
              <w:t>﻿</w:t>
            </w:r>
          </w:p>
        </w:tc>
        <w:tc>
          <w:tcPr>
            <w:tcW w:w="2564" w:type="dxa"/>
            <w:tcBorders/>
            <w:vAlign w:val="center"/>
          </w:tcPr>
          <w:p>
            <w:pPr>
              <w:pStyle w:val="TableContents"/>
              <w:bidi w:val="0"/>
              <w:spacing w:before="0" w:after="283"/>
              <w:jc w:val="left"/>
              <w:rPr/>
            </w:pPr>
            <w:r>
              <w:rPr>
                <w:u w:val="single"/>
              </w:rPr>
              <w:t>Aggregate # of Securities to be Purchased/Sold</w:t>
            </w:r>
            <w:r>
              <w:rPr/>
              <w:t>﻿</w:t>
            </w:r>
          </w:p>
        </w:tc>
      </w:tr>
      <w:tr>
        <w:trPr/>
        <w:tc>
          <w:tcPr>
            <w:tcW w:w="2259" w:type="dxa"/>
            <w:tcBorders/>
            <w:vAlign w:val="center"/>
          </w:tcPr>
          <w:p>
            <w:pPr>
              <w:pStyle w:val="TableContents"/>
              <w:bidi w:val="0"/>
              <w:spacing w:lineRule="auto" w:line="288" w:before="0" w:after="283"/>
              <w:jc w:val="left"/>
              <w:rPr/>
            </w:pPr>
            <w:r>
              <w:rPr/>
              <w:t>Chih-Hsiang (Thompson) Lin (</w:t>
            </w:r>
            <w:r>
              <w:rPr>
                <w:rStyle w:val="Emphasis"/>
              </w:rPr>
              <w:t>1</w:t>
            </w:r>
            <w:r>
              <w:rPr/>
              <w:t>)</w:t>
            </w:r>
          </w:p>
        </w:tc>
        <w:tc>
          <w:tcPr>
            <w:tcW w:w="1376" w:type="dxa"/>
            <w:tcBorders/>
            <w:vAlign w:val="center"/>
          </w:tcPr>
          <w:p>
            <w:pPr>
              <w:pStyle w:val="TableContents"/>
              <w:bidi w:val="0"/>
              <w:spacing w:before="0" w:after="283"/>
              <w:jc w:val="left"/>
              <w:rPr/>
            </w:pPr>
            <w:r>
              <w:rPr/>
              <w:t>President/CEO</w:t>
            </w:r>
          </w:p>
        </w:tc>
        <w:tc>
          <w:tcPr>
            <w:tcW w:w="1160" w:type="dxa"/>
            <w:tcBorders/>
            <w:vAlign w:val="center"/>
          </w:tcPr>
          <w:p>
            <w:pPr>
              <w:pStyle w:val="TableContents"/>
              <w:bidi w:val="0"/>
              <w:spacing w:before="0" w:after="283"/>
              <w:jc w:val="left"/>
              <w:rPr/>
            </w:pPr>
            <w:r>
              <w:rPr/>
              <w:t>Adoption</w:t>
            </w:r>
          </w:p>
        </w:tc>
        <w:tc>
          <w:tcPr>
            <w:tcW w:w="1249" w:type="dxa"/>
            <w:tcBorders/>
            <w:vAlign w:val="center"/>
          </w:tcPr>
          <w:p>
            <w:pPr>
              <w:pStyle w:val="TableContents"/>
              <w:bidi w:val="0"/>
              <w:spacing w:before="0" w:after="283"/>
              <w:jc w:val="left"/>
              <w:rPr/>
            </w:pPr>
            <w:r>
              <w:rPr>
                <w:rStyle w:val="Emphasis"/>
              </w:rPr>
              <w:t>May 27, 2026</w:t>
            </w:r>
            <w:r>
              <w:rPr>
                <w:rStyle w:val="Emphasis"/>
              </w:rPr>
              <w:t>﻿</w:t>
            </w:r>
          </w:p>
        </w:tc>
        <w:tc>
          <w:tcPr>
            <w:tcW w:w="1597" w:type="dxa"/>
            <w:tcBorders/>
            <w:vAlign w:val="center"/>
          </w:tcPr>
          <w:p>
            <w:pPr>
              <w:pStyle w:val="TableContents"/>
              <w:bidi w:val="0"/>
              <w:spacing w:before="0" w:after="283"/>
              <w:jc w:val="left"/>
              <w:rPr/>
            </w:pPr>
            <w:r>
              <w:rPr>
                <w:rStyle w:val="Emphasis"/>
              </w:rPr>
              <w:t>December 31, 2027</w:t>
            </w:r>
            <w:r>
              <w:rPr>
                <w:rStyle w:val="Emphasis"/>
              </w:rPr>
              <w:t>﻿</w:t>
            </w:r>
          </w:p>
        </w:tc>
        <w:tc>
          <w:tcPr>
            <w:tcW w:w="2564" w:type="dxa"/>
            <w:tcBorders/>
            <w:vAlign w:val="center"/>
          </w:tcPr>
          <w:p>
            <w:pPr>
              <w:pStyle w:val="TableContents"/>
              <w:bidi w:val="0"/>
              <w:spacing w:before="0" w:after="283"/>
              <w:jc w:val="left"/>
              <w:rPr/>
            </w:pPr>
            <w:r>
              <w:rPr/>
              <w:t>80,000</w:t>
            </w:r>
          </w:p>
        </w:tc>
      </w:tr>
      <w:tr>
        <w:trPr/>
        <w:tc>
          <w:tcPr>
            <w:tcW w:w="2259" w:type="dxa"/>
            <w:tcBorders/>
            <w:vAlign w:val="center"/>
          </w:tcPr>
          <w:p>
            <w:pPr>
              <w:pStyle w:val="TableContents"/>
              <w:bidi w:val="0"/>
              <w:spacing w:lineRule="auto" w:line="288" w:before="0" w:after="283"/>
              <w:jc w:val="left"/>
              <w:rPr/>
            </w:pPr>
            <w:r>
              <w:rPr/>
              <w:t>Chih-Hsiang (Thompson) Lin (</w:t>
            </w:r>
            <w:r>
              <w:rPr>
                <w:rStyle w:val="Emphasis"/>
              </w:rPr>
              <w:t>2</w:t>
            </w:r>
            <w:r>
              <w:rPr/>
              <w:t>)</w:t>
            </w:r>
          </w:p>
        </w:tc>
        <w:tc>
          <w:tcPr>
            <w:tcW w:w="1376" w:type="dxa"/>
            <w:tcBorders/>
            <w:vAlign w:val="center"/>
          </w:tcPr>
          <w:p>
            <w:pPr>
              <w:pStyle w:val="TableContents"/>
              <w:bidi w:val="0"/>
              <w:spacing w:before="0" w:after="283"/>
              <w:jc w:val="left"/>
              <w:rPr/>
            </w:pPr>
            <w:r>
              <w:rPr/>
              <w:t>President/CEO</w:t>
            </w:r>
          </w:p>
        </w:tc>
        <w:tc>
          <w:tcPr>
            <w:tcW w:w="1160" w:type="dxa"/>
            <w:tcBorders/>
            <w:vAlign w:val="center"/>
          </w:tcPr>
          <w:p>
            <w:pPr>
              <w:pStyle w:val="TableContents"/>
              <w:bidi w:val="0"/>
              <w:spacing w:before="0" w:after="283"/>
              <w:jc w:val="left"/>
              <w:rPr/>
            </w:pPr>
            <w:r>
              <w:rPr/>
              <w:t>Adoption</w:t>
            </w:r>
          </w:p>
        </w:tc>
        <w:tc>
          <w:tcPr>
            <w:tcW w:w="1249" w:type="dxa"/>
            <w:tcBorders/>
            <w:vAlign w:val="center"/>
          </w:tcPr>
          <w:p>
            <w:pPr>
              <w:pStyle w:val="TableContents"/>
              <w:bidi w:val="0"/>
              <w:spacing w:before="0" w:after="283"/>
              <w:jc w:val="left"/>
              <w:rPr/>
            </w:pPr>
            <w:r>
              <w:rPr>
                <w:rStyle w:val="Emphasis"/>
              </w:rPr>
              <w:t>May 28, 2026</w:t>
            </w:r>
          </w:p>
        </w:tc>
        <w:tc>
          <w:tcPr>
            <w:tcW w:w="1597" w:type="dxa"/>
            <w:tcBorders/>
            <w:vAlign w:val="center"/>
          </w:tcPr>
          <w:p>
            <w:pPr>
              <w:pStyle w:val="TableContents"/>
              <w:bidi w:val="0"/>
              <w:spacing w:before="0" w:after="283"/>
              <w:jc w:val="left"/>
              <w:rPr/>
            </w:pPr>
            <w:r>
              <w:rPr>
                <w:rStyle w:val="Emphasis"/>
              </w:rPr>
              <w:t>August 28, 2028</w:t>
            </w:r>
          </w:p>
        </w:tc>
        <w:tc>
          <w:tcPr>
            <w:tcW w:w="2564" w:type="dxa"/>
            <w:tcBorders/>
            <w:vAlign w:val="center"/>
          </w:tcPr>
          <w:p>
            <w:pPr>
              <w:pStyle w:val="TableContents"/>
              <w:bidi w:val="0"/>
              <w:spacing w:before="0" w:after="283"/>
              <w:jc w:val="left"/>
              <w:rPr/>
            </w:pPr>
            <w:r>
              <w:rPr/>
              <w:t>144,000</w:t>
            </w:r>
          </w:p>
        </w:tc>
      </w:tr>
      <w:tr>
        <w:trPr/>
        <w:tc>
          <w:tcPr>
            <w:tcW w:w="10205" w:type="dxa"/>
            <w:gridSpan w:val="6"/>
            <w:tcBorders/>
            <w:vAlign w:val="center"/>
          </w:tcPr>
          <w:p>
            <w:pPr>
              <w:pStyle w:val="TableContents"/>
              <w:bidi w:val="0"/>
              <w:spacing w:lineRule="auto" w:line="288" w:before="0" w:after="283"/>
              <w:jc w:val="left"/>
              <w:rPr/>
            </w:pPr>
            <w:r>
              <w:rPr/>
              <w:t>(</w:t>
            </w:r>
            <w:r>
              <w:rPr>
                <w:rStyle w:val="Emphasis"/>
              </w:rPr>
              <w:t>1</w:t>
            </w:r>
            <w:r>
              <w:rPr/>
              <w:t xml:space="preserve">) Chih-Hsiang (Thompson) Lin, our President and Chief Executive Officer, entered into a Rule </w:t>
            </w:r>
            <w:r>
              <w:rPr>
                <w:rStyle w:val="Emphasis"/>
              </w:rPr>
              <w:t>10b5</w:t>
            </w:r>
            <w:r>
              <w:rPr/>
              <w:t>-</w:t>
            </w:r>
            <w:r>
              <w:rPr>
                <w:rStyle w:val="Emphasis"/>
              </w:rPr>
              <w:t>1</w:t>
            </w:r>
            <w:r>
              <w:rPr/>
              <w:t xml:space="preserve"> Plan on </w:t>
            </w:r>
            <w:r>
              <w:rPr>
                <w:rStyle w:val="Emphasis"/>
              </w:rPr>
              <w:t xml:space="preserve">May 27, 2026. </w:t>
            </w:r>
            <w:r>
              <w:rPr/>
              <w:t xml:space="preserve">Dr. Lin’s plan provides for the potential sale of up to </w:t>
            </w:r>
            <w:r>
              <w:rPr>
                <w:rStyle w:val="Emphasis"/>
              </w:rPr>
              <w:t>80,000</w:t>
            </w:r>
            <w:r>
              <w:rPr/>
              <w:t xml:space="preserve"> shares of the Company's common stock. The plan is set to expire on </w:t>
            </w:r>
            <w:r>
              <w:rPr>
                <w:rStyle w:val="Emphasis"/>
              </w:rPr>
              <w:t xml:space="preserve">December 31, 2027, </w:t>
            </w:r>
            <w:r>
              <w:rPr/>
              <w:t>or upon the earlier completion of all authorized transactions under the plan.</w:t>
            </w:r>
          </w:p>
        </w:tc>
      </w:tr>
      <w:tr>
        <w:trPr/>
        <w:tc>
          <w:tcPr>
            <w:tcW w:w="10205" w:type="dxa"/>
            <w:gridSpan w:val="6"/>
            <w:tcBorders/>
            <w:vAlign w:val="center"/>
          </w:tcPr>
          <w:p>
            <w:pPr>
              <w:pStyle w:val="TableContents"/>
              <w:bidi w:val="0"/>
              <w:spacing w:lineRule="auto" w:line="288" w:before="0" w:after="283"/>
              <w:jc w:val="left"/>
              <w:rPr/>
            </w:pPr>
            <w:r>
              <w:rPr/>
              <w:t>(</w:t>
            </w:r>
            <w:r>
              <w:rPr>
                <w:rStyle w:val="Emphasis"/>
              </w:rPr>
              <w:t>2</w:t>
            </w:r>
            <w:r>
              <w:rPr/>
              <w:t xml:space="preserve">) Chih-Hsiang (Thompson) Lin, our President and Chief Executive Officer, on behalf of Lin Family Investment Holdings, LLC (the sole member interest of which is held by Thompson Lin Family Trust), entered into a Rule </w:t>
            </w:r>
            <w:r>
              <w:rPr>
                <w:rStyle w:val="Emphasis"/>
              </w:rPr>
              <w:t>10b5</w:t>
            </w:r>
            <w:r>
              <w:rPr/>
              <w:t>-</w:t>
            </w:r>
            <w:r>
              <w:rPr>
                <w:rStyle w:val="Emphasis"/>
              </w:rPr>
              <w:t>1</w:t>
            </w:r>
            <w:r>
              <w:rPr/>
              <w:t xml:space="preserve"> Plan on </w:t>
            </w:r>
            <w:r>
              <w:rPr>
                <w:rStyle w:val="Emphasis"/>
              </w:rPr>
              <w:t xml:space="preserve">May 28, 2026. </w:t>
            </w:r>
            <w:r>
              <w:rPr/>
              <w:t xml:space="preserve">Lin Family Investment Holdings, LLC’s plan provides for the potential sale of up to </w:t>
            </w:r>
            <w:r>
              <w:rPr>
                <w:rStyle w:val="Emphasis"/>
              </w:rPr>
              <w:t>144,000</w:t>
            </w:r>
            <w:r>
              <w:rPr/>
              <w:t xml:space="preserve"> shares of the Company's common stock. The plan is set to expire on </w:t>
            </w:r>
            <w:r>
              <w:rPr>
                <w:rStyle w:val="Emphasis"/>
              </w:rPr>
              <w:t xml:space="preserve">August 28, 2028, </w:t>
            </w:r>
            <w:r>
              <w:rPr/>
              <w:t>or upon the earlier completion of all authorized transactions under the plan.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9" w:name="exhibits"/>
      <w:bookmarkEnd w:id="19"/>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10"/>
        <w:gridCol w:w="240"/>
        <w:gridCol w:w="925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2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2">
              <w:r>
                <w:rPr>
                  <w:rStyle w:val="InternetLink"/>
                </w:rPr>
                <w:t>Restated Certificate of Incorporation (filed as Exhibit 3.2 to the Registrant's Current Report on Form 8-K filed with the Securities and Exchange Commission on June 12, 2025).</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283"/>
              <w:jc w:val="left"/>
              <w:rPr/>
            </w:pPr>
            <w:r>
              <w:rPr/>
              <w:t>3.3*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4">
              <w:r>
                <w:rPr>
                  <w:rStyle w:val="InternetLink"/>
                  <w:u w:val="single"/>
                </w:rPr>
                <w:t>Amendment No. 1 to the Amended and Restated Bylaws, as currently in effect (filed as Exhibit 3.1 to the Registrant’s Current Report on Form 8-K filed with the Securities and Exchange Commission on April 2,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10"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55" w:type="dxa"/>
            <w:tcBorders/>
            <w:tcMar>
              <w:bottom w:w="0" w:type="dxa"/>
            </w:tcMar>
            <w:vAlign w:val="center"/>
          </w:tcPr>
          <w:p>
            <w:pPr>
              <w:pStyle w:val="TableContents"/>
              <w:bidi w:val="0"/>
              <w:spacing w:before="0" w:after="0"/>
              <w:ind w:left="0" w:right="0" w:hanging="0"/>
              <w:jc w:val="left"/>
              <w:rPr/>
            </w:pPr>
            <w:r>
              <w:rPr/>
              <w:t>​</w:t>
            </w:r>
          </w:p>
        </w:tc>
      </w:tr>
      <w:tr>
        <w:trPr/>
        <w:tc>
          <w:tcPr>
            <w:tcW w:w="710" w:type="dxa"/>
            <w:tcBorders/>
            <w:tcMar>
              <w:bottom w:w="0" w:type="dxa"/>
            </w:tcMar>
            <w:vAlign w:val="center"/>
          </w:tcPr>
          <w:p>
            <w:pPr>
              <w:pStyle w:val="TableContents"/>
              <w:bidi w:val="0"/>
              <w:spacing w:before="0" w:after="283"/>
              <w:jc w:val="left"/>
              <w:rPr/>
            </w:pPr>
            <w:r>
              <w:rPr/>
              <w:t>4.2*</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6">
              <w:r>
                <w:rPr>
                  <w:rStyle w:val="InternetLink"/>
                  <w:u w:val="single"/>
                </w:rPr>
                <w:t>Indenture, dated as of December 23, 2024 between Applied Optoelectronics, Inc. and Computershare Trust Company, as trustee (filed as Exhibit 4.1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7">
              <w:r>
                <w:rPr>
                  <w:rStyle w:val="InternetLink"/>
                  <w:u w:val="single"/>
                </w:rPr>
                <w:t>Form of Note representing the Company’s 2.75% Convertible Senior Notes due 2030 (included as Exhibit 4.2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8">
              <w:r>
                <w:rPr>
                  <w:rStyle w:val="InternetLink"/>
                  <w:u w:val="single"/>
                </w:rPr>
                <w:t>First Supplemental Indenture, dated as of December 23, 2024, between Applied Optoelectronics, Inc. and Computershare Trust Company, N.A., as trustee (included as Exhibit 4.3 to the Registrant’s Current Report on Form 8-K filed with the Securities and Exchange Commission on December 23, 2024).</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4.5*</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9">
              <w:r>
                <w:rPr>
                  <w:rStyle w:val="InternetLink"/>
                  <w:u w:val="single"/>
                </w:rPr>
                <w:t>Warrant to Purchase Common Stock of Applied Optoelectronics, Inc. by and between Applied Optoelectronics, Inc. and Amazon.com NV Investment Holdings LLC, dated as of March 13, 2025 (included as Exhibit 4.1 to the Registrant’</w:t>
              </w:r>
            </w:hyperlink>
            <w:hyperlink r:id="rId10">
              <w:r>
                <w:rPr>
                  <w:rStyle w:val="InternetLink"/>
                </w:rPr>
                <w:t>﻿</w:t>
              </w:r>
            </w:hyperlink>
            <w:hyperlink r:id="rId11">
              <w:r>
                <w:rPr>
                  <w:rStyle w:val="InternetLink"/>
                  <w:u w:val="single"/>
                </w:rPr>
                <w:t>s Current Report on Form 8-K filed with the Securities and Exchange Commission on March 13, 2025).</w:t>
              </w:r>
            </w:hyperlink>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1"/>
        <w:gridCol w:w="60"/>
        <w:gridCol w:w="9434"/>
      </w:tblGrid>
      <w:tr>
        <w:trPr/>
        <w:tc>
          <w:tcPr>
            <w:tcW w:w="71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hyperlink r:id="rId12">
              <w:r>
                <w:rPr>
                  <w:rStyle w:val="InternetLink"/>
                  <w:rFonts w:ascii="Times New Roman;Times;serif" w:hAnsi="Times New Roman;Times;serif"/>
                  <w:sz w:val="20"/>
                </w:rPr>
                <w:t>Purchase and Sale Agreement, dated April 7, 2026, by and between Applied Optoelectronics, Inc. and SRPF D/Kirby Industrial L.P. (included as Exhibit 10.1 to the Registrant’s Current Report on Form 8-K filed with the Securities and Exchange Commission on April 13, 2026).</w:t>
              </w:r>
            </w:hyperlink>
          </w:p>
        </w:tc>
      </w:tr>
      <w:tr>
        <w:trPr/>
        <w:tc>
          <w:tcPr>
            <w:tcW w:w="711"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r>
              <w:rPr/>
              <w:t> </w:t>
            </w:r>
          </w:p>
        </w:tc>
      </w:tr>
      <w:tr>
        <w:trPr/>
        <w:tc>
          <w:tcPr>
            <w:tcW w:w="71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hyperlink r:id="rId13">
              <w:r>
                <w:rPr>
                  <w:rStyle w:val="InternetLink"/>
                  <w:rFonts w:ascii="Times New Roman;Times;serif" w:hAnsi="Times New Roman;Times;serif"/>
                  <w:sz w:val="20"/>
                </w:rPr>
                <w:t>Lease Agreement (Building 1), dated May 8, 2026, by and between Applied Optoelectronics, Inc., and Hightower Phase I Owner, LLC. (included as Exhibit 10.1 to the Registrant’s Current Report on Form 8-K filed with the Securities and Exchange Commission on May 13, 2026).</w:t>
              </w:r>
            </w:hyperlink>
          </w:p>
        </w:tc>
      </w:tr>
      <w:tr>
        <w:trPr/>
        <w:tc>
          <w:tcPr>
            <w:tcW w:w="711"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r>
              <w:rPr/>
              <w:t> </w:t>
            </w:r>
          </w:p>
        </w:tc>
      </w:tr>
      <w:tr>
        <w:trPr/>
        <w:tc>
          <w:tcPr>
            <w:tcW w:w="71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r>
              <w:rPr/>
              <w:t> </w:t>
            </w:r>
            <w:hyperlink r:id="rId14">
              <w:r>
                <w:rPr>
                  <w:rStyle w:val="InternetLink"/>
                  <w:rFonts w:ascii="Times New Roman;Times;serif" w:hAnsi="Times New Roman;Times;serif"/>
                  <w:sz w:val="20"/>
                </w:rPr>
                <w:t>Lease Agreement (Building 2), dated May 8, 2026, by and between Applied Optoelectronics, Inc., and Hightower Phase I Owner, LLC. (included as Exhibit 10.2 to the Registrant’s Current Report on Form 8-K filed with the Securities and Exchange Commission on May 13, 2026).</w:t>
              </w:r>
            </w:hyperlink>
          </w:p>
        </w:tc>
      </w:tr>
      <w:tr>
        <w:trPr/>
        <w:tc>
          <w:tcPr>
            <w:tcW w:w="711"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r>
              <w:rPr/>
              <w:t> </w:t>
            </w:r>
          </w:p>
        </w:tc>
      </w:tr>
      <w:tr>
        <w:trPr/>
        <w:tc>
          <w:tcPr>
            <w:tcW w:w="71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60" w:type="dxa"/>
            <w:tcBorders/>
            <w:vAlign w:val="bottom"/>
          </w:tcPr>
          <w:p>
            <w:pPr>
              <w:pStyle w:val="TableContents"/>
              <w:bidi w:val="0"/>
              <w:spacing w:before="0" w:after="0"/>
              <w:ind w:left="0" w:right="0" w:hanging="0"/>
              <w:jc w:val="left"/>
              <w:rPr/>
            </w:pPr>
            <w:r>
              <w:rPr/>
              <w:t> </w:t>
            </w:r>
          </w:p>
        </w:tc>
        <w:tc>
          <w:tcPr>
            <w:tcW w:w="9434" w:type="dxa"/>
            <w:tcBorders/>
          </w:tcPr>
          <w:p>
            <w:pPr>
              <w:pStyle w:val="TableContents"/>
              <w:bidi w:val="0"/>
              <w:spacing w:before="0" w:after="0"/>
              <w:ind w:left="0" w:right="0" w:hanging="0"/>
              <w:jc w:val="left"/>
              <w:rPr/>
            </w:pPr>
            <w:hyperlink r:id="rId15">
              <w:r>
                <w:rPr>
                  <w:rStyle w:val="InternetLink"/>
                  <w:rFonts w:ascii="Times New Roman;Times;serif" w:hAnsi="Times New Roman;Times;serif"/>
                  <w:sz w:val="20"/>
                </w:rPr>
                <w:t>L</w:t>
              </w:r>
            </w:hyperlink>
            <w:hyperlink r:id="rId16">
              <w:r>
                <w:rPr>
                  <w:rStyle w:val="InternetLink"/>
                  <w:rFonts w:ascii="Times New Roman;Times;serif" w:hAnsi="Times New Roman;Times;serif"/>
                  <w:sz w:val="20"/>
                </w:rPr>
                <w:t>ease Agreement (Building 3), dated May 8, 2026, by and between Applied Optoelectronics, Inc., and Hightower Phase I Owner, LLC. (included as Exhibit 10.3 to the Registrant’s Current Report on Form 8-K filed with the Securities and Exchange Commission on May 13, 2026).</w:t>
              </w:r>
            </w:hyperlink>
          </w:p>
        </w:tc>
      </w:tr>
      <w:tr>
        <w:trPr/>
        <w:tc>
          <w:tcPr>
            <w:tcW w:w="7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r>
              <w:rPr/>
              <w:t> </w:t>
            </w:r>
          </w:p>
        </w:tc>
      </w:tr>
      <w:tr>
        <w:trPr/>
        <w:tc>
          <w:tcPr>
            <w:tcW w:w="711" w:type="dxa"/>
            <w:tcBorders/>
          </w:tcPr>
          <w:p>
            <w:pPr>
              <w:pStyle w:val="TableContents"/>
              <w:bidi w:val="0"/>
              <w:spacing w:before="0" w:after="283"/>
              <w:jc w:val="left"/>
              <w:rPr/>
            </w:pPr>
            <w:r>
              <w:rPr/>
              <w:t>10.3*†</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hyperlink r:id="rId17">
              <w:r>
                <w:rPr>
                  <w:rStyle w:val="InternetLink"/>
                </w:rPr>
                <w:t>Applied Optoelectronics, Inc. 2026 Equity Incentive Plan (included as Exhibit 10.1 to the Registrant's Current Report on Form 8-K filed with the Securities and Exchange Commission on June 5, 2026).</w:t>
              </w:r>
            </w:hyperlink>
          </w:p>
        </w:tc>
      </w:tr>
      <w:tr>
        <w:trPr/>
        <w:tc>
          <w:tcPr>
            <w:tcW w:w="7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r>
              <w:rPr/>
              <w:t> </w:t>
            </w:r>
          </w:p>
        </w:tc>
      </w:tr>
      <w:tr>
        <w:trPr/>
        <w:tc>
          <w:tcPr>
            <w:tcW w:w="711" w:type="dxa"/>
            <w:tcBorders/>
          </w:tcPr>
          <w:p>
            <w:pPr>
              <w:pStyle w:val="TableContents"/>
              <w:bidi w:val="0"/>
              <w:spacing w:before="0" w:after="283"/>
              <w:jc w:val="left"/>
              <w:rPr/>
            </w:pPr>
            <w:r>
              <w:rPr/>
              <w:t>10.3.1**†</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hyperlink w:anchor="ex_997621.htm">
              <w:r>
                <w:rPr>
                  <w:rStyle w:val="InternetLink"/>
                </w:rPr>
                <w:t>Form of Restricted Stock Unit Award Agreement under 2026 Equity Incentive Plan.</w:t>
              </w:r>
            </w:hyperlink>
          </w:p>
        </w:tc>
      </w:tr>
      <w:tr>
        <w:trPr/>
        <w:tc>
          <w:tcPr>
            <w:tcW w:w="7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r>
              <w:rPr/>
              <w:t> </w:t>
            </w:r>
          </w:p>
        </w:tc>
      </w:tr>
      <w:tr>
        <w:trPr/>
        <w:tc>
          <w:tcPr>
            <w:tcW w:w="711" w:type="dxa"/>
            <w:tcBorders/>
          </w:tcPr>
          <w:p>
            <w:pPr>
              <w:pStyle w:val="TableContents"/>
              <w:bidi w:val="0"/>
              <w:spacing w:before="0" w:after="283"/>
              <w:jc w:val="left"/>
              <w:rPr/>
            </w:pPr>
            <w:r>
              <w:rPr/>
              <w:t>10.3.2**†</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hyperlink w:anchor="ex_997622.htm">
              <w:r>
                <w:rPr>
                  <w:rStyle w:val="InternetLink"/>
                </w:rPr>
                <w:t>Form of Performance Restricted Stock Unit Award Agreement under 2026 Equity Incentive Plan.</w:t>
              </w:r>
            </w:hyperlink>
          </w:p>
        </w:tc>
      </w:tr>
      <w:tr>
        <w:trPr/>
        <w:tc>
          <w:tcPr>
            <w:tcW w:w="711"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4" w:type="dxa"/>
            <w:tcBorders/>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hyperlink r:id="rId18">
              <w:r>
                <w:rPr>
                  <w:rStyle w:val="InternetLink"/>
                </w:rPr>
                <w:t>Translation of the Financing Credit Line Agreement, dated June 11, 2026, between Global Technology, Inc. and Shanghai Pudong Development Bank Co., Ltd. (included as Exhibit 10.1 to the Registrant’s Current Report on Form 8-K filed with the Securities and Exchange Commission on June 16, 2026).</w:t>
              </w:r>
            </w:hyperlink>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hyperlink r:id="rId19">
              <w:r>
                <w:rPr>
                  <w:rStyle w:val="InternetLink"/>
                </w:rPr>
                <w:t>Standard Form of Agreement Between Owner and Design-Builder (AIA Document A141–2024), executed as of June 25, 2026, by and between Applied Optoelectronics, Inc. and LCC3 Solution Inc. (included as Exhibit 10.1 to the Registrant’s Current Report on Form 8-K filed with the Securities and Exchange Commission on July 1, 2026).</w:t>
              </w:r>
            </w:hyperlink>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10.5.1*</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hyperlink r:id="rId20">
              <w:r>
                <w:rPr>
                  <w:rStyle w:val="InternetLink"/>
                </w:rPr>
                <w:t>Exhibits to Design-Build Contract Between Owner and Design-Builder, executed as of June 25, 2026 (included as Exhibit 10.2 to the Registrant's Current Report on Form 8-K filed with the Securities and Exchange Commission on July 1, 2026).</w:t>
              </w:r>
            </w:hyperlink>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31.1**</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hyperlink w:anchor="ex_975243.htm">
              <w:r>
                <w:rPr>
                  <w:rStyle w:val="InternetLink"/>
                </w:rPr>
                <w:t>Certification of Chief Executive Officer pursuant to Exchange Act Rule, 13a-14(a) and 15d-14(a), as adopted pursuant to Section 302 of the Sarbanes-Oxley Act of 2002.</w:t>
              </w:r>
            </w:hyperlink>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hyperlink w:anchor="ex_975244.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1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 </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hyperlink w:anchor="ex_975245.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1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 </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11"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11"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11"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11" w:type="dxa"/>
            <w:tcBorders/>
            <w:vAlign w:val="center"/>
          </w:tcPr>
          <w:p>
            <w:pPr>
              <w:pStyle w:val="TableContents"/>
              <w:bidi w:val="0"/>
              <w:spacing w:before="0" w:after="0"/>
              <w:ind w:left="0" w:right="0" w:hanging="0"/>
              <w:jc w:val="left"/>
              <w:rPr/>
            </w:pPr>
            <w:r>
              <w:rPr/>
              <w:t>​</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pPr>
            <w:r>
              <w:rPr/>
              <w:t>​</w:t>
            </w:r>
          </w:p>
        </w:tc>
      </w:tr>
      <w:tr>
        <w:trPr/>
        <w:tc>
          <w:tcPr>
            <w:tcW w:w="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0"/>
              <w:ind w:left="0" w:right="0" w:hanging="0"/>
              <w:jc w:val="left"/>
              <w:rPr/>
            </w:pPr>
            <w:r>
              <w:rPr/>
              <w:t>​</w:t>
            </w:r>
          </w:p>
        </w:tc>
        <w:tc>
          <w:tcPr>
            <w:tcW w:w="9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pPr>
      <w:r>
        <w:rPr/>
        <w:t xml:space="preserve">†         </w:t>
      </w:r>
      <w:r>
        <w:rPr>
          <w:rFonts w:ascii="Times New Roman;Times;serif" w:hAnsi="Times New Roman;Times;serif"/>
          <w:sz w:val="20"/>
        </w:rPr>
        <w:t>Management contract, compensatory plan or arrangement.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0" w:name="sigs"/>
      <w:bookmarkEnd w:id="2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080" w:type="dxa"/>
        <w:jc w:val="left"/>
        <w:tblInd w:w="0" w:type="dxa"/>
        <w:tblLayout w:type="fixed"/>
        <w:tblCellMar>
          <w:top w:w="0" w:type="dxa"/>
          <w:left w:w="0" w:type="dxa"/>
          <w:bottom w:w="0" w:type="dxa"/>
          <w:right w:w="0" w:type="dxa"/>
        </w:tblCellMar>
      </w:tblPr>
      <w:tblGrid>
        <w:gridCol w:w="1745"/>
        <w:gridCol w:w="320"/>
        <w:gridCol w:w="5015"/>
      </w:tblGrid>
      <w:tr>
        <w:trPr/>
        <w:tc>
          <w:tcPr>
            <w:tcW w:w="174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7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36 </w:t>
      </w:r>
    </w:p>
    <w:p>
      <w:pPr>
        <w:pStyle w:val="TextBody"/>
        <w:bidi w:val="0"/>
        <w:spacing w:before="0" w:after="0"/>
        <w:ind w:left="0" w:right="0" w:hanging="0"/>
        <w:jc w:val="right"/>
        <w:rPr>
          <w:rFonts w:ascii="Times New Roman;Times;serif" w:hAnsi="Times New Roman;Times;serif"/>
          <w:b/>
          <w:sz w:val="20"/>
        </w:rPr>
      </w:pPr>
      <w:bookmarkStart w:id="21" w:name="ex_997621.htm"/>
      <w:bookmarkStart w:id="22" w:name="ksex_997621"/>
      <w:bookmarkEnd w:id="21"/>
      <w:bookmarkEnd w:id="22"/>
      <w:r>
        <w:rPr>
          <w:rFonts w:ascii="Times New Roman;Times;serif" w:hAnsi="Times New Roman;Times;serif"/>
          <w:b/>
          <w:sz w:val="20"/>
        </w:rPr>
        <w:t>Exhibit 10.3.1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RESTRICTED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this Notice of Restricted Stock Unit Award (this "</w:t>
      </w:r>
      <w:r>
        <w:rPr>
          <w:rFonts w:ascii="Times New Roman" w:hAnsi="Times New Roman"/>
          <w:caps w:val="false"/>
          <w:smallCaps w:val="false"/>
          <w:sz w:val="20"/>
          <w:u w:val="single"/>
        </w:rPr>
        <w:t>Notice</w:t>
      </w:r>
      <w:r>
        <w:rPr>
          <w:rFonts w:ascii="Times New Roman" w:hAnsi="Times New Roman"/>
          <w:caps w:val="false"/>
          <w:smallCaps w:val="false"/>
          <w:sz w:val="20"/>
        </w:rPr>
        <w:t>"), the Restricted Stock Unit Award Agreement attached hereto (the "</w:t>
      </w:r>
      <w:r>
        <w:rPr>
          <w:rFonts w:ascii="Times New Roman" w:hAnsi="Times New Roman"/>
          <w:caps w:val="false"/>
          <w:smallCaps w:val="false"/>
          <w:sz w:val="20"/>
          <w:u w:val="single"/>
        </w:rPr>
        <w:t>Award Agreement</w:t>
      </w:r>
      <w:r>
        <w:rPr>
          <w:rFonts w:ascii="Times New Roman" w:hAnsi="Times New Roman"/>
          <w:caps w:val="false"/>
          <w:smallCaps w:val="false"/>
          <w:sz w:val="20"/>
        </w:rPr>
        <w:t>"), and the Applied Optoelectronics, Inc. 2026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below individual (the "</w:t>
      </w:r>
      <w:r>
        <w:rPr>
          <w:rFonts w:ascii="Times New Roman" w:hAnsi="Times New Roman"/>
          <w:caps w:val="false"/>
          <w:smallCaps w:val="false"/>
          <w:sz w:val="20"/>
          <w:u w:val="single"/>
        </w:rPr>
        <w:t>Participant</w:t>
      </w:r>
      <w:r>
        <w:rPr>
          <w:rFonts w:ascii="Times New Roman" w:hAnsi="Times New Roman"/>
          <w:caps w:val="false"/>
          <w:smallCaps w:val="false"/>
          <w:sz w:val="20"/>
        </w:rPr>
        <w:t>") is hereby granted the below number of Restricted Stock Units (the "</w:t>
      </w:r>
      <w:r>
        <w:rPr>
          <w:rFonts w:ascii="Times New Roman" w:hAnsi="Times New Roman"/>
          <w:caps w:val="false"/>
          <w:smallCaps w:val="false"/>
          <w:sz w:val="20"/>
          <w:u w:val="single"/>
        </w:rPr>
        <w:t>RSUs</w:t>
      </w:r>
      <w:r>
        <w:rPr>
          <w:rFonts w:ascii="Times New Roman" w:hAnsi="Times New Roman"/>
          <w:caps w:val="false"/>
          <w:smallCaps w:val="false"/>
          <w:sz w:val="20"/>
        </w:rPr>
        <w:t>") in the Common Stock of Applied Optoelectronics, Inc. (the "</w:t>
      </w:r>
      <w:r>
        <w:rPr>
          <w:rFonts w:ascii="Times New Roman" w:hAnsi="Times New Roman"/>
          <w:caps w:val="false"/>
          <w:smallCaps w:val="false"/>
          <w:sz w:val="20"/>
          <w:u w:val="single"/>
        </w:rPr>
        <w:t>Company</w:t>
      </w:r>
      <w:r>
        <w:rPr>
          <w:rFonts w:ascii="Times New Roman" w:hAnsi="Times New Roman"/>
          <w:caps w:val="false"/>
          <w:smallCaps w:val="false"/>
          <w:sz w:val="20"/>
        </w:rPr>
        <w:t>"). Unless otherwise specifically indicated, all terms used in this Notice shall have the meaning as set forth in the Award Agreement or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Identifying Information:</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Participant Name:                  </w:t>
      </w:r>
    </w:p>
    <w:p>
      <w:pPr>
        <w:pStyle w:val="TextBody"/>
        <w:bidi w:val="0"/>
        <w:spacing w:before="0" w:after="0"/>
        <w:ind w:left="460" w:right="0" w:firstLine="720"/>
        <w:jc w:val="both"/>
        <w:rPr>
          <w:rFonts w:ascii="Times New Roman" w:hAnsi="Times New Roman"/>
          <w:caps w:val="false"/>
          <w:smallCaps w:val="false"/>
          <w:sz w:val="20"/>
        </w:rPr>
      </w:pPr>
      <w:r>
        <w:rPr>
          <w:rFonts w:ascii="Times New Roman" w:hAnsi="Times New Roman"/>
          <w:caps w:val="false"/>
          <w:smallCaps w:val="false"/>
          <w:sz w:val="20"/>
        </w:rPr>
        <w:t>and Address: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Employee ID / Participant Code: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Grant Number: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Number of RSUs: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Date of Grant: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Vesting Commencement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Vesting Schedule: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Participant's continuous status as a Service Provider, and the terms of the Plan and this Award Agreement, the RSUs shall vest over a [ ]-year period in accordance with the following vesting schedule (the "</w:t>
      </w:r>
      <w:r>
        <w:rPr>
          <w:rFonts w:ascii="Times New Roman" w:hAnsi="Times New Roman"/>
          <w:caps w:val="false"/>
          <w:smallCaps w:val="false"/>
          <w:sz w:val="20"/>
          <w:u w:val="single"/>
        </w:rPr>
        <w:t>Vesting Schedule</w:t>
      </w:r>
      <w:r>
        <w:rPr>
          <w:rFonts w:ascii="Times New Roman" w:hAnsi="Times New Roman"/>
          <w:caps w:val="false"/>
          <w:smallCaps w:val="false"/>
          <w:sz w:val="20"/>
        </w:rPr>
        <w:t>"):</w:t>
      </w:r>
    </w:p>
    <w:tbl>
      <w:tblPr>
        <w:tblW w:w="3190" w:type="dxa"/>
        <w:jc w:val="left"/>
        <w:tblInd w:w="0" w:type="dxa"/>
        <w:tblLayout w:type="fixed"/>
        <w:tblCellMar>
          <w:top w:w="0" w:type="dxa"/>
          <w:left w:w="0" w:type="dxa"/>
          <w:bottom w:w="0" w:type="dxa"/>
          <w:right w:w="0" w:type="dxa"/>
        </w:tblCellMar>
      </w:tblPr>
      <w:tblGrid>
        <w:gridCol w:w="1070"/>
        <w:gridCol w:w="2120"/>
      </w:tblGrid>
      <w:tr>
        <w:trPr/>
        <w:tc>
          <w:tcPr>
            <w:tcW w:w="107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Vesting Date</w:t>
            </w:r>
          </w:p>
        </w:tc>
        <w:tc>
          <w:tcPr>
            <w:tcW w:w="2120" w:type="dxa"/>
            <w:tcBorders/>
            <w:vAlign w:val="center"/>
          </w:tcPr>
          <w:p>
            <w:pPr>
              <w:pStyle w:val="TableContents"/>
              <w:bidi w:val="0"/>
              <w:spacing w:before="0" w:after="0"/>
              <w:ind w:left="8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Nonforfeitable Proportion</w:t>
            </w:r>
          </w:p>
        </w:tc>
      </w:tr>
      <w:tr>
        <w:trPr/>
        <w:tc>
          <w:tcPr>
            <w:tcW w:w="107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above, the RSUs shall automatically become fully vested upon the earlier of: (i) the Participant's Disability (as determined in the sole discretion of the Company) and (ii)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Withholding Tax Election: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your written signature below (or your electronic acceptance), you understand and agree that, as a condition of the grant of the RSUs hereunder, you are required to, and hereby affirmatively elect to, (1) sell that number of Shares of Common Stock determined in accordance with the “Taxes” section of the Award Agreement as may be necessary to satisfy all applicable withholding obligations with respect to any taxable event arising in connection with the RSUs, and (2) allow the broker or other third-party intermediary acceptable to the Company to remit the cash proceeds of such sale(s) to the Company. Furthermore, you direct the Company to make a cash payment equal to the required tax withholding from the cash proceeds of such sale(s) directly to the appropriate taxing authorities.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By your signature and the signature of the Company's representative below, the Participant and the Company agree that the RSUs granted are governed by the terms and conditions of this Notice, the Award Agreement and the Plan.</w:t>
      </w:r>
    </w:p>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60"/>
        <w:gridCol w:w="3365"/>
      </w:tblGrid>
      <w:tr>
        <w:trPr/>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PARTICIPANT 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Participant acknowledges receipt of a copy of this Notice, the Award Agreement and the Plan, and represents that he or she is familiar with the provisions thereof, and hereby accepts the RSUs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60"/>
        <w:gridCol w:w="1415"/>
      </w:tblGrid>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 Name: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the Notice of Restricted Stock Unit Award (the "</w:t>
      </w:r>
      <w:r>
        <w:rPr>
          <w:rFonts w:ascii="Times New Roman" w:hAnsi="Times New Roman"/>
          <w:caps w:val="false"/>
          <w:smallCaps w:val="false"/>
          <w:sz w:val="20"/>
          <w:u w:val="single"/>
        </w:rPr>
        <w:t>Notice</w:t>
      </w:r>
      <w:r>
        <w:rPr>
          <w:rFonts w:ascii="Times New Roman" w:hAnsi="Times New Roman"/>
          <w:caps w:val="false"/>
          <w:smallCaps w:val="false"/>
          <w:sz w:val="20"/>
        </w:rPr>
        <w:t>"), this Restricted Stock Unit Award Agreement (this "</w:t>
      </w:r>
      <w:r>
        <w:rPr>
          <w:rFonts w:ascii="Times New Roman" w:hAnsi="Times New Roman"/>
          <w:caps w:val="false"/>
          <w:smallCaps w:val="false"/>
          <w:sz w:val="20"/>
          <w:u w:val="single"/>
        </w:rPr>
        <w:t>Award Agreement</w:t>
      </w:r>
      <w:r>
        <w:rPr>
          <w:rFonts w:ascii="Times New Roman" w:hAnsi="Times New Roman"/>
          <w:caps w:val="false"/>
          <w:smallCaps w:val="false"/>
          <w:sz w:val="20"/>
        </w:rPr>
        <w:t>"), and the Applied Optoelectronics, Inc. 2026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individual set forth in the Notice (the "</w:t>
      </w:r>
      <w:r>
        <w:rPr>
          <w:rFonts w:ascii="Times New Roman" w:hAnsi="Times New Roman"/>
          <w:caps w:val="false"/>
          <w:smallCaps w:val="false"/>
          <w:sz w:val="20"/>
          <w:u w:val="single"/>
        </w:rPr>
        <w:t>Participant</w:t>
      </w:r>
      <w:r>
        <w:rPr>
          <w:rFonts w:ascii="Times New Roman" w:hAnsi="Times New Roman"/>
          <w:caps w:val="false"/>
          <w:smallCaps w:val="false"/>
          <w:sz w:val="20"/>
        </w:rPr>
        <w:t>") is hereby granted Restricted Stock Units (the "</w:t>
      </w:r>
      <w:r>
        <w:rPr>
          <w:rFonts w:ascii="Times New Roman" w:hAnsi="Times New Roman"/>
          <w:caps w:val="false"/>
          <w:smallCaps w:val="false"/>
          <w:sz w:val="20"/>
          <w:u w:val="single"/>
        </w:rPr>
        <w:t>RSUs</w:t>
      </w:r>
      <w:r>
        <w:rPr>
          <w:rFonts w:ascii="Times New Roman" w:hAnsi="Times New Roman"/>
          <w:caps w:val="false"/>
          <w:smallCaps w:val="false"/>
          <w:sz w:val="20"/>
        </w:rPr>
        <w:t>") in the Common Stock of Applied Optoelectronics, Inc. (the "</w:t>
      </w:r>
      <w:r>
        <w:rPr>
          <w:rFonts w:ascii="Times New Roman" w:hAnsi="Times New Roman"/>
          <w:caps w:val="false"/>
          <w:smallCaps w:val="false"/>
          <w:sz w:val="20"/>
          <w:u w:val="single"/>
        </w:rPr>
        <w:t>Company</w:t>
      </w:r>
      <w:r>
        <w:rPr>
          <w:rFonts w:ascii="Times New Roman" w:hAnsi="Times New Roman"/>
          <w:caps w:val="false"/>
          <w:smallCaps w:val="false"/>
          <w:sz w:val="20"/>
        </w:rPr>
        <w:t>"). Unless otherwise specifically indicated, all terms used in this Award Agreement shall have the meaning as set forth in the Notice 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Vesting Schedule and Risk of Forfeiture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Vesting Schedule</w:t>
      </w:r>
      <w:r>
        <w:rPr>
          <w:rFonts w:ascii="Times New Roman" w:hAnsi="Times New Roman"/>
          <w:caps w:val="false"/>
          <w:smallCaps w:val="false"/>
          <w:sz w:val="20"/>
        </w:rPr>
        <w:t>. Subject to the Participant's continuous service with the Company as a Service Provider and any other limitations set forth in the Notice, the Plan or this Award Agreement, the RSUs shall vest in accordance with the Vesting Schedule provided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Risk of Forfeiture</w:t>
      </w:r>
      <w:r>
        <w:rPr>
          <w:rFonts w:ascii="Times New Roman" w:hAnsi="Times New Roman"/>
          <w:caps w:val="false"/>
          <w:smallCaps w:val="false"/>
          <w:sz w:val="20"/>
        </w:rPr>
        <w:t>. The RSUs shall be subject to a risk of forfeiture until such time that the risk of forfeiture lapses in accordance with the Vesting Schedule. All or any portion of the RSUs subject to a risk of forfeiture shall automatically be forfeited and immediately returned to the Company if the Participant's continuous status as a Service Provider is interrupted or terminated for any reason, unless otherwise provided by the Administrator. The Company shall implement any forfeiture under this Section 1 in a unilateral manner, without the Participant's consent, and with no payment to the Participant, cash or otherwise, for any unvested RSUs that are forfeited. Additionally, all of the RSUs subject to this Award Agreement shall immediately become forfeited if the Participant fails to fully satisfy Section 3(b) of this Award Agreement,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Settlement of RSUs into Shares</w:t>
      </w:r>
      <w:r>
        <w:rPr>
          <w:rFonts w:ascii="Times New Roman" w:hAnsi="Times New Roman"/>
          <w:caps w:val="false"/>
          <w:smallCaps w:val="false"/>
          <w:sz w:val="20"/>
        </w:rPr>
        <w:t>. Subject to the terms of this Award Agreement, and only to the extent all or any portion of the RSUs become nonforfeitable pursuant to the Vesting Schedule, each RSU that becomes nonforfeitable shall be converted into one Share of the Company's Common Stock on the Vesting Date (as defined in the Vesting Schedule); and at such time the Shares shall be distributed to the Participant as soon as administratively possible after such event, but in no event later than two-and-one-half (2.5) months after the end of the year in which such event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Taxes</w:t>
      </w:r>
      <w:r>
        <w:rPr>
          <w:rFonts w:ascii="Times New Roman" w:hAnsi="Times New Roman"/>
          <w:caps w:val="false"/>
          <w:smallCaps w:val="false"/>
          <w:sz w:val="20"/>
        </w:rPr>
        <w:t>. The Participant hereby acknowledges and understands that he or she may suffer adverse tax consequences as a result of the Participant's receipt of, vesting in, or disposition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w:t>
      </w:r>
      <w:r>
        <w:rPr>
          <w:rFonts w:ascii="Times New Roman" w:hAnsi="Times New Roman"/>
          <w:caps w:val="false"/>
          <w:smallCaps w:val="false"/>
          <w:sz w:val="20"/>
        </w:rPr>
        <w:t>. The Participant has reviewed with his or her own tax advisors the tax consequences of this Award Agreement and the RSUs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RSUs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Withholding Taxes</w:t>
      </w:r>
      <w:r>
        <w:rPr>
          <w:rFonts w:ascii="Times New Roman" w:hAnsi="Times New Roman"/>
          <w:caps w:val="false"/>
          <w:smallCaps w:val="false"/>
          <w:sz w:val="20"/>
        </w:rPr>
        <w:t>. The Participant shall make appropriate arrangements with the Company for the satisfaction of all U.S. federal, state, local and non-U.S. income and employment tax withholding requirements applicable to any RSUs that settle in Shares of Common Stock in accordance with Section 2. In satisfaction of such tax withholding obligations, the Participant has elected to sell the portion of the Shares of Common Stock to be delivered under the RSUs necessary so as to satisfy the tax withholding obligations (“</w:t>
      </w:r>
      <w:r>
        <w:rPr>
          <w:rFonts w:ascii="Times New Roman" w:hAnsi="Times New Roman"/>
          <w:caps w:val="false"/>
          <w:smallCaps w:val="false"/>
          <w:sz w:val="20"/>
          <w:u w:val="single"/>
        </w:rPr>
        <w:t>Sell to Cover</w:t>
      </w:r>
      <w:r>
        <w:rPr>
          <w:rFonts w:ascii="Times New Roman" w:hAnsi="Times New Roman"/>
          <w:caps w:val="false"/>
          <w:smallCaps w:val="false"/>
          <w:sz w:val="20"/>
        </w:rPr>
        <w:t>”), and such Sell to Cover shall be facilitated by a broker or other third-party intermediary acceptable to the Company (the “</w:t>
      </w:r>
      <w:r>
        <w:rPr>
          <w:rFonts w:ascii="Times New Roman" w:hAnsi="Times New Roman"/>
          <w:caps w:val="false"/>
          <w:smallCaps w:val="false"/>
          <w:sz w:val="20"/>
          <w:u w:val="single"/>
        </w:rPr>
        <w:t>Broker</w:t>
      </w:r>
      <w:r>
        <w:rPr>
          <w:rFonts w:ascii="Times New Roman" w:hAnsi="Times New Roman"/>
          <w:caps w:val="false"/>
          <w:smallCaps w:val="false"/>
          <w:sz w:val="20"/>
        </w:rPr>
        <w:t>”) pursuant to Section 3(c) below. The Participant will be deemed to have been issued the number of Shares of Common Stock subject to the vested award, notwithstanding that a number of Shares of Common Stock are sold pursuant to the Sell to Cover solely for the purpose of paying the applicable tax withholding items arising from the RSUs. Notwithstanding anything in this Award Agreement to the contrary, the Participant hereby acknowledges and agrees that the Sell to Cover provision may not cover the Participant’s full tax liability as it relates to the vesting and settlement of the RSUs and that the Participant shall remain fully responsible for his or her tax liability in respect of the vesting and/or settlement of the RSUs in all cases. The Participant hereby agrees that a breach of this Section 3(b) shall be deemed to be a material breach of this Award Agreement. The Participant hereby acknowledges his or her understanding that the Company's obligations under this Award Agreement are fully contingent on the Participant first satisfying this Section 3(b). Therefore, a failure of the Participant to reasonably satisfy this Section 3 in accordance with the Committee's sole and absolute discretion shall result in the automatic termination and expiration of this Award Agreement and the Company's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Rule 10b5-1 Plan</w:t>
      </w:r>
      <w:r>
        <w:rPr>
          <w:rFonts w:ascii="Times New Roman" w:hAnsi="Times New Roman"/>
          <w:caps w:val="false"/>
          <w:smallCaps w:val="false"/>
          <w:sz w:val="20"/>
        </w:rPr>
        <w:t>. The instruction to the Broker to sell Shares of Common Stock pursuant to the Sell to Cover provision in Section 3(b) above (this "</w:t>
      </w:r>
      <w:r>
        <w:rPr>
          <w:rFonts w:ascii="Times New Roman" w:hAnsi="Times New Roman"/>
          <w:caps w:val="false"/>
          <w:smallCaps w:val="false"/>
          <w:sz w:val="20"/>
          <w:u w:val="single"/>
        </w:rPr>
        <w:t>10b5-1 Plan</w:t>
      </w:r>
      <w:r>
        <w:rPr>
          <w:rFonts w:ascii="Times New Roman" w:hAnsi="Times New Roman"/>
          <w:caps w:val="false"/>
          <w:smallCaps w:val="false"/>
          <w:sz w:val="20"/>
        </w:rPr>
        <w:t>") is intended to comply with the requirements of Rule 10b5</w:t>
        <w:noBreakHyphen/>
        <w:t>1(c)(1)(i)(B) under the Exchange Act, and is to be interpreted to comply with the requirements of Rule 10b5-1(c)(1) under the Exchange Act, including the applicable cooling-off period(s) described therein. The Participant is not aware of any material, nonpublic information with respect to the Company or any securities of the Company as of the date of this Award Agreement and the Participant will not effectuate such sales on the basis of material nonpublic information about the Company or the securities of the Company of which the Participant has knowledge of at the time of this Award Agreement. The Participant entered into this Award Agreement in good faith and not as part of a plan or scheme to evade the prohibitions of Rule 10b5-1 under the Exchange Act. This 10b5-1 Plan is adopted to be effective as of the Date of Grant set forth in the Notice. This 10b5-1 Plan is being adopted to require the Participant to sell a number of Shares of Common Stock awarded upon the vesting and/or settlement sufficient to pay withholding taxes that become due as a result of the vesting and/or settlement of the RSUs and which the Company is required by applicable laws to withhold or deduct. The Participant hereby authorizes the Broker to sell the number of Shares of Common Stock determined as set forth above and acknowledges that the Broker is under no obligation to arrange for such sale at any particular price. The Participant hereby appoints the Company as the Participant's agent and attorney-in-fact to instruct the Broker with respect to the number of Shares of Common Stock to be sold under this 10b5-1 Plan. The Participant hereby authorizes the Broker to remit directly to the Company the proceeds necessary to cover the Participant’s tax liability as it relates to the vesting and/or settlement of the RSUs as provided in Section 3(b) above, and to retain the amount required to cover all applicable fees and commissions due to, or required to be collected by, the Broker relating to the Sell to Cover and this 10b5-1 Plan. Notwithstanding the foregoing, the Participant shall be responsible for all brokerage fees and other costs of the Sell to Cover, and the Participant hereby agrees to indemnify and hold the Company and its directors, officers, employees and agents harmless from any losses, costs, damages, or expenses relating to any such Sell to Cover under this 10b5-1 Plan. The Participant acknowledges that it may not be possible to sell Shares of Common Stock during the term of this 10b5-1 Plan due to, among other reasons, (i) a legal or contractual restriction applicable to the Participant or to the Broker, (ii) a market disruption, (iii) rules governing order execution priority on the applicable securities exchange or (iv) if the Company determines that sales may not be effectuated under this 10b5-1 Plan. This 10b5</w:t>
        <w:noBreakHyphen/>
        <w:t>1 Plan is subject to the terms of any policy adopted now or hereafter by the Company governing the adoption of 10b5-1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Application of Section 409A</w:t>
      </w:r>
      <w:r>
        <w:rPr>
          <w:rFonts w:ascii="Times New Roman" w:hAnsi="Times New Roman"/>
          <w:caps w:val="false"/>
          <w:smallCaps w:val="false"/>
          <w:sz w:val="20"/>
        </w:rPr>
        <w:t>. The RSUs and this Award Agreement are intended to avoid the application of Section 409A of the Code ("</w:t>
      </w:r>
      <w:r>
        <w:rPr>
          <w:rFonts w:ascii="Times New Roman" w:hAnsi="Times New Roman"/>
          <w:caps w:val="false"/>
          <w:smallCaps w:val="false"/>
          <w:sz w:val="20"/>
          <w:u w:val="single"/>
        </w:rPr>
        <w:t>Section 409A</w:t>
      </w:r>
      <w:r>
        <w:rPr>
          <w:rFonts w:ascii="Times New Roman" w:hAnsi="Times New Roman"/>
          <w:caps w:val="false"/>
          <w:smallCaps w:val="false"/>
          <w:sz w:val="20"/>
        </w:rPr>
        <w:t>") because either (i) there is no deferral arrangement or (ii) the Award Agreement satisfies an exemption available under Section 409A such as the short-term deferral rule.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RSUs to comply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Transferability of RSUs</w:t>
      </w:r>
      <w:r>
        <w:rPr>
          <w:rFonts w:ascii="Times New Roman" w:hAnsi="Times New Roman"/>
          <w:caps w:val="false"/>
          <w:smallCaps w:val="false"/>
          <w:sz w:val="20"/>
        </w:rPr>
        <w:t>. The RSUs may not be transferred in any manner other than by will or by the laws of descent and distribution. Any purported transfer of RSUs in breach of this Award Agreement shall be void and ineffective and shall not operate to transfer any interest or title in the purported transferee. The terms of this Award Agreement shall be binding upon the executors, administrators, heirs, successors and transferees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Rights as a Shareholder of the Company</w:t>
      </w:r>
      <w:r>
        <w:rPr>
          <w:rFonts w:ascii="Times New Roman" w:hAnsi="Times New Roman"/>
          <w:caps w:val="false"/>
          <w:smallCaps w:val="false"/>
          <w:sz w:val="20"/>
        </w:rPr>
        <w:t>. The Participant's receipt of the grant of RSUs pursuant to this Award Agreement shall provide and confer no rights or status as a shareholder of the Company until such time the RSUs are converted in accordance with Section 2 of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Legality of Initial Issuance</w:t>
      </w:r>
      <w:r>
        <w:rPr>
          <w:rFonts w:ascii="Times New Roman" w:hAnsi="Times New Roman"/>
          <w:caps w:val="false"/>
          <w:smallCaps w:val="false"/>
          <w:sz w:val="20"/>
        </w:rPr>
        <w:t>. No Shares shall be issued in accordance with Section 2 of this Award Agreement unless and until the Committee has determined that: (i) the Company and the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Notice</w:t>
      </w:r>
      <w:r>
        <w:rPr>
          <w:rFonts w:ascii="Times New Roman" w:hAnsi="Times New Roman"/>
          <w:caps w:val="false"/>
          <w:smallCaps w:val="false"/>
          <w:sz w:val="20"/>
        </w:rPr>
        <w:t>.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Except as provided herein to the contrary, this Award Agreement shall be binding upon and inure to the benefit of the parties to this Award Agreement, their respective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No Assignment</w:t>
      </w:r>
      <w:r>
        <w:rPr>
          <w:rFonts w:ascii="Times New Roman" w:hAnsi="Times New Roman"/>
          <w:caps w:val="false"/>
          <w:smallCaps w:val="false"/>
          <w:sz w:val="20"/>
        </w:rPr>
        <w:t>. Except as otherwise provided in this Award Agreement, the Participant shall not assign any of his or her rights under the Notice or this Award Agreement without the prior written consent of the Company, which consent may be withheld in its sole discretion. The Company shall be permitted to assign its rights or obligations under the Notice or this Award Agreement, but no such assignment shall release the Company of its obligations pursuant to the Notice or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Severability</w:t>
      </w:r>
      <w:r>
        <w:rPr>
          <w:rFonts w:ascii="Times New Roman" w:hAnsi="Times New Roman"/>
          <w:caps w:val="false"/>
          <w:smallCaps w:val="false"/>
          <w:sz w:val="20"/>
        </w:rPr>
        <w:t>. It is the desire of the parties hereto that this Award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the validity, legality or enforceability of the remainder of this Award Agreement shall not be affected even if one or more of the provisions of this Award Agreement shall be held to be invalid, illegal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Amendment</w:t>
      </w:r>
      <w:r>
        <w:rPr>
          <w:rFonts w:ascii="Times New Roman" w:hAnsi="Times New Roman"/>
          <w:caps w:val="false"/>
          <w:smallCaps w:val="false"/>
          <w:sz w:val="20"/>
        </w:rPr>
        <w:t>. Any provision of this Award Agreement may be amended and the observance thereof may be waived (either generally or in a particular instance and either retroactively or prospectively) only by a written instrument signed by the parties hereto. Notwithstanding the foregoing or any other provision in the Plan or this Award Agreement to the contrary, the Committee shall have the right, in its sole discretion, to unilaterally adopt amendments to this Award Agreement or the Plan to the minimum extent necessary or appropriate (as determined by the Committee in its sole discretion) for RSUs to comply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Administration and Interpretation</w:t>
      </w:r>
      <w:r>
        <w:rPr>
          <w:rFonts w:ascii="Times New Roman" w:hAnsi="Times New Roman"/>
          <w:caps w:val="false"/>
          <w:smallCaps w:val="false"/>
          <w:sz w:val="20"/>
        </w:rPr>
        <w:t>. Any determination by the Committee in connection with any question or issue arising under the Notice, the Plan or this Award Agreement shall be final, conclusive and binding on the Participant, the Company and all other persons. Any question or dispute regarding the interpretation of this Award Agreement or the receipt of the RSUs hereunder shall be submitted by the Participant to the Committee. The resolution of such question or dispute by the Committee shall be final and binding on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Headings</w:t>
      </w:r>
      <w:r>
        <w:rPr>
          <w:rFonts w:ascii="Times New Roman" w:hAnsi="Times New Roman"/>
          <w:caps w:val="false"/>
          <w:smallCaps w:val="false"/>
          <w:sz w:val="20"/>
        </w:rPr>
        <w:t>. The section headings in this Award Agreement are inserted only as a matter of convenience, and in no way define, limit or interpret the scope of this Award Agreement or of any particular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Counterparts</w:t>
      </w:r>
      <w:r>
        <w:rPr>
          <w:rFonts w:ascii="Times New Roman" w:hAnsi="Times New Roman"/>
          <w:caps w:val="false"/>
          <w:smallCaps w:val="false"/>
          <w:sz w:val="20"/>
        </w:rPr>
        <w:t>. This Award Agreement may be executed in any number of counterparts, any of which may be executed and transmitted by facsimile, electronic or digital means, and each of which shall be deemed to be an original, but all of which together shall be deemed to be one and the same instrument. Any counterpart or other signature delivered by facsimile shall be deemed for all purposes as being a good and valid execution and delivery of this Award Agreement by that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Entire Agreement</w:t>
      </w:r>
      <w:r>
        <w:rPr>
          <w:rFonts w:ascii="Times New Roman" w:hAnsi="Times New Roman"/>
          <w:caps w:val="false"/>
          <w:smallCaps w:val="false"/>
          <w:sz w:val="20"/>
        </w:rPr>
        <w:t>. The provisions of the Plan and the Notice are incorporated herein by reference. Except as otherwise provided herein,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Choice of Law and Forum</w:t>
      </w:r>
      <w:r>
        <w:rPr>
          <w:rFonts w:ascii="Times New Roman" w:hAnsi="Times New Roman"/>
          <w:caps w:val="false"/>
          <w:smallCaps w:val="false"/>
          <w:sz w:val="20"/>
        </w:rPr>
        <w:t>. This Award Agreement shall be governed by, and construed and interpreted in accordance with, the laws of the State of Texas as applicable to contracts executed in and performed in Texas, except to the extent preempted by controlling federal law, but without regard to the principles of conflict of laws under Texas law that might direct the application of the law of another forum. Any action to enforce the provisions of this Award Agreement, or any Dispute relating to this Agreement, must be brought in any federal or state court of competent jurisdiction in Harris or Fort Bend County, Texas, and the Parties hereby waive any objection to such exclusive venue including, without limitation, that it is inconvenient. For all purposes of this Agreement, the term "Dispute" means any dispute, disagreement, controversy, claim, or cause of action arising in connection with, or relating to,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Waiver of Jury Trial</w:t>
      </w:r>
      <w:r>
        <w:rPr>
          <w:rFonts w:ascii="Times New Roman" w:hAnsi="Times New Roman"/>
          <w:caps w:val="false"/>
          <w:smallCaps w:val="false"/>
          <w:sz w:val="20"/>
        </w:rPr>
        <w:t>. THE PARTIES HERETO WAIVE ANY RIGHT TO TRIAL BY JURY IN ANY PROCEEDING ARISING OUT OF OR RELATING TO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TO IRREVOCABLY WAIVE TRIAL BY JURY, AND THAT ANY PROCEEDING WHATSOEVER BETWEEN THEM RELATING TO THIS AGREEMENT SHALL INSTEAD BE TRIED IN A COURT OF COMPETENT JURISDICTION BY A JUDGE SITTING WITHOUT A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No Guarantee of Service Provider Status</w:t>
      </w:r>
      <w:r>
        <w:rPr>
          <w:rFonts w:ascii="Times New Roman" w:hAnsi="Times New Roman"/>
          <w:caps w:val="false"/>
          <w:smallCaps w:val="false"/>
          <w:sz w:val="20"/>
        </w:rPr>
        <w:t>. THE PARTICIPANT ACKNOWLEDGES AND AGREES THAT THE VESTING OF RSUs PURSUANT TO THE VESTING SCHEDULE HEREOF IS EARNED ONLY BY CONTINUOUS SERVICE AS A SERVICE PROVIDER AND AT THE WILL OF THE COMPANY (NOT THROUGH THE ACT OF BEING HIRED, BEING GRANTED RSUs OR ACQUIRING COMMON STOCK HEREUNDER). THE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THE PARTICIPANT'S RIGHT OR THE COMPANY'S/AFFILIATE'S RIGHT TO TERMINATE THE PARTICIPANT'S RELATIONSHIP AS A SERVICE PROVIDER AT ANY TIME,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caps w:val="false"/>
          <w:smallCaps w:val="false"/>
          <w:sz w:val="20"/>
          <w:u w:val="single"/>
        </w:rPr>
        <w:t>Waiver</w:t>
      </w:r>
      <w:r>
        <w:rPr>
          <w:rFonts w:ascii="Times New Roman" w:hAnsi="Times New Roman"/>
          <w:caps w:val="false"/>
          <w:smallCaps w:val="false"/>
          <w:sz w:val="20"/>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 Any waiver of the terms or conditions hereof shall be made only by a written instrument executed and delivered by the party waiving compliance. Any waiver granted by the Company shall be effective only if executed and delivered by a duly authorized executive officer of the Company other than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5</w:t>
      </w:r>
    </w:p>
    <w:p>
      <w:pPr>
        <w:pStyle w:val="TextBody"/>
        <w:bidi w:val="0"/>
        <w:spacing w:before="0" w:after="0"/>
        <w:ind w:left="0" w:right="0" w:hanging="0"/>
        <w:jc w:val="right"/>
        <w:rPr>
          <w:rFonts w:ascii="Times New Roman;Times;serif" w:hAnsi="Times New Roman;Times;serif"/>
          <w:b/>
          <w:sz w:val="20"/>
        </w:rPr>
      </w:pPr>
      <w:bookmarkStart w:id="23" w:name="ex_997622.htm"/>
      <w:bookmarkStart w:id="24" w:name="ksex_997622"/>
      <w:bookmarkEnd w:id="23"/>
      <w:bookmarkEnd w:id="24"/>
      <w:r>
        <w:rPr>
          <w:rFonts w:ascii="Times New Roman;Times;serif" w:hAnsi="Times New Roman;Times;serif"/>
          <w:b/>
          <w:sz w:val="20"/>
        </w:rPr>
        <w:t>Exhibit 10.3.2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PERFORMANCE RESTRICTED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this Notice of Performance Restricted Stock Unit Award (this "</w:t>
      </w:r>
      <w:r>
        <w:rPr>
          <w:rFonts w:ascii="Times New Roman" w:hAnsi="Times New Roman"/>
          <w:caps w:val="false"/>
          <w:smallCaps w:val="false"/>
          <w:sz w:val="20"/>
          <w:u w:val="single"/>
        </w:rPr>
        <w:t>Notice</w:t>
      </w:r>
      <w:r>
        <w:rPr>
          <w:rFonts w:ascii="Times New Roman" w:hAnsi="Times New Roman"/>
          <w:caps w:val="false"/>
          <w:smallCaps w:val="false"/>
          <w:sz w:val="20"/>
        </w:rPr>
        <w:t>"), the Performance Restricted Stock Unit Award Agreement attached hereto (the "</w:t>
      </w:r>
      <w:r>
        <w:rPr>
          <w:rFonts w:ascii="Times New Roman" w:hAnsi="Times New Roman"/>
          <w:caps w:val="false"/>
          <w:smallCaps w:val="false"/>
          <w:sz w:val="20"/>
          <w:u w:val="single"/>
        </w:rPr>
        <w:t>Award Agreement</w:t>
      </w:r>
      <w:r>
        <w:rPr>
          <w:rFonts w:ascii="Times New Roman" w:hAnsi="Times New Roman"/>
          <w:caps w:val="false"/>
          <w:smallCaps w:val="false"/>
          <w:sz w:val="20"/>
        </w:rPr>
        <w:t>"), and the Applied Optoelectronics, Inc. 2026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below individual (the "</w:t>
      </w:r>
      <w:r>
        <w:rPr>
          <w:rFonts w:ascii="Times New Roman" w:hAnsi="Times New Roman"/>
          <w:caps w:val="false"/>
          <w:smallCaps w:val="false"/>
          <w:sz w:val="20"/>
          <w:u w:val="single"/>
        </w:rPr>
        <w:t>Participant</w:t>
      </w:r>
      <w:r>
        <w:rPr>
          <w:rFonts w:ascii="Times New Roman" w:hAnsi="Times New Roman"/>
          <w:caps w:val="false"/>
          <w:smallCaps w:val="false"/>
          <w:sz w:val="20"/>
        </w:rPr>
        <w:t>") is hereby granted the below number of Performance Restricted Stock Units (the "</w:t>
      </w:r>
      <w:r>
        <w:rPr>
          <w:rFonts w:ascii="Times New Roman" w:hAnsi="Times New Roman"/>
          <w:caps w:val="false"/>
          <w:smallCaps w:val="false"/>
          <w:sz w:val="20"/>
          <w:u w:val="single"/>
        </w:rPr>
        <w:t>PSUs</w:t>
      </w:r>
      <w:r>
        <w:rPr>
          <w:rFonts w:ascii="Times New Roman" w:hAnsi="Times New Roman"/>
          <w:caps w:val="false"/>
          <w:smallCaps w:val="false"/>
          <w:sz w:val="20"/>
        </w:rPr>
        <w:t>") in the Common Stock of Applied Optoelectronics, Inc. (the "</w:t>
      </w:r>
      <w:r>
        <w:rPr>
          <w:rFonts w:ascii="Times New Roman" w:hAnsi="Times New Roman"/>
          <w:caps w:val="false"/>
          <w:smallCaps w:val="false"/>
          <w:sz w:val="20"/>
          <w:u w:val="single"/>
        </w:rPr>
        <w:t>Company</w:t>
      </w:r>
      <w:r>
        <w:rPr>
          <w:rFonts w:ascii="Times New Roman" w:hAnsi="Times New Roman"/>
          <w:caps w:val="false"/>
          <w:smallCaps w:val="false"/>
          <w:sz w:val="20"/>
        </w:rPr>
        <w:t>"). Unless otherwise specifically indicated, all terms used in this Notice shall have the meaning as set forth in the Award Agreement or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Identifying Information:</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Participant Name:                  </w:t>
      </w:r>
    </w:p>
    <w:p>
      <w:pPr>
        <w:pStyle w:val="TextBody"/>
        <w:bidi w:val="0"/>
        <w:spacing w:before="0" w:after="0"/>
        <w:ind w:left="460" w:right="0" w:firstLine="720"/>
        <w:jc w:val="both"/>
        <w:rPr>
          <w:rFonts w:ascii="Times New Roman" w:hAnsi="Times New Roman"/>
          <w:caps w:val="false"/>
          <w:smallCaps w:val="false"/>
          <w:sz w:val="20"/>
        </w:rPr>
      </w:pPr>
      <w:r>
        <w:rPr>
          <w:rFonts w:ascii="Times New Roman" w:hAnsi="Times New Roman"/>
          <w:caps w:val="false"/>
          <w:smallCaps w:val="false"/>
          <w:sz w:val="20"/>
        </w:rPr>
        <w:t>and Address: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Employee ID / Participant Code: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Grant Number: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Target Number of PSUs:                  </w:t>
      </w:r>
    </w:p>
    <w:p>
      <w:pPr>
        <w:pStyle w:val="TextBody"/>
        <w:bidi w:val="0"/>
        <w:spacing w:before="0" w:after="0"/>
        <w:ind w:left="0" w:right="0" w:firstLine="1180"/>
        <w:jc w:val="both"/>
        <w:rPr>
          <w:rFonts w:ascii="Times New Roman" w:hAnsi="Times New Roman"/>
          <w:caps w:val="false"/>
          <w:smallCaps w:val="false"/>
          <w:sz w:val="20"/>
        </w:rPr>
      </w:pPr>
      <w:r>
        <w:rPr>
          <w:rFonts w:ascii="Times New Roman" w:hAnsi="Times New Roman"/>
          <w:caps w:val="false"/>
          <w:smallCaps w:val="false"/>
          <w:sz w:val="20"/>
        </w:rPr>
        <w:t>Date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Vesting Schedule: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Award will vest and become payable based on the determination by the Administrator regarding achievement performance goals for the Performance Period as described on </w:t>
      </w: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t>, subject to the Participant's continuous status as a Service Provider through the applicable payment date, and the terms of the Plan and this Award Agreement. Achievement of the performance goals for the Performance Period and vesting of the Award will be determined by the Administrator following the end of the Performance Period and will be effective as of the date on which the Committee makes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above, in the event of the Participant's Termination of Service due to Participant’s Retirement, Disability or death, or without Cause in connection with a Change of Control, the Award will vest and become payable as described on </w:t>
      </w: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Withholding Tax Election:</w:t>
      </w:r>
    </w:p>
    <w:p>
      <w:pPr>
        <w:pStyle w:val="TextBody"/>
        <w:bidi w:val="0"/>
        <w:spacing w:before="0" w:after="0"/>
        <w:ind w:left="6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your written signature below (or your electronic acceptance), you understand and agree that, as a condition of the grant of the PSUs hereunder, you are required to, and hereby affirmatively elect to, (1) sell that number of Shares of Common Stock determined in accordance with the “Taxes” section of the Award Agreement as may be necessary to satisfy all applicable withholding obligations with respect to any taxable event arising in connection with the PSUs, and (2) allow the broker or other third-party intermediary acceptable to the Company to remit the cash proceeds of such sale(s) to the Company. Furthermore, you direct the Company to make a cash payment equal to the required tax withholding from the cash proceeds of such sale(s) directly to the appropriate taxing authorities.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your signature and the signature of the Company's representative below, the Participant and the Company agree that the PSUs granted are governed by the terms and conditions of this Notice, the Award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25" w:type="dxa"/>
        <w:jc w:val="left"/>
        <w:tblInd w:w="0" w:type="dxa"/>
        <w:tblLayout w:type="fixed"/>
        <w:tblCellMar>
          <w:top w:w="0" w:type="dxa"/>
          <w:left w:w="0" w:type="dxa"/>
          <w:bottom w:w="0" w:type="dxa"/>
          <w:right w:w="0" w:type="dxa"/>
        </w:tblCellMar>
      </w:tblPr>
      <w:tblGrid>
        <w:gridCol w:w="60"/>
        <w:gridCol w:w="3365"/>
      </w:tblGrid>
      <w:tr>
        <w:trPr/>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PARTICIPANT 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Participant acknowledges receipt of a copy of this Notice, the Award Agreement and the Plan, and represents that he or she is familiar with the provisions thereof, and hereby accepts the PSUs subject to all of the terms and provisions hereof and thereof. The Participant has reviewed this Notice, the Award Agreement and the Plan in their entirety, has had an opportunity to obtain the advice of legal counsel prior to executing this Notice, the Award Agreement, and fully understands all provisions of this Notice, the Award Agreement and the Plan. The Participant hereby agrees that all questions of interpretation and administration relating to this Notice, the Award Agreement and the Plan shall be resolved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Participant hereby acknowledges that he or she has had the opportunity to review with his or her own tax advisors the tax consequences of receiving this Notice, the Award Agreement and the Plan, and the transactions contemplated thereby, including any U.S. federal, state and local tax laws, and any other applicable taxing jurisdiction, prior to executing this Notice. The Participant attests that he or she is relying solely on such advisors and not on any statements or representations of the Company or any of its agents or affiliates. Further, the Participant hereby acknowledges and understands that he or she (and not the Company) shall be solely responsible for his or her tax liability that may arise as a result of receiving this Notice and the Award Agreement.</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60"/>
        <w:gridCol w:w="1415"/>
      </w:tblGrid>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Signed: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 Name: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RESTRICTED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terms and conditions of the Notice of Performance Restricted Stock Unit Award (the "</w:t>
      </w:r>
      <w:r>
        <w:rPr>
          <w:rFonts w:ascii="Times New Roman" w:hAnsi="Times New Roman"/>
          <w:caps w:val="false"/>
          <w:smallCaps w:val="false"/>
          <w:sz w:val="20"/>
          <w:u w:val="single"/>
        </w:rPr>
        <w:t>Notice</w:t>
      </w:r>
      <w:r>
        <w:rPr>
          <w:rFonts w:ascii="Times New Roman" w:hAnsi="Times New Roman"/>
          <w:caps w:val="false"/>
          <w:smallCaps w:val="false"/>
          <w:sz w:val="20"/>
        </w:rPr>
        <w:t>"), this Performance Restricted Stock Unit Award Agreement (this "</w:t>
      </w:r>
      <w:r>
        <w:rPr>
          <w:rFonts w:ascii="Times New Roman" w:hAnsi="Times New Roman"/>
          <w:caps w:val="false"/>
          <w:smallCaps w:val="false"/>
          <w:sz w:val="20"/>
          <w:u w:val="single"/>
        </w:rPr>
        <w:t>Award Agreement</w:t>
      </w:r>
      <w:r>
        <w:rPr>
          <w:rFonts w:ascii="Times New Roman" w:hAnsi="Times New Roman"/>
          <w:caps w:val="false"/>
          <w:smallCaps w:val="false"/>
          <w:sz w:val="20"/>
        </w:rPr>
        <w:t>"), and the Applied Optoelectronics, Inc. 2026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the individual set forth in the Notice (the "</w:t>
      </w:r>
      <w:r>
        <w:rPr>
          <w:rFonts w:ascii="Times New Roman" w:hAnsi="Times New Roman"/>
          <w:caps w:val="false"/>
          <w:smallCaps w:val="false"/>
          <w:sz w:val="20"/>
          <w:u w:val="single"/>
        </w:rPr>
        <w:t>Participant</w:t>
      </w:r>
      <w:r>
        <w:rPr>
          <w:rFonts w:ascii="Times New Roman" w:hAnsi="Times New Roman"/>
          <w:caps w:val="false"/>
          <w:smallCaps w:val="false"/>
          <w:sz w:val="20"/>
        </w:rPr>
        <w:t>") is hereby granted Performance Restricted Stock Units (the "</w:t>
      </w:r>
      <w:r>
        <w:rPr>
          <w:rFonts w:ascii="Times New Roman" w:hAnsi="Times New Roman"/>
          <w:caps w:val="false"/>
          <w:smallCaps w:val="false"/>
          <w:sz w:val="20"/>
          <w:u w:val="single"/>
        </w:rPr>
        <w:t>PSUs</w:t>
      </w:r>
      <w:r>
        <w:rPr>
          <w:rFonts w:ascii="Times New Roman" w:hAnsi="Times New Roman"/>
          <w:caps w:val="false"/>
          <w:smallCaps w:val="false"/>
          <w:sz w:val="20"/>
        </w:rPr>
        <w:t>") in the Common Stock of Applied Optoelectronics, Inc. (the "</w:t>
      </w:r>
      <w:r>
        <w:rPr>
          <w:rFonts w:ascii="Times New Roman" w:hAnsi="Times New Roman"/>
          <w:caps w:val="false"/>
          <w:smallCaps w:val="false"/>
          <w:sz w:val="20"/>
          <w:u w:val="single"/>
        </w:rPr>
        <w:t>Company</w:t>
      </w:r>
      <w:r>
        <w:rPr>
          <w:rFonts w:ascii="Times New Roman" w:hAnsi="Times New Roman"/>
          <w:caps w:val="false"/>
          <w:smallCaps w:val="false"/>
          <w:sz w:val="20"/>
        </w:rPr>
        <w:t>"). Unless otherwise specifically indicated, all terms used in this Award Agreement shall have the meaning as set forth in the Notice 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Vesting Schedule and Risk of Forfeiture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Vesting Schedule</w:t>
      </w:r>
      <w:r>
        <w:rPr>
          <w:rFonts w:ascii="Times New Roman" w:hAnsi="Times New Roman"/>
          <w:caps w:val="false"/>
          <w:smallCaps w:val="false"/>
          <w:sz w:val="20"/>
        </w:rPr>
        <w:t>. Subject to the Participant's continuous service with the Company as a Service Provider and any other limitations set forth in the Notice, the Plan or this Award Agreement, the PSUs shall vest in accordance with the Vesting Schedule provided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Risk of Forfeiture</w:t>
      </w:r>
      <w:r>
        <w:rPr>
          <w:rFonts w:ascii="Times New Roman" w:hAnsi="Times New Roman"/>
          <w:caps w:val="false"/>
          <w:smallCaps w:val="false"/>
          <w:sz w:val="20"/>
        </w:rPr>
        <w:t xml:space="preserve">. The PSUs shall be subject to a risk of forfeiture until such time that the risk of forfeiture lapses in accordance with the Vesting Schedule. All or any portion of the PSUs subject to a risk of forfeiture shall automatically be forfeited and immediately returned to the Company if the Participant's continuous status as a Service Provider is interrupted or terminated for any reason, except as described on </w:t>
      </w:r>
      <w:r>
        <w:rPr>
          <w:rFonts w:ascii="Times New Roman" w:hAnsi="Times New Roman"/>
          <w:b/>
          <w:caps w:val="false"/>
          <w:smallCaps w:val="false"/>
          <w:sz w:val="20"/>
        </w:rPr>
        <w:t>Appendix</w:t>
      </w:r>
      <w:r>
        <w:rPr>
          <w:rFonts w:ascii="Times New Roman" w:hAnsi="Times New Roman"/>
          <w:caps w:val="false"/>
          <w:smallCaps w:val="false"/>
          <w:sz w:val="20"/>
        </w:rPr>
        <w:t> </w:t>
      </w:r>
      <w:r>
        <w:rPr>
          <w:rFonts w:ascii="Times New Roman" w:hAnsi="Times New Roman"/>
          <w:b/>
          <w:caps w:val="false"/>
          <w:smallCaps w:val="false"/>
          <w:sz w:val="20"/>
        </w:rPr>
        <w:t>A</w:t>
      </w:r>
      <w:r>
        <w:rPr>
          <w:rFonts w:ascii="Times New Roman" w:hAnsi="Times New Roman"/>
          <w:caps w:val="false"/>
          <w:smallCaps w:val="false"/>
          <w:sz w:val="20"/>
        </w:rPr>
        <w:t>, unless otherwise provided by the Administrator. The Company shall implement any forfeiture under this Section 1 in a unilateral manner, without the Participant's consent, and with no payment to the Participant, cash or otherwise, for any unvested PSUs that are forfeited. Additionally, all of the PSUs subject to this Award Agreement shall immediately become forfeited if the Participant fails to fully satisfy Section 3(b) of this Award Agreement, as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Settlement of PSUs into Shares</w:t>
      </w:r>
      <w:r>
        <w:rPr>
          <w:rFonts w:ascii="Times New Roman" w:hAnsi="Times New Roman"/>
          <w:caps w:val="false"/>
          <w:smallCaps w:val="false"/>
          <w:sz w:val="20"/>
        </w:rPr>
        <w:t>. Subject to the terms of this Award Agreement, and only to the extent all or any portion of the PSUs become nonforfeitable pursuant to the Vesting Schedule, each PSU that becomes nonforfeitable shall be converted into one Share of the Company's Common Stock on the Vesting Date (as defined in the Vesting Schedule); and at such time the Shares shall be distributed to the Participant as soon as administratively possible after such event, but in no event later than two-and-one-half (2.5) months after the end of the year in which such event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Taxes</w:t>
      </w:r>
      <w:r>
        <w:rPr>
          <w:rFonts w:ascii="Times New Roman" w:hAnsi="Times New Roman"/>
          <w:caps w:val="false"/>
          <w:smallCaps w:val="false"/>
          <w:sz w:val="20"/>
        </w:rPr>
        <w:t>. The Participant hereby acknowledges and understands that he or she may suffer adverse tax consequences as a result of the Participant's receipt of, vesting in, or disposition of, the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w:t>
      </w:r>
      <w:r>
        <w:rPr>
          <w:rFonts w:ascii="Times New Roman" w:hAnsi="Times New Roman"/>
          <w:caps w:val="false"/>
          <w:smallCaps w:val="false"/>
          <w:sz w:val="20"/>
        </w:rPr>
        <w:t>. The Participant has reviewed with his or her own tax advisors the tax consequences of this Award Agreement and the PSUs granted hereunder, including any U.S. federal, state and local tax laws, and any other applicable taxing jurisdiction. The Participant is relying solely on such advisors and not on any statements or representations of the Company or any of its agents. The Participant hereby acknowledges and understands that he or she (and not the Company) shall be responsible for his or her own tax liability that may arise as a result of his or her receiving this Award Agreement and the PSUs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Withholding Taxes</w:t>
      </w:r>
      <w:r>
        <w:rPr>
          <w:rFonts w:ascii="Times New Roman" w:hAnsi="Times New Roman"/>
          <w:caps w:val="false"/>
          <w:smallCaps w:val="false"/>
          <w:sz w:val="20"/>
        </w:rPr>
        <w:t>. The Participant shall make appropriate arrangements with the Company for the satisfaction of all U.S. federal, state, local and non-U.S. income and employment tax withholding requirements applicable to any PSUs that settle in Shares of Common Stock in accordance with Section 2. In satisfaction of such tax withholding obligations, the Participant has elected to sell the portion of the Shares of Common Stock to be delivered under the PSUs necessary so as to satisfy the tax withholding obligations (“</w:t>
      </w:r>
      <w:r>
        <w:rPr>
          <w:rFonts w:ascii="Times New Roman" w:hAnsi="Times New Roman"/>
          <w:caps w:val="false"/>
          <w:smallCaps w:val="false"/>
          <w:sz w:val="20"/>
          <w:u w:val="single"/>
        </w:rPr>
        <w:t>Sell to Cover</w:t>
      </w:r>
      <w:r>
        <w:rPr>
          <w:rFonts w:ascii="Times New Roman" w:hAnsi="Times New Roman"/>
          <w:caps w:val="false"/>
          <w:smallCaps w:val="false"/>
          <w:sz w:val="20"/>
        </w:rPr>
        <w:t>”), and such Sell to Cover shall be facilitated by a broker or other third-party intermediary acceptable to the Company (the “</w:t>
      </w:r>
      <w:r>
        <w:rPr>
          <w:rFonts w:ascii="Times New Roman" w:hAnsi="Times New Roman"/>
          <w:caps w:val="false"/>
          <w:smallCaps w:val="false"/>
          <w:sz w:val="20"/>
          <w:u w:val="single"/>
        </w:rPr>
        <w:t>Broker</w:t>
      </w:r>
      <w:r>
        <w:rPr>
          <w:rFonts w:ascii="Times New Roman" w:hAnsi="Times New Roman"/>
          <w:caps w:val="false"/>
          <w:smallCaps w:val="false"/>
          <w:sz w:val="20"/>
        </w:rPr>
        <w:t>”) pursuant to Section 3(c) below. The Participant will be deemed to have been issued the number of Shares of Common Stock subject to the vested award, notwithstanding that a number of Shares of Common Stock are sold pursuant to the Sell to Cover solely for the purpose of paying the applicable tax withholding items arising from the PSUs. Notwithstanding anything in this Award Agreement to the contrary, the Participant hereby acknowledges and agrees that the Sell to Cover provision may not cover the Participant’s full tax liability as it relates to the vesting and settlement of the PSUs and that the Participant shall remain fully responsible for his or her tax liability in respect of the vesting and/or settlement of the PSUs in all cases. The Participant hereby agrees that a breach of this Section 3(b) shall be deemed to be a material breach of this Award Agreement. The Participant hereby acknowledges his or her understanding that the Company's obligations under this Award Agreement are fully contingent on the Participant first satisfying this Section 3(b). Therefore, a failure of the Participant to reasonably satisfy this Section 3 in accordance with the Committee's sole and absolute discretion shall result in the automatic termination and expiration of this Award Agreement and the Company's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Rule 10b5-1 Plan</w:t>
      </w:r>
      <w:r>
        <w:rPr>
          <w:rFonts w:ascii="Times New Roman" w:hAnsi="Times New Roman"/>
          <w:caps w:val="false"/>
          <w:smallCaps w:val="false"/>
          <w:sz w:val="20"/>
        </w:rPr>
        <w:t>. The instruction to the Broker to sell Shares of Common Stock pursuant to the Sell to Cover provision in Section 3(b) above (this "</w:t>
      </w:r>
      <w:r>
        <w:rPr>
          <w:rFonts w:ascii="Times New Roman" w:hAnsi="Times New Roman"/>
          <w:caps w:val="false"/>
          <w:smallCaps w:val="false"/>
          <w:sz w:val="20"/>
          <w:u w:val="single"/>
        </w:rPr>
        <w:t>10b5-1 Plan</w:t>
      </w:r>
      <w:r>
        <w:rPr>
          <w:rFonts w:ascii="Times New Roman" w:hAnsi="Times New Roman"/>
          <w:caps w:val="false"/>
          <w:smallCaps w:val="false"/>
          <w:sz w:val="20"/>
        </w:rPr>
        <w:t>") is intended to comply with the requirements of Rule 10b5</w:t>
        <w:noBreakHyphen/>
        <w:t>1(c)(1)(i)(B) under the Exchange Act, and is to be interpreted to comply with the requirements of Rule 10b5-1(c)(1) under the Exchange Act, including the applicable cooling-off period(s) described therein. The Participant is not aware of any material, nonpublic information with respect to the Company or any securities of the Company as of the date of this Award Agreement and the Participant will not effectuate such sales on the basis of material nonpublic information about the Company or the securities of the Company of which the Participant has knowledge of at the time of this Award Agreement. The Participant entered into this Award Agreement in good faith and not as part of a plan or scheme to evade the prohibitions of Rule 10b5-1 under the Exchange Act. This 10b5-1 Plan is adopted to be effective as of the Date of Grant set forth in the Notice. This 10b5-1 Plan is being adopted to require the Participant to sell a number of Shares of Common Stock awarded upon the vesting and/or settlement sufficient to pay withholding taxes that become due as a result of the vesting and/or settlement of the PSUs and which the Company is required by applicable laws to withhold or deduct. The Participant hereby authorizes the Broker to sell the number of Shares of Common Stock determined as set forth above and acknowledges that the Broker is under no obligation to arrange for such sale at any particular price. The Participant hereby appoints the Company as the Participant's agent and attorney-in-fact to instruct the Broker with respect to the number of Shares of Common Stock to be sold under this 10b5-1 Plan. The Participant hereby authorizes the Broker to remit directly to the Company the proceeds necessary to cover the Participant’s tax liability as it relates to the vesting and/or settlement of the PSUs as provided in Section 3(b) above, and to retain the amount required to cover all applicable fees and commissions due to, or required to be collected by, the Broker relating to the Sell to Cover and this 10b5-1 Plan. Notwithstanding the foregoing, the Participant shall be responsible for all brokerage fees and other costs of the Sell to Cover, and the Participant hereby agrees to indemnify and hold the Company and its directors, officers, employees and agents harmless from any losses, costs, damages, or expenses relating to any such Sell to Cover under this 10b5-1 Plan. The Participant acknowledges that it may not be possible to sell Shares of Common Stock during the term of this 10b5-1 Plan due to, among other reasons, (i) a legal or contractual restriction applicable to the Participant or to the Broker, (ii) a market disruption, (iii) rules governing order execution priority on the applicable securities exchange or (iv) if the Company determines that sales may not be effectuated under this 10b5-1 Plan. This 10b5</w:t>
        <w:noBreakHyphen/>
        <w:t>1 Plan is subject to the terms of any policy adopted now or hereafter by the Company governing the adoption of 10b5-1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Application of Section 409A</w:t>
      </w:r>
      <w:r>
        <w:rPr>
          <w:rFonts w:ascii="Times New Roman" w:hAnsi="Times New Roman"/>
          <w:caps w:val="false"/>
          <w:smallCaps w:val="false"/>
          <w:sz w:val="20"/>
        </w:rPr>
        <w:t>. The PSUs and this Award Agreement are intended to avoid the application of Section 409A of the Code ("</w:t>
      </w:r>
      <w:r>
        <w:rPr>
          <w:rFonts w:ascii="Times New Roman" w:hAnsi="Times New Roman"/>
          <w:caps w:val="false"/>
          <w:smallCaps w:val="false"/>
          <w:sz w:val="20"/>
          <w:u w:val="single"/>
        </w:rPr>
        <w:t>Section 409A</w:t>
      </w:r>
      <w:r>
        <w:rPr>
          <w:rFonts w:ascii="Times New Roman" w:hAnsi="Times New Roman"/>
          <w:caps w:val="false"/>
          <w:smallCaps w:val="false"/>
          <w:sz w:val="20"/>
        </w:rPr>
        <w:t>") because either (i) there is no deferral arrangement or (ii) the Award Agreement satisfies an exemption available under Section 409A such as the short-term deferral rule. Notwithstanding any other provision in the Plan or this Award Agreement to the contrary, the Committee shall have the right, in its sole discretion, to adopt such amendments to the Plan or this Award Agreement or take such other actions (including amendments and actions with retroactive effect) as the Committee determines are necessary or appropriate for the PSUs to comply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Transferability of PSUs</w:t>
      </w:r>
      <w:r>
        <w:rPr>
          <w:rFonts w:ascii="Times New Roman" w:hAnsi="Times New Roman"/>
          <w:caps w:val="false"/>
          <w:smallCaps w:val="false"/>
          <w:sz w:val="20"/>
        </w:rPr>
        <w:t>. The PSUs may not be transferred in any manner other than by will or by the laws of descent and distribution. Any purported transfer of PSUs in breach of this Award Agreement shall be void and ineffective and shall not operate to transfer any interest or title in the purported transferee. The terms of this Award Agreement shall be binding upon the executors, administrators, heirs, successors and transferees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Rights as a Shareholder of the Company</w:t>
      </w:r>
      <w:r>
        <w:rPr>
          <w:rFonts w:ascii="Times New Roman" w:hAnsi="Times New Roman"/>
          <w:caps w:val="false"/>
          <w:smallCaps w:val="false"/>
          <w:sz w:val="20"/>
        </w:rPr>
        <w:t>. The Participant's receipt of the grant of PSUs pursuant to this Award Agreement shall provide and confer no rights or status as a shareholder of the Company until such time the PSUs are converted in accordance with Section 2 of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Legality of Initial Issuance</w:t>
      </w:r>
      <w:r>
        <w:rPr>
          <w:rFonts w:ascii="Times New Roman" w:hAnsi="Times New Roman"/>
          <w:caps w:val="false"/>
          <w:smallCaps w:val="false"/>
          <w:sz w:val="20"/>
        </w:rPr>
        <w:t>. No Shares shall be issued in accordance with Section 2 of this Award Agreement unless and until the Committee has determined that: (i) the Company and the Participant have taken all actions required to register the Shares of Common Stock under the Securities Act or to perfect an exemption from the registration requirements thereof, if applicable; (ii) all applicable listing requirements of any stock exchange or other securities market on which the Shares of Common Stock are listed has been satisfied; and (iii) any other applicable provision of state or U.S. federal law or other Applicable Law has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Notice</w:t>
      </w:r>
      <w:r>
        <w:rPr>
          <w:rFonts w:ascii="Times New Roman" w:hAnsi="Times New Roman"/>
          <w:caps w:val="false"/>
          <w:smallCaps w:val="false"/>
          <w:sz w:val="20"/>
        </w:rPr>
        <w:t>. Any notice required by the terms of this Award Agreement shall be given in writing and shall be deemed effective upon personal delivery or upon deposit with the U.S. Postal Service, by registered or certified mail, with postage and fees prepaid. Notice shall be addressed to the Company at its principal executive office and to the Participant at the address that he or she most recently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Except as provided herein to the contrary, this Award Agreement shall be binding upon and inure to the benefit of the parties to this Award Agreement, their respective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No Assignment</w:t>
      </w:r>
      <w:r>
        <w:rPr>
          <w:rFonts w:ascii="Times New Roman" w:hAnsi="Times New Roman"/>
          <w:caps w:val="false"/>
          <w:smallCaps w:val="false"/>
          <w:sz w:val="20"/>
        </w:rPr>
        <w:t>. Except as otherwise provided in this Award Agreement, the Participant shall not assign any of his or her rights under the Notice or this Award Agreement without the prior written consent of the Company, which consent may be withheld in its sole discretion. The Company shall be permitted to assign its rights or obligations under the Notice or this Award Agreement, but no such assignment shall release the Company of its obligations pursuant to the Notice or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Severability</w:t>
      </w:r>
      <w:r>
        <w:rPr>
          <w:rFonts w:ascii="Times New Roman" w:hAnsi="Times New Roman"/>
          <w:caps w:val="false"/>
          <w:smallCaps w:val="false"/>
          <w:sz w:val="20"/>
        </w:rPr>
        <w:t>. It is the desire of the parties hereto that this Award Agreement be enforced to the maximum extent permitted by law, and should any provision contained herein be held unenforceable by a court of competent jurisdiction, the parties hereby agree and consent that such provision shall be reformed to create a valid and enforceable provision to the maximum extent permitted by law; provided, however, if such provision cannot be reformed, the validity, legality or enforceability of the remainder of this Award Agreement shall not be affected even if one or more of the provisions of this Award Agreement shall be held to be invalid, illegal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Amendment</w:t>
      </w:r>
      <w:r>
        <w:rPr>
          <w:rFonts w:ascii="Times New Roman" w:hAnsi="Times New Roman"/>
          <w:caps w:val="false"/>
          <w:smallCaps w:val="false"/>
          <w:sz w:val="20"/>
        </w:rPr>
        <w:t>. Any provision of this Award Agreement may be amended and the observance thereof may be waived (either generally or in a particular instance and either retroactively or prospectively) only by a written instrument signed by the parties hereto. Notwithstanding the foregoing or any other provision in the Plan or this Award Agreement to the contrary, the Committee shall have the right, in its sole discretion, to unilaterally adopt amendments to this Award Agreement or the Plan to the minimum extent necessary or appropriate (as determined by the Committee in its sole discretion) for PSUs to comply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Administration and Interpretation</w:t>
      </w:r>
      <w:r>
        <w:rPr>
          <w:rFonts w:ascii="Times New Roman" w:hAnsi="Times New Roman"/>
          <w:caps w:val="false"/>
          <w:smallCaps w:val="false"/>
          <w:sz w:val="20"/>
        </w:rPr>
        <w:t>. Any determination by the Committee in connection with any question or issue arising under the Notice, the Plan or this Award Agreement shall be final, conclusive and binding on the Participant, the Company and all other persons. Any question or dispute regarding the interpretation of this Award Agreement or the receipt of the PSUs hereunder shall be submitted by the Participant to the Committee. The resolution of such question or dispute by the Committee shall be final and binding on all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Headings</w:t>
      </w:r>
      <w:r>
        <w:rPr>
          <w:rFonts w:ascii="Times New Roman" w:hAnsi="Times New Roman"/>
          <w:caps w:val="false"/>
          <w:smallCaps w:val="false"/>
          <w:sz w:val="20"/>
        </w:rPr>
        <w:t>. The section headings in this Award Agreement are inserted only as a matter of convenience, and in no way define, limit or interpret the scope of this Award Agreement or of any particular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Counterparts</w:t>
      </w:r>
      <w:r>
        <w:rPr>
          <w:rFonts w:ascii="Times New Roman" w:hAnsi="Times New Roman"/>
          <w:caps w:val="false"/>
          <w:smallCaps w:val="false"/>
          <w:sz w:val="20"/>
        </w:rPr>
        <w:t>. This Award Agreement may be executed in any number of counterparts, any of which may be executed and transmitted by facsimile, electronic or digital means, and each of which shall be deemed to be an original, but all of which together shall be deemed to be one and the same instrument. Any counterpart or other signature delivered by facsimile shall be deemed for all purposes as being a good and valid execution and delivery of this Award Agreement by that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Entire Agreement</w:t>
      </w:r>
      <w:r>
        <w:rPr>
          <w:rFonts w:ascii="Times New Roman" w:hAnsi="Times New Roman"/>
          <w:caps w:val="false"/>
          <w:smallCaps w:val="false"/>
          <w:sz w:val="20"/>
        </w:rPr>
        <w:t>. The provisions of the Plan and the Notice are incorporated herein by reference. Except as otherwise provided herein, the Plan, the Notice and this Award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Choice of Law and Forum</w:t>
      </w:r>
      <w:r>
        <w:rPr>
          <w:rFonts w:ascii="Times New Roman" w:hAnsi="Times New Roman"/>
          <w:caps w:val="false"/>
          <w:smallCaps w:val="false"/>
          <w:sz w:val="20"/>
        </w:rPr>
        <w:t>. This Award Agreement shall be governed by, and construed and interpreted in accordance with, the laws of the State of Texas as applicable to contracts executed in and performed in Texas, except to the extent preempted by controlling federal law, but without regard to the principles of conflict of laws under Texas law that might direct the application of the law of another forum. Any action to enforce the provisions of this Award Agreement, or any Dispute relating to this Agreement, must be brought in any federal or state court of competent jurisdiction in Harris or Fort Bend County, Texas, and the Parties hereby waive any objection to such exclusive venue including, without limitation, that it is inconvenient. For all purposes of this Agreement, the term "Dispute" means any dispute, disagreement, controversy, claim, or cause of action arising in connection with, or relating to, this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caps w:val="false"/>
          <w:smallCaps w:val="false"/>
          <w:sz w:val="20"/>
          <w:u w:val="single"/>
        </w:rPr>
        <w:t>Waiver of Jury Trial</w:t>
      </w:r>
      <w:r>
        <w:rPr>
          <w:rFonts w:ascii="Times New Roman" w:hAnsi="Times New Roman"/>
          <w:caps w:val="false"/>
          <w:smallCaps w:val="false"/>
          <w:sz w:val="20"/>
        </w:rPr>
        <w:t>. THE PARTIES HERETO WAIVE ANY RIGHT TO TRIAL BY JURY IN ANY PROCEEDING ARISING OUT OF OR RELATING TO THIS AGREEMENT, WHETHER NOW EXISTING OR HEREAFTER ARISING, AND WHETHER SOUNDING IN CONTRACT, TORT OR OTHERWISE. THE PARTIES AGREE THAT ANY OF THEM MAY FILE A COPY OF THIS PARAGRAPH WITH ANY COURT AS WRITTEN EVIDENCE OF THE KNOWING, VOLUNTARY AND BARGAINED-FOR AGREEMENT AMONG THE PARTIES TO IRREVOCABLY WAIVE TRIAL BY JURY, AND THAT ANY PROCEEDING WHATSOEVER BETWEEN THEM RELATING TO THIS AGREEMENT SHALL INSTEAD BE TRIED IN A COURT OF COMPETENT JURISDICTION BY A JUDGE SITTING WITHOUT A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caps w:val="false"/>
          <w:smallCaps w:val="false"/>
          <w:sz w:val="20"/>
          <w:u w:val="single"/>
        </w:rPr>
        <w:t>No Guarantee of Service Provider Status</w:t>
      </w:r>
      <w:r>
        <w:rPr>
          <w:rFonts w:ascii="Times New Roman" w:hAnsi="Times New Roman"/>
          <w:caps w:val="false"/>
          <w:smallCaps w:val="false"/>
          <w:sz w:val="20"/>
        </w:rPr>
        <w:t>. THE PARTICIPANT ACKNOWLEDGES AND AGREES THAT THE VESTING OF PSUs PURSUANT TO THE VESTING SCHEDULE HEREOF IS EARNED ONLY BY CONTINUOUS SERVICE AS A SERVICE PROVIDER AND AT THE WILL OF THE COMPANY (NOT THROUGH THE ACT OF BEING HIRED, BEING GRANTED PSUs OR ACQUIRING COMMON STOCK HEREUNDER). THE PARTICIPANT FURTHER ACKNOWLEDGES AND AGREES THAT THIS AWARD AGREEMENT, THE RIGHT GRANTED HEREUNDER, THE TRANSACTIONS CONTEMPLATED HEREUNDER AND THE VESTING SCHEDULE SET FORTH IN THIS AWARD AGREEMENT DO NOT CONSTITUTE AN EXPRESS OR IMPLIED PROMISE OF CONTINUED ENGAGEMENT AS A SERVICE PROVIDER FOR THE VESTING PERIOD, FOR ANY PERIOD, OR AT ALL, AND SHALL NOT INTERFERE IN ANY WAY WITH THE PARTICIPANT'S RIGHT OR THE COMPANY'S/AFFILIATE'S RIGHT TO TERMINATE THE PARTICIPANT'S RELATIONSHIP AS A SERVICE PROVIDER AT ANY TIME,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caps w:val="false"/>
          <w:smallCaps w:val="false"/>
          <w:sz w:val="20"/>
          <w:u w:val="single"/>
        </w:rPr>
        <w:t>Waiver</w:t>
      </w:r>
      <w:r>
        <w:rPr>
          <w:rFonts w:ascii="Times New Roman" w:hAnsi="Times New Roman"/>
          <w:caps w:val="false"/>
          <w:smallCaps w:val="false"/>
          <w:sz w:val="20"/>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 Any waiver of the terms or conditions hereof shall be made only by a written instrument executed and delivered by the party waiving compliance. Any waiver granted by the Company shall be effective only if executed and delivered by a duly authorized executive officer of the Company other than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RESTRICTED STOCK UNIT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VESTING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Goals: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Treatment on Termination of Service: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1976"/>
        <w:gridCol w:w="4019"/>
        <w:gridCol w:w="4210"/>
      </w:tblGrid>
      <w:tr>
        <w:trPr/>
        <w:tc>
          <w:tcPr>
            <w:tcW w:w="197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 Event</w:t>
            </w:r>
          </w:p>
        </w:tc>
        <w:tc>
          <w:tcPr>
            <w:tcW w:w="4019"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Relative TSR Goal</w:t>
            </w:r>
          </w:p>
        </w:tc>
        <w:tc>
          <w:tcPr>
            <w:tcW w:w="421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Price Hurdle Goal (1)</w:t>
            </w:r>
          </w:p>
        </w:tc>
      </w:tr>
      <w:tr>
        <w:trPr/>
        <w:tc>
          <w:tcPr>
            <w:tcW w:w="19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Termination in Connection with a Change in Control</w:t>
            </w:r>
          </w:p>
        </w:tc>
        <w:tc>
          <w:tcPr>
            <w:tcW w:w="4019" w:type="dxa"/>
            <w:tcBorders>
              <w:bottom w:val="single" w:sz="2" w:space="0" w:color="000000"/>
            </w:tcBorders>
            <w:tcMar>
              <w:top w:w="0" w:type="dxa"/>
              <w:left w:w="0" w:type="dxa"/>
              <w:right w:w="0" w:type="dxa"/>
            </w:tcMar>
            <w:vAlign w:val="center"/>
          </w:tcPr>
          <w:p>
            <w:pPr>
              <w:pStyle w:val="TableContents"/>
              <w:bidi w:val="0"/>
              <w:spacing w:before="0" w:after="0"/>
              <w:ind w:left="540" w:right="0" w:hanging="540"/>
              <w:jc w:val="left"/>
              <w:rPr>
                <w:caps w:val="false"/>
                <w:smallCaps w:val="false"/>
              </w:rPr>
            </w:pPr>
            <w:r>
              <w:rPr>
                <w:caps w:val="false"/>
                <w:smallCaps w:val="false"/>
              </w:rPr>
              <w:t>●         </w:t>
            </w:r>
            <w:r>
              <w:rPr>
                <w:rFonts w:ascii="Times New Roman;Times;serif" w:hAnsi="Times New Roman;Times;serif"/>
                <w:caps w:val="false"/>
                <w:smallCaps w:val="false"/>
                <w:sz w:val="20"/>
              </w:rPr>
              <w:t>Payable at the end of the Performance Period with respect to the greater of PSUs earned based on actual performance and Target PSUs</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Actual performance determined based on unreduced performance goals</w:t>
            </w:r>
          </w:p>
        </w:tc>
        <w:tc>
          <w:tcPr>
            <w:tcW w:w="42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Earned Awards: PSUs vest and become payable immediately</w:t>
            </w:r>
          </w:p>
          <w:p>
            <w:pPr>
              <w:pStyle w:val="TableContents"/>
              <w:bidi w:val="0"/>
              <w:spacing w:before="0" w:after="0"/>
              <w:ind w:left="540" w:right="0" w:hanging="540"/>
              <w:jc w:val="left"/>
              <w:rPr>
                <w:caps w:val="false"/>
                <w:smallCaps w:val="false"/>
              </w:rPr>
            </w:pPr>
            <w:r>
              <w:rPr>
                <w:caps w:val="false"/>
                <w:smallCaps w:val="false"/>
              </w:rPr>
              <w:t>●         </w:t>
            </w:r>
            <w:r>
              <w:rPr>
                <w:rFonts w:ascii="Times New Roman;Times;serif" w:hAnsi="Times New Roman;Times;serif"/>
                <w:caps w:val="false"/>
                <w:smallCaps w:val="false"/>
                <w:sz w:val="20"/>
              </w:rPr>
              <w:t>Unearned Awards: Vest and become payable at the end of the Performance Period with respect to PSUs earned based on actual performance</w:t>
            </w:r>
          </w:p>
        </w:tc>
      </w:tr>
      <w:tr>
        <w:trPr/>
        <w:tc>
          <w:tcPr>
            <w:tcW w:w="19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Death and Disability</w:t>
            </w:r>
          </w:p>
        </w:tc>
        <w:tc>
          <w:tcPr>
            <w:tcW w:w="401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Target PSUs vest effective as of termination date</w:t>
            </w:r>
          </w:p>
        </w:tc>
        <w:tc>
          <w:tcPr>
            <w:tcW w:w="42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Earned Awards: PSUs vest and become payable immediately</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Unearned: Forfeited</w:t>
            </w:r>
          </w:p>
        </w:tc>
      </w:tr>
      <w:tr>
        <w:trPr/>
        <w:tc>
          <w:tcPr>
            <w:tcW w:w="19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 for Cause Termination (No Change in Control)</w:t>
            </w:r>
          </w:p>
        </w:tc>
        <w:tc>
          <w:tcPr>
            <w:tcW w:w="401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Unvested Awards forfeited</w:t>
            </w:r>
          </w:p>
        </w:tc>
        <w:tc>
          <w:tcPr>
            <w:tcW w:w="42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Earned and Unearned Awards: Awards forfeited</w:t>
            </w:r>
          </w:p>
        </w:tc>
      </w:tr>
      <w:tr>
        <w:trPr/>
        <w:tc>
          <w:tcPr>
            <w:tcW w:w="1976"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Retirement</w:t>
            </w:r>
          </w:p>
        </w:tc>
        <w:tc>
          <w:tcPr>
            <w:tcW w:w="4019" w:type="dxa"/>
            <w:tcBorders>
              <w:bottom w:val="single" w:sz="2" w:space="0" w:color="000000"/>
            </w:tcBorders>
            <w:tcMar>
              <w:top w:w="0" w:type="dxa"/>
              <w:left w:w="0" w:type="dxa"/>
              <w:right w:w="0" w:type="dxa"/>
            </w:tcMar>
            <w:vAlign w:val="center"/>
          </w:tcPr>
          <w:p>
            <w:pPr>
              <w:pStyle w:val="TableContents"/>
              <w:bidi w:val="0"/>
              <w:spacing w:before="0" w:after="0"/>
              <w:ind w:left="540" w:right="0" w:hanging="540"/>
              <w:jc w:val="left"/>
              <w:rPr>
                <w:caps w:val="false"/>
                <w:smallCaps w:val="false"/>
              </w:rPr>
            </w:pPr>
            <w:r>
              <w:rPr>
                <w:caps w:val="false"/>
                <w:smallCaps w:val="false"/>
              </w:rPr>
              <w:t>●         </w:t>
            </w:r>
            <w:r>
              <w:rPr>
                <w:rFonts w:ascii="Times New Roman;Times;serif" w:hAnsi="Times New Roman;Times;serif"/>
                <w:caps w:val="false"/>
                <w:smallCaps w:val="false"/>
                <w:sz w:val="20"/>
              </w:rPr>
              <w:t>Pro-rated PSUs vested at the end of the performance period based on actual performance</w:t>
            </w:r>
          </w:p>
        </w:tc>
        <w:tc>
          <w:tcPr>
            <w:tcW w:w="421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540" w:right="0" w:hanging="540"/>
              <w:jc w:val="left"/>
              <w:rPr>
                <w:caps w:val="false"/>
                <w:smallCaps w:val="false"/>
              </w:rPr>
            </w:pPr>
            <w:r>
              <w:rPr>
                <w:caps w:val="false"/>
                <w:smallCaps w:val="false"/>
              </w:rPr>
              <w:t>●         </w:t>
            </w:r>
            <w:r>
              <w:rPr>
                <w:rFonts w:ascii="Times New Roman;Times;serif" w:hAnsi="Times New Roman;Times;serif"/>
                <w:caps w:val="false"/>
                <w:smallCaps w:val="false"/>
                <w:sz w:val="20"/>
              </w:rPr>
              <w:t>Earned Awards: Awards vest and become payable at the end of the performance period</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Unearned Awards: Forfeited</w:t>
            </w:r>
          </w:p>
        </w:tc>
      </w:tr>
    </w:tbl>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Earned Awards represent PSUs where the Administrator determines that stock price hurdle goal has been achieved as of the termination date; Unearned Awards represent PSUs where the stock price hurdle goal has not yet been attained as of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5" w:name="ex_975243.htm"/>
      <w:bookmarkStart w:id="26" w:name="ksex_975243"/>
      <w:bookmarkEnd w:id="25"/>
      <w:bookmarkEnd w:id="26"/>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7" w:name="ex_975244.htm"/>
      <w:bookmarkStart w:id="28" w:name="ksex_975244"/>
      <w:bookmarkEnd w:id="27"/>
      <w:bookmarkEnd w:id="28"/>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9" w:name="ex_975245.htm"/>
      <w:bookmarkStart w:id="30" w:name="ksex_975245"/>
      <w:bookmarkEnd w:id="29"/>
      <w:bookmarkEnd w:id="30"/>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31" w:name="led539606F20242211711043696668"/>
            <w:bookmarkEnd w:id="31"/>
            <w:r>
              <w:rPr>
                <w:rFonts w:ascii="Times New Roman;Times;serif" w:hAnsi="Times New Roman;Times;serif"/>
                <w:sz w:val="20"/>
              </w:rPr>
              <w:t>June 30, 2026,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6th day of August, 2026.</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68316825004444/aaoi_ex0302.htm" TargetMode="External"/><Relationship Id="rId3" Type="http://schemas.openxmlformats.org/officeDocument/2006/relationships/hyperlink" Target="http://www.sec.gov/Archives/edgar/data/1158114/000101968713004306/aaoi_10q-ex0302.htm" TargetMode="External"/><Relationship Id="rId4" Type="http://schemas.openxmlformats.org/officeDocument/2006/relationships/hyperlink" Target="http://www.sec.gov/Archives/edgar/data/1158114/000110465925030932/tm2511114d1_ex3-1.htm" TargetMode="External"/><Relationship Id="rId5" Type="http://schemas.openxmlformats.org/officeDocument/2006/relationships/hyperlink" Target="http://www.sec.gov/Archives/edgar/data/1158114/000110465915051289/a15-15715_1ex4d1.htm" TargetMode="External"/><Relationship Id="rId6" Type="http://schemas.openxmlformats.org/officeDocument/2006/relationships/hyperlink" Target="http://www.sec.gov/Archives/edgar/data/0001158114/000110465924131385/tm2431223d10_ex4-1.htm" TargetMode="External"/><Relationship Id="rId7" Type="http://schemas.openxmlformats.org/officeDocument/2006/relationships/hyperlink" Target="http://www.sec.gov/Archives/edgar/data/0001158114/000110465924131385/tm2431223d10_ex4-1.htm" TargetMode="External"/><Relationship Id="rId8" Type="http://schemas.openxmlformats.org/officeDocument/2006/relationships/hyperlink" Target="http://www.sec.gov/Archives/edgar/data/1158114/000110465924131385/tm2431223d10_ex4-3.htm" TargetMode="External"/><Relationship Id="rId9" Type="http://schemas.openxmlformats.org/officeDocument/2006/relationships/hyperlink" Target="http://www.sec.gov/Archives/edgar/data/1158114/000168316825001580/appliedopto_ex0401.htm" TargetMode="External"/><Relationship Id="rId10" Type="http://schemas.openxmlformats.org/officeDocument/2006/relationships/hyperlink" Target="http://www.sec.gov/Archives/edgar/data/1158114/000168316825001580/appliedopto_ex0401.htm" TargetMode="External"/><Relationship Id="rId11" Type="http://schemas.openxmlformats.org/officeDocument/2006/relationships/hyperlink" Target="http://www.sec.gov/Archives/edgar/data/1158114/000168316825001580/appliedopto_ex0401.htm" TargetMode="External"/><Relationship Id="rId12" Type="http://schemas.openxmlformats.org/officeDocument/2006/relationships/hyperlink" Target="http://www.sec.gov/Archives/edgar/data/1158114/000168316826002858/aaoi_ex1001.htm" TargetMode="External"/><Relationship Id="rId13" Type="http://schemas.openxmlformats.org/officeDocument/2006/relationships/hyperlink" Target="http://www.sec.gov/Archives/edgar/data/1158114/000168316826003817/aaoi_ex1001.htm" TargetMode="External"/><Relationship Id="rId14" Type="http://schemas.openxmlformats.org/officeDocument/2006/relationships/hyperlink" Target="http://www.sec.gov/Archives/edgar/data/1158114/000168316826003817/aaoi_ex1002.htm" TargetMode="External"/><Relationship Id="rId15" Type="http://schemas.openxmlformats.org/officeDocument/2006/relationships/hyperlink" Target="http://www.sec.gov/Archives/edgar/data/1158114/000168316826003817/aaoi_ex1003.htm" TargetMode="External"/><Relationship Id="rId16" Type="http://schemas.openxmlformats.org/officeDocument/2006/relationships/hyperlink" Target="http://www.sec.gov/Archives/edgar/data/1158114/000168316826003817/aaoi_ex1003.htm" TargetMode="External"/><Relationship Id="rId17" Type="http://schemas.openxmlformats.org/officeDocument/2006/relationships/hyperlink" Target="http://www.sec.gov/Archives/edgar/data/1158114/000168316826004596/aaoi_ex1001.htm" TargetMode="External"/><Relationship Id="rId18" Type="http://schemas.openxmlformats.org/officeDocument/2006/relationships/hyperlink" Target="http://www.sec.gov/Archives/edgar/data/1158114/000168316826004885/aaoi_ex1001.htm" TargetMode="External"/><Relationship Id="rId19" Type="http://schemas.openxmlformats.org/officeDocument/2006/relationships/hyperlink" Target="http://www.sec.gov/Archives/edgar/data/1158114/000168316826005221/aaoi_ex1001.htm" TargetMode="External"/><Relationship Id="rId20" Type="http://schemas.openxmlformats.org/officeDocument/2006/relationships/hyperlink" Target="http://www.sec.gov/Archives/edgar/data/1158114/000168316826005221/aaoi_ex1002.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29497</Words>
  <Characters>157043</Characters>
  <CharactersWithSpaces>189993</CharactersWithSpaces>
  <Paragraphs>8837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